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E9D3" w14:textId="77777777" w:rsidR="00AC2E3E" w:rsidRPr="001D7E93" w:rsidRDefault="00AC2E3E">
      <w:pPr>
        <w:rPr>
          <w:rFonts w:ascii="Helvetica Neue" w:hAnsi="Helvetica Neue"/>
        </w:rPr>
      </w:pPr>
    </w:p>
    <w:p w14:paraId="575C25F5" w14:textId="77777777" w:rsidR="00AC2E3E" w:rsidRPr="001D7E93" w:rsidRDefault="00AC2E3E" w:rsidP="00AC2E3E">
      <w:pPr>
        <w:pStyle w:val="p2"/>
        <w:spacing w:before="0" w:beforeAutospacing="0" w:after="0" w:afterAutospacing="0"/>
        <w:rPr>
          <w:rFonts w:ascii="Helvetica Neue" w:hAnsi="Helvetica Neue"/>
          <w:color w:val="000000"/>
        </w:rPr>
      </w:pPr>
    </w:p>
    <w:p w14:paraId="58C4CCBA" w14:textId="6C6A503A" w:rsidR="004A35DA" w:rsidRPr="001D7E93" w:rsidRDefault="003B0660" w:rsidP="003B0660">
      <w:pPr>
        <w:pStyle w:val="p3"/>
        <w:spacing w:before="0" w:beforeAutospacing="0" w:after="0" w:afterAutospacing="0"/>
        <w:jc w:val="center"/>
        <w:rPr>
          <w:rStyle w:val="s2"/>
          <w:rFonts w:ascii="Helvetica Neue" w:hAnsi="Helvetica Neue"/>
          <w:b/>
          <w:bCs/>
          <w:color w:val="000000"/>
        </w:rPr>
      </w:pPr>
      <w:r w:rsidRPr="001D7E93">
        <w:rPr>
          <w:rStyle w:val="s2"/>
          <w:rFonts w:ascii="Helvetica Neue" w:hAnsi="Helvetica Neue"/>
          <w:b/>
          <w:bCs/>
          <w:color w:val="000000"/>
        </w:rPr>
        <w:t xml:space="preserve">Report of the </w:t>
      </w:r>
      <w:r w:rsidR="004A35DA" w:rsidRPr="001D7E93">
        <w:rPr>
          <w:rStyle w:val="s2"/>
          <w:rFonts w:ascii="Helvetica Neue" w:hAnsi="Helvetica Neue"/>
          <w:b/>
          <w:bCs/>
          <w:color w:val="000000"/>
        </w:rPr>
        <w:t>NACIQI Subcommittee on</w:t>
      </w:r>
      <w:r w:rsidR="004B7236">
        <w:rPr>
          <w:rStyle w:val="s2"/>
          <w:rFonts w:ascii="Helvetica Neue" w:hAnsi="Helvetica Neue"/>
          <w:b/>
          <w:bCs/>
          <w:color w:val="000000"/>
        </w:rPr>
        <w:br/>
      </w:r>
      <w:r w:rsidR="00164BB8" w:rsidRPr="001D7E93">
        <w:rPr>
          <w:rStyle w:val="s2"/>
          <w:rFonts w:ascii="Helvetica Neue" w:hAnsi="Helvetica Neue"/>
          <w:b/>
          <w:bCs/>
          <w:color w:val="000000"/>
        </w:rPr>
        <w:t xml:space="preserve">Governing Board Independence and </w:t>
      </w:r>
      <w:r w:rsidR="004A35DA" w:rsidRPr="001D7E93">
        <w:rPr>
          <w:rStyle w:val="s2"/>
          <w:rFonts w:ascii="Helvetica Neue" w:hAnsi="Helvetica Neue"/>
          <w:b/>
          <w:bCs/>
          <w:color w:val="000000"/>
        </w:rPr>
        <w:t>Political Interference</w:t>
      </w:r>
    </w:p>
    <w:p w14:paraId="3AA2DD0D" w14:textId="77777777" w:rsidR="00D96E70" w:rsidRPr="001D7E93" w:rsidRDefault="00D96E70" w:rsidP="003B0660">
      <w:pPr>
        <w:pStyle w:val="p3"/>
        <w:spacing w:before="0" w:beforeAutospacing="0" w:after="0" w:afterAutospacing="0"/>
        <w:jc w:val="center"/>
        <w:rPr>
          <w:rStyle w:val="s2"/>
          <w:rFonts w:ascii="Helvetica Neue" w:hAnsi="Helvetica Neue"/>
          <w:b/>
          <w:bCs/>
          <w:color w:val="000000"/>
        </w:rPr>
      </w:pPr>
    </w:p>
    <w:p w14:paraId="330144D6" w14:textId="4C7E4FBF" w:rsidR="003B0660" w:rsidRPr="001D7E93" w:rsidRDefault="00F15A6A" w:rsidP="003B0660">
      <w:pPr>
        <w:pStyle w:val="p3"/>
        <w:spacing w:before="0" w:beforeAutospacing="0" w:after="0" w:afterAutospacing="0"/>
        <w:jc w:val="center"/>
        <w:rPr>
          <w:rStyle w:val="s2"/>
          <w:rFonts w:ascii="Helvetica Neue" w:hAnsi="Helvetica Neue"/>
          <w:b/>
          <w:bCs/>
          <w:color w:val="000000"/>
        </w:rPr>
      </w:pPr>
      <w:r>
        <w:rPr>
          <w:rStyle w:val="s2"/>
          <w:rFonts w:ascii="Helvetica Neue" w:hAnsi="Helvetica Neue"/>
          <w:b/>
          <w:bCs/>
          <w:color w:val="000000"/>
        </w:rPr>
        <w:t>July 22</w:t>
      </w:r>
      <w:r w:rsidR="003B0660" w:rsidRPr="001D7E93">
        <w:rPr>
          <w:rStyle w:val="s2"/>
          <w:rFonts w:ascii="Helvetica Neue" w:hAnsi="Helvetica Neue"/>
          <w:b/>
          <w:bCs/>
          <w:color w:val="000000"/>
        </w:rPr>
        <w:t>, 2020</w:t>
      </w:r>
    </w:p>
    <w:p w14:paraId="1DA8CD1B" w14:textId="1909A5EF" w:rsidR="003B0660" w:rsidRPr="001D7E93" w:rsidRDefault="003B0660" w:rsidP="00AC2E3E">
      <w:pPr>
        <w:pStyle w:val="p3"/>
        <w:spacing w:before="0" w:beforeAutospacing="0" w:after="0" w:afterAutospacing="0"/>
        <w:rPr>
          <w:rStyle w:val="s2"/>
          <w:rFonts w:ascii="Helvetica Neue" w:hAnsi="Helvetica Neue"/>
          <w:color w:val="000000"/>
        </w:rPr>
      </w:pPr>
    </w:p>
    <w:p w14:paraId="222F92C0" w14:textId="77777777" w:rsidR="00B71894" w:rsidRPr="001D7E93" w:rsidRDefault="00B71894" w:rsidP="00AC2E3E">
      <w:pPr>
        <w:pStyle w:val="p3"/>
        <w:spacing w:before="0" w:beforeAutospacing="0" w:after="0" w:afterAutospacing="0"/>
        <w:rPr>
          <w:rStyle w:val="s2"/>
          <w:rFonts w:ascii="Helvetica Neue" w:hAnsi="Helvetica Neue"/>
          <w:color w:val="000000"/>
        </w:rPr>
      </w:pPr>
    </w:p>
    <w:p w14:paraId="05290DD6" w14:textId="24C621F6" w:rsidR="00AC2E3E" w:rsidRPr="001D7E93" w:rsidRDefault="001F3DAB" w:rsidP="00AC2E3E">
      <w:pPr>
        <w:pStyle w:val="p3"/>
        <w:spacing w:before="0" w:beforeAutospacing="0" w:after="0" w:afterAutospacing="0"/>
        <w:rPr>
          <w:rFonts w:ascii="Helvetica Neue" w:hAnsi="Helvetica Neue"/>
          <w:color w:val="000000"/>
        </w:rPr>
      </w:pPr>
      <w:r w:rsidRPr="001D7E93">
        <w:rPr>
          <w:rStyle w:val="s2"/>
          <w:rFonts w:ascii="Helvetica Neue" w:hAnsi="Helvetica Neue"/>
          <w:color w:val="000000"/>
        </w:rPr>
        <w:t>T</w:t>
      </w:r>
      <w:r w:rsidR="00AC2E3E" w:rsidRPr="001D7E93">
        <w:rPr>
          <w:rStyle w:val="s2"/>
          <w:rFonts w:ascii="Helvetica Neue" w:hAnsi="Helvetica Neue"/>
          <w:color w:val="000000"/>
        </w:rPr>
        <w:t>he subcommittee</w:t>
      </w:r>
      <w:r w:rsidRPr="001D7E93">
        <w:rPr>
          <w:rStyle w:val="s2"/>
          <w:rFonts w:ascii="Helvetica Neue" w:hAnsi="Helvetica Neue"/>
          <w:color w:val="000000"/>
        </w:rPr>
        <w:t xml:space="preserve"> has</w:t>
      </w:r>
      <w:r w:rsidR="00AC2E3E" w:rsidRPr="001D7E93">
        <w:rPr>
          <w:rStyle w:val="s2"/>
          <w:rFonts w:ascii="Helvetica Neue" w:hAnsi="Helvetica Neue"/>
          <w:color w:val="000000"/>
        </w:rPr>
        <w:t xml:space="preserve"> concluded</w:t>
      </w:r>
      <w:r w:rsidRPr="001D7E93">
        <w:rPr>
          <w:rStyle w:val="s2"/>
          <w:rFonts w:ascii="Helvetica Neue" w:hAnsi="Helvetica Neue"/>
          <w:color w:val="000000"/>
        </w:rPr>
        <w:t xml:space="preserve"> its work</w:t>
      </w:r>
      <w:r w:rsidR="00AC2E3E" w:rsidRPr="001D7E93">
        <w:rPr>
          <w:rStyle w:val="s2"/>
          <w:rFonts w:ascii="Helvetica Neue" w:hAnsi="Helvetica Neue"/>
          <w:color w:val="000000"/>
        </w:rPr>
        <w:t xml:space="preserve"> and </w:t>
      </w:r>
      <w:r w:rsidRPr="001D7E93">
        <w:rPr>
          <w:rStyle w:val="s2"/>
          <w:rFonts w:ascii="Helvetica Neue" w:hAnsi="Helvetica Neue"/>
          <w:color w:val="000000"/>
        </w:rPr>
        <w:t>has</w:t>
      </w:r>
      <w:r w:rsidR="00AC2E3E" w:rsidRPr="001D7E93">
        <w:rPr>
          <w:rStyle w:val="s2"/>
          <w:rFonts w:ascii="Helvetica Neue" w:hAnsi="Helvetica Neue"/>
          <w:color w:val="000000"/>
        </w:rPr>
        <w:t xml:space="preserve"> a brief report.</w:t>
      </w:r>
    </w:p>
    <w:p w14:paraId="13047874" w14:textId="67E07E7B" w:rsidR="00AC2E3E" w:rsidRPr="001D7E93" w:rsidRDefault="00AC2E3E" w:rsidP="00AC2E3E">
      <w:pPr>
        <w:pStyle w:val="p2"/>
        <w:spacing w:before="0" w:beforeAutospacing="0" w:after="0" w:afterAutospacing="0"/>
        <w:rPr>
          <w:rFonts w:ascii="Helvetica Neue" w:hAnsi="Helvetica Neue"/>
          <w:color w:val="000000"/>
        </w:rPr>
      </w:pPr>
    </w:p>
    <w:p w14:paraId="3CE530A4" w14:textId="4F5F3EBB" w:rsidR="00C74E32" w:rsidRPr="001D7E93" w:rsidRDefault="00AC2E3E" w:rsidP="00AC2E3E">
      <w:pPr>
        <w:pStyle w:val="p3"/>
        <w:spacing w:before="0" w:beforeAutospacing="0" w:after="0" w:afterAutospacing="0"/>
        <w:rPr>
          <w:rFonts w:ascii="Helvetica Neue" w:hAnsi="Helvetica Neue"/>
          <w:color w:val="000000"/>
        </w:rPr>
      </w:pPr>
      <w:r w:rsidRPr="001D7E93">
        <w:rPr>
          <w:rStyle w:val="s2"/>
          <w:rFonts w:ascii="Helvetica Neue" w:hAnsi="Helvetica Neue"/>
          <w:color w:val="000000"/>
        </w:rPr>
        <w:t>In our effort to examine accreditor response to potential political interference,</w:t>
      </w:r>
      <w:r w:rsidRPr="001D7E93" w:rsidDel="00825FC3">
        <w:rPr>
          <w:rStyle w:val="s2"/>
          <w:rFonts w:ascii="Helvetica Neue" w:hAnsi="Helvetica Neue"/>
          <w:color w:val="000000"/>
        </w:rPr>
        <w:t xml:space="preserve"> </w:t>
      </w:r>
      <w:r w:rsidRPr="001D7E93">
        <w:rPr>
          <w:rStyle w:val="s2"/>
          <w:rFonts w:ascii="Helvetica Neue" w:hAnsi="Helvetica Neue"/>
          <w:color w:val="000000"/>
        </w:rPr>
        <w:t xml:space="preserve">we heard from representatives of </w:t>
      </w:r>
      <w:r w:rsidR="005B564F" w:rsidRPr="001D7E93">
        <w:rPr>
          <w:rStyle w:val="s2"/>
          <w:rFonts w:ascii="Helvetica Neue" w:hAnsi="Helvetica Neue"/>
          <w:color w:val="000000"/>
        </w:rPr>
        <w:t xml:space="preserve">the </w:t>
      </w:r>
      <w:r w:rsidR="00240DEB" w:rsidRPr="001D7E93">
        <w:rPr>
          <w:rStyle w:val="s2"/>
          <w:rFonts w:ascii="Helvetica Neue" w:hAnsi="Helvetica Neue"/>
          <w:color w:val="000000"/>
        </w:rPr>
        <w:t>Southern Association of Colleges and Schools Commission on Colleges</w:t>
      </w:r>
      <w:r w:rsidR="005B564F" w:rsidRPr="001D7E93">
        <w:rPr>
          <w:rStyle w:val="s2"/>
          <w:rFonts w:ascii="Helvetica Neue" w:hAnsi="Helvetica Neue"/>
          <w:color w:val="000000"/>
        </w:rPr>
        <w:t xml:space="preserve">, </w:t>
      </w:r>
      <w:r w:rsidR="001F3C95" w:rsidRPr="001D7E93">
        <w:rPr>
          <w:rStyle w:val="s2"/>
          <w:rFonts w:ascii="Helvetica Neue" w:hAnsi="Helvetica Neue"/>
          <w:color w:val="000000"/>
        </w:rPr>
        <w:t>Northwest Commission on Colleges and Universities</w:t>
      </w:r>
      <w:r w:rsidR="005B564F" w:rsidRPr="001D7E93">
        <w:rPr>
          <w:rStyle w:val="s2"/>
          <w:rFonts w:ascii="Helvetica Neue" w:hAnsi="Helvetica Neue"/>
          <w:color w:val="000000"/>
        </w:rPr>
        <w:t xml:space="preserve">, </w:t>
      </w:r>
      <w:r w:rsidRPr="001D7E93">
        <w:rPr>
          <w:rStyle w:val="s2"/>
          <w:rFonts w:ascii="Helvetica Neue" w:hAnsi="Helvetica Neue"/>
          <w:color w:val="000000"/>
        </w:rPr>
        <w:t>American Council of Trustees and Alumni</w:t>
      </w:r>
      <w:r w:rsidR="005B564F" w:rsidRPr="001D7E93">
        <w:rPr>
          <w:rStyle w:val="s2"/>
          <w:rFonts w:ascii="Helvetica Neue" w:hAnsi="Helvetica Neue"/>
          <w:color w:val="000000"/>
        </w:rPr>
        <w:t>, and</w:t>
      </w:r>
      <w:r w:rsidRPr="001D7E93">
        <w:rPr>
          <w:rStyle w:val="s2"/>
          <w:rFonts w:ascii="Helvetica Neue" w:hAnsi="Helvetica Neue"/>
          <w:color w:val="000000"/>
        </w:rPr>
        <w:t xml:space="preserve"> the Association of Governing Boards. We sought to</w:t>
      </w:r>
      <w:r w:rsidR="002B5D8D" w:rsidRPr="001D7E93">
        <w:rPr>
          <w:rStyle w:val="s2"/>
          <w:rFonts w:ascii="Helvetica Neue" w:hAnsi="Helvetica Neue"/>
          <w:color w:val="000000"/>
        </w:rPr>
        <w:t xml:space="preserve"> hear </w:t>
      </w:r>
      <w:r w:rsidR="002B78D6" w:rsidRPr="001D7E93">
        <w:rPr>
          <w:rStyle w:val="s2"/>
          <w:rFonts w:ascii="Helvetica Neue" w:hAnsi="Helvetica Neue"/>
          <w:color w:val="000000"/>
        </w:rPr>
        <w:t xml:space="preserve">directly from </w:t>
      </w:r>
      <w:r w:rsidRPr="001D7E93">
        <w:rPr>
          <w:rStyle w:val="s2"/>
          <w:rFonts w:ascii="Helvetica Neue" w:hAnsi="Helvetica Neue"/>
          <w:color w:val="000000"/>
        </w:rPr>
        <w:t xml:space="preserve">governors </w:t>
      </w:r>
      <w:r w:rsidR="002B5D8D" w:rsidRPr="001D7E93">
        <w:rPr>
          <w:rStyle w:val="s2"/>
          <w:rFonts w:ascii="Helvetica Neue" w:hAnsi="Helvetica Neue"/>
          <w:color w:val="000000"/>
        </w:rPr>
        <w:t>and trustees</w:t>
      </w:r>
      <w:r w:rsidRPr="001D7E93">
        <w:rPr>
          <w:rStyle w:val="s2"/>
          <w:rFonts w:ascii="Helvetica Neue" w:hAnsi="Helvetica Neue"/>
          <w:color w:val="000000"/>
        </w:rPr>
        <w:t>, but for scheduling or other reasons were unable to do so.</w:t>
      </w:r>
    </w:p>
    <w:p w14:paraId="2E252543" w14:textId="77777777" w:rsidR="00AC2E3E" w:rsidRPr="001D7E93" w:rsidRDefault="00AC2E3E" w:rsidP="00AC2E3E">
      <w:pPr>
        <w:pStyle w:val="p2"/>
        <w:spacing w:before="0" w:beforeAutospacing="0" w:after="0" w:afterAutospacing="0"/>
        <w:rPr>
          <w:rFonts w:ascii="Helvetica Neue" w:hAnsi="Helvetica Neue"/>
          <w:color w:val="000000"/>
        </w:rPr>
      </w:pPr>
    </w:p>
    <w:p w14:paraId="1A671B02" w14:textId="13F66075" w:rsidR="00AC2E3E" w:rsidRPr="001D7E93" w:rsidRDefault="00AC2E3E" w:rsidP="004B187E">
      <w:pPr>
        <w:pStyle w:val="p3"/>
        <w:spacing w:before="0" w:beforeAutospacing="0" w:after="0" w:afterAutospacing="0"/>
        <w:rPr>
          <w:rFonts w:ascii="Helvetica Neue" w:hAnsi="Helvetica Neue"/>
          <w:color w:val="000000"/>
        </w:rPr>
      </w:pPr>
      <w:r w:rsidRPr="001D7E93">
        <w:rPr>
          <w:rStyle w:val="s2"/>
          <w:rFonts w:ascii="Helvetica Neue" w:hAnsi="Helvetica Neue"/>
          <w:color w:val="000000"/>
        </w:rPr>
        <w:t xml:space="preserve">The accrediting agency witnesses said that, over the last decade, they believe there were </w:t>
      </w:r>
      <w:r w:rsidR="00447182" w:rsidRPr="001D7E93">
        <w:rPr>
          <w:rStyle w:val="s2"/>
          <w:rFonts w:ascii="Helvetica Neue" w:hAnsi="Helvetica Neue"/>
          <w:color w:val="000000"/>
        </w:rPr>
        <w:t xml:space="preserve">very </w:t>
      </w:r>
      <w:r w:rsidRPr="001D7E93">
        <w:rPr>
          <w:rStyle w:val="s2"/>
          <w:rFonts w:ascii="Helvetica Neue" w:hAnsi="Helvetica Neue"/>
          <w:color w:val="000000"/>
        </w:rPr>
        <w:t>few instances of investigating</w:t>
      </w:r>
      <w:r w:rsidR="00D37791" w:rsidRPr="001D7E93">
        <w:rPr>
          <w:rStyle w:val="s2"/>
          <w:rFonts w:ascii="Helvetica Neue" w:hAnsi="Helvetica Neue"/>
          <w:color w:val="000000"/>
        </w:rPr>
        <w:t xml:space="preserve"> </w:t>
      </w:r>
      <w:r w:rsidR="00ED15E0" w:rsidRPr="001D7E93">
        <w:rPr>
          <w:rStyle w:val="s2"/>
          <w:rFonts w:ascii="Helvetica Neue" w:hAnsi="Helvetica Neue"/>
          <w:color w:val="000000"/>
        </w:rPr>
        <w:t xml:space="preserve">political interference </w:t>
      </w:r>
      <w:r w:rsidRPr="001D7E93">
        <w:rPr>
          <w:rStyle w:val="s2"/>
          <w:rFonts w:ascii="Helvetica Neue" w:hAnsi="Helvetica Neue"/>
          <w:color w:val="000000"/>
        </w:rPr>
        <w:t xml:space="preserve">in an institution’s governance or otherwise. One non-agency witness disagreed, </w:t>
      </w:r>
      <w:r w:rsidR="00620ED7" w:rsidRPr="001D7E93">
        <w:rPr>
          <w:rStyle w:val="s2"/>
          <w:rFonts w:ascii="Helvetica Neue" w:hAnsi="Helvetica Neue"/>
          <w:color w:val="000000"/>
        </w:rPr>
        <w:t>asserting</w:t>
      </w:r>
      <w:r w:rsidR="00094D7F" w:rsidRPr="001D7E93">
        <w:rPr>
          <w:rStyle w:val="s2"/>
          <w:rFonts w:ascii="Helvetica Neue" w:hAnsi="Helvetica Neue"/>
          <w:color w:val="000000"/>
        </w:rPr>
        <w:t xml:space="preserve"> </w:t>
      </w:r>
      <w:r w:rsidRPr="001D7E93">
        <w:rPr>
          <w:rStyle w:val="s2"/>
          <w:rFonts w:ascii="Helvetica Neue" w:hAnsi="Helvetica Neue"/>
          <w:color w:val="000000"/>
        </w:rPr>
        <w:t xml:space="preserve">instances involving the University of Kentucky, the University of Alaska, higher education systems in Florida and Alabama, the University of South Carolina, and the University of Virginia.  </w:t>
      </w:r>
    </w:p>
    <w:p w14:paraId="5BAB0FD2" w14:textId="05F9DAE3" w:rsidR="00AC2E3E" w:rsidRPr="001D7E93" w:rsidRDefault="00AC2E3E" w:rsidP="00AC2E3E">
      <w:pPr>
        <w:pStyle w:val="p3"/>
        <w:rPr>
          <w:rFonts w:ascii="Helvetica Neue" w:hAnsi="Helvetica Neue"/>
          <w:color w:val="000000"/>
        </w:rPr>
      </w:pPr>
      <w:r w:rsidRPr="001D7E93">
        <w:rPr>
          <w:rStyle w:val="s2"/>
          <w:rFonts w:ascii="Helvetica Neue" w:hAnsi="Helvetica Neue"/>
          <w:color w:val="000000"/>
        </w:rPr>
        <w:t xml:space="preserve">Additionally, representatives of the agencies </w:t>
      </w:r>
      <w:r w:rsidR="00620ED7" w:rsidRPr="001D7E93">
        <w:rPr>
          <w:rStyle w:val="s2"/>
          <w:rFonts w:ascii="Helvetica Neue" w:hAnsi="Helvetica Neue"/>
          <w:color w:val="000000"/>
        </w:rPr>
        <w:t xml:space="preserve">advanced </w:t>
      </w:r>
      <w:r w:rsidRPr="001D7E93">
        <w:rPr>
          <w:rStyle w:val="s2"/>
          <w:rFonts w:ascii="Helvetica Neue" w:hAnsi="Helvetica Neue"/>
          <w:color w:val="000000"/>
        </w:rPr>
        <w:t xml:space="preserve">that agency </w:t>
      </w:r>
      <w:r w:rsidR="00620ED7" w:rsidRPr="001D7E93">
        <w:rPr>
          <w:rStyle w:val="s2"/>
          <w:rFonts w:ascii="Helvetica Neue" w:hAnsi="Helvetica Neue"/>
          <w:color w:val="000000"/>
        </w:rPr>
        <w:t xml:space="preserve">actions </w:t>
      </w:r>
      <w:r w:rsidRPr="001D7E93">
        <w:rPr>
          <w:rStyle w:val="s2"/>
          <w:rFonts w:ascii="Helvetica Neue" w:hAnsi="Helvetica Neue"/>
          <w:color w:val="000000"/>
        </w:rPr>
        <w:t xml:space="preserve">into external interference </w:t>
      </w:r>
      <w:r w:rsidR="00620ED7" w:rsidRPr="001D7E93">
        <w:rPr>
          <w:rStyle w:val="s2"/>
          <w:rFonts w:ascii="Helvetica Neue" w:hAnsi="Helvetica Neue"/>
          <w:color w:val="000000"/>
        </w:rPr>
        <w:t xml:space="preserve">were typically inquiries about potential gubernatorial interference in actions of </w:t>
      </w:r>
      <w:r w:rsidR="00D26B5B" w:rsidRPr="001D7E93">
        <w:rPr>
          <w:rStyle w:val="s2"/>
          <w:rFonts w:ascii="Helvetica Neue" w:hAnsi="Helvetica Neue"/>
          <w:color w:val="000000"/>
        </w:rPr>
        <w:t xml:space="preserve">public </w:t>
      </w:r>
      <w:r w:rsidR="00620ED7" w:rsidRPr="001D7E93">
        <w:rPr>
          <w:rStyle w:val="s2"/>
          <w:rFonts w:ascii="Helvetica Neue" w:hAnsi="Helvetica Neue"/>
          <w:color w:val="000000"/>
        </w:rPr>
        <w:t xml:space="preserve">governing boards, typically around presidential selection, and that most actions by the agency </w:t>
      </w:r>
      <w:r w:rsidRPr="001D7E93">
        <w:rPr>
          <w:rStyle w:val="s2"/>
          <w:rFonts w:ascii="Helvetica Neue" w:hAnsi="Helvetica Neue"/>
          <w:color w:val="000000"/>
        </w:rPr>
        <w:t>tended to resolve</w:t>
      </w:r>
      <w:r w:rsidR="00D60A23" w:rsidRPr="001D7E93">
        <w:rPr>
          <w:rStyle w:val="s2"/>
          <w:rFonts w:ascii="Helvetica Neue" w:hAnsi="Helvetica Neue"/>
          <w:color w:val="000000"/>
        </w:rPr>
        <w:t xml:space="preserve"> themselves</w:t>
      </w:r>
      <w:r w:rsidRPr="001D7E93">
        <w:rPr>
          <w:rStyle w:val="s2"/>
          <w:rFonts w:ascii="Helvetica Neue" w:hAnsi="Helvetica Neue"/>
          <w:color w:val="000000"/>
        </w:rPr>
        <w:t xml:space="preserve"> </w:t>
      </w:r>
      <w:r w:rsidR="00620ED7" w:rsidRPr="001D7E93">
        <w:rPr>
          <w:rStyle w:val="s2"/>
          <w:rFonts w:ascii="Helvetica Neue" w:hAnsi="Helvetica Neue"/>
          <w:color w:val="000000"/>
        </w:rPr>
        <w:t>with the provision of further information</w:t>
      </w:r>
      <w:r w:rsidR="00A52874" w:rsidRPr="001D7E93">
        <w:rPr>
          <w:rStyle w:val="s2"/>
          <w:rFonts w:ascii="Helvetica Neue" w:hAnsi="Helvetica Neue"/>
          <w:color w:val="000000"/>
        </w:rPr>
        <w:t>.</w:t>
      </w:r>
      <w:r w:rsidRPr="001D7E93">
        <w:rPr>
          <w:rStyle w:val="s2"/>
          <w:rFonts w:ascii="Helvetica Neue" w:hAnsi="Helvetica Neue"/>
          <w:color w:val="000000"/>
        </w:rPr>
        <w:t xml:space="preserve"> Representatives of the agencies said that, in recent memory, </w:t>
      </w:r>
      <w:r w:rsidR="00974876" w:rsidRPr="001D7E93">
        <w:rPr>
          <w:rStyle w:val="s2"/>
          <w:rFonts w:ascii="Helvetica Neue" w:hAnsi="Helvetica Neue"/>
          <w:color w:val="000000"/>
        </w:rPr>
        <w:t>there was no negative action or termination of accreditation due to</w:t>
      </w:r>
      <w:r w:rsidRPr="001D7E93">
        <w:rPr>
          <w:rStyle w:val="s2"/>
          <w:rFonts w:ascii="Helvetica Neue" w:hAnsi="Helvetica Neue"/>
          <w:color w:val="000000"/>
        </w:rPr>
        <w:t xml:space="preserve"> issues of political interference </w:t>
      </w:r>
      <w:r w:rsidR="005838F4" w:rsidRPr="001D7E93">
        <w:rPr>
          <w:rStyle w:val="s2"/>
          <w:rFonts w:ascii="Helvetica Neue" w:hAnsi="Helvetica Neue"/>
          <w:color w:val="000000"/>
        </w:rPr>
        <w:t xml:space="preserve">in </w:t>
      </w:r>
      <w:r w:rsidRPr="001D7E93">
        <w:rPr>
          <w:rStyle w:val="s2"/>
          <w:rFonts w:ascii="Helvetica Neue" w:hAnsi="Helvetica Neue"/>
          <w:color w:val="000000"/>
        </w:rPr>
        <w:t>governance</w:t>
      </w:r>
      <w:r w:rsidR="005838F4" w:rsidRPr="001D7E93">
        <w:rPr>
          <w:rStyle w:val="s2"/>
          <w:rFonts w:ascii="Helvetica Neue" w:hAnsi="Helvetica Neue"/>
          <w:color w:val="000000"/>
        </w:rPr>
        <w:t>. The</w:t>
      </w:r>
      <w:r w:rsidR="00A52874" w:rsidRPr="001D7E93">
        <w:rPr>
          <w:rStyle w:val="s2"/>
          <w:rFonts w:ascii="Helvetica Neue" w:hAnsi="Helvetica Neue"/>
          <w:color w:val="000000"/>
        </w:rPr>
        <w:t xml:space="preserve">y noted </w:t>
      </w:r>
      <w:r w:rsidR="00102752" w:rsidRPr="001D7E93">
        <w:rPr>
          <w:rStyle w:val="s2"/>
          <w:rFonts w:ascii="Helvetica Neue" w:hAnsi="Helvetica Neue"/>
          <w:color w:val="000000"/>
        </w:rPr>
        <w:t>that actions involving</w:t>
      </w:r>
      <w:r w:rsidR="005838F4" w:rsidRPr="001D7E93">
        <w:rPr>
          <w:rStyle w:val="s2"/>
          <w:rFonts w:ascii="Helvetica Neue" w:hAnsi="Helvetica Neue"/>
          <w:color w:val="000000"/>
        </w:rPr>
        <w:t xml:space="preserve"> governance</w:t>
      </w:r>
      <w:r w:rsidRPr="001D7E93">
        <w:rPr>
          <w:rStyle w:val="s2"/>
          <w:rFonts w:ascii="Helvetica Neue" w:hAnsi="Helvetica Neue"/>
          <w:color w:val="000000"/>
        </w:rPr>
        <w:t xml:space="preserve"> matters </w:t>
      </w:r>
      <w:r w:rsidR="005838F4" w:rsidRPr="001D7E93">
        <w:rPr>
          <w:rStyle w:val="s2"/>
          <w:rFonts w:ascii="Helvetica Neue" w:hAnsi="Helvetica Neue"/>
          <w:color w:val="000000"/>
        </w:rPr>
        <w:t>are</w:t>
      </w:r>
      <w:r w:rsidRPr="001D7E93">
        <w:rPr>
          <w:rStyle w:val="s2"/>
          <w:rFonts w:ascii="Helvetica Neue" w:hAnsi="Helvetica Neue"/>
          <w:color w:val="000000"/>
        </w:rPr>
        <w:t xml:space="preserve"> rarely stand-alone and often involve other matters such as financial insolvency</w:t>
      </w:r>
      <w:r w:rsidR="00F438BC" w:rsidRPr="001D7E93">
        <w:rPr>
          <w:rStyle w:val="s2"/>
          <w:rFonts w:ascii="Helvetica Neue" w:hAnsi="Helvetica Neue"/>
          <w:color w:val="000000"/>
        </w:rPr>
        <w:t xml:space="preserve"> </w:t>
      </w:r>
      <w:r w:rsidR="005838F4" w:rsidRPr="001D7E93">
        <w:rPr>
          <w:rStyle w:val="s2"/>
          <w:rFonts w:ascii="Helvetica Neue" w:hAnsi="Helvetica Neue"/>
          <w:color w:val="000000"/>
        </w:rPr>
        <w:t>or</w:t>
      </w:r>
      <w:r w:rsidR="00F438BC" w:rsidRPr="001D7E93">
        <w:rPr>
          <w:rStyle w:val="s2"/>
          <w:rFonts w:ascii="Helvetica Neue" w:hAnsi="Helvetica Neue"/>
          <w:color w:val="000000"/>
        </w:rPr>
        <w:t xml:space="preserve"> fraud</w:t>
      </w:r>
      <w:r w:rsidRPr="001D7E93">
        <w:rPr>
          <w:rStyle w:val="s2"/>
          <w:rFonts w:ascii="Helvetica Neue" w:hAnsi="Helvetica Neue"/>
          <w:color w:val="000000"/>
        </w:rPr>
        <w:t xml:space="preserve">. </w:t>
      </w:r>
    </w:p>
    <w:p w14:paraId="0FD02AD7" w14:textId="6E6D2077" w:rsidR="00A52874" w:rsidRPr="001D7E93" w:rsidRDefault="00AC2E3E" w:rsidP="00AC2E3E">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t xml:space="preserve">The subcommittee acknowledges that there is great diversity and complexity when it comes to boards and the “owner” of </w:t>
      </w:r>
      <w:r w:rsidR="000B7C79" w:rsidRPr="001D7E93">
        <w:rPr>
          <w:rStyle w:val="s2"/>
          <w:rFonts w:ascii="Helvetica Neue" w:hAnsi="Helvetica Neue"/>
          <w:color w:val="000000"/>
        </w:rPr>
        <w:t xml:space="preserve">an </w:t>
      </w:r>
      <w:r w:rsidRPr="001D7E93">
        <w:rPr>
          <w:rStyle w:val="s2"/>
          <w:rFonts w:ascii="Helvetica Neue" w:hAnsi="Helvetica Neue"/>
          <w:color w:val="000000"/>
        </w:rPr>
        <w:t xml:space="preserve">institution. Public, religious, private, tribal, and for-profit institutions can have very different governance and ownership structures. </w:t>
      </w:r>
      <w:r w:rsidR="00C34666" w:rsidRPr="001D7E93">
        <w:rPr>
          <w:rStyle w:val="s2"/>
          <w:rFonts w:ascii="Helvetica Neue" w:hAnsi="Helvetica Neue"/>
          <w:color w:val="000000"/>
        </w:rPr>
        <w:t xml:space="preserve">In all cases, boards’ value rests upon their exercise of independent judgment. </w:t>
      </w:r>
      <w:r w:rsidR="00BE35FF" w:rsidRPr="001D7E93">
        <w:rPr>
          <w:rStyle w:val="s2"/>
          <w:rFonts w:ascii="Helvetica Neue" w:hAnsi="Helvetica Neue"/>
          <w:color w:val="000000"/>
        </w:rPr>
        <w:t>I</w:t>
      </w:r>
      <w:r w:rsidR="00620ED7" w:rsidRPr="001D7E93">
        <w:rPr>
          <w:rStyle w:val="s2"/>
          <w:rFonts w:ascii="Helvetica Neue" w:hAnsi="Helvetica Neue"/>
          <w:color w:val="000000"/>
        </w:rPr>
        <w:t xml:space="preserve">nstitutional accrediting agencies and </w:t>
      </w:r>
      <w:r w:rsidR="00BE35FF" w:rsidRPr="001D7E93">
        <w:rPr>
          <w:rStyle w:val="s2"/>
          <w:rFonts w:ascii="Helvetica Neue" w:hAnsi="Helvetica Neue"/>
          <w:color w:val="000000"/>
        </w:rPr>
        <w:t>governance associations appearing before the subcommittee address these issues in various ways. T</w:t>
      </w:r>
      <w:r w:rsidR="0077101C" w:rsidRPr="001D7E93">
        <w:rPr>
          <w:rStyle w:val="s2"/>
          <w:rFonts w:ascii="Helvetica Neue" w:hAnsi="Helvetica Neue"/>
          <w:color w:val="000000"/>
        </w:rPr>
        <w:t>here were disagreeing views</w:t>
      </w:r>
      <w:r w:rsidR="00BE35FF" w:rsidRPr="001D7E93">
        <w:rPr>
          <w:rStyle w:val="s2"/>
          <w:rFonts w:ascii="Helvetica Neue" w:hAnsi="Helvetica Neue"/>
          <w:color w:val="000000"/>
        </w:rPr>
        <w:t xml:space="preserve"> as to whether there was </w:t>
      </w:r>
      <w:r w:rsidR="0077101C" w:rsidRPr="001D7E93">
        <w:rPr>
          <w:rStyle w:val="s2"/>
          <w:rFonts w:ascii="Helvetica Neue" w:hAnsi="Helvetica Neue"/>
          <w:color w:val="000000"/>
        </w:rPr>
        <w:t xml:space="preserve">clear evidence presented to the </w:t>
      </w:r>
      <w:r w:rsidR="00BE35FF" w:rsidRPr="001D7E93">
        <w:rPr>
          <w:rStyle w:val="s2"/>
          <w:rFonts w:ascii="Helvetica Neue" w:hAnsi="Helvetica Neue"/>
          <w:color w:val="000000"/>
        </w:rPr>
        <w:t>sub</w:t>
      </w:r>
      <w:r w:rsidR="0077101C" w:rsidRPr="001D7E93">
        <w:rPr>
          <w:rStyle w:val="s2"/>
          <w:rFonts w:ascii="Helvetica Neue" w:hAnsi="Helvetica Neue"/>
          <w:color w:val="000000"/>
        </w:rPr>
        <w:t>committee that demonstrated that accreditors had overstepped the application of their standards regarding political interference in such areas, though there were several cases where this was the topic of interactions with governing boards.</w:t>
      </w:r>
    </w:p>
    <w:p w14:paraId="272A19D6" w14:textId="77777777" w:rsidR="00620ED7" w:rsidRPr="001D7E93" w:rsidRDefault="00620ED7" w:rsidP="00AC2E3E">
      <w:pPr>
        <w:pStyle w:val="p3"/>
        <w:spacing w:before="0" w:beforeAutospacing="0" w:after="0" w:afterAutospacing="0"/>
        <w:rPr>
          <w:rStyle w:val="s2"/>
          <w:rFonts w:ascii="Helvetica Neue" w:hAnsi="Helvetica Neue"/>
          <w:color w:val="000000"/>
        </w:rPr>
      </w:pPr>
    </w:p>
    <w:p w14:paraId="4C8ACCEC" w14:textId="29F2BB0A" w:rsidR="00AC2E3E" w:rsidRPr="001D7E93" w:rsidRDefault="0077101C" w:rsidP="00AC2E3E">
      <w:pPr>
        <w:pStyle w:val="p3"/>
        <w:spacing w:before="0" w:beforeAutospacing="0" w:after="0" w:afterAutospacing="0"/>
        <w:rPr>
          <w:rFonts w:ascii="Helvetica Neue" w:hAnsi="Helvetica Neue"/>
          <w:color w:val="000000"/>
        </w:rPr>
      </w:pPr>
      <w:r w:rsidRPr="001D7E93">
        <w:rPr>
          <w:rStyle w:val="s2"/>
          <w:rFonts w:ascii="Helvetica Neue" w:hAnsi="Helvetica Neue"/>
          <w:color w:val="000000"/>
        </w:rPr>
        <w:t xml:space="preserve">The </w:t>
      </w:r>
      <w:r w:rsidR="00BE35FF" w:rsidRPr="001D7E93">
        <w:rPr>
          <w:rStyle w:val="s2"/>
          <w:rFonts w:ascii="Helvetica Neue" w:hAnsi="Helvetica Neue"/>
          <w:color w:val="000000"/>
        </w:rPr>
        <w:t>sub</w:t>
      </w:r>
      <w:r w:rsidRPr="001D7E93">
        <w:rPr>
          <w:rStyle w:val="s2"/>
          <w:rFonts w:ascii="Helvetica Neue" w:hAnsi="Helvetica Neue"/>
          <w:color w:val="000000"/>
        </w:rPr>
        <w:t xml:space="preserve">committee recognized that there are other areas where board governance and external influence may result in interactions with accrediting agencies. </w:t>
      </w:r>
      <w:r w:rsidR="00AC2E3E" w:rsidRPr="001D7E93">
        <w:rPr>
          <w:rStyle w:val="s2"/>
          <w:rFonts w:ascii="Helvetica Neue" w:hAnsi="Helvetica Neue"/>
          <w:color w:val="000000"/>
        </w:rPr>
        <w:t xml:space="preserve">The Department </w:t>
      </w:r>
      <w:r w:rsidR="00AC2E3E" w:rsidRPr="001D7E93">
        <w:rPr>
          <w:rStyle w:val="s2"/>
          <w:rFonts w:ascii="Helvetica Neue" w:hAnsi="Helvetica Neue"/>
          <w:color w:val="000000"/>
        </w:rPr>
        <w:lastRenderedPageBreak/>
        <w:t xml:space="preserve">of Education and the Higher Education Act make clear that accreditors may not intrude in matters regarding institutional mission and must tread gingerly. </w:t>
      </w:r>
      <w:r w:rsidR="00D26B5B" w:rsidRPr="001D7E93">
        <w:rPr>
          <w:rStyle w:val="s2"/>
          <w:rFonts w:ascii="Helvetica Neue" w:hAnsi="Helvetica Neue"/>
          <w:color w:val="000000"/>
        </w:rPr>
        <w:t>This often arises in cases where institutions have a religious mission and board members are appointed by a religious denomination.</w:t>
      </w:r>
    </w:p>
    <w:p w14:paraId="03E452AE" w14:textId="77777777" w:rsidR="00AC2E3E" w:rsidRPr="001D7E93" w:rsidRDefault="00AC2E3E" w:rsidP="00AC2E3E">
      <w:pPr>
        <w:pStyle w:val="p2"/>
        <w:spacing w:before="0" w:beforeAutospacing="0" w:after="0" w:afterAutospacing="0"/>
        <w:rPr>
          <w:rFonts w:ascii="Helvetica Neue" w:hAnsi="Helvetica Neue"/>
          <w:color w:val="000000"/>
        </w:rPr>
      </w:pPr>
    </w:p>
    <w:p w14:paraId="6982F309" w14:textId="42927923" w:rsidR="00AC2E3E" w:rsidRPr="001D7E93" w:rsidRDefault="00D26B5B" w:rsidP="00AC2E3E">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t>In the case of public institutions, t</w:t>
      </w:r>
      <w:r w:rsidR="00AC2E3E" w:rsidRPr="001D7E93">
        <w:rPr>
          <w:rStyle w:val="s2"/>
          <w:rFonts w:ascii="Helvetica Neue" w:hAnsi="Helvetica Neue"/>
          <w:color w:val="000000"/>
        </w:rPr>
        <w:t>he subcommittee acknowledges that legislatures set the budgets for many institutions</w:t>
      </w:r>
      <w:r w:rsidRPr="001D7E93">
        <w:rPr>
          <w:rStyle w:val="s2"/>
          <w:rFonts w:ascii="Helvetica Neue" w:hAnsi="Helvetica Neue"/>
          <w:color w:val="000000"/>
        </w:rPr>
        <w:t xml:space="preserve"> and systems</w:t>
      </w:r>
      <w:r w:rsidR="00AC2E3E" w:rsidRPr="001D7E93">
        <w:rPr>
          <w:rStyle w:val="s2"/>
          <w:rFonts w:ascii="Helvetica Neue" w:hAnsi="Helvetica Neue"/>
          <w:color w:val="000000"/>
        </w:rPr>
        <w:t xml:space="preserve">, not the boards. </w:t>
      </w:r>
      <w:r w:rsidRPr="001D7E93">
        <w:rPr>
          <w:rStyle w:val="s2"/>
          <w:rFonts w:ascii="Helvetica Neue" w:hAnsi="Helvetica Neue"/>
          <w:color w:val="000000"/>
        </w:rPr>
        <w:t>In such cases, boards are engaged most often in the distribution of budget allocations with varying degrees of specificity set by the legislature. In</w:t>
      </w:r>
      <w:r w:rsidR="00AC2E3E" w:rsidRPr="001D7E93">
        <w:rPr>
          <w:rStyle w:val="s2"/>
          <w:rFonts w:ascii="Helvetica Neue" w:hAnsi="Helvetica Neue"/>
          <w:color w:val="000000"/>
        </w:rPr>
        <w:t xml:space="preserve"> an era of declining state funding and declining enrollments, the subcommittee believes that boards and elected leaders must inevitably engage in hard discussions about cuts, closures, and consolidation. </w:t>
      </w:r>
      <w:r w:rsidR="00620ED7" w:rsidRPr="001D7E93">
        <w:rPr>
          <w:rStyle w:val="s2"/>
          <w:rFonts w:ascii="Helvetica Neue" w:hAnsi="Helvetica Neue"/>
          <w:color w:val="000000"/>
        </w:rPr>
        <w:t xml:space="preserve">Such issues arose in one of the cases discussed by the </w:t>
      </w:r>
      <w:r w:rsidR="00391059" w:rsidRPr="001D7E93">
        <w:rPr>
          <w:rStyle w:val="s2"/>
          <w:rFonts w:ascii="Helvetica Neue" w:hAnsi="Helvetica Neue"/>
          <w:color w:val="000000"/>
        </w:rPr>
        <w:t>sub</w:t>
      </w:r>
      <w:r w:rsidR="00620ED7" w:rsidRPr="001D7E93">
        <w:rPr>
          <w:rStyle w:val="s2"/>
          <w:rFonts w:ascii="Helvetica Neue" w:hAnsi="Helvetica Neue"/>
          <w:color w:val="000000"/>
        </w:rPr>
        <w:t xml:space="preserve">committee with one of the regional </w:t>
      </w:r>
      <w:r w:rsidR="0077101C" w:rsidRPr="001D7E93">
        <w:rPr>
          <w:rStyle w:val="s2"/>
          <w:rFonts w:ascii="Helvetica Neue" w:hAnsi="Helvetica Neue"/>
          <w:color w:val="000000"/>
        </w:rPr>
        <w:t>association</w:t>
      </w:r>
      <w:r w:rsidR="00620ED7" w:rsidRPr="001D7E93">
        <w:rPr>
          <w:rStyle w:val="s2"/>
          <w:rFonts w:ascii="Helvetica Neue" w:hAnsi="Helvetica Neue"/>
          <w:color w:val="000000"/>
        </w:rPr>
        <w:t xml:space="preserve"> presidents</w:t>
      </w:r>
      <w:r w:rsidR="00F40E90" w:rsidRPr="001D7E93">
        <w:rPr>
          <w:rStyle w:val="s2"/>
          <w:rFonts w:ascii="Helvetica Neue" w:hAnsi="Helvetica Neue"/>
          <w:color w:val="000000"/>
        </w:rPr>
        <w:t>.</w:t>
      </w:r>
      <w:r w:rsidR="00620ED7" w:rsidRPr="001D7E93">
        <w:rPr>
          <w:rStyle w:val="s2"/>
          <w:rFonts w:ascii="Helvetica Neue" w:hAnsi="Helvetica Neue"/>
          <w:color w:val="000000"/>
        </w:rPr>
        <w:t xml:space="preserve"> </w:t>
      </w:r>
      <w:r w:rsidR="0077101C" w:rsidRPr="001D7E93">
        <w:rPr>
          <w:rStyle w:val="s2"/>
          <w:rFonts w:ascii="Helvetica Neue" w:hAnsi="Helvetica Neue"/>
          <w:color w:val="000000"/>
        </w:rPr>
        <w:t xml:space="preserve">In such cases, the </w:t>
      </w:r>
      <w:r w:rsidR="00391059" w:rsidRPr="001D7E93">
        <w:rPr>
          <w:rStyle w:val="s2"/>
          <w:rFonts w:ascii="Helvetica Neue" w:hAnsi="Helvetica Neue"/>
          <w:color w:val="000000"/>
        </w:rPr>
        <w:t>sub</w:t>
      </w:r>
      <w:r w:rsidR="0077101C" w:rsidRPr="001D7E93">
        <w:rPr>
          <w:rStyle w:val="s2"/>
          <w:rFonts w:ascii="Helvetica Neue" w:hAnsi="Helvetica Neue"/>
          <w:color w:val="000000"/>
        </w:rPr>
        <w:t>committee agreed the a</w:t>
      </w:r>
      <w:r w:rsidR="00AC2E3E" w:rsidRPr="001D7E93">
        <w:rPr>
          <w:rStyle w:val="s2"/>
          <w:rFonts w:ascii="Helvetica Neue" w:hAnsi="Helvetica Neue"/>
          <w:color w:val="000000"/>
        </w:rPr>
        <w:t>ccreditors should not be a barrier to inevitable change necessitated by shifting state priorities that i</w:t>
      </w:r>
      <w:r w:rsidR="00CF2A56" w:rsidRPr="001D7E93">
        <w:rPr>
          <w:rStyle w:val="s2"/>
          <w:rFonts w:ascii="Helvetica Neue" w:hAnsi="Helvetica Neue"/>
          <w:color w:val="000000"/>
        </w:rPr>
        <w:t xml:space="preserve">mpact funding and other issues, even as they monitor the impact of those hard decisions on compliance with their standards. </w:t>
      </w:r>
    </w:p>
    <w:p w14:paraId="5FB29648" w14:textId="501E4B2A" w:rsidR="00AC2E3E" w:rsidRPr="001D7E93" w:rsidRDefault="00AC2E3E" w:rsidP="00AC2E3E">
      <w:pPr>
        <w:pStyle w:val="p2"/>
        <w:spacing w:before="0" w:beforeAutospacing="0" w:after="0" w:afterAutospacing="0"/>
        <w:rPr>
          <w:rFonts w:ascii="Helvetica Neue" w:hAnsi="Helvetica Neue"/>
          <w:color w:val="000000"/>
        </w:rPr>
      </w:pPr>
    </w:p>
    <w:p w14:paraId="6AC3D5B0" w14:textId="77777777" w:rsidR="00082FE3" w:rsidRPr="001D7E93" w:rsidRDefault="00AC2E3E" w:rsidP="00AC2E3E">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t xml:space="preserve">Lastly, the subcommittee discussed at length the provisions of the Higher Education Act and the role of accreditors as gatekeepers of Title IV funding. </w:t>
      </w:r>
    </w:p>
    <w:p w14:paraId="21DD2830" w14:textId="77777777" w:rsidR="00082FE3" w:rsidRPr="001D7E93" w:rsidRDefault="00082FE3" w:rsidP="00AC2E3E">
      <w:pPr>
        <w:pStyle w:val="p3"/>
        <w:spacing w:before="0" w:beforeAutospacing="0" w:after="0" w:afterAutospacing="0"/>
        <w:rPr>
          <w:rStyle w:val="s2"/>
          <w:rFonts w:ascii="Helvetica Neue" w:hAnsi="Helvetica Neue"/>
          <w:color w:val="000000"/>
        </w:rPr>
      </w:pPr>
    </w:p>
    <w:p w14:paraId="71394A62" w14:textId="20708A9A" w:rsidR="00AC2E3E" w:rsidRPr="001D7E93" w:rsidRDefault="00AC2E3E" w:rsidP="00AC2E3E">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t xml:space="preserve">Acknowledging that the HEA allows accreditors to establish additional standards (including governance) beyond the statute and regulations, the subcommittee noted that the HEA </w:t>
      </w:r>
      <w:r w:rsidR="000B7C79" w:rsidRPr="001D7E93">
        <w:rPr>
          <w:rStyle w:val="s2"/>
          <w:rFonts w:ascii="Helvetica Neue" w:hAnsi="Helvetica Neue"/>
          <w:color w:val="000000"/>
        </w:rPr>
        <w:t xml:space="preserve">(and accompanying regulations) </w:t>
      </w:r>
      <w:r w:rsidRPr="001D7E93">
        <w:rPr>
          <w:rStyle w:val="s2"/>
          <w:rFonts w:ascii="Helvetica Neue" w:hAnsi="Helvetica Neue"/>
          <w:color w:val="000000"/>
        </w:rPr>
        <w:t>specifically set out only 10 criteria for determination of Title IV funding</w:t>
      </w:r>
      <w:r w:rsidR="00157BFE">
        <w:rPr>
          <w:rStyle w:val="s2"/>
          <w:rFonts w:ascii="Helvetica Neue" w:hAnsi="Helvetica Neue"/>
          <w:color w:val="000000"/>
        </w:rPr>
        <w:t>.</w:t>
      </w:r>
      <w:r w:rsidRPr="001D7E93">
        <w:rPr>
          <w:rStyle w:val="s2"/>
          <w:rFonts w:ascii="Helvetica Neue" w:hAnsi="Helvetica Neue"/>
          <w:color w:val="000000"/>
        </w:rPr>
        <w:t xml:space="preserve"> The Department has, in turn, ruled that it (and by extension NACIQI) has no authority to review or act on accreditor application of standards specifically outside the Act. </w:t>
      </w:r>
    </w:p>
    <w:p w14:paraId="787DD5D2" w14:textId="77777777" w:rsidR="00AC2E3E" w:rsidRPr="001D7E93" w:rsidRDefault="00AC2E3E" w:rsidP="00AC2E3E">
      <w:pPr>
        <w:pStyle w:val="p3"/>
        <w:spacing w:before="0" w:beforeAutospacing="0" w:after="0" w:afterAutospacing="0"/>
        <w:rPr>
          <w:rStyle w:val="s2"/>
          <w:rFonts w:ascii="Helvetica Neue" w:hAnsi="Helvetica Neue"/>
          <w:color w:val="000000"/>
        </w:rPr>
      </w:pPr>
    </w:p>
    <w:p w14:paraId="07B07ADE" w14:textId="1521B359" w:rsidR="00C62735" w:rsidRDefault="000B7C79" w:rsidP="000B7C79">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t xml:space="preserve">The </w:t>
      </w:r>
      <w:r w:rsidR="00EC37B2" w:rsidRPr="001D7E93">
        <w:rPr>
          <w:rStyle w:val="s2"/>
          <w:rFonts w:ascii="Helvetica Neue" w:hAnsi="Helvetica Neue"/>
          <w:color w:val="000000"/>
        </w:rPr>
        <w:t>sub</w:t>
      </w:r>
      <w:r w:rsidRPr="001D7E93">
        <w:rPr>
          <w:rStyle w:val="s2"/>
          <w:rFonts w:ascii="Helvetica Neue" w:hAnsi="Helvetica Neue"/>
          <w:color w:val="000000"/>
        </w:rPr>
        <w:t>committee</w:t>
      </w:r>
      <w:r w:rsidR="002B0BA0">
        <w:rPr>
          <w:rStyle w:val="s2"/>
          <w:rFonts w:ascii="Helvetica Neue" w:hAnsi="Helvetica Neue"/>
          <w:color w:val="000000"/>
        </w:rPr>
        <w:t xml:space="preserve"> discussed</w:t>
      </w:r>
      <w:r w:rsidRPr="001D7E93">
        <w:rPr>
          <w:rStyle w:val="s2"/>
          <w:rFonts w:ascii="Helvetica Neue" w:hAnsi="Helvetica Neue"/>
          <w:color w:val="000000"/>
        </w:rPr>
        <w:t xml:space="preserve"> how best to resolve the tension between what is allowed and what is required, as just described.</w:t>
      </w:r>
      <w:r w:rsidR="00D851F2" w:rsidRPr="00D851F2">
        <w:rPr>
          <w:rStyle w:val="s2"/>
          <w:rFonts w:ascii="Helvetica Neue" w:hAnsi="Helvetica Neue"/>
          <w:color w:val="000000"/>
        </w:rPr>
        <w:t xml:space="preserve"> </w:t>
      </w:r>
      <w:r w:rsidR="00D851F2" w:rsidRPr="001D7E93">
        <w:rPr>
          <w:rStyle w:val="s2"/>
          <w:rFonts w:ascii="Helvetica Neue" w:hAnsi="Helvetica Neue"/>
          <w:color w:val="000000"/>
        </w:rPr>
        <w:t xml:space="preserve">A majority of the subcommittee believes that the accreditor sanctions on governance come up rarely, that there was no evidence presented in which accreditation was actually revoked based on the governance standard (or that standard alone), and that accreditors are allowed to include criteria for approval beyond the </w:t>
      </w:r>
      <w:r w:rsidR="00D851F2">
        <w:rPr>
          <w:rStyle w:val="s2"/>
          <w:rFonts w:ascii="Helvetica Neue" w:hAnsi="Helvetica Neue"/>
          <w:color w:val="000000"/>
        </w:rPr>
        <w:t>10</w:t>
      </w:r>
      <w:r w:rsidR="00D851F2" w:rsidRPr="001D7E93">
        <w:rPr>
          <w:rStyle w:val="s2"/>
          <w:rFonts w:ascii="Helvetica Neue" w:hAnsi="Helvetica Neue"/>
          <w:color w:val="000000"/>
        </w:rPr>
        <w:t xml:space="preserve"> mandated by </w:t>
      </w:r>
      <w:r w:rsidR="003B14A7">
        <w:rPr>
          <w:rStyle w:val="s2"/>
          <w:rFonts w:ascii="Helvetica Neue" w:hAnsi="Helvetica Neue"/>
          <w:color w:val="000000"/>
        </w:rPr>
        <w:t>the Act</w:t>
      </w:r>
      <w:r w:rsidR="00D851F2" w:rsidRPr="001D7E93">
        <w:rPr>
          <w:rStyle w:val="s2"/>
          <w:rFonts w:ascii="Helvetica Neue" w:hAnsi="Helvetica Neue"/>
          <w:color w:val="000000"/>
        </w:rPr>
        <w:t>. These subcommittee members argue that there is no evidence that the threat of revocation of Title IV eligibility has constrained governing boards or institution ownership entities from acting as they wish</w:t>
      </w:r>
      <w:r w:rsidR="003F3708">
        <w:rPr>
          <w:rStyle w:val="s2"/>
          <w:rFonts w:ascii="Helvetica Neue" w:hAnsi="Helvetica Neue"/>
          <w:color w:val="000000"/>
        </w:rPr>
        <w:t xml:space="preserve">. It </w:t>
      </w:r>
      <w:r w:rsidR="00CF58B2">
        <w:rPr>
          <w:rStyle w:val="s2"/>
          <w:rFonts w:ascii="Helvetica Neue" w:hAnsi="Helvetica Neue"/>
          <w:color w:val="000000"/>
        </w:rPr>
        <w:t>is</w:t>
      </w:r>
      <w:r w:rsidR="003F3708">
        <w:rPr>
          <w:rStyle w:val="s2"/>
          <w:rFonts w:ascii="Helvetica Neue" w:hAnsi="Helvetica Neue"/>
          <w:color w:val="000000"/>
        </w:rPr>
        <w:t xml:space="preserve"> the majority sens</w:t>
      </w:r>
      <w:r w:rsidR="00CF58B2">
        <w:rPr>
          <w:rStyle w:val="s2"/>
          <w:rFonts w:ascii="Helvetica Neue" w:hAnsi="Helvetica Neue"/>
          <w:color w:val="000000"/>
        </w:rPr>
        <w:t xml:space="preserve">e of the subcommittee </w:t>
      </w:r>
      <w:r w:rsidR="0077101C" w:rsidRPr="001D7E93">
        <w:rPr>
          <w:rStyle w:val="s2"/>
          <w:rFonts w:ascii="Helvetica Neue" w:hAnsi="Helvetica Neue"/>
          <w:color w:val="000000"/>
        </w:rPr>
        <w:t>that the present legislative arrangement</w:t>
      </w:r>
      <w:r w:rsidR="00A224E6">
        <w:rPr>
          <w:rStyle w:val="s2"/>
          <w:rFonts w:ascii="Helvetica Neue" w:hAnsi="Helvetica Neue"/>
          <w:color w:val="000000"/>
        </w:rPr>
        <w:t xml:space="preserve"> is</w:t>
      </w:r>
      <w:r w:rsidR="00612B7F">
        <w:rPr>
          <w:rStyle w:val="s2"/>
          <w:rFonts w:ascii="Helvetica Neue" w:hAnsi="Helvetica Neue"/>
          <w:color w:val="000000"/>
        </w:rPr>
        <w:t xml:space="preserve"> </w:t>
      </w:r>
      <w:r w:rsidR="0077101C" w:rsidRPr="001D7E93">
        <w:rPr>
          <w:rStyle w:val="s2"/>
          <w:rFonts w:ascii="Helvetica Neue" w:hAnsi="Helvetica Neue"/>
          <w:color w:val="000000"/>
        </w:rPr>
        <w:t>necessary and important to preserve board independence</w:t>
      </w:r>
      <w:r w:rsidR="005D7E08">
        <w:rPr>
          <w:rStyle w:val="s2"/>
          <w:rFonts w:ascii="Helvetica Neue" w:hAnsi="Helvetica Neue"/>
          <w:color w:val="000000"/>
        </w:rPr>
        <w:t>.</w:t>
      </w:r>
    </w:p>
    <w:p w14:paraId="25B550A1" w14:textId="1AE90F03" w:rsidR="00C62735" w:rsidRDefault="00C62735" w:rsidP="000B7C79">
      <w:pPr>
        <w:pStyle w:val="p3"/>
        <w:spacing w:before="0" w:beforeAutospacing="0" w:after="0" w:afterAutospacing="0"/>
        <w:rPr>
          <w:rStyle w:val="s2"/>
          <w:rFonts w:ascii="Helvetica Neue" w:hAnsi="Helvetica Neue"/>
          <w:color w:val="000000"/>
        </w:rPr>
      </w:pPr>
    </w:p>
    <w:p w14:paraId="4723E440" w14:textId="57191F0C" w:rsidR="00C62735" w:rsidRPr="001D7E93" w:rsidRDefault="00C62735" w:rsidP="00D92728">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t xml:space="preserve">However, a minority of subcommittee members find it problematic that an agency could revoke or deny accreditation, and thus terminate access to Title IV, for reasons that the Department (and NACIQI) has no authority to review or oversee. These subcommittee members agree with testimony from a non-agency witness that this may amount to unconstitutional delegation of governmental authority to private bodies. </w:t>
      </w:r>
    </w:p>
    <w:p w14:paraId="46F83E32" w14:textId="77777777" w:rsidR="00C62735" w:rsidRPr="001D7E93" w:rsidRDefault="00C62735" w:rsidP="00D92728">
      <w:pPr>
        <w:pStyle w:val="p3"/>
        <w:spacing w:before="0" w:beforeAutospacing="0" w:after="0" w:afterAutospacing="0"/>
        <w:rPr>
          <w:rStyle w:val="s2"/>
          <w:rFonts w:ascii="Helvetica Neue" w:hAnsi="Helvetica Neue"/>
          <w:color w:val="000000"/>
        </w:rPr>
      </w:pPr>
    </w:p>
    <w:p w14:paraId="3C76E0ED" w14:textId="71572E4F" w:rsidR="00C62735" w:rsidRPr="001D7E93" w:rsidRDefault="00C62735" w:rsidP="00D92728">
      <w:pPr>
        <w:pStyle w:val="p3"/>
        <w:spacing w:before="0" w:beforeAutospacing="0" w:after="0" w:afterAutospacing="0"/>
        <w:rPr>
          <w:rStyle w:val="s2"/>
          <w:rFonts w:ascii="Helvetica Neue" w:hAnsi="Helvetica Neue"/>
          <w:color w:val="000000"/>
        </w:rPr>
      </w:pPr>
      <w:r w:rsidRPr="001D7E93">
        <w:rPr>
          <w:rStyle w:val="s2"/>
          <w:rFonts w:ascii="Helvetica Neue" w:hAnsi="Helvetica Neue"/>
          <w:color w:val="000000"/>
        </w:rPr>
        <w:lastRenderedPageBreak/>
        <w:t>Th</w:t>
      </w:r>
      <w:r w:rsidR="00850B02">
        <w:rPr>
          <w:rStyle w:val="s2"/>
          <w:rFonts w:ascii="Helvetica Neue" w:hAnsi="Helvetica Neue"/>
          <w:color w:val="000000"/>
        </w:rPr>
        <w:t>ese</w:t>
      </w:r>
      <w:r w:rsidR="00B77284">
        <w:rPr>
          <w:rStyle w:val="s2"/>
          <w:rFonts w:ascii="Helvetica Neue" w:hAnsi="Helvetica Neue"/>
          <w:color w:val="000000"/>
        </w:rPr>
        <w:t xml:space="preserve"> </w:t>
      </w:r>
      <w:r w:rsidRPr="001D7E93">
        <w:rPr>
          <w:rStyle w:val="s2"/>
          <w:rFonts w:ascii="Helvetica Neue" w:hAnsi="Helvetica Neue"/>
          <w:color w:val="000000"/>
        </w:rPr>
        <w:t xml:space="preserve">subcommittee members fear that the mere threat of revocation of Title IV eligibility might create a chilling effect on governing boards attempting to address challenging issues of cost and quality. </w:t>
      </w:r>
    </w:p>
    <w:p w14:paraId="7C829232" w14:textId="37C506D3" w:rsidR="000B7C79" w:rsidRPr="001D7E93" w:rsidRDefault="000B7C79" w:rsidP="000B7C79">
      <w:pPr>
        <w:pStyle w:val="p3"/>
        <w:spacing w:before="0" w:beforeAutospacing="0" w:after="0" w:afterAutospacing="0"/>
        <w:rPr>
          <w:rStyle w:val="s2"/>
          <w:rFonts w:ascii="Helvetica Neue" w:hAnsi="Helvetica Neue"/>
          <w:color w:val="000000"/>
        </w:rPr>
      </w:pPr>
    </w:p>
    <w:p w14:paraId="353665E5" w14:textId="1CA3B0D5" w:rsidR="000B7C79" w:rsidRPr="001D7E93" w:rsidRDefault="00831145" w:rsidP="000B7C79">
      <w:pPr>
        <w:pStyle w:val="p3"/>
        <w:spacing w:before="0" w:beforeAutospacing="0" w:after="0" w:afterAutospacing="0"/>
        <w:rPr>
          <w:rFonts w:ascii="Helvetica Neue" w:hAnsi="Helvetica Neue"/>
          <w:color w:val="000000"/>
        </w:rPr>
      </w:pPr>
      <w:r w:rsidRPr="001D7E93">
        <w:rPr>
          <w:rFonts w:ascii="Helvetica Neue" w:hAnsi="Helvetica Neue"/>
          <w:color w:val="000000"/>
        </w:rPr>
        <w:t>There was general (but not unanimous) agreement that g</w:t>
      </w:r>
      <w:r w:rsidR="000B7C79" w:rsidRPr="001D7E93">
        <w:rPr>
          <w:rFonts w:ascii="Helvetica Neue" w:hAnsi="Helvetica Neue"/>
          <w:color w:val="000000"/>
        </w:rPr>
        <w:t>overnance is often a gray zone where boards are not as fully independent as they may seem on paper (as in those aforementioned examples) and that accreditation agencies need to recognize that reality and wade into those waters in a measured and careful way.</w:t>
      </w:r>
      <w:r w:rsidR="00C34666" w:rsidRPr="001D7E93">
        <w:rPr>
          <w:rFonts w:ascii="Helvetica Neue" w:hAnsi="Helvetica Neue"/>
          <w:color w:val="000000"/>
        </w:rPr>
        <w:t xml:space="preserve"> </w:t>
      </w:r>
      <w:r w:rsidR="00D26B5B" w:rsidRPr="001D7E93">
        <w:rPr>
          <w:rFonts w:ascii="Helvetica Neue" w:hAnsi="Helvetica Neue"/>
          <w:color w:val="000000"/>
        </w:rPr>
        <w:t xml:space="preserve">A minority of </w:t>
      </w:r>
      <w:r w:rsidR="00841690" w:rsidRPr="001D7E93">
        <w:rPr>
          <w:rFonts w:ascii="Helvetica Neue" w:hAnsi="Helvetica Neue"/>
          <w:color w:val="000000"/>
        </w:rPr>
        <w:t>sub</w:t>
      </w:r>
      <w:r w:rsidR="00D26B5B" w:rsidRPr="001D7E93">
        <w:rPr>
          <w:rFonts w:ascii="Helvetica Neue" w:hAnsi="Helvetica Neue"/>
          <w:color w:val="000000"/>
        </w:rPr>
        <w:t xml:space="preserve">committee members </w:t>
      </w:r>
      <w:r w:rsidR="00C34666" w:rsidRPr="001D7E93">
        <w:rPr>
          <w:rFonts w:ascii="Helvetica Neue" w:hAnsi="Helvetica Neue"/>
          <w:color w:val="000000"/>
        </w:rPr>
        <w:t>believe that governance</w:t>
      </w:r>
      <w:r w:rsidR="001F35AD" w:rsidRPr="001D7E93">
        <w:rPr>
          <w:rFonts w:ascii="Helvetica Neue" w:hAnsi="Helvetica Neue"/>
          <w:color w:val="000000"/>
        </w:rPr>
        <w:t xml:space="preserve"> for public institutions</w:t>
      </w:r>
      <w:r w:rsidR="00C34666" w:rsidRPr="001D7E93">
        <w:rPr>
          <w:rFonts w:ascii="Helvetica Neue" w:hAnsi="Helvetica Neue"/>
          <w:color w:val="000000"/>
        </w:rPr>
        <w:t xml:space="preserve"> is established by state law and that accreditor intrusion in these matter is inappropriate and outside the proper purview of accreditors </w:t>
      </w:r>
      <w:r w:rsidR="00D26B5B" w:rsidRPr="001D7E93">
        <w:rPr>
          <w:rFonts w:ascii="Helvetica Neue" w:hAnsi="Helvetica Neue"/>
          <w:color w:val="000000"/>
        </w:rPr>
        <w:t>in their role as Title IV gatekeepers.</w:t>
      </w:r>
      <w:r w:rsidR="00C34666" w:rsidRPr="001D7E93">
        <w:rPr>
          <w:rFonts w:ascii="Helvetica Neue" w:hAnsi="Helvetica Neue"/>
          <w:color w:val="000000"/>
        </w:rPr>
        <w:t xml:space="preserve"> </w:t>
      </w:r>
    </w:p>
    <w:p w14:paraId="126CA2D4" w14:textId="6CAF62E6" w:rsidR="00CF2A56" w:rsidRPr="001D7E93" w:rsidRDefault="00CF2A56" w:rsidP="00754E16">
      <w:pPr>
        <w:pStyle w:val="p3"/>
        <w:spacing w:before="0" w:beforeAutospacing="0" w:after="0" w:afterAutospacing="0"/>
        <w:rPr>
          <w:rStyle w:val="s2"/>
          <w:rFonts w:ascii="Helvetica Neue" w:hAnsi="Helvetica Neue"/>
          <w:color w:val="000000"/>
        </w:rPr>
      </w:pPr>
    </w:p>
    <w:p w14:paraId="7EFA9266" w14:textId="65CB44FA" w:rsidR="00AC2E3E" w:rsidRPr="001D7E93" w:rsidRDefault="00AC2E3E" w:rsidP="00754E16">
      <w:pPr>
        <w:pStyle w:val="p3"/>
        <w:spacing w:before="0" w:beforeAutospacing="0" w:after="0" w:afterAutospacing="0"/>
        <w:rPr>
          <w:rFonts w:ascii="Helvetica Neue" w:hAnsi="Helvetica Neue"/>
          <w:color w:val="000000"/>
        </w:rPr>
      </w:pPr>
      <w:r w:rsidRPr="001D7E93">
        <w:rPr>
          <w:rStyle w:val="s2"/>
          <w:rFonts w:ascii="Helvetica Neue" w:hAnsi="Helvetica Neue"/>
          <w:color w:val="000000"/>
        </w:rPr>
        <w:t xml:space="preserve">Much as the previous subcommittee on substantive change, we ask that this report be provided to </w:t>
      </w:r>
      <w:r w:rsidR="00994530" w:rsidRPr="001D7E93">
        <w:rPr>
          <w:rStyle w:val="s2"/>
          <w:rFonts w:ascii="Helvetica Neue" w:hAnsi="Helvetica Neue"/>
          <w:color w:val="000000"/>
        </w:rPr>
        <w:t>the full membership of NACIQI</w:t>
      </w:r>
      <w:r w:rsidR="004D3E3C" w:rsidRPr="001D7E93">
        <w:rPr>
          <w:rStyle w:val="s2"/>
          <w:rFonts w:ascii="Helvetica Neue" w:hAnsi="Helvetica Neue"/>
          <w:color w:val="000000"/>
        </w:rPr>
        <w:t xml:space="preserve"> for discussion. While a majority of the </w:t>
      </w:r>
      <w:r w:rsidR="00831145" w:rsidRPr="001D7E93">
        <w:rPr>
          <w:rStyle w:val="s2"/>
          <w:rFonts w:ascii="Helvetica Neue" w:hAnsi="Helvetica Neue"/>
          <w:color w:val="000000"/>
        </w:rPr>
        <w:t>sub</w:t>
      </w:r>
      <w:r w:rsidR="004D3E3C" w:rsidRPr="001D7E93">
        <w:rPr>
          <w:rStyle w:val="s2"/>
          <w:rFonts w:ascii="Helvetica Neue" w:hAnsi="Helvetica Neue"/>
          <w:color w:val="000000"/>
        </w:rPr>
        <w:t xml:space="preserve">committee believe no further action is warranted, </w:t>
      </w:r>
      <w:r w:rsidR="00994530" w:rsidRPr="001D7E93">
        <w:rPr>
          <w:rStyle w:val="s2"/>
          <w:rFonts w:ascii="Helvetica Neue" w:hAnsi="Helvetica Neue"/>
          <w:color w:val="000000"/>
        </w:rPr>
        <w:t xml:space="preserve">a minority of the </w:t>
      </w:r>
      <w:r w:rsidR="00831145" w:rsidRPr="001D7E93">
        <w:rPr>
          <w:rStyle w:val="s2"/>
          <w:rFonts w:ascii="Helvetica Neue" w:hAnsi="Helvetica Neue"/>
          <w:color w:val="000000"/>
        </w:rPr>
        <w:t>sub</w:t>
      </w:r>
      <w:r w:rsidR="00994530" w:rsidRPr="001D7E93">
        <w:rPr>
          <w:rStyle w:val="s2"/>
          <w:rFonts w:ascii="Helvetica Neue" w:hAnsi="Helvetica Neue"/>
          <w:color w:val="000000"/>
        </w:rPr>
        <w:t xml:space="preserve">committee believe that this report </w:t>
      </w:r>
      <w:r w:rsidR="00831145" w:rsidRPr="001D7E93">
        <w:rPr>
          <w:rStyle w:val="s2"/>
          <w:rFonts w:ascii="Helvetica Neue" w:hAnsi="Helvetica Neue"/>
          <w:color w:val="000000"/>
        </w:rPr>
        <w:t xml:space="preserve">should </w:t>
      </w:r>
      <w:r w:rsidR="00994530" w:rsidRPr="001D7E93">
        <w:rPr>
          <w:rStyle w:val="s2"/>
          <w:rFonts w:ascii="Helvetica Neue" w:hAnsi="Helvetica Neue"/>
          <w:color w:val="000000"/>
        </w:rPr>
        <w:t xml:space="preserve">be shared </w:t>
      </w:r>
      <w:r w:rsidR="00831145" w:rsidRPr="001D7E93">
        <w:rPr>
          <w:rStyle w:val="s2"/>
          <w:rFonts w:ascii="Helvetica Neue" w:hAnsi="Helvetica Neue"/>
          <w:color w:val="000000"/>
        </w:rPr>
        <w:t xml:space="preserve">with </w:t>
      </w:r>
      <w:r w:rsidRPr="001D7E93">
        <w:rPr>
          <w:rStyle w:val="s2"/>
          <w:rFonts w:ascii="Helvetica Neue" w:hAnsi="Helvetica Neue"/>
          <w:color w:val="000000"/>
        </w:rPr>
        <w:t xml:space="preserve">the relevant members of Congress </w:t>
      </w:r>
      <w:r w:rsidR="00CE1BD7" w:rsidRPr="001D7E93">
        <w:rPr>
          <w:rStyle w:val="s2"/>
          <w:rFonts w:ascii="Helvetica Neue" w:hAnsi="Helvetica Neue"/>
          <w:color w:val="000000"/>
        </w:rPr>
        <w:t xml:space="preserve">and </w:t>
      </w:r>
      <w:r w:rsidR="000A6137" w:rsidRPr="001D7E93">
        <w:rPr>
          <w:rStyle w:val="s2"/>
          <w:rFonts w:ascii="Helvetica Neue" w:hAnsi="Helvetica Neue"/>
          <w:color w:val="000000"/>
        </w:rPr>
        <w:t>Department of Education</w:t>
      </w:r>
      <w:r w:rsidR="00CE1BD7" w:rsidRPr="001D7E93">
        <w:rPr>
          <w:rStyle w:val="s2"/>
          <w:rFonts w:ascii="Helvetica Neue" w:hAnsi="Helvetica Neue"/>
          <w:color w:val="000000"/>
        </w:rPr>
        <w:t xml:space="preserve"> officials</w:t>
      </w:r>
      <w:r w:rsidR="00994530" w:rsidRPr="001D7E93">
        <w:rPr>
          <w:rStyle w:val="s2"/>
          <w:rFonts w:ascii="Helvetica Neue" w:hAnsi="Helvetica Neue"/>
          <w:color w:val="000000"/>
        </w:rPr>
        <w:t>.</w:t>
      </w:r>
    </w:p>
    <w:p w14:paraId="6DCF51AE" w14:textId="77777777" w:rsidR="00912673" w:rsidRPr="001D7E93" w:rsidRDefault="00D65ACE" w:rsidP="00AC2E3E">
      <w:pPr>
        <w:rPr>
          <w:rFonts w:ascii="Helvetica Neue" w:hAnsi="Helvetica Neue"/>
        </w:rPr>
      </w:pPr>
    </w:p>
    <w:p w14:paraId="02BF0FEE" w14:textId="77777777" w:rsidR="00C34666" w:rsidRPr="001D7E93" w:rsidRDefault="00C34666" w:rsidP="00AC2E3E">
      <w:pPr>
        <w:rPr>
          <w:rFonts w:ascii="Helvetica Neue" w:hAnsi="Helvetica Neue"/>
        </w:rPr>
      </w:pPr>
    </w:p>
    <w:p w14:paraId="76D2D894" w14:textId="48BC8788" w:rsidR="00C34666" w:rsidRPr="001D7E93" w:rsidRDefault="00C34666" w:rsidP="00AC2E3E">
      <w:pPr>
        <w:rPr>
          <w:rFonts w:ascii="Helvetica Neue" w:hAnsi="Helvetica Neue"/>
          <w:i/>
          <w:iCs/>
        </w:rPr>
      </w:pPr>
      <w:r w:rsidRPr="001D7E93">
        <w:rPr>
          <w:rFonts w:ascii="Helvetica Neue" w:hAnsi="Helvetica Neue"/>
          <w:i/>
          <w:iCs/>
        </w:rPr>
        <w:t xml:space="preserve">Members of the Subcommittee: Rick O’Donnell, chair; </w:t>
      </w:r>
      <w:r w:rsidR="009A7107" w:rsidRPr="001D7E93">
        <w:rPr>
          <w:rFonts w:ascii="Helvetica Neue" w:hAnsi="Helvetica Neue"/>
          <w:i/>
          <w:iCs/>
        </w:rPr>
        <w:t>Kathleen Alioto</w:t>
      </w:r>
      <w:r w:rsidR="004B7236">
        <w:rPr>
          <w:rFonts w:ascii="Helvetica Neue" w:hAnsi="Helvetica Neue"/>
          <w:i/>
          <w:iCs/>
        </w:rPr>
        <w:t xml:space="preserve">, </w:t>
      </w:r>
      <w:r w:rsidR="009A7107" w:rsidRPr="001D7E93">
        <w:rPr>
          <w:rFonts w:ascii="Helvetica Neue" w:hAnsi="Helvetica Neue"/>
          <w:i/>
          <w:iCs/>
        </w:rPr>
        <w:t>Jill Derby</w:t>
      </w:r>
      <w:r w:rsidRPr="001D7E93">
        <w:rPr>
          <w:rFonts w:ascii="Helvetica Neue" w:hAnsi="Helvetica Neue"/>
          <w:i/>
          <w:iCs/>
        </w:rPr>
        <w:t>,</w:t>
      </w:r>
      <w:r w:rsidR="004B7236">
        <w:rPr>
          <w:rFonts w:ascii="Helvetica Neue" w:hAnsi="Helvetica Neue"/>
          <w:i/>
          <w:iCs/>
        </w:rPr>
        <w:t xml:space="preserve"> </w:t>
      </w:r>
      <w:r w:rsidRPr="001D7E93">
        <w:rPr>
          <w:rFonts w:ascii="Helvetica Neue" w:hAnsi="Helvetica Neue"/>
          <w:i/>
          <w:iCs/>
        </w:rPr>
        <w:t>Paul LeBlanc</w:t>
      </w:r>
      <w:r w:rsidR="00ED306F" w:rsidRPr="001D7E93">
        <w:rPr>
          <w:rFonts w:ascii="Helvetica Neue" w:hAnsi="Helvetica Neue"/>
          <w:i/>
          <w:iCs/>
        </w:rPr>
        <w:t>,</w:t>
      </w:r>
      <w:r w:rsidR="009A7107">
        <w:rPr>
          <w:rFonts w:ascii="Helvetica Neue" w:hAnsi="Helvetica Neue"/>
          <w:i/>
          <w:iCs/>
        </w:rPr>
        <w:t xml:space="preserve"> </w:t>
      </w:r>
      <w:r w:rsidRPr="001D7E93">
        <w:rPr>
          <w:rFonts w:ascii="Helvetica Neue" w:hAnsi="Helvetica Neue"/>
          <w:i/>
          <w:iCs/>
        </w:rPr>
        <w:t>Anne Neal</w:t>
      </w:r>
      <w:r w:rsidR="009A7107">
        <w:rPr>
          <w:rFonts w:ascii="Helvetica Neue" w:hAnsi="Helvetica Neue"/>
          <w:i/>
          <w:iCs/>
        </w:rPr>
        <w:t xml:space="preserve">, and </w:t>
      </w:r>
      <w:r w:rsidR="009A7107" w:rsidRPr="001D7E93">
        <w:rPr>
          <w:rFonts w:ascii="Helvetica Neue" w:hAnsi="Helvetica Neue"/>
          <w:i/>
          <w:iCs/>
        </w:rPr>
        <w:t>Ralph Wolff</w:t>
      </w:r>
      <w:r w:rsidR="009A7107">
        <w:rPr>
          <w:rFonts w:ascii="Helvetica Neue" w:hAnsi="Helvetica Neue"/>
          <w:i/>
          <w:iCs/>
        </w:rPr>
        <w:t>.</w:t>
      </w:r>
    </w:p>
    <w:sectPr w:rsidR="00C34666" w:rsidRPr="001D7E93" w:rsidSect="0064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3E"/>
    <w:rsid w:val="000076E3"/>
    <w:rsid w:val="00082FE3"/>
    <w:rsid w:val="00094D7F"/>
    <w:rsid w:val="000A6137"/>
    <w:rsid w:val="000B7C79"/>
    <w:rsid w:val="00102752"/>
    <w:rsid w:val="00157BFE"/>
    <w:rsid w:val="00164BB8"/>
    <w:rsid w:val="001A6BF4"/>
    <w:rsid w:val="001B0B72"/>
    <w:rsid w:val="001D7E93"/>
    <w:rsid w:val="001F35AD"/>
    <w:rsid w:val="001F3C95"/>
    <w:rsid w:val="001F3DAB"/>
    <w:rsid w:val="00240DEB"/>
    <w:rsid w:val="0025364F"/>
    <w:rsid w:val="002B0BA0"/>
    <w:rsid w:val="002B5093"/>
    <w:rsid w:val="002B5D8D"/>
    <w:rsid w:val="002B78D6"/>
    <w:rsid w:val="002C4DAD"/>
    <w:rsid w:val="002E08B2"/>
    <w:rsid w:val="00332E69"/>
    <w:rsid w:val="00391059"/>
    <w:rsid w:val="003B0660"/>
    <w:rsid w:val="003B14A7"/>
    <w:rsid w:val="003C40DF"/>
    <w:rsid w:val="003F3708"/>
    <w:rsid w:val="003F6FA8"/>
    <w:rsid w:val="00401C42"/>
    <w:rsid w:val="00431E2D"/>
    <w:rsid w:val="00447182"/>
    <w:rsid w:val="0047014A"/>
    <w:rsid w:val="004963E1"/>
    <w:rsid w:val="004A35DA"/>
    <w:rsid w:val="004B187E"/>
    <w:rsid w:val="004B7236"/>
    <w:rsid w:val="004D3E3C"/>
    <w:rsid w:val="004D601B"/>
    <w:rsid w:val="0050461E"/>
    <w:rsid w:val="00506E42"/>
    <w:rsid w:val="00571552"/>
    <w:rsid w:val="005838F4"/>
    <w:rsid w:val="005B564F"/>
    <w:rsid w:val="005D64BC"/>
    <w:rsid w:val="005D7E08"/>
    <w:rsid w:val="005E2FC9"/>
    <w:rsid w:val="005F3DE5"/>
    <w:rsid w:val="00612B7F"/>
    <w:rsid w:val="00620ED7"/>
    <w:rsid w:val="00622BD2"/>
    <w:rsid w:val="00643E5F"/>
    <w:rsid w:val="006B1920"/>
    <w:rsid w:val="00705960"/>
    <w:rsid w:val="00754E16"/>
    <w:rsid w:val="00756124"/>
    <w:rsid w:val="0077101C"/>
    <w:rsid w:val="007C12C9"/>
    <w:rsid w:val="007C4925"/>
    <w:rsid w:val="00811643"/>
    <w:rsid w:val="00831145"/>
    <w:rsid w:val="00840E2A"/>
    <w:rsid w:val="00841690"/>
    <w:rsid w:val="00850B02"/>
    <w:rsid w:val="00866499"/>
    <w:rsid w:val="008B18F3"/>
    <w:rsid w:val="008B469C"/>
    <w:rsid w:val="00974876"/>
    <w:rsid w:val="00994530"/>
    <w:rsid w:val="009A7107"/>
    <w:rsid w:val="009D3171"/>
    <w:rsid w:val="00A224E6"/>
    <w:rsid w:val="00A52874"/>
    <w:rsid w:val="00A81032"/>
    <w:rsid w:val="00AB7707"/>
    <w:rsid w:val="00AC2E3E"/>
    <w:rsid w:val="00AD0634"/>
    <w:rsid w:val="00AE1BD2"/>
    <w:rsid w:val="00AF07B0"/>
    <w:rsid w:val="00B22CE9"/>
    <w:rsid w:val="00B71894"/>
    <w:rsid w:val="00B77284"/>
    <w:rsid w:val="00B9322A"/>
    <w:rsid w:val="00BE35FF"/>
    <w:rsid w:val="00C2409A"/>
    <w:rsid w:val="00C34666"/>
    <w:rsid w:val="00C62735"/>
    <w:rsid w:val="00C74E32"/>
    <w:rsid w:val="00CE1BD7"/>
    <w:rsid w:val="00CF2A56"/>
    <w:rsid w:val="00CF58B2"/>
    <w:rsid w:val="00CF6423"/>
    <w:rsid w:val="00D26B5B"/>
    <w:rsid w:val="00D37791"/>
    <w:rsid w:val="00D55D98"/>
    <w:rsid w:val="00D60A23"/>
    <w:rsid w:val="00D851F2"/>
    <w:rsid w:val="00D96E70"/>
    <w:rsid w:val="00DC7634"/>
    <w:rsid w:val="00E21777"/>
    <w:rsid w:val="00E53648"/>
    <w:rsid w:val="00E725A9"/>
    <w:rsid w:val="00E945E6"/>
    <w:rsid w:val="00EC37B2"/>
    <w:rsid w:val="00ED15E0"/>
    <w:rsid w:val="00ED306F"/>
    <w:rsid w:val="00EE6455"/>
    <w:rsid w:val="00F15A6A"/>
    <w:rsid w:val="00F40E90"/>
    <w:rsid w:val="00F438BC"/>
    <w:rsid w:val="00F6157E"/>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C8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C2E3E"/>
    <w:pPr>
      <w:spacing w:before="100" w:beforeAutospacing="1" w:after="100" w:afterAutospacing="1"/>
    </w:pPr>
    <w:rPr>
      <w:rFonts w:ascii="Times New Roman" w:hAnsi="Times New Roman" w:cs="Times New Roman"/>
    </w:rPr>
  </w:style>
  <w:style w:type="character" w:customStyle="1" w:styleId="s2">
    <w:name w:val="s2"/>
    <w:basedOn w:val="DefaultParagraphFont"/>
    <w:rsid w:val="00AC2E3E"/>
  </w:style>
  <w:style w:type="paragraph" w:customStyle="1" w:styleId="p3">
    <w:name w:val="p3"/>
    <w:basedOn w:val="Normal"/>
    <w:rsid w:val="00AC2E3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C2E3E"/>
  </w:style>
  <w:style w:type="character" w:styleId="CommentReference">
    <w:name w:val="annotation reference"/>
    <w:basedOn w:val="DefaultParagraphFont"/>
    <w:uiPriority w:val="99"/>
    <w:semiHidden/>
    <w:unhideWhenUsed/>
    <w:rsid w:val="00AC2E3E"/>
    <w:rPr>
      <w:sz w:val="18"/>
      <w:szCs w:val="18"/>
    </w:rPr>
  </w:style>
  <w:style w:type="paragraph" w:styleId="CommentText">
    <w:name w:val="annotation text"/>
    <w:basedOn w:val="Normal"/>
    <w:link w:val="CommentTextChar"/>
    <w:uiPriority w:val="99"/>
    <w:semiHidden/>
    <w:unhideWhenUsed/>
    <w:rsid w:val="00AC2E3E"/>
  </w:style>
  <w:style w:type="character" w:customStyle="1" w:styleId="CommentTextChar">
    <w:name w:val="Comment Text Char"/>
    <w:basedOn w:val="DefaultParagraphFont"/>
    <w:link w:val="CommentText"/>
    <w:uiPriority w:val="99"/>
    <w:semiHidden/>
    <w:rsid w:val="00AC2E3E"/>
  </w:style>
  <w:style w:type="paragraph" w:styleId="BalloonText">
    <w:name w:val="Balloon Text"/>
    <w:basedOn w:val="Normal"/>
    <w:link w:val="BalloonTextChar"/>
    <w:uiPriority w:val="99"/>
    <w:semiHidden/>
    <w:unhideWhenUsed/>
    <w:rsid w:val="00AC2E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C2E3E"/>
    <w:rPr>
      <w:b/>
      <w:bCs/>
      <w:sz w:val="20"/>
      <w:szCs w:val="20"/>
    </w:rPr>
  </w:style>
  <w:style w:type="character" w:customStyle="1" w:styleId="CommentSubjectChar">
    <w:name w:val="Comment Subject Char"/>
    <w:basedOn w:val="CommentTextChar"/>
    <w:link w:val="CommentSubject"/>
    <w:uiPriority w:val="99"/>
    <w:semiHidden/>
    <w:rsid w:val="00AC2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Petri</dc:creator>
  <cp:keywords/>
  <dc:description/>
  <cp:lastModifiedBy>R O'D</cp:lastModifiedBy>
  <cp:revision>2</cp:revision>
  <dcterms:created xsi:type="dcterms:W3CDTF">2020-07-22T18:36:00Z</dcterms:created>
  <dcterms:modified xsi:type="dcterms:W3CDTF">2020-07-22T18:36:00Z</dcterms:modified>
</cp:coreProperties>
</file>