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Wyoming</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The Wyoming Department of Education (WDE): Special Education Programs (SEP) implements a general supervision system that aligns with both the letter and spirit of the Individuals with Disabilities Education Act (IDEA). The WDE has worked to develop and implement a State Performance Plan/Annual Performance Report (SPP/APR) process that is not only a means of  reporting to OSEP and the public on statewide data for students with disabilities, but is also an essential part of a holistic system of general supervision. The Wyoming General Supervision System is one that is integrated, robust, and responsive to data represented in the SPP/APR OSEP indicators. Ultimately, the SPP /APR process plays a key role in continuously improving educational results and functional outcomes for students with disabilities.</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On March 15th 2020 Governor Gordon recommended that Wyoming Schools close in response to the Coronavirus. By March 16th 37 LEAs throughout the state were closed. This includes the one LEA that oversees all 14 Regions of the Child Development Centers who serve children 3-5 across the whole state. On March 20th the Governor and Wyoming State Health Officer issued a statewide closure order for all public spaces. This health order included all K-12 Schools within the state and all Child Development Centers. As of March 20th all 49 LEAs in the state were closed. By April 1st, under the authority of the Virtual Education Chapter 41 Rules, (which had been revised under the emergency promulgation process) the Wyoming Department of Education collected and approved Adapted Learning Plans from all LEAs. On April 3rd 2020, it was announced that the statewide school closing that was originally expected to end on April 17th was extended through April 30th. Then on April 29th, the statewide school closure was extended from April 30th until May 15th. No additional orders were issued extending the school closures beyond May 15th. Schools in the state were allowed to reopen in a “limited capacity” pending approval from local authorities. However, there is no indication that any of the LEAs chose to reopen to in-person instruction after May 15th 2020. With only two weeks left in the spring semester districts throughout the state had signaled their intent to finish the 2019-20 school year in a virtual format.</w:t>
      </w:r>
      <w:r w:rsidRPr="005C29F8">
        <w:rPr>
          <w:color w:val="000000" w:themeColor="text1"/>
        </w:rPr>
        <w:br/>
        <w:t xml:space="preserve">The State believes the collection of data is complete, valid, and is reliable. Other than the state assessment data and the preschool outcomes data, the WDE communicated to LEAs from the beginning of the pandemic that the expectation for timely and accurate data has not changed. The State issued COVID-19 guidance to all LEAs and the Special Education Programs Division issued on-going guidance which included communicating that data deadlines were not going to be altered in any way. Whether or not students and teachers were in buildings or attending virtually should not have had an impact on the collection and submission of data. For some indicators, the impact pf COVID-19 is reflected in the data, but not in the quality of the data. </w:t>
      </w:r>
      <w:r w:rsidRPr="005C29F8">
        <w:rPr>
          <w:color w:val="000000" w:themeColor="text1"/>
        </w:rPr>
        <w:br/>
        <w:t xml:space="preserve">The pandemic has had a significant impact on special education data. Of course, with the absence of a statewide assessment, I-3 will not have data to report, but there are other notable significant impacts. For exactly the same reason as I-3, I-7 is dramatically impacted because the exiting assessment for student ages 3-5 also occurs in the spring and the number of children who were able to be assessed was significantly affected. A detailed account of the impact on the I-7 data is outlined in that section. </w:t>
      </w:r>
      <w:r w:rsidRPr="005C29F8">
        <w:rPr>
          <w:color w:val="000000" w:themeColor="text1"/>
        </w:rPr>
        <w:br/>
        <w:t xml:space="preserve">Another SPP Indicator that was impacted by COVID-19 is Indicator 14, and also special considerations for Indicator 11 as well, which are noted in those sections. </w:t>
      </w:r>
      <w:r w:rsidRPr="005C29F8">
        <w:rPr>
          <w:color w:val="000000" w:themeColor="text1"/>
        </w:rPr>
        <w:br/>
        <w:t>The State took steps to guide LEAs through this unprecedented time. WDE issued a Special Education COVID Guidance Document, and within that, embedded the March 21, 2020 OCR/OSEP joint guidance through a Supplemental Fact Sheet on IDEA which included a clear and concise outline that the timelines within IDEA stand and will not be waived.</w:t>
      </w:r>
      <w:r w:rsidRPr="005C29F8">
        <w:rPr>
          <w:color w:val="000000" w:themeColor="text1"/>
        </w:rPr>
        <w:br/>
      </w:r>
      <w:r w:rsidRPr="005C29F8">
        <w:rPr>
          <w:color w:val="000000" w:themeColor="text1"/>
        </w:rPr>
        <w:br/>
        <w:t xml:space="preserve">ADDITIONAL NOTE: It is important for the SPP/APR reviewers to remember that there are 49 LEAs - 48 are K-12 systems and one is the LEA for all of the developmental preschool regions in the state (14 regions who serve children with disabilities ages 3-5). </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49</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 xml:space="preserve">The WDE’s General Supervision System utilizes each of the eight essential components set forth by OSEP and the National Center for Special Education Accountability Monitoring (NCSEAM): State Performance Plan, Policies, Procedures, and Effective Implementation, Integrated Monitoring Activities, Fiscal Management, Data on Processes and Results, Improvement Correction, Incentives, and Sanctions, Effective Dispute Resolution, and Technical Assistance and Professional Development. Data from each component are disaggregated and analyzed, and data-based decisions are made about the effectiveness of activities in relation to the improvement or decline in indicator and performance data. </w:t>
      </w:r>
      <w:r w:rsidRPr="005C29F8">
        <w:rPr>
          <w:rFonts w:cs="Arial"/>
          <w:color w:val="000000" w:themeColor="text1"/>
          <w:szCs w:val="16"/>
        </w:rPr>
        <w:br/>
        <w:t>Wyoming’s General Supervision System includes the following components:</w:t>
      </w:r>
      <w:r w:rsidRPr="005C29F8">
        <w:rPr>
          <w:rFonts w:cs="Arial"/>
          <w:color w:val="000000" w:themeColor="text1"/>
          <w:szCs w:val="16"/>
        </w:rPr>
        <w:br/>
        <w:t xml:space="preserve">Stable Assessment: </w:t>
      </w:r>
      <w:r w:rsidRPr="005C29F8">
        <w:rPr>
          <w:rFonts w:cs="Arial"/>
          <w:color w:val="000000" w:themeColor="text1"/>
          <w:szCs w:val="16"/>
        </w:rPr>
        <w:br/>
        <w:t>All Wyoming LEA’s participate in the Stable Assessment component on an annual basis. The Stable Assessment includes a review conducted by LEA staff and several activities conducted by WDE monitoring teams. The self-assessment portion of the Stable Assessment includes a measure of procedural compliance with several key federal and state requirements and every LEA is expected to maintain 100% compliance with all of them.</w:t>
      </w:r>
      <w:r w:rsidRPr="005C29F8">
        <w:rPr>
          <w:rFonts w:cs="Arial"/>
          <w:color w:val="000000" w:themeColor="text1"/>
          <w:szCs w:val="16"/>
        </w:rPr>
        <w:br/>
        <w:t xml:space="preserve">The Stable Assessment also includes focused reviews on the timeliness and accuracy of data reporting. The WDE tracks the timeliness of each LEA’s submissions. Timeliness is judged by considering submission dates for the self-assessment results, the certification date for the WDE 684, 457, and 459 data collections. </w:t>
      </w:r>
      <w:r w:rsidRPr="005C29F8">
        <w:rPr>
          <w:rFonts w:cs="Arial"/>
          <w:color w:val="000000" w:themeColor="text1"/>
          <w:szCs w:val="16"/>
        </w:rPr>
        <w:br/>
        <w:t xml:space="preserve">The final component of the Stable Assessment is the annual Indicator 12 and 13 internal review. For Indicator 13 the WDE annually requests and reviews a sample of files for students of post-secondary transition-age. The WDE reviews these files according to the National Technical Assistance Center's Transition Checklist and if any non-compliance is found, the WDE responds in writing with specific guidance to assist the LEA in correcting the deficiencies and achieving compliance. LEAs must provide assurance of correction after taking the actions described in the Department’s letter, and send evidence documenting the fact that correction has taken place in the case of each student. Conversely, if the sample files are all in compliance with these requirements, the LEA special education director receives written notification that the files were found to be in full compliance. Following the initial transition file review, districts that failed to achieve 100% compliance during the first review must submit additional files for a second review. This secondary review includes several new student files as well as several files that were out of compliance during the initial review. Even though these districts have provided assurance of correction after the initial review, the WDE verifies that the specific violations have been corrected not only for the individual students in the initial sample but also for the whole population of transition-age students in the district. For Indicator 12, the Wyoming </w:t>
      </w:r>
      <w:r w:rsidRPr="005C29F8">
        <w:rPr>
          <w:rFonts w:cs="Arial"/>
          <w:color w:val="000000" w:themeColor="text1"/>
          <w:szCs w:val="16"/>
        </w:rPr>
        <w:lastRenderedPageBreak/>
        <w:t xml:space="preserve">Department of Health, Behavioral Health Division (BHD- the LEA responsible for Part B ages 3-5) will be provided with the WISER IDs of all students who did not meet the compliance indicator. The 619 Coordinator will provide justifications for any students who did not meet the requirements. After review of justifications, any students not meeting the transition timeliness will be referred back to BHD to conduct training with regional staff as required. The training documentation will be submitted to the WDE. This is in keeping with OSEP guidance as described in the 09-02 Memo. </w:t>
      </w:r>
      <w:r w:rsidRPr="005C29F8">
        <w:rPr>
          <w:rFonts w:cs="Arial"/>
          <w:color w:val="000000" w:themeColor="text1"/>
          <w:szCs w:val="16"/>
        </w:rPr>
        <w:br/>
        <w:t xml:space="preserve">Risk-Based Assessment </w:t>
      </w:r>
      <w:r w:rsidRPr="005C29F8">
        <w:rPr>
          <w:rFonts w:cs="Arial"/>
          <w:color w:val="000000" w:themeColor="text1"/>
          <w:szCs w:val="16"/>
        </w:rPr>
        <w:br/>
        <w:t>Through a completion of a set of activities known as the Risk-Based Assessment (RBA), the WDE conducts additional monitoring activities in select LEAs based on LEA performance on select indicators: 3B, 5C, 9, 10, and 11. LEAs are required to participate in the RBA when the data falls outside of a defined range on any of the aforementioned indicators. In general, the RBA asks LEAs to explain the reasons behind lower-than expected performance on one or more of the aforementioned indicators. For example, for Indicator 3B, the LEA is asked to explain why certain students with disabilities in WY-TOPP test-taking grades reportedly did not participate in one or more assessment subtests. For Indicator 11, the LEA is asked to explain the circumstances behind its failure to meet the 60-day timeline for an initial evaluation. Depending on the LEA’s response, the WDE may ask for additional information or require the LEA to implement activities designed to prevent future poor performance. Any failure to meet the 60-day timeframe for an initial evaluation is considered a finding of non-compliance and LEAs are immediately notified as such. When a LEA’s performance on Indicators 9 and/or 10 results in an Alternate Risk Ratio of &gt;3.00 or &lt;0.25, the WDE requests the files of students who comprise the group(s) flagged for possible inappropriate identification. WDE monitoring team members then review the evaluation procedures used in each student’s case to determine if evaluations and eligibility determinations were made in accordance with IDEA requirements. LEAs who have found students eligible under incorrect evaluation procedures, or due to faulty eligibility determinations, are required to address the non-compliance immediately through a corrective action process.</w:t>
      </w:r>
      <w:r w:rsidRPr="005C29F8">
        <w:rPr>
          <w:rFonts w:cs="Arial"/>
          <w:color w:val="000000" w:themeColor="text1"/>
          <w:szCs w:val="16"/>
        </w:rPr>
        <w:br/>
        <w:t>On-site Monitoring</w:t>
      </w:r>
      <w:r w:rsidRPr="005C29F8">
        <w:rPr>
          <w:rFonts w:cs="Arial"/>
          <w:color w:val="000000" w:themeColor="text1"/>
          <w:szCs w:val="16"/>
        </w:rPr>
        <w:br/>
        <w:t xml:space="preserve"> Prior to an on-site monitoring visit, the WDE analyzes district-level data to determine areas of potential noncompliance that might account for substandard performance outcomes. Hypotheses are developed related to the identified areas of potential noncompliance, and become the framework for on-site monitoring activities. Focused indicators are selected and LEAs having the most negative impact on those indicators AND whose determination status is anything other than meets requirements, are eligible to be selected for on-site monitoring. LEAs are divided into four population size categories and the lowest performing LEA in each category is selected for monitoring during that SY. Representative samples of student files are selected purposefully, and files are reviewed using tools designed to ensure regulatory compliance specific to the hypothesized area. On-site monitoring consists of 1. Pre-monitoring consultation, 2. Special Education file reviews, 3. Reviews of policies and procedures, 4. Interviews with staff. 5. Student observations, 6. Review of service provider logs, 7. Exit interview to explain findings, and 8. Monitoring report. If there are findings of noncompliance, a report is written, detailing those findings. Some findings may be individualized, whereas others are found to be systemic. All systemic findings of noncompliance must be corrected within one year through a Corrective Action Plan (CAP). For individual student findings of noncompliance, we often give a 30 day correction period. A CAP is a set of activities the LEA and WDE agree to undertake in order to address systemic district practices which resulted in findings of noncompliance and ensure correction within one year. Any noncompliance which is not corrected within one year warrants a Compliance Agreement, which is more directive and provides more intensive and targeted support to the LEA.</w:t>
      </w:r>
      <w:r w:rsidRPr="005C29F8">
        <w:rPr>
          <w:rFonts w:cs="Arial"/>
          <w:color w:val="000000" w:themeColor="text1"/>
          <w:szCs w:val="16"/>
        </w:rPr>
        <w:br/>
        <w:t>Determinations Process: In accordance with Federal regulation and Chapter 7 Rules, each spring the WDE collects and reports data on performance and compliance indicators. Based on these data sets, the WDE places each LEA into one of four determination categories: Meets Requirements, Needs Assistance, Needs Intervention, or Needs Substantial Intervention. There are differing levels of support and activities with each level.</w:t>
      </w:r>
      <w:r w:rsidRPr="005C29F8">
        <w:rPr>
          <w:rFonts w:cs="Arial"/>
          <w:color w:val="000000" w:themeColor="text1"/>
          <w:szCs w:val="16"/>
        </w:rPr>
        <w:br/>
        <w:t>Dispute Resolution</w:t>
      </w:r>
      <w:r w:rsidRPr="005C29F8">
        <w:rPr>
          <w:rFonts w:cs="Arial"/>
          <w:color w:val="000000" w:themeColor="text1"/>
          <w:szCs w:val="16"/>
        </w:rPr>
        <w:br/>
        <w:t>The WY system for resolving disputes include medication, state complaints, and due process, as outlined and required by the IDEA.</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 xml:space="preserve">The WDE annually conducts two types of data events which analyze the compliance and outcome areas that need the most attention and guidance from the State. The first is a one-day statewide data drill down. Internally, and with the addition of a few key stakeholders, the Special Education Programs Division holds a data retreat in which all Indicator data is disaggregated and areas of improvement and slippage are identified. The group looks for trends and sets high, medium, and low areas of need/focus. </w:t>
      </w:r>
      <w:r w:rsidRPr="005C29F8">
        <w:rPr>
          <w:rFonts w:cs="Arial"/>
          <w:color w:val="000000" w:themeColor="text1"/>
          <w:szCs w:val="16"/>
        </w:rPr>
        <w:br/>
        <w:t xml:space="preserve">The second type of event is a regional data share out. This is a two week activity in which the state is divided into 7 geographical areas and LEAs from each area come to meet with the WDE for an in-depth look at their individual entity’s data. Each LEA has access to their data through various reports the WDE provides. Facilitators lead participants through the state’s Structured Activity Data Guidebook on several different topic areas: Identification, Eligibility, Placement, Services, and Student Outcomes (aggregated and also disaggregated by subgroups such as race/ethnicity, grade, disability category, etc.). Participants identify their agency’s successes and challenges and leave with an identified problem to focus on for the school year. The WDE keeps track of each LEA’s area of need/focus and looks for trends across the state. </w:t>
      </w:r>
      <w:r w:rsidRPr="005C29F8">
        <w:rPr>
          <w:rFonts w:cs="Arial"/>
          <w:color w:val="000000" w:themeColor="text1"/>
          <w:szCs w:val="16"/>
        </w:rPr>
        <w:br/>
        <w:t xml:space="preserve">Through these two critical activities, along with keeping a database of technical assistance calls and emails the state received over the past year, WDE identifies broad improvement strategies which can be leveraged to affect change. Specific improvement activities are developed, revised or discontinued to address current needs. This framework not only allows the WDE to be responsive in supporting LEAs, but also provides the structure for the data-based analysis of the effectiveness of current activities. </w:t>
      </w:r>
      <w:r w:rsidRPr="005C29F8">
        <w:rPr>
          <w:rFonts w:cs="Arial"/>
          <w:color w:val="000000" w:themeColor="text1"/>
          <w:szCs w:val="16"/>
        </w:rPr>
        <w:br/>
      </w:r>
      <w:r w:rsidRPr="005C29F8">
        <w:rPr>
          <w:rFonts w:cs="Arial"/>
          <w:color w:val="000000" w:themeColor="text1"/>
          <w:szCs w:val="16"/>
        </w:rPr>
        <w:br/>
        <w:t xml:space="preserve">The improvement strategies WDE uses to support educational agencies in attaining procedural compliance and increasing outcomes for students with disabilities are designed to affect change in a variety of situations and through the application of a variety of strategies. When statewide areas of data-based concern arise, guidance documents are developed and disseminated to provide an ongoing resource to which educational agencies can refer. Statewide initiatives are implemented to support LEAs in making systemic changes to support the improvement of student outcomes and support the work of the State Systemic Improvement Plan (SSIP). These initiatives include web-based presentations and resources. Currently the State is supporting Multi-tiered System of Support (MTSS), Positive Behavioral Interventions and Support (PBIS), Preschool to Kindergarten Transition, and Data-Based Individualization (DBI) [a tier 3 intensive intervention structure] initiatives. </w:t>
      </w:r>
      <w:r w:rsidRPr="005C29F8">
        <w:rPr>
          <w:rFonts w:cs="Arial"/>
          <w:color w:val="000000" w:themeColor="text1"/>
          <w:szCs w:val="16"/>
        </w:rPr>
        <w:br/>
        <w:t xml:space="preserve">Access to resources and web-based training is provided through the WDE's Wyoming Instructional Network website (WIN WEB). Also, monthly Zoom calls were held for all special education directors through a Director's Academy. The topics are chosen from specific areas of need identified through the annual data drill down activities and trends identified through state complaints. </w:t>
      </w:r>
      <w:r w:rsidRPr="005C29F8">
        <w:rPr>
          <w:rFonts w:cs="Arial"/>
          <w:color w:val="000000" w:themeColor="text1"/>
          <w:szCs w:val="16"/>
        </w:rPr>
        <w:br/>
        <w:t>Other sources of data that inform the State’s technical assistance needs are based on annual LEA determinations and monitoring. In addition, information is gathered from the outreach consultants who support students with visual impairments and students who are deaf or hard of hearing, as they are in schools and classrooms on a weekly basis. They provide student level technical assistance to educational agencies in support of improved evaluations, IEP development/implementation, and instructional supports.</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As with all areas of the WY general supervision system, broad professional development improvement strategies are identified through a thorough analysis of special education data, both compliance and outcome data. Data drives and informs the content, structure, and audience for professional development activities. For the reporting period, professional development improvement strategies looked different than in years past due, in part, to the pandemic, but also for more efficient and effective use of our fiscal resources. </w:t>
      </w:r>
      <w:r w:rsidRPr="005C29F8">
        <w:rPr>
          <w:rFonts w:cs="Arial"/>
          <w:color w:val="000000" w:themeColor="text1"/>
          <w:szCs w:val="16"/>
        </w:rPr>
        <w:br/>
      </w:r>
      <w:r w:rsidRPr="005C29F8">
        <w:rPr>
          <w:rFonts w:cs="Arial"/>
          <w:color w:val="000000" w:themeColor="text1"/>
          <w:szCs w:val="16"/>
        </w:rPr>
        <w:lastRenderedPageBreak/>
        <w:t>Professional Development has two approaches; universal and targeted. The universal PD is content that is applicable to all of special education, regardless of the students the professional works with or their role in the special education system. This includes administrators, teachers, service providers, para-educators, parents and parent advocates, and those in other educational agencies.</w:t>
      </w:r>
      <w:r w:rsidRPr="005C29F8">
        <w:rPr>
          <w:rFonts w:cs="Arial"/>
          <w:color w:val="000000" w:themeColor="text1"/>
          <w:szCs w:val="16"/>
        </w:rPr>
        <w:br/>
        <w:t xml:space="preserve">The targeted PD is designed to meet the specific needs of certain populations of educators or the students they work with. Examples of this would be teachers of the deaf, teachers of the visually impaired, orientation/mobility specialist, behavior specialists, teachers of students with emotional disabilities, etc. The content of this PD is specialized and intentional. </w:t>
      </w:r>
      <w:r w:rsidRPr="005C29F8">
        <w:rPr>
          <w:rFonts w:cs="Arial"/>
          <w:color w:val="000000" w:themeColor="text1"/>
          <w:szCs w:val="16"/>
        </w:rPr>
        <w:br/>
        <w:t>UNIVERSAL PD: In previous years, the WDE Special Education Division conducted a yearly statewide in-person conference during the last full week of July; Week of Academic Vision for Excellence (WAVE). This conference included topics to help improve outcomes for students with disabilities, such as, but not limited to: Special Education law, Free and Appropriate Public Education (FAPE), Least Restrictive Environment (LRE), Individual Education Program (IEP), IEP goal writing, etc. In the 2019-2020 SY, the WDE restructured the format of the conference to offer high quality training delivered virtually by local and/or nationally esteemed presenters throughout the school year regarding all aspects of IDEA; Web-based Academic Vision for Excellence Symposium (WAVES). Sessions have been designed specific to Early Childhood (Pre-K to 2nd grade) and K-12 and offered approximately twice per month for each level. The presented sessions included: FAPE in Light of COVID 19, LRE Considerations During a Pandemic, Conducting Comprehensive Evaluations, Goal Writing Strategies, Early Childhood PLC, Postsecondary Transition, Trauma-Informed Care/ACES, Social Emotional Learning, Review and General Administration of the Woodcock Johnson, Eligibility Determination for Visual Impairment, and MTSS. Presenters have been sympathetic to the barriers of teaching virtually during a pandemic, as well as, teaching in a brick and mortar format. This virtual conference format has allowed the WDE to be more responsive to the needs of our state and has brought a decrease in statewide cost, an increase in attendance across all audiences, the flexibility for viewing sessions/materials at the participant’s convenience, and for using sessions as staff trainings within districts or child development centers. Archived session recordings and presentation materials can be found at: https://wyominginstructionalnetwork.com/additional-resources/waves/.</w:t>
      </w:r>
      <w:r w:rsidRPr="005C29F8">
        <w:rPr>
          <w:rFonts w:cs="Arial"/>
          <w:color w:val="000000" w:themeColor="text1"/>
          <w:szCs w:val="16"/>
        </w:rPr>
        <w:br/>
        <w:t>TARGETED PD: There were professional development activities provided or sponsored by Vision Outreach Services section of the WDE in collaboration with the Wyoming Deaf-Blind Project through an OSEP funded grant. Professional development included training on the development of literacy skills for young children who are deaf and/or blind, the use of assistive technology to ensure access to educational materials, the needs of students with visual impairment, and the implications of the latest neurological research on cerebral visual impairments. In addition, a literacy initiative targeting the needs of students with significant intellectual disabilities was initiated. This multilayered professional development and technical assistance initiative, provided teachers from across the state with an intense two-day, onsite training. Throughout the school year, five web-based trainings were provided, each targeting a high-leverage literacy strategy. Coaching through video or onsite observation was offered to participants to ensure accurate implementation of those strategies.</w:t>
      </w:r>
      <w:r w:rsidRPr="005C29F8">
        <w:rPr>
          <w:rFonts w:cs="Arial"/>
          <w:color w:val="000000" w:themeColor="text1"/>
          <w:szCs w:val="16"/>
        </w:rPr>
        <w:br/>
        <w:t xml:space="preserve">Also, targeted PD included a monthly Teacher of the Deaf forum on adapting technology for virtual instruction, assessments related to DHH students, comprehensive evaluations, accommodations, resources for effective communication (e.g. interpreters, captioning, developing new apps, using current apps), and basic discussions around challenges presented with virtual education for Deaf/Hard of Hearing (D/HH) students. For interpreters, WDE partnered with TAESE and TASK-12 to sponsor a mentorship program (IMET) for our educational interpreters to increase their skills and improve their EIPA scores. As a part of WDE D/HH Outreach work with the Early Hearing Detection and Intervention's task force, part 1 of 3 training was provided to EC's family service coordinators. Content focused on impacts of hearing loss in the early years and importance of effective early intervention. The final two trainings will be provided in the 2020-2021 SY. There was training for "Guide by Your Side" with the WY Families for Hands and Voices regarding IEPs and regulations specific to students with hearing loss. </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The Special Education Programs Division posts a current SPP online and notifies stakeholder groups of this posting. Copies of the SPP will also be provided to local education agencies, developmental preschool programs, and any individuals who request a copy.</w:t>
      </w:r>
      <w:r w:rsidRPr="005C29F8">
        <w:rPr>
          <w:rFonts w:cs="Arial"/>
          <w:color w:val="000000" w:themeColor="text1"/>
          <w:szCs w:val="16"/>
        </w:rPr>
        <w:br/>
        <w:t>https://wyominginstructionalnetwork.com/spp-apr/</w:t>
      </w:r>
      <w:r w:rsidRPr="005C29F8">
        <w:rPr>
          <w:rFonts w:cs="Arial"/>
          <w:color w:val="000000" w:themeColor="text1"/>
          <w:szCs w:val="16"/>
        </w:rPr>
        <w:br/>
      </w:r>
      <w:r w:rsidRPr="005C29F8">
        <w:rPr>
          <w:rFonts w:cs="Arial"/>
          <w:color w:val="000000" w:themeColor="text1"/>
          <w:szCs w:val="16"/>
        </w:rPr>
        <w:br/>
        <w:t>In accordance with 20 U.S.C.1416(b)(C)(ii), the WDE will report annually to the public on the performance of each local educational agency and intermediate education unit on targets in the SPP. The WDE creates annual reports for each LEA. The reports are issued to each educational agency and posted on the WDE website:</w:t>
      </w:r>
      <w:r w:rsidRPr="005C29F8">
        <w:rPr>
          <w:rFonts w:cs="Arial"/>
          <w:color w:val="000000" w:themeColor="text1"/>
          <w:szCs w:val="16"/>
        </w:rPr>
        <w:br/>
      </w:r>
      <w:r w:rsidRPr="005C29F8">
        <w:rPr>
          <w:rFonts w:cs="Arial"/>
          <w:color w:val="000000" w:themeColor="text1"/>
          <w:szCs w:val="16"/>
        </w:rPr>
        <w:br/>
        <w:t>https://edu.wyoming.gov/for-district-leadership/special-programs/</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 xml:space="preserve">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w:t>
      </w:r>
      <w:r w:rsidRPr="005C29F8">
        <w:rPr>
          <w:rFonts w:cs="Arial"/>
          <w:color w:val="000000" w:themeColor="text1"/>
          <w:szCs w:val="16"/>
        </w:rPr>
        <w:lastRenderedPageBreak/>
        <w:t>outcomes that are intended to impact the SiMR; and (4) any supporting data that demonstrates that implementation of these activities is impacting the State’s capacity to improve its SiMR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0C24C2" w:rsidP="000E33D0">
      <w:pPr>
        <w:rPr>
          <w:rFonts w:cs="Arial"/>
          <w:color w:val="000000" w:themeColor="text1"/>
          <w:szCs w:val="16"/>
        </w:rPr>
      </w:pP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Due to the circumstances created by the COVID-19 pandemic, and resulting school closures, the State does not have any FFY 2019 data for indicator 17.</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OSEP notes that the State submitted verification that the attachment(s) complies with Section 508 of the Rehabilitation Act of 1973, as amended (Section 508). However, one or more of the Indicator 17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States may report data for children with disabilities using either the four-year adjusted cohort graduation rate required under the ESEA or an extended-year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2005</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50.60%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85.00%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61.81%</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59.08%</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64.50%</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61.08%</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62.71%</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64.00%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6F475956" w14:textId="6AAE3895" w:rsidR="000C24C2" w:rsidRPr="005C29F8" w:rsidRDefault="000C24C2" w:rsidP="001011BB">
      <w:pPr>
        <w:rPr>
          <w:rFonts w:cs="Arial"/>
          <w:color w:val="000000" w:themeColor="text1"/>
          <w:szCs w:val="16"/>
        </w:rPr>
      </w:pP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7D069488" w:rsidR="00866B4D" w:rsidRPr="005C29F8" w:rsidRDefault="00FE5A99" w:rsidP="00A018D4">
            <w:pPr>
              <w:jc w:val="center"/>
              <w:rPr>
                <w:rFonts w:cs="Arial"/>
                <w:color w:val="000000" w:themeColor="text1"/>
                <w:szCs w:val="16"/>
              </w:rPr>
            </w:pPr>
            <w:r>
              <w:rPr>
                <w:rFonts w:cs="Arial"/>
                <w:color w:val="000000" w:themeColor="text1"/>
                <w:szCs w:val="16"/>
              </w:rPr>
              <w:t>*</w:t>
            </w:r>
            <w:bookmarkStart w:id="3" w:name="_Ref78275378"/>
            <w:r>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 xml:space="preserve">SY 2018-19 Cohorts for Regulatory Adjusted-Cohort Graduation Rate </w:t>
            </w:r>
            <w:r>
              <w:rPr>
                <w:rFonts w:cs="Arial"/>
                <w:color w:val="000000" w:themeColor="text1"/>
                <w:szCs w:val="16"/>
              </w:rPr>
              <w:lastRenderedPageBreak/>
              <w:t>(EDFacts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lastRenderedPageBreak/>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938</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64.71%</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75264CFF" w:rsidR="0098478C" w:rsidRPr="005C29F8" w:rsidRDefault="00FE5A99" w:rsidP="00A018D4">
            <w:pPr>
              <w:jc w:val="center"/>
              <w:rPr>
                <w:rFonts w:cs="Arial"/>
                <w:color w:val="000000" w:themeColor="text1"/>
                <w:szCs w:val="16"/>
              </w:rPr>
            </w:pPr>
            <w:r>
              <w:rPr>
                <w:rFonts w:cs="Arial"/>
                <w:color w:val="000000" w:themeColor="text1"/>
                <w:szCs w:val="16"/>
              </w:rPr>
              <w:t>*</w:t>
            </w:r>
            <w:r w:rsidRPr="00FE5A99">
              <w:rPr>
                <w:rFonts w:cs="Arial"/>
                <w:color w:val="000000" w:themeColor="text1"/>
                <w:szCs w:val="16"/>
                <w:vertAlign w:val="superscript"/>
              </w:rPr>
              <w:fldChar w:fldCharType="begin"/>
            </w:r>
            <w:r w:rsidRPr="00FE5A99">
              <w:rPr>
                <w:rFonts w:cs="Arial"/>
                <w:color w:val="000000" w:themeColor="text1"/>
                <w:szCs w:val="16"/>
                <w:vertAlign w:val="superscript"/>
              </w:rPr>
              <w:instrText xml:space="preserve"> NOTEREF _Ref78275378 \h </w:instrText>
            </w:r>
            <w:r>
              <w:rPr>
                <w:rFonts w:cs="Arial"/>
                <w:color w:val="000000" w:themeColor="text1"/>
                <w:szCs w:val="16"/>
                <w:vertAlign w:val="superscript"/>
              </w:rPr>
              <w:instrText xml:space="preserve"> \* MERGEFORMAT </w:instrText>
            </w:r>
            <w:r w:rsidRPr="00FE5A99">
              <w:rPr>
                <w:rFonts w:cs="Arial"/>
                <w:color w:val="000000" w:themeColor="text1"/>
                <w:szCs w:val="16"/>
                <w:vertAlign w:val="superscript"/>
              </w:rPr>
            </w:r>
            <w:r w:rsidRPr="00FE5A99">
              <w:rPr>
                <w:rFonts w:cs="Arial"/>
                <w:color w:val="000000" w:themeColor="text1"/>
                <w:szCs w:val="16"/>
                <w:vertAlign w:val="superscript"/>
              </w:rPr>
              <w:fldChar w:fldCharType="separate"/>
            </w:r>
            <w:r w:rsidRPr="00FE5A99">
              <w:rPr>
                <w:rFonts w:cs="Arial"/>
                <w:color w:val="000000" w:themeColor="text1"/>
                <w:szCs w:val="16"/>
                <w:vertAlign w:val="superscript"/>
              </w:rPr>
              <w:t>1</w:t>
            </w:r>
            <w:r w:rsidRPr="00FE5A99">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938</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62.71%</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64.71%</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Extended ACGR</w:t>
      </w:r>
    </w:p>
    <w:p w14:paraId="7B4484F4" w14:textId="77777777" w:rsidR="00B302AC" w:rsidRPr="005C29F8" w:rsidRDefault="00C14D48" w:rsidP="00C14D48">
      <w:pPr>
        <w:rPr>
          <w:rFonts w:cs="Arial"/>
          <w:b/>
          <w:color w:val="000000" w:themeColor="text1"/>
          <w:szCs w:val="16"/>
        </w:rPr>
      </w:pPr>
      <w:r w:rsidRPr="005C29F8">
        <w:rPr>
          <w:rFonts w:cs="Arial"/>
          <w:b/>
          <w:color w:val="000000" w:themeColor="text1"/>
          <w:szCs w:val="16"/>
        </w:rPr>
        <w:t>If extended, provide the number of years</w:t>
      </w:r>
    </w:p>
    <w:p w14:paraId="713A8B26" w14:textId="5CCE603F" w:rsidR="00E418E6" w:rsidRDefault="002B7490" w:rsidP="00C14D48">
      <w:pPr>
        <w:rPr>
          <w:rFonts w:cs="Arial"/>
          <w:color w:val="000000" w:themeColor="text1"/>
          <w:szCs w:val="16"/>
        </w:rPr>
      </w:pPr>
      <w:r w:rsidRPr="005C29F8">
        <w:rPr>
          <w:rFonts w:cs="Arial"/>
          <w:color w:val="000000" w:themeColor="text1"/>
          <w:szCs w:val="16"/>
        </w:rPr>
        <w:t>6</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Provide a narrative that describes the conditions youth must meet in order to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The requirements for earning a high school diploma from any school district in the State of Wyoming are as follows:</w:t>
      </w:r>
      <w:r w:rsidRPr="005C29F8">
        <w:rPr>
          <w:rFonts w:cs="Arial"/>
          <w:color w:val="000000" w:themeColor="text1"/>
          <w:szCs w:val="16"/>
        </w:rPr>
        <w:br/>
        <w:t xml:space="preserve"> •</w:t>
      </w:r>
      <w:r w:rsidRPr="005C29F8">
        <w:rPr>
          <w:rFonts w:cs="Arial"/>
          <w:color w:val="000000" w:themeColor="text1"/>
          <w:szCs w:val="16"/>
        </w:rPr>
        <w:tab/>
        <w:t xml:space="preserve">The successful completion of four years of English; three years of mathematics; three years of science; three years of social studies. [W.S. §21-2-304(a) (iii)] </w:t>
      </w:r>
      <w:r w:rsidRPr="005C29F8">
        <w:rPr>
          <w:rFonts w:cs="Arial"/>
          <w:color w:val="000000" w:themeColor="text1"/>
          <w:szCs w:val="16"/>
        </w:rPr>
        <w:br/>
        <w:t>•</w:t>
      </w:r>
      <w:r w:rsidRPr="005C29F8">
        <w:rPr>
          <w:rFonts w:cs="Arial"/>
          <w:color w:val="000000" w:themeColor="text1"/>
          <w:szCs w:val="16"/>
        </w:rPr>
        <w:tab/>
        <w:t xml:space="preserve">Satisfactorily passing an examination of the principles of the Constitution of the United States and the State of Wyoming. (W.S. §21-9-102) </w:t>
      </w:r>
      <w:r w:rsidRPr="005C29F8">
        <w:rPr>
          <w:rFonts w:cs="Arial"/>
          <w:color w:val="000000" w:themeColor="text1"/>
          <w:szCs w:val="16"/>
        </w:rPr>
        <w:br/>
        <w:t>•</w:t>
      </w:r>
      <w:r w:rsidRPr="005C29F8">
        <w:rPr>
          <w:rFonts w:cs="Arial"/>
          <w:color w:val="000000" w:themeColor="text1"/>
          <w:szCs w:val="16"/>
        </w:rPr>
        <w:tab/>
        <w:t xml:space="preserve">Evidence of proficient performance, at a minimum, on the uniform student conduct and performance standards for the common core of knowledge and skills. [W.S. 21-2-304(a)(iii) and (iv)] </w:t>
      </w:r>
      <w:r w:rsidRPr="005C29F8">
        <w:rPr>
          <w:rFonts w:cs="Arial"/>
          <w:color w:val="000000" w:themeColor="text1"/>
          <w:szCs w:val="16"/>
        </w:rPr>
        <w:br/>
      </w:r>
      <w:r w:rsidRPr="005C29F8">
        <w:rPr>
          <w:rFonts w:cs="Arial"/>
          <w:color w:val="000000" w:themeColor="text1"/>
          <w:szCs w:val="16"/>
        </w:rPr>
        <w:br/>
        <w:t>Upon the completion of these requirements, a student receives a regular diploma with one of the following endorsements stated on the student’s transcript: Advanced Endorsement; Comprehensive Endorsement; or General Endorsement. Beginning with students graduating in 2006 and thereafter, each student must demonstrate proficient performance on five out of the nine content and performance standards for language arts, mathematics, science, social studies, health, physical education, foreign language, career/vocational education and fine and performing arts.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D145D" w:rsidP="000E33D0">
      <w:pPr>
        <w:rPr>
          <w:rFonts w:cs="Arial"/>
          <w:color w:val="000000" w:themeColor="text1"/>
          <w:szCs w:val="16"/>
        </w:rPr>
      </w:pPr>
    </w:p>
    <w:p w14:paraId="7D2A5658" w14:textId="39995CE7" w:rsidR="000C60E1" w:rsidRPr="0033429D" w:rsidRDefault="00B0742B" w:rsidP="008645AD">
      <w:pPr>
        <w:pStyle w:val="Heading2"/>
      </w:pPr>
      <w:bookmarkStart w:id="4"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5" w:name="_Hlk21352084"/>
      <w:r w:rsidRPr="0033429D">
        <w:t xml:space="preserve">1 - </w:t>
      </w:r>
      <w:bookmarkEnd w:id="5"/>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6"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4"/>
      <w:bookmarkEnd w:id="6"/>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7"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7"/>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2005</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12.90%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6.20%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6.15%</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6.10%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6.05%</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6.00%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5.56%</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5.39%</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5.44%</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6.21%</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6.16%</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6.10%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393</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40</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10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236</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5</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YES</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8" w:name="_Hlk494379356"/>
      <w:r w:rsidRPr="005C29F8">
        <w:rPr>
          <w:rFonts w:cs="Arial"/>
          <w:color w:val="000000" w:themeColor="text1"/>
          <w:szCs w:val="16"/>
          <w:shd w:val="clear" w:color="auto" w:fill="FFFFFF"/>
        </w:rPr>
        <w:t>WDE uses an event rate calculation for Indicator 2 Drop-out. This rate measures the number of students who dropped out over a 1-year interval. The numerator: Those students enrolled in grades 10-12 in Year 1, not enrolled in October of Year 2, and did not receive a diploma in Year 1. The denominator: Numerator plus all persons in grades 10-12 in Year 1, still enrolled in Year 2, or graduated in Year 1.</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9" w:name="_Toc392159265"/>
      <w:bookmarkEnd w:id="8"/>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Number of youth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210</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3,503</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6.16%</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6.10%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5.99%</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Students counted as not graduating in four years may have: </w:t>
      </w:r>
      <w:r w:rsidRPr="005C29F8">
        <w:rPr>
          <w:rFonts w:cs="Arial"/>
          <w:color w:val="000000" w:themeColor="text1"/>
          <w:szCs w:val="16"/>
          <w:shd w:val="clear" w:color="auto" w:fill="FFFFFF"/>
        </w:rPr>
        <w:br/>
        <w:t>1)</w:t>
      </w:r>
      <w:r w:rsidRPr="005C29F8">
        <w:rPr>
          <w:rFonts w:cs="Arial"/>
          <w:color w:val="000000" w:themeColor="text1"/>
          <w:szCs w:val="16"/>
          <w:shd w:val="clear" w:color="auto" w:fill="FFFFFF"/>
        </w:rPr>
        <w:tab/>
        <w:t xml:space="preserve">Dropped out, been rumored to transfer (no written confirmation), or left for reasons unknown by the school </w:t>
      </w:r>
      <w:r w:rsidRPr="005C29F8">
        <w:rPr>
          <w:rFonts w:cs="Arial"/>
          <w:color w:val="000000" w:themeColor="text1"/>
          <w:szCs w:val="16"/>
          <w:shd w:val="clear" w:color="auto" w:fill="FFFFFF"/>
        </w:rPr>
        <w:br/>
        <w:t>2)</w:t>
      </w:r>
      <w:r w:rsidRPr="005C29F8">
        <w:rPr>
          <w:rFonts w:cs="Arial"/>
          <w:color w:val="000000" w:themeColor="text1"/>
          <w:szCs w:val="16"/>
          <w:shd w:val="clear" w:color="auto" w:fill="FFFFFF"/>
        </w:rPr>
        <w:tab/>
        <w:t xml:space="preserve">Left school to participate in a non-high school diploma granting educational or trade program (including GED) </w:t>
      </w:r>
      <w:r w:rsidRPr="005C29F8">
        <w:rPr>
          <w:rFonts w:cs="Arial"/>
          <w:color w:val="000000" w:themeColor="text1"/>
          <w:szCs w:val="16"/>
          <w:shd w:val="clear" w:color="auto" w:fill="FFFFFF"/>
        </w:rPr>
        <w:br/>
        <w:t>3) Attended high school grades (9-12) for 4 full years without graduating (may still be seeking a diploma in 5 or 6 years)</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0" w:name="_Toc382082362"/>
      <w:bookmarkStart w:id="11" w:name="_Toc392159270"/>
      <w:bookmarkStart w:id="12" w:name="_Toc365403651"/>
      <w:bookmarkEnd w:id="9"/>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lastRenderedPageBreak/>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0"/>
      <w:bookmarkEnd w:id="11"/>
    </w:p>
    <w:p w14:paraId="66C662B8" w14:textId="77777777" w:rsidR="007C3C89" w:rsidRPr="005C29F8" w:rsidRDefault="007C3C89" w:rsidP="00A018D4">
      <w:pPr>
        <w:rPr>
          <w:color w:val="000000" w:themeColor="text1"/>
          <w:szCs w:val="20"/>
        </w:rPr>
      </w:pPr>
      <w:bookmarkStart w:id="13"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3"/>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Elementary</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p>
        </w:tc>
      </w:tr>
      <w:tr w:rsidR="005C29F8" w:rsidRPr="005C29F8" w14:paraId="26536D6C" w14:textId="77777777" w:rsidTr="00044B5C">
        <w:trPr>
          <w:trHeight w:val="361"/>
        </w:trPr>
        <w:tc>
          <w:tcPr>
            <w:tcW w:w="270" w:type="pct"/>
            <w:shd w:val="clear" w:color="auto" w:fill="auto"/>
            <w:vAlign w:val="center"/>
          </w:tcPr>
          <w:p w14:paraId="5CDAFFC0" w14:textId="3F4A9602"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B</w:t>
            </w:r>
          </w:p>
        </w:tc>
        <w:tc>
          <w:tcPr>
            <w:tcW w:w="394" w:type="pct"/>
            <w:shd w:val="clear" w:color="auto" w:fill="auto"/>
          </w:tcPr>
          <w:p w14:paraId="58925CBD" w14:textId="468520DA" w:rsidR="00421D14" w:rsidRPr="005C29F8" w:rsidRDefault="00421D14" w:rsidP="004E2151">
            <w:pPr>
              <w:pStyle w:val="Default"/>
              <w:jc w:val="center"/>
              <w:rPr>
                <w:color w:val="000000" w:themeColor="text1"/>
                <w:sz w:val="16"/>
                <w:szCs w:val="16"/>
              </w:rPr>
            </w:pPr>
            <w:r w:rsidRPr="005C29F8">
              <w:rPr>
                <w:color w:val="000000" w:themeColor="text1"/>
                <w:sz w:val="16"/>
                <w:szCs w:val="16"/>
              </w:rPr>
              <w:t>Middle</w:t>
            </w:r>
          </w:p>
        </w:tc>
        <w:tc>
          <w:tcPr>
            <w:tcW w:w="394" w:type="pct"/>
            <w:shd w:val="clear" w:color="auto" w:fill="auto"/>
          </w:tcPr>
          <w:p w14:paraId="01FC9F66" w14:textId="13CAD9D5" w:rsidR="00421D14" w:rsidRPr="005C29F8" w:rsidRDefault="00421D14" w:rsidP="004E2151">
            <w:pPr>
              <w:pStyle w:val="Default"/>
              <w:jc w:val="center"/>
              <w:rPr>
                <w:b/>
                <w:color w:val="000000" w:themeColor="text1"/>
                <w:sz w:val="16"/>
                <w:szCs w:val="16"/>
              </w:rPr>
            </w:pPr>
          </w:p>
        </w:tc>
        <w:tc>
          <w:tcPr>
            <w:tcW w:w="394" w:type="pct"/>
            <w:shd w:val="clear" w:color="auto" w:fill="auto"/>
          </w:tcPr>
          <w:p w14:paraId="537BAC46" w14:textId="0B18E514" w:rsidR="00421D14" w:rsidRPr="005C29F8" w:rsidRDefault="00421D14" w:rsidP="004E2151">
            <w:pPr>
              <w:pStyle w:val="Default"/>
              <w:jc w:val="center"/>
              <w:rPr>
                <w:b/>
                <w:color w:val="000000" w:themeColor="text1"/>
                <w:sz w:val="16"/>
                <w:szCs w:val="16"/>
              </w:rPr>
            </w:pPr>
          </w:p>
        </w:tc>
        <w:tc>
          <w:tcPr>
            <w:tcW w:w="394" w:type="pct"/>
            <w:shd w:val="clear" w:color="auto" w:fill="auto"/>
          </w:tcPr>
          <w:p w14:paraId="4A8CD751" w14:textId="29138617" w:rsidR="00421D14" w:rsidRPr="005C29F8" w:rsidRDefault="00421D14" w:rsidP="004E2151">
            <w:pPr>
              <w:pStyle w:val="Default"/>
              <w:jc w:val="center"/>
              <w:rPr>
                <w:b/>
                <w:color w:val="000000" w:themeColor="text1"/>
                <w:sz w:val="16"/>
                <w:szCs w:val="16"/>
              </w:rPr>
            </w:pPr>
          </w:p>
        </w:tc>
        <w:tc>
          <w:tcPr>
            <w:tcW w:w="394" w:type="pct"/>
            <w:shd w:val="clear" w:color="auto" w:fill="auto"/>
          </w:tcPr>
          <w:p w14:paraId="182D1FC3" w14:textId="3802A28C" w:rsidR="00421D14" w:rsidRPr="005C29F8" w:rsidRDefault="00421D14" w:rsidP="004E2151">
            <w:pPr>
              <w:pStyle w:val="Default"/>
              <w:jc w:val="center"/>
              <w:rPr>
                <w:b/>
                <w:color w:val="000000" w:themeColor="text1"/>
                <w:sz w:val="16"/>
                <w:szCs w:val="16"/>
              </w:rPr>
            </w:pPr>
          </w:p>
        </w:tc>
        <w:tc>
          <w:tcPr>
            <w:tcW w:w="394" w:type="pct"/>
            <w:shd w:val="clear" w:color="auto" w:fill="auto"/>
          </w:tcPr>
          <w:p w14:paraId="16282D72" w14:textId="55CB7672"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1E642B55" w14:textId="4FF8CB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03DF2935" w14:textId="145F6590" w:rsidR="00421D14" w:rsidRPr="005C29F8" w:rsidRDefault="00421D14" w:rsidP="004E2151">
            <w:pPr>
              <w:pStyle w:val="Default"/>
              <w:jc w:val="center"/>
              <w:rPr>
                <w:b/>
                <w:color w:val="000000" w:themeColor="text1"/>
                <w:sz w:val="16"/>
                <w:szCs w:val="16"/>
              </w:rPr>
            </w:pPr>
          </w:p>
        </w:tc>
        <w:tc>
          <w:tcPr>
            <w:tcW w:w="394" w:type="pct"/>
            <w:shd w:val="clear" w:color="auto" w:fill="auto"/>
          </w:tcPr>
          <w:p w14:paraId="233C9B1D" w14:textId="010D87CE" w:rsidR="00421D14" w:rsidRPr="005C29F8" w:rsidRDefault="00421D14" w:rsidP="004E2151">
            <w:pPr>
              <w:pStyle w:val="Default"/>
              <w:jc w:val="center"/>
              <w:rPr>
                <w:b/>
                <w:color w:val="000000" w:themeColor="text1"/>
                <w:sz w:val="16"/>
                <w:szCs w:val="16"/>
              </w:rPr>
            </w:pPr>
          </w:p>
        </w:tc>
        <w:tc>
          <w:tcPr>
            <w:tcW w:w="394" w:type="pct"/>
            <w:shd w:val="clear" w:color="auto" w:fill="auto"/>
          </w:tcPr>
          <w:p w14:paraId="67177E9A" w14:textId="3C98B5F7" w:rsidR="00421D14" w:rsidRPr="005C29F8" w:rsidRDefault="00421D14" w:rsidP="004E2151">
            <w:pPr>
              <w:pStyle w:val="Default"/>
              <w:jc w:val="center"/>
              <w:rPr>
                <w:b/>
                <w:color w:val="000000" w:themeColor="text1"/>
                <w:sz w:val="16"/>
                <w:szCs w:val="16"/>
              </w:rPr>
            </w:pPr>
          </w:p>
        </w:tc>
        <w:tc>
          <w:tcPr>
            <w:tcW w:w="394" w:type="pct"/>
            <w:shd w:val="clear" w:color="auto" w:fill="auto"/>
          </w:tcPr>
          <w:p w14:paraId="0B60B656" w14:textId="595AB6CB" w:rsidR="00421D14" w:rsidRPr="005C29F8" w:rsidRDefault="00421D14" w:rsidP="004E2151">
            <w:pPr>
              <w:pStyle w:val="Default"/>
              <w:jc w:val="center"/>
              <w:rPr>
                <w:b/>
                <w:color w:val="000000" w:themeColor="text1"/>
                <w:sz w:val="16"/>
                <w:szCs w:val="16"/>
              </w:rPr>
            </w:pPr>
          </w:p>
        </w:tc>
        <w:tc>
          <w:tcPr>
            <w:tcW w:w="394" w:type="pct"/>
            <w:shd w:val="clear" w:color="auto" w:fill="auto"/>
          </w:tcPr>
          <w:p w14:paraId="183FB34C" w14:textId="525B9B95" w:rsidR="00421D14" w:rsidRPr="005C29F8" w:rsidRDefault="00421D14" w:rsidP="004E2151">
            <w:pPr>
              <w:pStyle w:val="Default"/>
              <w:jc w:val="center"/>
              <w:rPr>
                <w:b/>
                <w:color w:val="000000" w:themeColor="text1"/>
                <w:sz w:val="16"/>
                <w:szCs w:val="16"/>
              </w:rPr>
            </w:pPr>
          </w:p>
        </w:tc>
      </w:tr>
      <w:tr w:rsidR="005C29F8" w:rsidRPr="005C29F8" w14:paraId="12735837" w14:textId="77777777" w:rsidTr="00044B5C">
        <w:trPr>
          <w:trHeight w:val="361"/>
        </w:trPr>
        <w:tc>
          <w:tcPr>
            <w:tcW w:w="270" w:type="pct"/>
            <w:shd w:val="clear" w:color="auto" w:fill="auto"/>
            <w:vAlign w:val="center"/>
          </w:tcPr>
          <w:p w14:paraId="74331F27" w14:textId="2B69AB9C"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C</w:t>
            </w:r>
          </w:p>
        </w:tc>
        <w:tc>
          <w:tcPr>
            <w:tcW w:w="394" w:type="pct"/>
            <w:shd w:val="clear" w:color="auto" w:fill="auto"/>
          </w:tcPr>
          <w:p w14:paraId="683F21F6" w14:textId="3D093519" w:rsidR="00421D14" w:rsidRPr="005C29F8" w:rsidRDefault="00421D14" w:rsidP="004E2151">
            <w:pPr>
              <w:pStyle w:val="Default"/>
              <w:jc w:val="center"/>
              <w:rPr>
                <w:color w:val="000000" w:themeColor="text1"/>
                <w:sz w:val="16"/>
                <w:szCs w:val="16"/>
              </w:rPr>
            </w:pPr>
            <w:r w:rsidRPr="005C29F8">
              <w:rPr>
                <w:color w:val="000000" w:themeColor="text1"/>
                <w:sz w:val="16"/>
                <w:szCs w:val="16"/>
              </w:rPr>
              <w:t>HS</w:t>
            </w:r>
          </w:p>
        </w:tc>
        <w:tc>
          <w:tcPr>
            <w:tcW w:w="394" w:type="pct"/>
            <w:shd w:val="clear" w:color="auto" w:fill="auto"/>
          </w:tcPr>
          <w:p w14:paraId="5906D1E0" w14:textId="25035D79" w:rsidR="00421D14" w:rsidRPr="005C29F8" w:rsidRDefault="00421D14" w:rsidP="004E2151">
            <w:pPr>
              <w:pStyle w:val="Default"/>
              <w:jc w:val="center"/>
              <w:rPr>
                <w:b/>
                <w:color w:val="000000" w:themeColor="text1"/>
                <w:sz w:val="16"/>
                <w:szCs w:val="16"/>
              </w:rPr>
            </w:pPr>
          </w:p>
        </w:tc>
        <w:tc>
          <w:tcPr>
            <w:tcW w:w="394" w:type="pct"/>
            <w:shd w:val="clear" w:color="auto" w:fill="auto"/>
          </w:tcPr>
          <w:p w14:paraId="75AE73B6" w14:textId="7CF43A23" w:rsidR="00421D14" w:rsidRPr="005C29F8" w:rsidRDefault="00421D14" w:rsidP="004E2151">
            <w:pPr>
              <w:pStyle w:val="Default"/>
              <w:jc w:val="center"/>
              <w:rPr>
                <w:b/>
                <w:color w:val="000000" w:themeColor="text1"/>
                <w:sz w:val="16"/>
                <w:szCs w:val="16"/>
              </w:rPr>
            </w:pPr>
          </w:p>
        </w:tc>
        <w:tc>
          <w:tcPr>
            <w:tcW w:w="394" w:type="pct"/>
            <w:shd w:val="clear" w:color="auto" w:fill="auto"/>
          </w:tcPr>
          <w:p w14:paraId="4099F831" w14:textId="0D0EDEC7" w:rsidR="00421D14" w:rsidRPr="005C29F8" w:rsidRDefault="00421D14" w:rsidP="004E2151">
            <w:pPr>
              <w:pStyle w:val="Default"/>
              <w:jc w:val="center"/>
              <w:rPr>
                <w:b/>
                <w:color w:val="000000" w:themeColor="text1"/>
                <w:sz w:val="16"/>
                <w:szCs w:val="16"/>
              </w:rPr>
            </w:pPr>
          </w:p>
        </w:tc>
        <w:tc>
          <w:tcPr>
            <w:tcW w:w="394" w:type="pct"/>
            <w:shd w:val="clear" w:color="auto" w:fill="auto"/>
          </w:tcPr>
          <w:p w14:paraId="6DD33901" w14:textId="2511B739" w:rsidR="00421D14" w:rsidRPr="005C29F8" w:rsidRDefault="00421D14" w:rsidP="004E2151">
            <w:pPr>
              <w:pStyle w:val="Default"/>
              <w:jc w:val="center"/>
              <w:rPr>
                <w:b/>
                <w:color w:val="000000" w:themeColor="text1"/>
                <w:sz w:val="16"/>
                <w:szCs w:val="16"/>
              </w:rPr>
            </w:pPr>
          </w:p>
        </w:tc>
        <w:tc>
          <w:tcPr>
            <w:tcW w:w="394" w:type="pct"/>
            <w:shd w:val="clear" w:color="auto" w:fill="auto"/>
          </w:tcPr>
          <w:p w14:paraId="5B3EC6F5" w14:textId="4FEEA89F" w:rsidR="00421D14" w:rsidRPr="005C29F8" w:rsidRDefault="00421D14" w:rsidP="004E2151">
            <w:pPr>
              <w:pStyle w:val="Default"/>
              <w:jc w:val="center"/>
              <w:rPr>
                <w:b/>
                <w:color w:val="000000" w:themeColor="text1"/>
                <w:sz w:val="16"/>
                <w:szCs w:val="16"/>
              </w:rPr>
            </w:pPr>
          </w:p>
        </w:tc>
        <w:tc>
          <w:tcPr>
            <w:tcW w:w="394" w:type="pct"/>
            <w:shd w:val="clear" w:color="auto" w:fill="auto"/>
          </w:tcPr>
          <w:p w14:paraId="12639EEA" w14:textId="2509A495" w:rsidR="00421D14" w:rsidRPr="005C29F8" w:rsidRDefault="00421D14" w:rsidP="004E2151">
            <w:pPr>
              <w:pStyle w:val="Default"/>
              <w:jc w:val="center"/>
              <w:rPr>
                <w:b/>
                <w:color w:val="000000" w:themeColor="text1"/>
                <w:sz w:val="16"/>
                <w:szCs w:val="16"/>
              </w:rPr>
            </w:pPr>
          </w:p>
        </w:tc>
        <w:tc>
          <w:tcPr>
            <w:tcW w:w="394" w:type="pct"/>
            <w:shd w:val="clear" w:color="auto" w:fill="auto"/>
          </w:tcPr>
          <w:p w14:paraId="12D43ECB" w14:textId="49457F06"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379A5AB" w14:textId="4C60D7CB"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1CD58C9B" w14:textId="0F06DF2F" w:rsidR="00421D14" w:rsidRPr="005C29F8" w:rsidRDefault="00421D14" w:rsidP="004E2151">
            <w:pPr>
              <w:pStyle w:val="Default"/>
              <w:jc w:val="center"/>
              <w:rPr>
                <w:b/>
                <w:color w:val="000000" w:themeColor="text1"/>
                <w:sz w:val="16"/>
                <w:szCs w:val="16"/>
              </w:rPr>
            </w:pPr>
          </w:p>
        </w:tc>
        <w:tc>
          <w:tcPr>
            <w:tcW w:w="394" w:type="pct"/>
            <w:shd w:val="clear" w:color="auto" w:fill="auto"/>
          </w:tcPr>
          <w:p w14:paraId="477FD6F9" w14:textId="0D879898" w:rsidR="00421D14" w:rsidRPr="005C29F8" w:rsidRDefault="00421D14" w:rsidP="004E2151">
            <w:pPr>
              <w:pStyle w:val="Default"/>
              <w:jc w:val="center"/>
              <w:rPr>
                <w:b/>
                <w:color w:val="000000" w:themeColor="text1"/>
                <w:sz w:val="16"/>
                <w:szCs w:val="16"/>
              </w:rPr>
            </w:pPr>
          </w:p>
        </w:tc>
        <w:tc>
          <w:tcPr>
            <w:tcW w:w="394" w:type="pct"/>
            <w:shd w:val="clear" w:color="auto" w:fill="auto"/>
          </w:tcPr>
          <w:p w14:paraId="0E66DEEF" w14:textId="4D5A829B" w:rsidR="00421D14" w:rsidRPr="005C29F8" w:rsidRDefault="00421D14" w:rsidP="004E2151">
            <w:pPr>
              <w:pStyle w:val="Default"/>
              <w:jc w:val="center"/>
              <w:rPr>
                <w:b/>
                <w:color w:val="000000" w:themeColor="text1"/>
                <w:sz w:val="16"/>
                <w:szCs w:val="16"/>
              </w:rPr>
            </w:pP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Elementary</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Elementary</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98.80%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99.05%</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99.34%</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99.35%</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99.25%</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99.28%</w:t>
            </w:r>
          </w:p>
        </w:tc>
      </w:tr>
      <w:tr w:rsidR="005C29F8" w:rsidRPr="005C29F8" w14:paraId="1CFECF5A" w14:textId="77777777" w:rsidTr="00044B5C">
        <w:trPr>
          <w:trHeight w:val="152"/>
        </w:trPr>
        <w:tc>
          <w:tcPr>
            <w:tcW w:w="331" w:type="pct"/>
            <w:shd w:val="clear" w:color="auto" w:fill="auto"/>
            <w:vAlign w:val="center"/>
          </w:tcPr>
          <w:p w14:paraId="61B25C66"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B</w:t>
            </w:r>
          </w:p>
        </w:tc>
        <w:tc>
          <w:tcPr>
            <w:tcW w:w="417" w:type="pct"/>
            <w:shd w:val="clear" w:color="auto" w:fill="auto"/>
            <w:vAlign w:val="center"/>
          </w:tcPr>
          <w:p w14:paraId="50890755" w14:textId="33EB3739" w:rsidR="008667B9" w:rsidRPr="005C29F8" w:rsidRDefault="008667B9" w:rsidP="00A018D4">
            <w:pPr>
              <w:jc w:val="center"/>
              <w:rPr>
                <w:rFonts w:cs="Arial"/>
                <w:color w:val="000000" w:themeColor="text1"/>
                <w:szCs w:val="16"/>
              </w:rPr>
            </w:pPr>
            <w:r w:rsidRPr="005C29F8">
              <w:rPr>
                <w:rFonts w:cs="Arial"/>
                <w:color w:val="000000" w:themeColor="text1"/>
                <w:szCs w:val="16"/>
              </w:rPr>
              <w:t>Middle</w:t>
            </w:r>
          </w:p>
        </w:tc>
        <w:tc>
          <w:tcPr>
            <w:tcW w:w="501" w:type="pct"/>
            <w:shd w:val="clear" w:color="auto" w:fill="auto"/>
            <w:vAlign w:val="center"/>
          </w:tcPr>
          <w:p w14:paraId="41152A69" w14:textId="77777777" w:rsidR="0052033B" w:rsidRPr="005C29F8" w:rsidRDefault="0052033B">
            <w:pPr>
              <w:spacing w:before="0" w:after="0"/>
              <w:jc w:val="center"/>
              <w:rPr>
                <w:rFonts w:cs="Arial"/>
                <w:color w:val="000000" w:themeColor="text1"/>
                <w:szCs w:val="16"/>
              </w:rPr>
            </w:pPr>
            <w:r w:rsidRPr="005C29F8">
              <w:rPr>
                <w:rFonts w:cs="Arial"/>
                <w:color w:val="000000" w:themeColor="text1"/>
                <w:szCs w:val="16"/>
              </w:rPr>
              <w:t>2005</w:t>
            </w:r>
          </w:p>
          <w:p w14:paraId="1547EC13" w14:textId="59D1ED07"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480F7FFD" w14:textId="657EFB7C"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15ADDB10" w14:textId="5382AAFF"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49B9B999" w14:textId="56E6E881"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7511F2AD" w14:textId="73727DF8"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4C97DDB8" w14:textId="0A577C8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7921B3E2" w14:textId="5950C3AC"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18D01145" w14:textId="77777777" w:rsidTr="00044B5C">
        <w:trPr>
          <w:trHeight w:val="80"/>
        </w:trPr>
        <w:tc>
          <w:tcPr>
            <w:tcW w:w="331" w:type="pct"/>
            <w:shd w:val="clear" w:color="auto" w:fill="auto"/>
            <w:vAlign w:val="center"/>
          </w:tcPr>
          <w:p w14:paraId="5ACF54D3" w14:textId="64F11CC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B</w:t>
            </w:r>
          </w:p>
        </w:tc>
        <w:tc>
          <w:tcPr>
            <w:tcW w:w="417" w:type="pct"/>
            <w:shd w:val="clear" w:color="auto" w:fill="auto"/>
            <w:vAlign w:val="center"/>
          </w:tcPr>
          <w:p w14:paraId="5EF5FB71" w14:textId="10EB2378" w:rsidR="00FC7E3A" w:rsidRPr="005C29F8" w:rsidRDefault="00FC7E3A">
            <w:pPr>
              <w:spacing w:before="0" w:after="0"/>
              <w:jc w:val="center"/>
              <w:rPr>
                <w:rFonts w:cs="Arial"/>
                <w:color w:val="000000" w:themeColor="text1"/>
                <w:szCs w:val="16"/>
              </w:rPr>
            </w:pPr>
            <w:r w:rsidRPr="005C29F8">
              <w:rPr>
                <w:rFonts w:cs="Arial"/>
                <w:color w:val="000000" w:themeColor="text1"/>
                <w:szCs w:val="16"/>
              </w:rPr>
              <w:t>Middle</w:t>
            </w:r>
          </w:p>
        </w:tc>
        <w:tc>
          <w:tcPr>
            <w:tcW w:w="501" w:type="pct"/>
            <w:shd w:val="clear" w:color="auto" w:fill="auto"/>
            <w:vAlign w:val="center"/>
          </w:tcPr>
          <w:p w14:paraId="20A529C4" w14:textId="21E3B3C6" w:rsidR="0052033B" w:rsidRPr="005C29F8" w:rsidRDefault="0052033B">
            <w:pPr>
              <w:spacing w:before="0" w:after="0"/>
              <w:jc w:val="center"/>
              <w:rPr>
                <w:rFonts w:cs="Arial"/>
                <w:color w:val="000000" w:themeColor="text1"/>
                <w:szCs w:val="16"/>
              </w:rPr>
            </w:pPr>
            <w:r w:rsidRPr="005C29F8">
              <w:rPr>
                <w:rFonts w:cs="Arial"/>
                <w:color w:val="000000" w:themeColor="text1"/>
                <w:szCs w:val="16"/>
              </w:rPr>
              <w:t>97.80%</w:t>
            </w:r>
          </w:p>
        </w:tc>
        <w:tc>
          <w:tcPr>
            <w:tcW w:w="497" w:type="pct"/>
            <w:shd w:val="clear" w:color="auto" w:fill="auto"/>
            <w:vAlign w:val="center"/>
          </w:tcPr>
          <w:p w14:paraId="2DE1BAE5" w14:textId="13460804"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47CBAEA5" w14:textId="561D822C" w:rsidR="00FC7E3A" w:rsidRPr="005C29F8" w:rsidRDefault="00FC7E3A" w:rsidP="00A018D4">
            <w:pPr>
              <w:jc w:val="center"/>
              <w:rPr>
                <w:rFonts w:cs="Arial"/>
                <w:color w:val="000000" w:themeColor="text1"/>
                <w:szCs w:val="16"/>
              </w:rPr>
            </w:pPr>
            <w:r w:rsidRPr="005C29F8">
              <w:rPr>
                <w:rFonts w:cs="Arial"/>
                <w:color w:val="000000" w:themeColor="text1"/>
                <w:szCs w:val="16"/>
              </w:rPr>
              <w:t>98.86%</w:t>
            </w:r>
          </w:p>
        </w:tc>
        <w:tc>
          <w:tcPr>
            <w:tcW w:w="659" w:type="pct"/>
            <w:tcBorders>
              <w:bottom w:val="single" w:sz="4" w:space="0" w:color="auto"/>
            </w:tcBorders>
            <w:shd w:val="clear" w:color="auto" w:fill="auto"/>
            <w:vAlign w:val="bottom"/>
          </w:tcPr>
          <w:p w14:paraId="6BF7C668" w14:textId="7490F0ED" w:rsidR="00FC7E3A" w:rsidRPr="005C29F8" w:rsidRDefault="00FC7E3A" w:rsidP="00A018D4">
            <w:pPr>
              <w:jc w:val="center"/>
              <w:rPr>
                <w:rFonts w:cs="Arial"/>
                <w:color w:val="000000" w:themeColor="text1"/>
                <w:szCs w:val="16"/>
              </w:rPr>
            </w:pPr>
            <w:r w:rsidRPr="005C29F8">
              <w:rPr>
                <w:rFonts w:cs="Arial"/>
                <w:color w:val="000000" w:themeColor="text1"/>
                <w:szCs w:val="16"/>
              </w:rPr>
              <w:t>98.70%</w:t>
            </w:r>
          </w:p>
        </w:tc>
        <w:tc>
          <w:tcPr>
            <w:tcW w:w="659" w:type="pct"/>
            <w:tcBorders>
              <w:bottom w:val="single" w:sz="4" w:space="0" w:color="auto"/>
            </w:tcBorders>
            <w:shd w:val="clear" w:color="auto" w:fill="auto"/>
            <w:vAlign w:val="bottom"/>
          </w:tcPr>
          <w:p w14:paraId="1B837526" w14:textId="34EF072E" w:rsidR="00FC7E3A" w:rsidRPr="005C29F8" w:rsidRDefault="00FC7E3A" w:rsidP="00A018D4">
            <w:pPr>
              <w:jc w:val="center"/>
              <w:rPr>
                <w:rFonts w:cs="Arial"/>
                <w:color w:val="000000" w:themeColor="text1"/>
                <w:szCs w:val="16"/>
              </w:rPr>
            </w:pPr>
            <w:r w:rsidRPr="005C29F8">
              <w:rPr>
                <w:rFonts w:cs="Arial"/>
                <w:color w:val="000000" w:themeColor="text1"/>
                <w:szCs w:val="16"/>
              </w:rPr>
              <w:t>99.09%</w:t>
            </w:r>
          </w:p>
        </w:tc>
        <w:tc>
          <w:tcPr>
            <w:tcW w:w="659" w:type="pct"/>
            <w:tcBorders>
              <w:bottom w:val="single" w:sz="4" w:space="0" w:color="auto"/>
            </w:tcBorders>
            <w:shd w:val="clear" w:color="auto" w:fill="auto"/>
            <w:vAlign w:val="bottom"/>
          </w:tcPr>
          <w:p w14:paraId="1D3205E7" w14:textId="23B6BCE7" w:rsidR="00FC7E3A" w:rsidRPr="005C29F8" w:rsidRDefault="00FC7E3A" w:rsidP="00A018D4">
            <w:pPr>
              <w:jc w:val="center"/>
              <w:rPr>
                <w:rFonts w:cs="Arial"/>
                <w:color w:val="000000" w:themeColor="text1"/>
                <w:szCs w:val="16"/>
              </w:rPr>
            </w:pPr>
            <w:r w:rsidRPr="005C29F8">
              <w:rPr>
                <w:rFonts w:cs="Arial"/>
                <w:color w:val="000000" w:themeColor="text1"/>
                <w:szCs w:val="16"/>
              </w:rPr>
              <w:t>98.28%</w:t>
            </w:r>
          </w:p>
        </w:tc>
        <w:tc>
          <w:tcPr>
            <w:tcW w:w="655" w:type="pct"/>
            <w:tcBorders>
              <w:bottom w:val="single" w:sz="4" w:space="0" w:color="auto"/>
            </w:tcBorders>
            <w:shd w:val="clear" w:color="auto" w:fill="auto"/>
            <w:vAlign w:val="bottom"/>
          </w:tcPr>
          <w:p w14:paraId="23193341" w14:textId="1D8BA1C9" w:rsidR="00FC7E3A" w:rsidRPr="005C29F8" w:rsidRDefault="00FC7E3A" w:rsidP="00A018D4">
            <w:pPr>
              <w:jc w:val="center"/>
              <w:rPr>
                <w:rFonts w:cs="Arial"/>
                <w:color w:val="000000" w:themeColor="text1"/>
                <w:szCs w:val="16"/>
              </w:rPr>
            </w:pPr>
            <w:r w:rsidRPr="005C29F8">
              <w:rPr>
                <w:rFonts w:cs="Arial"/>
                <w:color w:val="000000" w:themeColor="text1"/>
                <w:szCs w:val="16"/>
              </w:rPr>
              <w:t>98.19%</w:t>
            </w:r>
          </w:p>
        </w:tc>
      </w:tr>
      <w:tr w:rsidR="005C29F8" w:rsidRPr="005C29F8" w14:paraId="35AA2732" w14:textId="77777777" w:rsidTr="00044B5C">
        <w:trPr>
          <w:trHeight w:val="152"/>
        </w:trPr>
        <w:tc>
          <w:tcPr>
            <w:tcW w:w="331" w:type="pct"/>
            <w:shd w:val="clear" w:color="auto" w:fill="auto"/>
            <w:vAlign w:val="center"/>
          </w:tcPr>
          <w:p w14:paraId="156016B5"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C</w:t>
            </w:r>
          </w:p>
        </w:tc>
        <w:tc>
          <w:tcPr>
            <w:tcW w:w="417" w:type="pct"/>
            <w:shd w:val="clear" w:color="auto" w:fill="auto"/>
            <w:vAlign w:val="center"/>
          </w:tcPr>
          <w:p w14:paraId="685FBFB6" w14:textId="3C4A9C6F" w:rsidR="008667B9" w:rsidRPr="005C29F8" w:rsidRDefault="008667B9" w:rsidP="00A018D4">
            <w:pPr>
              <w:jc w:val="center"/>
              <w:rPr>
                <w:rFonts w:cs="Arial"/>
                <w:color w:val="000000" w:themeColor="text1"/>
                <w:szCs w:val="16"/>
              </w:rPr>
            </w:pPr>
            <w:r w:rsidRPr="005C29F8">
              <w:rPr>
                <w:rFonts w:cs="Arial"/>
                <w:color w:val="000000" w:themeColor="text1"/>
                <w:szCs w:val="16"/>
              </w:rPr>
              <w:t>HS</w:t>
            </w:r>
          </w:p>
        </w:tc>
        <w:tc>
          <w:tcPr>
            <w:tcW w:w="501" w:type="pct"/>
            <w:shd w:val="clear" w:color="auto" w:fill="auto"/>
            <w:vAlign w:val="center"/>
          </w:tcPr>
          <w:p w14:paraId="63F8E9C0" w14:textId="640B1E2B" w:rsidR="00857C39" w:rsidRPr="005C29F8" w:rsidRDefault="00857C39">
            <w:pPr>
              <w:spacing w:before="0" w:after="0"/>
              <w:jc w:val="center"/>
              <w:rPr>
                <w:rFonts w:cs="Arial"/>
                <w:color w:val="000000" w:themeColor="text1"/>
                <w:szCs w:val="16"/>
              </w:rPr>
            </w:pPr>
            <w:r w:rsidRPr="005C29F8">
              <w:rPr>
                <w:rFonts w:cs="Arial"/>
                <w:color w:val="000000" w:themeColor="text1"/>
                <w:szCs w:val="16"/>
              </w:rPr>
              <w:t>2005</w:t>
            </w:r>
          </w:p>
        </w:tc>
        <w:tc>
          <w:tcPr>
            <w:tcW w:w="497" w:type="pct"/>
            <w:shd w:val="clear" w:color="auto" w:fill="auto"/>
            <w:vAlign w:val="center"/>
          </w:tcPr>
          <w:p w14:paraId="23DB4D33" w14:textId="1991519B"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2F2D502E" w14:textId="76F4760E"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7869D1F5" w14:textId="1B61F39F"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0EA89303" w14:textId="17CBCA0B"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741CA4A4" w14:textId="0012D314"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09E51D85" w14:textId="6D3859E4"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17E599E5" w14:textId="77777777" w:rsidTr="00044B5C">
        <w:trPr>
          <w:trHeight w:val="80"/>
        </w:trPr>
        <w:tc>
          <w:tcPr>
            <w:tcW w:w="331" w:type="pct"/>
            <w:shd w:val="clear" w:color="auto" w:fill="auto"/>
            <w:vAlign w:val="center"/>
          </w:tcPr>
          <w:p w14:paraId="72AF1C70" w14:textId="4D475875"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C</w:t>
            </w:r>
          </w:p>
        </w:tc>
        <w:tc>
          <w:tcPr>
            <w:tcW w:w="417" w:type="pct"/>
            <w:shd w:val="clear" w:color="auto" w:fill="auto"/>
            <w:vAlign w:val="center"/>
          </w:tcPr>
          <w:p w14:paraId="42E2D6C5" w14:textId="45195878" w:rsidR="00FC7E3A" w:rsidRPr="005C29F8" w:rsidRDefault="00FC7E3A">
            <w:pPr>
              <w:spacing w:before="0" w:after="0"/>
              <w:jc w:val="center"/>
              <w:rPr>
                <w:rFonts w:cs="Arial"/>
                <w:color w:val="000000" w:themeColor="text1"/>
                <w:szCs w:val="16"/>
              </w:rPr>
            </w:pPr>
            <w:r w:rsidRPr="005C29F8">
              <w:rPr>
                <w:rFonts w:cs="Arial"/>
                <w:color w:val="000000" w:themeColor="text1"/>
                <w:szCs w:val="16"/>
              </w:rPr>
              <w:t>HS</w:t>
            </w:r>
          </w:p>
        </w:tc>
        <w:tc>
          <w:tcPr>
            <w:tcW w:w="501" w:type="pct"/>
            <w:shd w:val="clear" w:color="auto" w:fill="auto"/>
            <w:vAlign w:val="center"/>
          </w:tcPr>
          <w:p w14:paraId="09AAFB89" w14:textId="77777777" w:rsidR="00857C39" w:rsidRPr="005C29F8" w:rsidRDefault="00857C39">
            <w:pPr>
              <w:spacing w:before="0" w:after="0"/>
              <w:jc w:val="center"/>
              <w:rPr>
                <w:rFonts w:cs="Arial"/>
                <w:color w:val="000000" w:themeColor="text1"/>
                <w:szCs w:val="16"/>
              </w:rPr>
            </w:pPr>
            <w:r w:rsidRPr="005C29F8">
              <w:rPr>
                <w:rFonts w:cs="Arial"/>
                <w:color w:val="000000" w:themeColor="text1"/>
                <w:szCs w:val="16"/>
              </w:rPr>
              <w:t>95.50%</w:t>
            </w:r>
          </w:p>
          <w:p w14:paraId="41D714F0" w14:textId="0F7C4F23" w:rsidR="00FC7E3A" w:rsidRPr="005C29F8" w:rsidRDefault="00FC7E3A">
            <w:pPr>
              <w:spacing w:before="0" w:after="0"/>
              <w:jc w:val="center"/>
              <w:rPr>
                <w:rFonts w:cs="Arial"/>
                <w:color w:val="000000" w:themeColor="text1"/>
                <w:szCs w:val="16"/>
              </w:rPr>
            </w:pPr>
          </w:p>
        </w:tc>
        <w:tc>
          <w:tcPr>
            <w:tcW w:w="497" w:type="pct"/>
            <w:shd w:val="clear" w:color="auto" w:fill="auto"/>
            <w:vAlign w:val="center"/>
          </w:tcPr>
          <w:p w14:paraId="51492A82" w14:textId="6AFA119C"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7EF09FD4" w14:textId="5612EFEF" w:rsidR="00FC7E3A" w:rsidRPr="005C29F8" w:rsidRDefault="00FC7E3A" w:rsidP="00A018D4">
            <w:pPr>
              <w:jc w:val="center"/>
              <w:rPr>
                <w:rFonts w:cs="Arial"/>
                <w:color w:val="000000" w:themeColor="text1"/>
                <w:szCs w:val="16"/>
              </w:rPr>
            </w:pPr>
            <w:r w:rsidRPr="005C29F8">
              <w:rPr>
                <w:rFonts w:cs="Arial"/>
                <w:color w:val="000000" w:themeColor="text1"/>
                <w:szCs w:val="16"/>
              </w:rPr>
              <w:t>89.42%</w:t>
            </w:r>
          </w:p>
        </w:tc>
        <w:tc>
          <w:tcPr>
            <w:tcW w:w="659" w:type="pct"/>
            <w:tcBorders>
              <w:bottom w:val="single" w:sz="4" w:space="0" w:color="auto"/>
            </w:tcBorders>
            <w:shd w:val="clear" w:color="auto" w:fill="auto"/>
            <w:vAlign w:val="bottom"/>
          </w:tcPr>
          <w:p w14:paraId="703089B7" w14:textId="0ABCDD6E" w:rsidR="00FC7E3A" w:rsidRPr="005C29F8" w:rsidRDefault="00FC7E3A" w:rsidP="00A018D4">
            <w:pPr>
              <w:jc w:val="center"/>
              <w:rPr>
                <w:rFonts w:cs="Arial"/>
                <w:color w:val="000000" w:themeColor="text1"/>
                <w:szCs w:val="16"/>
              </w:rPr>
            </w:pPr>
            <w:r w:rsidRPr="005C29F8">
              <w:rPr>
                <w:rFonts w:cs="Arial"/>
                <w:color w:val="000000" w:themeColor="text1"/>
                <w:szCs w:val="16"/>
              </w:rPr>
              <w:t>94.67%</w:t>
            </w:r>
          </w:p>
        </w:tc>
        <w:tc>
          <w:tcPr>
            <w:tcW w:w="659" w:type="pct"/>
            <w:tcBorders>
              <w:bottom w:val="single" w:sz="4" w:space="0" w:color="auto"/>
            </w:tcBorders>
            <w:shd w:val="clear" w:color="auto" w:fill="auto"/>
            <w:vAlign w:val="bottom"/>
          </w:tcPr>
          <w:p w14:paraId="11201B82" w14:textId="05BD2C2B" w:rsidR="00FC7E3A" w:rsidRPr="005C29F8" w:rsidRDefault="00FC7E3A" w:rsidP="00A018D4">
            <w:pPr>
              <w:jc w:val="center"/>
              <w:rPr>
                <w:rFonts w:cs="Arial"/>
                <w:color w:val="000000" w:themeColor="text1"/>
                <w:szCs w:val="16"/>
              </w:rPr>
            </w:pPr>
            <w:r w:rsidRPr="005C29F8">
              <w:rPr>
                <w:rFonts w:cs="Arial"/>
                <w:color w:val="000000" w:themeColor="text1"/>
                <w:szCs w:val="16"/>
              </w:rPr>
              <w:t>93.28%</w:t>
            </w:r>
          </w:p>
        </w:tc>
        <w:tc>
          <w:tcPr>
            <w:tcW w:w="659" w:type="pct"/>
            <w:tcBorders>
              <w:bottom w:val="single" w:sz="4" w:space="0" w:color="auto"/>
            </w:tcBorders>
            <w:shd w:val="clear" w:color="auto" w:fill="auto"/>
            <w:vAlign w:val="bottom"/>
          </w:tcPr>
          <w:p w14:paraId="17CBFE9B" w14:textId="7E012E2D" w:rsidR="00FC7E3A" w:rsidRPr="005C29F8" w:rsidRDefault="00FC7E3A" w:rsidP="00A018D4">
            <w:pPr>
              <w:jc w:val="center"/>
              <w:rPr>
                <w:rFonts w:cs="Arial"/>
                <w:color w:val="000000" w:themeColor="text1"/>
                <w:szCs w:val="16"/>
              </w:rPr>
            </w:pPr>
            <w:r w:rsidRPr="005C29F8">
              <w:rPr>
                <w:rFonts w:cs="Arial"/>
                <w:color w:val="000000" w:themeColor="text1"/>
                <w:szCs w:val="16"/>
              </w:rPr>
              <w:t>97.04%</w:t>
            </w:r>
          </w:p>
        </w:tc>
        <w:tc>
          <w:tcPr>
            <w:tcW w:w="655" w:type="pct"/>
            <w:tcBorders>
              <w:bottom w:val="single" w:sz="4" w:space="0" w:color="auto"/>
            </w:tcBorders>
            <w:shd w:val="clear" w:color="auto" w:fill="auto"/>
            <w:vAlign w:val="bottom"/>
          </w:tcPr>
          <w:p w14:paraId="07F33284" w14:textId="38E211C4" w:rsidR="00FC7E3A" w:rsidRPr="005C29F8" w:rsidRDefault="00FC7E3A" w:rsidP="00A018D4">
            <w:pPr>
              <w:jc w:val="center"/>
              <w:rPr>
                <w:rFonts w:cs="Arial"/>
                <w:color w:val="000000" w:themeColor="text1"/>
                <w:szCs w:val="16"/>
              </w:rPr>
            </w:pPr>
            <w:r w:rsidRPr="005C29F8">
              <w:rPr>
                <w:rFonts w:cs="Arial"/>
                <w:color w:val="000000" w:themeColor="text1"/>
                <w:szCs w:val="16"/>
              </w:rPr>
              <w:t>97.48%</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Elementary</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Elementary</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98.70%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99.08%</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99.24%</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99.35%</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99.20%</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99.28%</w:t>
            </w:r>
          </w:p>
        </w:tc>
      </w:tr>
      <w:tr w:rsidR="005C29F8" w:rsidRPr="005C29F8" w14:paraId="60421105" w14:textId="77777777" w:rsidTr="00044B5C">
        <w:trPr>
          <w:trHeight w:val="152"/>
        </w:trPr>
        <w:tc>
          <w:tcPr>
            <w:tcW w:w="331" w:type="pct"/>
            <w:shd w:val="clear" w:color="auto" w:fill="auto"/>
            <w:vAlign w:val="center"/>
          </w:tcPr>
          <w:p w14:paraId="3903CE61"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B</w:t>
            </w:r>
          </w:p>
        </w:tc>
        <w:tc>
          <w:tcPr>
            <w:tcW w:w="542" w:type="pct"/>
            <w:shd w:val="clear" w:color="auto" w:fill="auto"/>
            <w:vAlign w:val="center"/>
          </w:tcPr>
          <w:p w14:paraId="2B276572" w14:textId="216BA0C8"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Middle</w:t>
            </w:r>
          </w:p>
        </w:tc>
        <w:tc>
          <w:tcPr>
            <w:tcW w:w="500" w:type="pct"/>
            <w:shd w:val="clear" w:color="auto" w:fill="auto"/>
            <w:vAlign w:val="center"/>
          </w:tcPr>
          <w:p w14:paraId="002D8AD0" w14:textId="75A47EF7"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4E7C9F79" w14:textId="42A7B135"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1DFEB2A9" w14:textId="3646124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4F18BEBB" w14:textId="3936EC7B"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0359F4C3" w14:textId="0B1AEC4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2D0F94BD" w14:textId="22E60441"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49C9DD78" w14:textId="6D3E038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490B9F1" w14:textId="77777777" w:rsidTr="00044B5C">
        <w:trPr>
          <w:trHeight w:val="80"/>
        </w:trPr>
        <w:tc>
          <w:tcPr>
            <w:tcW w:w="331" w:type="pct"/>
            <w:shd w:val="clear" w:color="auto" w:fill="auto"/>
            <w:vAlign w:val="center"/>
          </w:tcPr>
          <w:p w14:paraId="4097EE6C" w14:textId="171FE086" w:rsidR="004D1EAB" w:rsidRPr="00691ABA" w:rsidRDefault="004D1EAB">
            <w:pPr>
              <w:spacing w:before="0" w:after="0"/>
              <w:jc w:val="center"/>
              <w:rPr>
                <w:rFonts w:cs="Arial"/>
                <w:b/>
                <w:bCs/>
                <w:color w:val="000000" w:themeColor="text1"/>
                <w:szCs w:val="16"/>
              </w:rPr>
            </w:pPr>
            <w:r w:rsidRPr="00691ABA">
              <w:rPr>
                <w:rFonts w:cs="Arial"/>
                <w:b/>
                <w:bCs/>
                <w:color w:val="000000" w:themeColor="text1"/>
                <w:szCs w:val="16"/>
              </w:rPr>
              <w:t>B</w:t>
            </w:r>
          </w:p>
        </w:tc>
        <w:tc>
          <w:tcPr>
            <w:tcW w:w="542" w:type="pct"/>
            <w:shd w:val="clear" w:color="auto" w:fill="auto"/>
            <w:vAlign w:val="center"/>
          </w:tcPr>
          <w:p w14:paraId="1FA279D5" w14:textId="3CF538DD" w:rsidR="004D1EAB" w:rsidRPr="005C29F8" w:rsidRDefault="004D1EAB">
            <w:pPr>
              <w:spacing w:before="0" w:after="0"/>
              <w:jc w:val="center"/>
              <w:rPr>
                <w:rFonts w:cs="Arial"/>
                <w:color w:val="000000" w:themeColor="text1"/>
                <w:szCs w:val="16"/>
              </w:rPr>
            </w:pPr>
            <w:r w:rsidRPr="005C29F8">
              <w:rPr>
                <w:rFonts w:cs="Arial"/>
                <w:color w:val="000000" w:themeColor="text1"/>
                <w:szCs w:val="16"/>
              </w:rPr>
              <w:t>Middle</w:t>
            </w:r>
          </w:p>
        </w:tc>
        <w:tc>
          <w:tcPr>
            <w:tcW w:w="500" w:type="pct"/>
            <w:shd w:val="clear" w:color="auto" w:fill="auto"/>
            <w:vAlign w:val="center"/>
          </w:tcPr>
          <w:p w14:paraId="3656E753" w14:textId="6C432C55" w:rsidR="004D1EAB" w:rsidRPr="005C29F8" w:rsidRDefault="004A74D2">
            <w:pPr>
              <w:spacing w:before="0" w:after="0"/>
              <w:jc w:val="center"/>
              <w:rPr>
                <w:rFonts w:cs="Arial"/>
                <w:color w:val="000000" w:themeColor="text1"/>
                <w:szCs w:val="16"/>
              </w:rPr>
            </w:pPr>
            <w:r w:rsidRPr="005C29F8">
              <w:rPr>
                <w:rFonts w:cs="Arial"/>
                <w:color w:val="000000" w:themeColor="text1"/>
                <w:szCs w:val="16"/>
              </w:rPr>
              <w:t>97.90%</w:t>
            </w:r>
          </w:p>
        </w:tc>
        <w:tc>
          <w:tcPr>
            <w:tcW w:w="455" w:type="pct"/>
            <w:shd w:val="clear" w:color="auto" w:fill="auto"/>
            <w:vAlign w:val="center"/>
          </w:tcPr>
          <w:p w14:paraId="7ECB5A98" w14:textId="6E330515" w:rsidR="004D1EAB" w:rsidRPr="005C29F8" w:rsidRDefault="004D1EAB"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5A5F7779" w14:textId="0D4429C5" w:rsidR="004D1EAB" w:rsidRPr="005C29F8" w:rsidRDefault="004D1EAB" w:rsidP="00A018D4">
            <w:pPr>
              <w:jc w:val="center"/>
              <w:rPr>
                <w:rFonts w:cs="Arial"/>
                <w:color w:val="000000" w:themeColor="text1"/>
                <w:szCs w:val="16"/>
              </w:rPr>
            </w:pPr>
            <w:r w:rsidRPr="005C29F8">
              <w:rPr>
                <w:rFonts w:cs="Arial"/>
                <w:color w:val="000000" w:themeColor="text1"/>
                <w:szCs w:val="16"/>
              </w:rPr>
              <w:t>98.81%</w:t>
            </w:r>
          </w:p>
        </w:tc>
        <w:tc>
          <w:tcPr>
            <w:tcW w:w="641" w:type="pct"/>
            <w:tcBorders>
              <w:bottom w:val="single" w:sz="4" w:space="0" w:color="auto"/>
            </w:tcBorders>
            <w:shd w:val="clear" w:color="auto" w:fill="auto"/>
            <w:vAlign w:val="bottom"/>
          </w:tcPr>
          <w:p w14:paraId="1B773959" w14:textId="12F13808" w:rsidR="004D1EAB" w:rsidRPr="005C29F8" w:rsidRDefault="004D1EAB" w:rsidP="00A018D4">
            <w:pPr>
              <w:jc w:val="center"/>
              <w:rPr>
                <w:rFonts w:cs="Arial"/>
                <w:color w:val="000000" w:themeColor="text1"/>
                <w:szCs w:val="16"/>
              </w:rPr>
            </w:pPr>
            <w:r w:rsidRPr="005C29F8">
              <w:rPr>
                <w:rFonts w:cs="Arial"/>
                <w:color w:val="000000" w:themeColor="text1"/>
                <w:szCs w:val="16"/>
              </w:rPr>
              <w:t>98.70%</w:t>
            </w:r>
          </w:p>
        </w:tc>
        <w:tc>
          <w:tcPr>
            <w:tcW w:w="641" w:type="pct"/>
            <w:tcBorders>
              <w:bottom w:val="single" w:sz="4" w:space="0" w:color="auto"/>
            </w:tcBorders>
            <w:shd w:val="clear" w:color="auto" w:fill="auto"/>
            <w:vAlign w:val="bottom"/>
          </w:tcPr>
          <w:p w14:paraId="47DFBD62" w14:textId="2829905B" w:rsidR="004D1EAB" w:rsidRPr="005C29F8" w:rsidRDefault="004D1EAB" w:rsidP="00A018D4">
            <w:pPr>
              <w:jc w:val="center"/>
              <w:rPr>
                <w:rFonts w:cs="Arial"/>
                <w:color w:val="000000" w:themeColor="text1"/>
                <w:szCs w:val="16"/>
              </w:rPr>
            </w:pPr>
            <w:r w:rsidRPr="005C29F8">
              <w:rPr>
                <w:rFonts w:cs="Arial"/>
                <w:color w:val="000000" w:themeColor="text1"/>
                <w:szCs w:val="16"/>
              </w:rPr>
              <w:t>97.92%</w:t>
            </w:r>
          </w:p>
        </w:tc>
        <w:tc>
          <w:tcPr>
            <w:tcW w:w="641" w:type="pct"/>
            <w:tcBorders>
              <w:bottom w:val="single" w:sz="4" w:space="0" w:color="auto"/>
            </w:tcBorders>
            <w:shd w:val="clear" w:color="auto" w:fill="auto"/>
            <w:vAlign w:val="bottom"/>
          </w:tcPr>
          <w:p w14:paraId="6D713F53" w14:textId="2A0DBF0E" w:rsidR="004D1EAB" w:rsidRPr="005C29F8" w:rsidRDefault="004D1EAB" w:rsidP="00A018D4">
            <w:pPr>
              <w:jc w:val="center"/>
              <w:rPr>
                <w:rFonts w:cs="Arial"/>
                <w:color w:val="000000" w:themeColor="text1"/>
                <w:szCs w:val="16"/>
              </w:rPr>
            </w:pPr>
            <w:r w:rsidRPr="005C29F8">
              <w:rPr>
                <w:rFonts w:cs="Arial"/>
                <w:color w:val="000000" w:themeColor="text1"/>
                <w:szCs w:val="16"/>
              </w:rPr>
              <w:t>98.08%</w:t>
            </w:r>
          </w:p>
        </w:tc>
        <w:tc>
          <w:tcPr>
            <w:tcW w:w="624" w:type="pct"/>
            <w:tcBorders>
              <w:bottom w:val="single" w:sz="4" w:space="0" w:color="auto"/>
            </w:tcBorders>
            <w:shd w:val="clear" w:color="auto" w:fill="auto"/>
            <w:vAlign w:val="bottom"/>
          </w:tcPr>
          <w:p w14:paraId="2C97547B" w14:textId="2473AA0B" w:rsidR="004D1EAB" w:rsidRPr="005C29F8" w:rsidRDefault="004D1EAB" w:rsidP="00A018D4">
            <w:pPr>
              <w:jc w:val="center"/>
              <w:rPr>
                <w:rFonts w:cs="Arial"/>
                <w:color w:val="000000" w:themeColor="text1"/>
                <w:szCs w:val="16"/>
              </w:rPr>
            </w:pPr>
            <w:r w:rsidRPr="005C29F8">
              <w:rPr>
                <w:rFonts w:cs="Arial"/>
                <w:color w:val="000000" w:themeColor="text1"/>
                <w:szCs w:val="16"/>
              </w:rPr>
              <w:t>98.19%</w:t>
            </w:r>
          </w:p>
        </w:tc>
      </w:tr>
      <w:tr w:rsidR="005C29F8" w:rsidRPr="005C29F8" w14:paraId="46975851" w14:textId="77777777" w:rsidTr="00044B5C">
        <w:trPr>
          <w:trHeight w:val="152"/>
        </w:trPr>
        <w:tc>
          <w:tcPr>
            <w:tcW w:w="331" w:type="pct"/>
            <w:shd w:val="clear" w:color="auto" w:fill="auto"/>
            <w:vAlign w:val="center"/>
          </w:tcPr>
          <w:p w14:paraId="0D7468CA" w14:textId="77777777" w:rsidR="002A4DA7" w:rsidRPr="00691ABA" w:rsidRDefault="002A4DA7">
            <w:pPr>
              <w:spacing w:before="0" w:after="0"/>
              <w:jc w:val="center"/>
              <w:rPr>
                <w:rFonts w:cs="Arial"/>
                <w:b/>
                <w:bCs/>
                <w:color w:val="000000" w:themeColor="text1"/>
                <w:szCs w:val="16"/>
              </w:rPr>
            </w:pPr>
            <w:r w:rsidRPr="00691ABA">
              <w:rPr>
                <w:rFonts w:cs="Arial"/>
                <w:b/>
                <w:bCs/>
                <w:color w:val="000000" w:themeColor="text1"/>
                <w:szCs w:val="16"/>
              </w:rPr>
              <w:t>C</w:t>
            </w:r>
          </w:p>
        </w:tc>
        <w:tc>
          <w:tcPr>
            <w:tcW w:w="542" w:type="pct"/>
            <w:shd w:val="clear" w:color="auto" w:fill="auto"/>
            <w:vAlign w:val="center"/>
          </w:tcPr>
          <w:p w14:paraId="3CBABCAE" w14:textId="62E53022" w:rsidR="002A4DA7" w:rsidRPr="005C29F8" w:rsidDel="000B2DCB" w:rsidRDefault="002A4DA7" w:rsidP="00A018D4">
            <w:pPr>
              <w:jc w:val="center"/>
              <w:rPr>
                <w:rFonts w:cs="Arial"/>
                <w:color w:val="000000" w:themeColor="text1"/>
                <w:szCs w:val="16"/>
              </w:rPr>
            </w:pPr>
            <w:r w:rsidRPr="005C29F8">
              <w:rPr>
                <w:rFonts w:cs="Arial"/>
                <w:color w:val="000000" w:themeColor="text1"/>
                <w:szCs w:val="16"/>
              </w:rPr>
              <w:t>HS</w:t>
            </w:r>
          </w:p>
        </w:tc>
        <w:tc>
          <w:tcPr>
            <w:tcW w:w="500" w:type="pct"/>
            <w:shd w:val="clear" w:color="auto" w:fill="auto"/>
            <w:vAlign w:val="center"/>
          </w:tcPr>
          <w:p w14:paraId="5D7AE2EA" w14:textId="7458DF72" w:rsidR="00A44BD9" w:rsidRPr="005C29F8" w:rsidRDefault="00A44BD9">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74477B33" w14:textId="10810729" w:rsidR="002A4DA7" w:rsidRPr="005C29F8" w:rsidRDefault="002A4DA7"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754E3801" w14:textId="40FC755A" w:rsidR="002A4DA7" w:rsidRPr="005C29F8" w:rsidRDefault="002A4DA7"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4C76E88" w14:textId="302EE626" w:rsidR="002A4DA7" w:rsidRPr="005C29F8" w:rsidRDefault="002A4DA7"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01E82E1A" w14:textId="123FFB3A" w:rsidR="002A4DA7" w:rsidRPr="005C29F8" w:rsidRDefault="002A4DA7"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433D54FE" w14:textId="3B95951F" w:rsidR="002A4DA7" w:rsidRPr="005C29F8" w:rsidRDefault="002A4DA7"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22F25AEF" w14:textId="748690D0" w:rsidR="002A4DA7" w:rsidRPr="005C29F8" w:rsidRDefault="002A4DA7" w:rsidP="00A018D4">
            <w:pPr>
              <w:jc w:val="center"/>
              <w:rPr>
                <w:rFonts w:cs="Arial"/>
                <w:color w:val="000000" w:themeColor="text1"/>
                <w:szCs w:val="16"/>
              </w:rPr>
            </w:pPr>
            <w:r w:rsidRPr="005C29F8">
              <w:rPr>
                <w:rFonts w:cs="Arial"/>
                <w:color w:val="000000" w:themeColor="text1"/>
                <w:szCs w:val="16"/>
              </w:rPr>
              <w:t>95.00%</w:t>
            </w:r>
          </w:p>
        </w:tc>
      </w:tr>
      <w:tr w:rsidR="005C29F8" w:rsidRPr="005C29F8" w14:paraId="622D9219" w14:textId="77777777" w:rsidTr="00044B5C">
        <w:trPr>
          <w:trHeight w:val="80"/>
        </w:trPr>
        <w:tc>
          <w:tcPr>
            <w:tcW w:w="331" w:type="pct"/>
            <w:shd w:val="clear" w:color="auto" w:fill="auto"/>
            <w:vAlign w:val="center"/>
          </w:tcPr>
          <w:p w14:paraId="5D668A09" w14:textId="0C4A8655" w:rsidR="004D1EAB" w:rsidRPr="00691ABA" w:rsidRDefault="004D1EAB">
            <w:pPr>
              <w:spacing w:before="0" w:after="0"/>
              <w:jc w:val="center"/>
              <w:rPr>
                <w:rFonts w:cs="Arial"/>
                <w:b/>
                <w:bCs/>
                <w:color w:val="000000" w:themeColor="text1"/>
                <w:szCs w:val="16"/>
              </w:rPr>
            </w:pPr>
            <w:r w:rsidRPr="00691ABA">
              <w:rPr>
                <w:rFonts w:cs="Arial"/>
                <w:b/>
                <w:bCs/>
                <w:color w:val="000000" w:themeColor="text1"/>
                <w:szCs w:val="16"/>
              </w:rPr>
              <w:t>C</w:t>
            </w:r>
          </w:p>
        </w:tc>
        <w:tc>
          <w:tcPr>
            <w:tcW w:w="542" w:type="pct"/>
            <w:shd w:val="clear" w:color="auto" w:fill="auto"/>
            <w:vAlign w:val="center"/>
          </w:tcPr>
          <w:p w14:paraId="41CA64FE" w14:textId="2210276C" w:rsidR="004D1EAB" w:rsidRPr="005C29F8" w:rsidRDefault="004D1EAB">
            <w:pPr>
              <w:spacing w:before="0" w:after="0"/>
              <w:jc w:val="center"/>
              <w:rPr>
                <w:rFonts w:cs="Arial"/>
                <w:color w:val="000000" w:themeColor="text1"/>
                <w:szCs w:val="16"/>
              </w:rPr>
            </w:pPr>
            <w:r w:rsidRPr="005C29F8">
              <w:rPr>
                <w:rFonts w:cs="Arial"/>
                <w:color w:val="000000" w:themeColor="text1"/>
                <w:szCs w:val="16"/>
              </w:rPr>
              <w:t>HS</w:t>
            </w:r>
          </w:p>
        </w:tc>
        <w:tc>
          <w:tcPr>
            <w:tcW w:w="500" w:type="pct"/>
            <w:shd w:val="clear" w:color="auto" w:fill="auto"/>
            <w:vAlign w:val="center"/>
          </w:tcPr>
          <w:p w14:paraId="54F18724" w14:textId="6EB006FC" w:rsidR="004D1EAB" w:rsidRPr="005C29F8" w:rsidRDefault="00A44BD9">
            <w:pPr>
              <w:spacing w:before="0" w:after="0"/>
              <w:jc w:val="center"/>
              <w:rPr>
                <w:rFonts w:cs="Arial"/>
                <w:color w:val="000000" w:themeColor="text1"/>
                <w:szCs w:val="16"/>
              </w:rPr>
            </w:pPr>
            <w:r w:rsidRPr="005C29F8">
              <w:rPr>
                <w:rFonts w:cs="Arial"/>
                <w:color w:val="000000" w:themeColor="text1"/>
                <w:szCs w:val="16"/>
              </w:rPr>
              <w:t>95.20%</w:t>
            </w:r>
          </w:p>
        </w:tc>
        <w:tc>
          <w:tcPr>
            <w:tcW w:w="455" w:type="pct"/>
            <w:shd w:val="clear" w:color="auto" w:fill="auto"/>
            <w:vAlign w:val="center"/>
          </w:tcPr>
          <w:p w14:paraId="7AF7D2B0" w14:textId="4E6006CB" w:rsidR="004D1EAB" w:rsidRPr="005C29F8" w:rsidRDefault="004D1EAB"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5AAF2A" w14:textId="7EC2139A" w:rsidR="004D1EAB" w:rsidRPr="005C29F8" w:rsidRDefault="004D1EAB" w:rsidP="00A018D4">
            <w:pPr>
              <w:jc w:val="center"/>
              <w:rPr>
                <w:rFonts w:cs="Arial"/>
                <w:color w:val="000000" w:themeColor="text1"/>
                <w:szCs w:val="16"/>
              </w:rPr>
            </w:pPr>
            <w:r w:rsidRPr="005C29F8">
              <w:rPr>
                <w:rFonts w:cs="Arial"/>
                <w:color w:val="000000" w:themeColor="text1"/>
                <w:szCs w:val="16"/>
              </w:rPr>
              <w:t>89.55%</w:t>
            </w:r>
          </w:p>
        </w:tc>
        <w:tc>
          <w:tcPr>
            <w:tcW w:w="641" w:type="pct"/>
            <w:tcBorders>
              <w:bottom w:val="single" w:sz="4" w:space="0" w:color="auto"/>
            </w:tcBorders>
            <w:shd w:val="clear" w:color="auto" w:fill="auto"/>
            <w:vAlign w:val="bottom"/>
          </w:tcPr>
          <w:p w14:paraId="01FE903D" w14:textId="6059B1FF" w:rsidR="004D1EAB" w:rsidRPr="005C29F8" w:rsidRDefault="004D1EAB" w:rsidP="00A018D4">
            <w:pPr>
              <w:jc w:val="center"/>
              <w:rPr>
                <w:rFonts w:cs="Arial"/>
                <w:color w:val="000000" w:themeColor="text1"/>
                <w:szCs w:val="16"/>
              </w:rPr>
            </w:pPr>
            <w:r w:rsidRPr="005C29F8">
              <w:rPr>
                <w:rFonts w:cs="Arial"/>
                <w:color w:val="000000" w:themeColor="text1"/>
                <w:szCs w:val="16"/>
              </w:rPr>
              <w:t>94.67%</w:t>
            </w:r>
          </w:p>
        </w:tc>
        <w:tc>
          <w:tcPr>
            <w:tcW w:w="641" w:type="pct"/>
            <w:tcBorders>
              <w:bottom w:val="single" w:sz="4" w:space="0" w:color="auto"/>
            </w:tcBorders>
            <w:shd w:val="clear" w:color="auto" w:fill="auto"/>
            <w:vAlign w:val="bottom"/>
          </w:tcPr>
          <w:p w14:paraId="1DF02D8F" w14:textId="55B0BEFC" w:rsidR="004D1EAB" w:rsidRPr="005C29F8" w:rsidRDefault="004D1EAB" w:rsidP="00A018D4">
            <w:pPr>
              <w:jc w:val="center"/>
              <w:rPr>
                <w:rFonts w:cs="Arial"/>
                <w:color w:val="000000" w:themeColor="text1"/>
                <w:szCs w:val="16"/>
              </w:rPr>
            </w:pPr>
            <w:r w:rsidRPr="005C29F8">
              <w:rPr>
                <w:rFonts w:cs="Arial"/>
                <w:color w:val="000000" w:themeColor="text1"/>
                <w:szCs w:val="16"/>
              </w:rPr>
              <w:t>93.28%</w:t>
            </w:r>
          </w:p>
        </w:tc>
        <w:tc>
          <w:tcPr>
            <w:tcW w:w="641" w:type="pct"/>
            <w:tcBorders>
              <w:bottom w:val="single" w:sz="4" w:space="0" w:color="auto"/>
            </w:tcBorders>
            <w:shd w:val="clear" w:color="auto" w:fill="auto"/>
            <w:vAlign w:val="bottom"/>
          </w:tcPr>
          <w:p w14:paraId="22107FAD" w14:textId="11291005" w:rsidR="004D1EAB" w:rsidRPr="005C29F8" w:rsidRDefault="004D1EAB" w:rsidP="00A018D4">
            <w:pPr>
              <w:jc w:val="center"/>
              <w:rPr>
                <w:rFonts w:cs="Arial"/>
                <w:color w:val="000000" w:themeColor="text1"/>
                <w:szCs w:val="16"/>
              </w:rPr>
            </w:pPr>
            <w:r w:rsidRPr="005C29F8">
              <w:rPr>
                <w:rFonts w:cs="Arial"/>
                <w:color w:val="000000" w:themeColor="text1"/>
                <w:szCs w:val="16"/>
              </w:rPr>
              <w:t>97.04%</w:t>
            </w:r>
          </w:p>
        </w:tc>
        <w:tc>
          <w:tcPr>
            <w:tcW w:w="624" w:type="pct"/>
            <w:tcBorders>
              <w:bottom w:val="single" w:sz="4" w:space="0" w:color="auto"/>
            </w:tcBorders>
            <w:shd w:val="clear" w:color="auto" w:fill="auto"/>
            <w:vAlign w:val="bottom"/>
          </w:tcPr>
          <w:p w14:paraId="6DFEC738" w14:textId="320C2EF1" w:rsidR="004D1EAB" w:rsidRPr="005C29F8" w:rsidRDefault="004D1EAB" w:rsidP="00A018D4">
            <w:pPr>
              <w:jc w:val="center"/>
              <w:rPr>
                <w:rFonts w:cs="Arial"/>
                <w:color w:val="000000" w:themeColor="text1"/>
                <w:szCs w:val="16"/>
              </w:rPr>
            </w:pPr>
            <w:r w:rsidRPr="005C29F8">
              <w:rPr>
                <w:rFonts w:cs="Arial"/>
                <w:color w:val="000000" w:themeColor="text1"/>
                <w:szCs w:val="16"/>
              </w:rPr>
              <w:t>98.06%</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lastRenderedPageBreak/>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Elementary</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6BD665D1" w14:textId="2EBBD170" w:rsidTr="0033429D">
        <w:tc>
          <w:tcPr>
            <w:tcW w:w="600" w:type="pct"/>
            <w:shd w:val="clear" w:color="auto" w:fill="auto"/>
            <w:vAlign w:val="center"/>
          </w:tcPr>
          <w:p w14:paraId="2A84087F" w14:textId="4E8F4953"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2646C0D6" w14:textId="23685D27"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B &gt;=</w:t>
            </w:r>
          </w:p>
        </w:tc>
        <w:tc>
          <w:tcPr>
            <w:tcW w:w="1627" w:type="pct"/>
            <w:shd w:val="clear" w:color="auto" w:fill="auto"/>
            <w:vAlign w:val="center"/>
          </w:tcPr>
          <w:p w14:paraId="67079A1D" w14:textId="472018C9"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Middle</w:t>
            </w:r>
          </w:p>
        </w:tc>
        <w:tc>
          <w:tcPr>
            <w:tcW w:w="2291" w:type="pct"/>
            <w:shd w:val="clear" w:color="auto" w:fill="auto"/>
            <w:vAlign w:val="center"/>
          </w:tcPr>
          <w:p w14:paraId="03609D46" w14:textId="75CA57B6"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A08D372" w14:textId="21C9A157" w:rsidTr="0033429D">
        <w:tc>
          <w:tcPr>
            <w:tcW w:w="600" w:type="pct"/>
            <w:shd w:val="clear" w:color="auto" w:fill="auto"/>
            <w:vAlign w:val="center"/>
          </w:tcPr>
          <w:p w14:paraId="3C8DF435" w14:textId="69FCCDF1"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2CDE7790" w14:textId="3B90C904"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C &gt;=</w:t>
            </w:r>
          </w:p>
        </w:tc>
        <w:tc>
          <w:tcPr>
            <w:tcW w:w="1627" w:type="pct"/>
            <w:shd w:val="clear" w:color="auto" w:fill="auto"/>
            <w:vAlign w:val="center"/>
          </w:tcPr>
          <w:p w14:paraId="69727A60" w14:textId="7582F126"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HS</w:t>
            </w:r>
          </w:p>
        </w:tc>
        <w:tc>
          <w:tcPr>
            <w:tcW w:w="2291" w:type="pct"/>
            <w:shd w:val="clear" w:color="auto" w:fill="auto"/>
            <w:vAlign w:val="center"/>
          </w:tcPr>
          <w:p w14:paraId="6D9D8EC6" w14:textId="3C7C8315"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Elementary</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26043383" w14:textId="1BB3D0D6" w:rsidTr="0033429D">
        <w:tc>
          <w:tcPr>
            <w:tcW w:w="600" w:type="pct"/>
            <w:shd w:val="clear" w:color="auto" w:fill="auto"/>
            <w:vAlign w:val="center"/>
          </w:tcPr>
          <w:p w14:paraId="2BCD3006" w14:textId="785241B2"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79B80F0C" w14:textId="52C31857"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B &gt;=</w:t>
            </w:r>
          </w:p>
        </w:tc>
        <w:tc>
          <w:tcPr>
            <w:tcW w:w="1627" w:type="pct"/>
            <w:shd w:val="clear" w:color="auto" w:fill="auto"/>
            <w:vAlign w:val="center"/>
          </w:tcPr>
          <w:p w14:paraId="27B1E35D" w14:textId="0FBD6D6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Middle</w:t>
            </w:r>
          </w:p>
        </w:tc>
        <w:tc>
          <w:tcPr>
            <w:tcW w:w="2291" w:type="pct"/>
            <w:shd w:val="clear" w:color="auto" w:fill="auto"/>
            <w:vAlign w:val="center"/>
          </w:tcPr>
          <w:p w14:paraId="25263A65" w14:textId="2189A9FC"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169D5323" w14:textId="52B67B99" w:rsidTr="0033429D">
        <w:tc>
          <w:tcPr>
            <w:tcW w:w="600" w:type="pct"/>
            <w:shd w:val="clear" w:color="auto" w:fill="auto"/>
            <w:vAlign w:val="center"/>
          </w:tcPr>
          <w:p w14:paraId="21DAE194" w14:textId="06AF539C"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650CB8D7" w14:textId="080D022D" w:rsidR="00085D89" w:rsidRPr="005C29F8" w:rsidRDefault="00085D89" w:rsidP="002A4DA7">
            <w:pPr>
              <w:spacing w:before="0" w:after="0"/>
              <w:jc w:val="center"/>
              <w:rPr>
                <w:rFonts w:cs="Arial"/>
                <w:color w:val="000000" w:themeColor="text1"/>
                <w:szCs w:val="16"/>
              </w:rPr>
            </w:pPr>
            <w:r w:rsidRPr="005C29F8">
              <w:rPr>
                <w:rFonts w:cs="Arial"/>
                <w:color w:val="000000" w:themeColor="text1"/>
                <w:szCs w:val="16"/>
              </w:rPr>
              <w:t>C &gt;=</w:t>
            </w:r>
          </w:p>
        </w:tc>
        <w:tc>
          <w:tcPr>
            <w:tcW w:w="1627" w:type="pct"/>
            <w:shd w:val="clear" w:color="auto" w:fill="auto"/>
            <w:vAlign w:val="center"/>
          </w:tcPr>
          <w:p w14:paraId="45DBFB21" w14:textId="7BF3DA2C"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HS</w:t>
            </w:r>
          </w:p>
        </w:tc>
        <w:tc>
          <w:tcPr>
            <w:tcW w:w="2291" w:type="pct"/>
            <w:shd w:val="clear" w:color="auto" w:fill="auto"/>
            <w:vAlign w:val="center"/>
          </w:tcPr>
          <w:p w14:paraId="341BF449" w14:textId="76191C29"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2C104549" w14:textId="03A0AB0D" w:rsidR="002D145D" w:rsidRPr="005C29F8" w:rsidRDefault="002D145D" w:rsidP="002D145D">
      <w:pPr>
        <w:rPr>
          <w:rFonts w:cs="Arial"/>
          <w:color w:val="000000" w:themeColor="text1"/>
          <w:szCs w:val="16"/>
        </w:rPr>
      </w:pPr>
    </w:p>
    <w:p w14:paraId="2446B7C2" w14:textId="77777777" w:rsidR="00F20369" w:rsidRPr="005C29F8" w:rsidRDefault="00F20369" w:rsidP="004369B2">
      <w:pPr>
        <w:rPr>
          <w:color w:val="000000" w:themeColor="text1"/>
        </w:rPr>
      </w:pPr>
      <w:bookmarkStart w:id="14"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Reading  (EDFacts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SY 2019-20 Assessment Data Groups - Math  (EDFacts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lastRenderedPageBreak/>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4"/>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1026"/>
        <w:gridCol w:w="1395"/>
        <w:gridCol w:w="1268"/>
        <w:gridCol w:w="1161"/>
        <w:gridCol w:w="1627"/>
        <w:gridCol w:w="1066"/>
        <w:gridCol w:w="1293"/>
        <w:gridCol w:w="1258"/>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Elementary</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99.28%</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7A5387EE" w14:textId="77777777" w:rsidTr="0033429D">
        <w:tc>
          <w:tcPr>
            <w:tcW w:w="290" w:type="pct"/>
            <w:shd w:val="clear" w:color="auto" w:fill="auto"/>
            <w:vAlign w:val="center"/>
          </w:tcPr>
          <w:p w14:paraId="729AFDF4" w14:textId="72203283"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B</w:t>
            </w:r>
          </w:p>
        </w:tc>
        <w:tc>
          <w:tcPr>
            <w:tcW w:w="421" w:type="pct"/>
            <w:shd w:val="clear" w:color="auto" w:fill="auto"/>
            <w:vAlign w:val="center"/>
          </w:tcPr>
          <w:p w14:paraId="33B7C97E" w14:textId="00A363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Middle</w:t>
            </w:r>
          </w:p>
        </w:tc>
        <w:tc>
          <w:tcPr>
            <w:tcW w:w="659" w:type="pct"/>
            <w:shd w:val="clear" w:color="auto" w:fill="auto"/>
            <w:vAlign w:val="center"/>
          </w:tcPr>
          <w:p w14:paraId="3F0D6576" w14:textId="5681B7E3"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FFA4863" w14:textId="7BBF24D2"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3FB80D14" w14:textId="17D00589" w:rsidR="004E1F6F" w:rsidRPr="005C29F8" w:rsidRDefault="004E1F6F" w:rsidP="004E1F6F">
            <w:pPr>
              <w:jc w:val="center"/>
              <w:rPr>
                <w:rFonts w:cs="Arial"/>
                <w:color w:val="000000" w:themeColor="text1"/>
                <w:szCs w:val="16"/>
              </w:rPr>
            </w:pPr>
            <w:r w:rsidRPr="005C29F8">
              <w:rPr>
                <w:rFonts w:cs="Arial"/>
                <w:color w:val="000000" w:themeColor="text1"/>
                <w:szCs w:val="16"/>
              </w:rPr>
              <w:t>98.19%</w:t>
            </w:r>
          </w:p>
        </w:tc>
        <w:tc>
          <w:tcPr>
            <w:tcW w:w="766" w:type="pct"/>
            <w:shd w:val="clear" w:color="auto" w:fill="auto"/>
            <w:vAlign w:val="center"/>
          </w:tcPr>
          <w:p w14:paraId="12DA8FB6" w14:textId="2A9832BB"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65C7EB9E" w14:textId="563BFA2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1A6F692" w14:textId="65CC634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3D4E27A4" w14:textId="7BDAA77C"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26B346DD" w14:textId="77777777" w:rsidTr="0033429D">
        <w:tc>
          <w:tcPr>
            <w:tcW w:w="290" w:type="pct"/>
            <w:shd w:val="clear" w:color="auto" w:fill="auto"/>
            <w:vAlign w:val="center"/>
          </w:tcPr>
          <w:p w14:paraId="2B13C665" w14:textId="583EB28A"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C</w:t>
            </w:r>
          </w:p>
        </w:tc>
        <w:tc>
          <w:tcPr>
            <w:tcW w:w="421" w:type="pct"/>
            <w:shd w:val="clear" w:color="auto" w:fill="auto"/>
            <w:vAlign w:val="center"/>
          </w:tcPr>
          <w:p w14:paraId="6D97D346" w14:textId="45F7C60D"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HS</w:t>
            </w:r>
          </w:p>
        </w:tc>
        <w:tc>
          <w:tcPr>
            <w:tcW w:w="659" w:type="pct"/>
            <w:shd w:val="clear" w:color="auto" w:fill="auto"/>
            <w:vAlign w:val="center"/>
          </w:tcPr>
          <w:p w14:paraId="30AED5C7" w14:textId="49786478"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3E4BF8E7" w14:textId="6EF481D9"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039885F2" w14:textId="68486387" w:rsidR="004E1F6F" w:rsidRPr="005C29F8" w:rsidRDefault="004E1F6F" w:rsidP="004E1F6F">
            <w:pPr>
              <w:jc w:val="center"/>
              <w:rPr>
                <w:rFonts w:cs="Arial"/>
                <w:color w:val="000000" w:themeColor="text1"/>
                <w:szCs w:val="16"/>
              </w:rPr>
            </w:pPr>
            <w:r w:rsidRPr="005C29F8">
              <w:rPr>
                <w:rFonts w:cs="Arial"/>
                <w:color w:val="000000" w:themeColor="text1"/>
                <w:szCs w:val="16"/>
              </w:rPr>
              <w:t>97.48%</w:t>
            </w:r>
          </w:p>
        </w:tc>
        <w:tc>
          <w:tcPr>
            <w:tcW w:w="766" w:type="pct"/>
            <w:shd w:val="clear" w:color="auto" w:fill="auto"/>
            <w:vAlign w:val="center"/>
          </w:tcPr>
          <w:p w14:paraId="0D574818" w14:textId="0B8E29B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68757684" w14:textId="14D897E8"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7D508FD3" w14:textId="5052E8AD"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16AA84BF" w14:textId="66A4BF3F"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26"/>
        <w:gridCol w:w="1388"/>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Elementary</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99.28%</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33C5CE6C" w14:textId="77777777" w:rsidTr="0033429D">
        <w:tc>
          <w:tcPr>
            <w:tcW w:w="222" w:type="pct"/>
            <w:shd w:val="clear" w:color="auto" w:fill="auto"/>
            <w:vAlign w:val="center"/>
          </w:tcPr>
          <w:p w14:paraId="17123B1B" w14:textId="50BB2C71" w:rsidR="004E1F6F" w:rsidRPr="005C29F8" w:rsidRDefault="004E1F6F" w:rsidP="004E1F6F">
            <w:pPr>
              <w:pStyle w:val="Default"/>
              <w:jc w:val="center"/>
              <w:rPr>
                <w:b/>
                <w:color w:val="000000" w:themeColor="text1"/>
                <w:sz w:val="16"/>
                <w:szCs w:val="16"/>
              </w:rPr>
            </w:pPr>
            <w:r w:rsidRPr="005C29F8">
              <w:rPr>
                <w:b/>
                <w:color w:val="000000" w:themeColor="text1"/>
                <w:sz w:val="16"/>
                <w:szCs w:val="16"/>
              </w:rPr>
              <w:t>B</w:t>
            </w:r>
          </w:p>
        </w:tc>
        <w:tc>
          <w:tcPr>
            <w:tcW w:w="485" w:type="pct"/>
            <w:shd w:val="clear" w:color="auto" w:fill="auto"/>
            <w:vAlign w:val="center"/>
          </w:tcPr>
          <w:p w14:paraId="45DA42B4" w14:textId="1A29119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Middle</w:t>
            </w:r>
          </w:p>
        </w:tc>
        <w:tc>
          <w:tcPr>
            <w:tcW w:w="659" w:type="pct"/>
            <w:shd w:val="clear" w:color="auto" w:fill="auto"/>
            <w:vAlign w:val="center"/>
          </w:tcPr>
          <w:p w14:paraId="31722F1C" w14:textId="07DC9DF7"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048616C6" w14:textId="565885A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272455FD" w14:textId="25614537" w:rsidR="004E1F6F" w:rsidRPr="005C29F8" w:rsidRDefault="004E1F6F" w:rsidP="004E1F6F">
            <w:pPr>
              <w:jc w:val="center"/>
              <w:rPr>
                <w:rFonts w:cs="Arial"/>
                <w:color w:val="000000" w:themeColor="text1"/>
                <w:szCs w:val="16"/>
              </w:rPr>
            </w:pPr>
            <w:r w:rsidRPr="005C29F8">
              <w:rPr>
                <w:rFonts w:cs="Arial"/>
                <w:color w:val="000000" w:themeColor="text1"/>
                <w:szCs w:val="16"/>
              </w:rPr>
              <w:t>98.19%</w:t>
            </w:r>
          </w:p>
        </w:tc>
        <w:tc>
          <w:tcPr>
            <w:tcW w:w="766" w:type="pct"/>
            <w:shd w:val="clear" w:color="auto" w:fill="auto"/>
            <w:vAlign w:val="center"/>
          </w:tcPr>
          <w:p w14:paraId="38039D42" w14:textId="45468742"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7DB4B85A" w14:textId="6DFB205A"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19114A8F" w14:textId="4F4B3C1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47661F26" w14:textId="727C954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573A5711" w14:textId="77777777" w:rsidTr="0033429D">
        <w:tc>
          <w:tcPr>
            <w:tcW w:w="222" w:type="pct"/>
            <w:shd w:val="clear" w:color="auto" w:fill="auto"/>
            <w:vAlign w:val="center"/>
          </w:tcPr>
          <w:p w14:paraId="3C25BE15"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C</w:t>
            </w:r>
          </w:p>
        </w:tc>
        <w:tc>
          <w:tcPr>
            <w:tcW w:w="485" w:type="pct"/>
            <w:shd w:val="clear" w:color="auto" w:fill="auto"/>
            <w:vAlign w:val="center"/>
          </w:tcPr>
          <w:p w14:paraId="1B1F6BC3" w14:textId="48C76E58"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HS</w:t>
            </w:r>
          </w:p>
        </w:tc>
        <w:tc>
          <w:tcPr>
            <w:tcW w:w="659" w:type="pct"/>
            <w:shd w:val="clear" w:color="auto" w:fill="auto"/>
            <w:vAlign w:val="center"/>
          </w:tcPr>
          <w:p w14:paraId="0EFA1043" w14:textId="35A4CB85"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A4E8BA5" w14:textId="1D0D18F7"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2250005A" w14:textId="360EA34B" w:rsidR="004E1F6F" w:rsidRPr="005C29F8" w:rsidRDefault="004E1F6F" w:rsidP="004E1F6F">
            <w:pPr>
              <w:jc w:val="center"/>
              <w:rPr>
                <w:rFonts w:cs="Arial"/>
                <w:color w:val="000000" w:themeColor="text1"/>
                <w:szCs w:val="16"/>
              </w:rPr>
            </w:pPr>
            <w:r w:rsidRPr="005C29F8">
              <w:rPr>
                <w:rFonts w:cs="Arial"/>
                <w:color w:val="000000" w:themeColor="text1"/>
                <w:szCs w:val="16"/>
              </w:rPr>
              <w:t>98.06%</w:t>
            </w:r>
          </w:p>
        </w:tc>
        <w:tc>
          <w:tcPr>
            <w:tcW w:w="766" w:type="pct"/>
            <w:shd w:val="clear" w:color="auto" w:fill="auto"/>
            <w:vAlign w:val="center"/>
          </w:tcPr>
          <w:p w14:paraId="722A3424" w14:textId="24478E1D"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581F32CD" w14:textId="4D615B60"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3FECC7B3" w14:textId="2C921A8F"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79B60713" w14:textId="20FD718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https://edu.wyoming.gov/data/assessment-reports/</w:t>
      </w:r>
    </w:p>
    <w:p w14:paraId="2BE473B4" w14:textId="77777777" w:rsidR="00053391" w:rsidRPr="005C29F8" w:rsidRDefault="00053391" w:rsidP="004369B2">
      <w:pPr>
        <w:rPr>
          <w:b/>
          <w:color w:val="000000" w:themeColor="text1"/>
        </w:rPr>
      </w:pPr>
      <w:bookmarkStart w:id="15" w:name="_Toc382082367"/>
      <w:bookmarkStart w:id="16"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 xml:space="preserve">FFY19 - no data due to COVID-19. Wyoming assessment waiver submitted and approved by the USDOE. </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5"/>
      <w:bookmarkEnd w:id="16"/>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7" w:name="_Toc384383330"/>
      <w:bookmarkStart w:id="18" w:name="_Toc392159282"/>
      <w:bookmarkStart w:id="19"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Elementary</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p>
        </w:tc>
      </w:tr>
      <w:tr w:rsidR="005C29F8" w:rsidRPr="005C29F8" w14:paraId="3E97A964" w14:textId="77777777" w:rsidTr="0033429D">
        <w:trPr>
          <w:trHeight w:val="361"/>
        </w:trPr>
        <w:tc>
          <w:tcPr>
            <w:tcW w:w="271" w:type="pct"/>
            <w:shd w:val="clear" w:color="auto" w:fill="auto"/>
            <w:vAlign w:val="center"/>
          </w:tcPr>
          <w:p w14:paraId="42A1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B</w:t>
            </w:r>
          </w:p>
        </w:tc>
        <w:tc>
          <w:tcPr>
            <w:tcW w:w="394" w:type="pct"/>
            <w:shd w:val="clear" w:color="auto" w:fill="auto"/>
            <w:vAlign w:val="center"/>
          </w:tcPr>
          <w:p w14:paraId="42CB5912" w14:textId="540EAFA7" w:rsidR="00421D14" w:rsidRPr="005C29F8" w:rsidRDefault="00421D14" w:rsidP="007D7A20">
            <w:pPr>
              <w:pStyle w:val="Default"/>
              <w:jc w:val="center"/>
              <w:rPr>
                <w:color w:val="000000" w:themeColor="text1"/>
                <w:sz w:val="16"/>
                <w:szCs w:val="16"/>
              </w:rPr>
            </w:pPr>
            <w:r w:rsidRPr="005C29F8">
              <w:rPr>
                <w:color w:val="000000" w:themeColor="text1"/>
                <w:sz w:val="16"/>
                <w:szCs w:val="16"/>
              </w:rPr>
              <w:t>Middle</w:t>
            </w:r>
          </w:p>
        </w:tc>
        <w:tc>
          <w:tcPr>
            <w:tcW w:w="394" w:type="pct"/>
            <w:shd w:val="clear" w:color="auto" w:fill="auto"/>
            <w:vAlign w:val="center"/>
          </w:tcPr>
          <w:p w14:paraId="0E24D5D8" w14:textId="007261AB"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362C6BD4" w14:textId="51E439BB"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1316BDF" w14:textId="5B520260"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40042B45" w14:textId="3F75F240"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7AFCC710" w14:textId="3D56469D"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E6D9837" w14:textId="70330E8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D7542EE" w14:textId="084F4465"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76959334" w14:textId="5DB4E1AC"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33D1D90" w14:textId="2FE64C1E"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3AA3F7E7" w14:textId="59CFC431"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3F6A238C" w14:textId="17C0B1C8" w:rsidR="00421D14" w:rsidRPr="005C29F8" w:rsidRDefault="00421D14" w:rsidP="007D7A20">
            <w:pPr>
              <w:pStyle w:val="Default"/>
              <w:jc w:val="center"/>
              <w:rPr>
                <w:b/>
                <w:color w:val="000000" w:themeColor="text1"/>
                <w:sz w:val="16"/>
                <w:szCs w:val="16"/>
              </w:rPr>
            </w:pPr>
          </w:p>
        </w:tc>
      </w:tr>
      <w:tr w:rsidR="005C29F8" w:rsidRPr="005C29F8" w14:paraId="0FFB6D10" w14:textId="77777777" w:rsidTr="0033429D">
        <w:trPr>
          <w:trHeight w:val="361"/>
        </w:trPr>
        <w:tc>
          <w:tcPr>
            <w:tcW w:w="271" w:type="pct"/>
            <w:shd w:val="clear" w:color="auto" w:fill="auto"/>
            <w:vAlign w:val="center"/>
          </w:tcPr>
          <w:p w14:paraId="5B4A303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C</w:t>
            </w:r>
          </w:p>
        </w:tc>
        <w:tc>
          <w:tcPr>
            <w:tcW w:w="394" w:type="pct"/>
            <w:shd w:val="clear" w:color="auto" w:fill="auto"/>
            <w:vAlign w:val="center"/>
          </w:tcPr>
          <w:p w14:paraId="4829052D" w14:textId="4E2A3173" w:rsidR="00421D14" w:rsidRPr="005C29F8" w:rsidRDefault="00421D14" w:rsidP="007D7A20">
            <w:pPr>
              <w:pStyle w:val="Default"/>
              <w:jc w:val="center"/>
              <w:rPr>
                <w:color w:val="000000" w:themeColor="text1"/>
                <w:sz w:val="16"/>
                <w:szCs w:val="16"/>
              </w:rPr>
            </w:pPr>
            <w:r w:rsidRPr="005C29F8">
              <w:rPr>
                <w:color w:val="000000" w:themeColor="text1"/>
                <w:sz w:val="16"/>
                <w:szCs w:val="16"/>
              </w:rPr>
              <w:t>HS</w:t>
            </w:r>
          </w:p>
        </w:tc>
        <w:tc>
          <w:tcPr>
            <w:tcW w:w="394" w:type="pct"/>
            <w:shd w:val="clear" w:color="auto" w:fill="auto"/>
            <w:vAlign w:val="center"/>
          </w:tcPr>
          <w:p w14:paraId="68B85C99" w14:textId="0038A7A4"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03C53DD7" w14:textId="1AF7DD18"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40E215EE" w14:textId="6D1A6A33"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3C702779" w14:textId="3DDDD546"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35A728E5" w14:textId="2C313487"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8D8AE28" w14:textId="2DE0E4EE"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5B9E33FC" w14:textId="5606F85F"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3D2343" w14:textId="34A02385"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77E9D94" w14:textId="7A8906DB"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5F70013E" w14:textId="22B01861" w:rsidR="00421D14" w:rsidRPr="005C29F8" w:rsidRDefault="00421D14" w:rsidP="007D7A20">
            <w:pPr>
              <w:pStyle w:val="Default"/>
              <w:jc w:val="center"/>
              <w:rPr>
                <w:b/>
                <w:color w:val="000000" w:themeColor="text1"/>
                <w:sz w:val="16"/>
                <w:szCs w:val="16"/>
              </w:rPr>
            </w:pPr>
          </w:p>
        </w:tc>
        <w:tc>
          <w:tcPr>
            <w:tcW w:w="394" w:type="pct"/>
            <w:shd w:val="clear" w:color="auto" w:fill="auto"/>
            <w:vAlign w:val="center"/>
          </w:tcPr>
          <w:p w14:paraId="66EC967D" w14:textId="28203D6D" w:rsidR="00421D14" w:rsidRPr="005C29F8" w:rsidRDefault="00421D14" w:rsidP="007D7A20">
            <w:pPr>
              <w:pStyle w:val="Default"/>
              <w:jc w:val="center"/>
              <w:rPr>
                <w:b/>
                <w:color w:val="000000" w:themeColor="text1"/>
                <w:sz w:val="16"/>
                <w:szCs w:val="16"/>
              </w:rPr>
            </w:pP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Elementary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Elementary</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23.69%</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26.35%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26.87%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26.48%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22.25%</w:t>
            </w:r>
          </w:p>
        </w:tc>
      </w:tr>
      <w:tr w:rsidR="005C29F8" w:rsidRPr="005C29F8" w14:paraId="48ADE572"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0660A478"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B</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4924D8F" w14:textId="52382C45" w:rsidR="00A447E0" w:rsidRPr="005C29F8" w:rsidRDefault="00A447E0" w:rsidP="00A018D4">
            <w:pPr>
              <w:jc w:val="center"/>
              <w:rPr>
                <w:rFonts w:cs="Arial"/>
                <w:color w:val="000000" w:themeColor="text1"/>
                <w:szCs w:val="16"/>
              </w:rPr>
            </w:pPr>
            <w:r w:rsidRPr="005C29F8">
              <w:rPr>
                <w:rFonts w:cs="Arial"/>
                <w:color w:val="000000" w:themeColor="text1"/>
                <w:szCs w:val="16"/>
              </w:rPr>
              <w:t>Middle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3BB6491B" w14:textId="7AAE9EC1" w:rsidR="005C280E" w:rsidRPr="005C29F8" w:rsidRDefault="005C280E" w:rsidP="00A018D4">
            <w:pPr>
              <w:jc w:val="center"/>
              <w:rPr>
                <w:rFonts w:cs="Arial"/>
                <w:color w:val="000000" w:themeColor="text1"/>
                <w:szCs w:val="16"/>
              </w:rPr>
            </w:pPr>
            <w:r w:rsidRPr="005C29F8">
              <w:rPr>
                <w:rFonts w:cs="Arial"/>
                <w:color w:val="000000" w:themeColor="text1"/>
                <w:szCs w:val="16"/>
              </w:rPr>
              <w:t>2017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B1F68B3"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F007756" w14:textId="74F0B47B"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FEF160E" w14:textId="6E28EA51"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22DDB93" w14:textId="731EB410"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44D4AA1" w14:textId="11EB773C"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34CD1F" w14:textId="5F91E1B7"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07815739"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2480F52" w14:textId="55978A5D"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B</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1808C84" w14:textId="31A3F238" w:rsidR="004427EB" w:rsidRPr="005C29F8" w:rsidRDefault="004427EB" w:rsidP="00A018D4">
            <w:pPr>
              <w:jc w:val="center"/>
              <w:rPr>
                <w:rFonts w:cs="Arial"/>
                <w:color w:val="000000" w:themeColor="text1"/>
                <w:szCs w:val="16"/>
              </w:rPr>
            </w:pPr>
            <w:r w:rsidRPr="005C29F8">
              <w:rPr>
                <w:rFonts w:cs="Arial"/>
                <w:color w:val="000000" w:themeColor="text1"/>
                <w:szCs w:val="16"/>
              </w:rPr>
              <w:t>Middle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B9B619F" w14:textId="6C3DF673" w:rsidR="004427EB" w:rsidRPr="005C29F8" w:rsidRDefault="005C280E" w:rsidP="00A018D4">
            <w:pPr>
              <w:jc w:val="center"/>
              <w:rPr>
                <w:rFonts w:cs="Arial"/>
                <w:color w:val="000000" w:themeColor="text1"/>
                <w:szCs w:val="16"/>
              </w:rPr>
            </w:pPr>
            <w:r w:rsidRPr="005C29F8">
              <w:rPr>
                <w:rFonts w:cs="Arial"/>
                <w:color w:val="000000" w:themeColor="text1"/>
                <w:szCs w:val="16"/>
              </w:rPr>
              <w:t>20.12%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2FCD70C"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8D2A95F" w14:textId="124BC9DB" w:rsidR="004427EB" w:rsidRPr="005C29F8" w:rsidRDefault="004427EB" w:rsidP="00A018D4">
            <w:pPr>
              <w:jc w:val="center"/>
              <w:rPr>
                <w:rFonts w:cs="Arial"/>
                <w:color w:val="000000" w:themeColor="text1"/>
                <w:szCs w:val="16"/>
              </w:rPr>
            </w:pPr>
            <w:r w:rsidRPr="005C29F8">
              <w:rPr>
                <w:rFonts w:cs="Arial"/>
                <w:color w:val="000000" w:themeColor="text1"/>
                <w:szCs w:val="16"/>
              </w:rPr>
              <w:t>18.88%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4B87C55" w14:textId="05B6BBE0" w:rsidR="004427EB" w:rsidRPr="005C29F8" w:rsidRDefault="004427EB" w:rsidP="00A018D4">
            <w:pPr>
              <w:jc w:val="center"/>
              <w:rPr>
                <w:rFonts w:cs="Arial"/>
                <w:color w:val="000000" w:themeColor="text1"/>
                <w:szCs w:val="16"/>
              </w:rPr>
            </w:pPr>
            <w:r w:rsidRPr="005C29F8">
              <w:rPr>
                <w:rFonts w:cs="Arial"/>
                <w:color w:val="000000" w:themeColor="text1"/>
                <w:szCs w:val="16"/>
              </w:rPr>
              <w:t>18.73%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48672B1" w14:textId="41825C0A" w:rsidR="004427EB" w:rsidRPr="005C29F8" w:rsidRDefault="004427EB" w:rsidP="00A018D4">
            <w:pPr>
              <w:jc w:val="center"/>
              <w:rPr>
                <w:rFonts w:cs="Arial"/>
                <w:color w:val="000000" w:themeColor="text1"/>
                <w:szCs w:val="16"/>
              </w:rPr>
            </w:pPr>
            <w:r w:rsidRPr="005C29F8">
              <w:rPr>
                <w:rFonts w:cs="Arial"/>
                <w:color w:val="000000" w:themeColor="text1"/>
                <w:szCs w:val="16"/>
              </w:rPr>
              <w:t>18.48%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4EAB16A" w14:textId="6016D88B" w:rsidR="004427EB" w:rsidRPr="005C29F8" w:rsidRDefault="004427EB" w:rsidP="00A018D4">
            <w:pPr>
              <w:jc w:val="center"/>
              <w:rPr>
                <w:rFonts w:cs="Arial"/>
                <w:color w:val="000000" w:themeColor="text1"/>
                <w:szCs w:val="16"/>
              </w:rPr>
            </w:pPr>
            <w:r w:rsidRPr="005C29F8">
              <w:rPr>
                <w:rFonts w:cs="Arial"/>
                <w:color w:val="000000" w:themeColor="text1"/>
                <w:szCs w:val="16"/>
              </w:rPr>
              <w:t>20.12%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A5036D" w14:textId="709F5FBC" w:rsidR="004427EB" w:rsidRPr="005C29F8" w:rsidRDefault="004427EB" w:rsidP="00A018D4">
            <w:pPr>
              <w:jc w:val="center"/>
              <w:rPr>
                <w:rFonts w:cs="Arial"/>
                <w:color w:val="000000" w:themeColor="text1"/>
                <w:szCs w:val="16"/>
              </w:rPr>
            </w:pPr>
            <w:r w:rsidRPr="005C29F8">
              <w:rPr>
                <w:rFonts w:cs="Arial"/>
                <w:color w:val="000000" w:themeColor="text1"/>
                <w:szCs w:val="16"/>
              </w:rPr>
              <w:t>19.41%</w:t>
            </w:r>
          </w:p>
        </w:tc>
      </w:tr>
      <w:tr w:rsidR="005C29F8" w:rsidRPr="005C29F8" w14:paraId="55F36026"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07FBEB65"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C</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6823251" w14:textId="0B8E6283" w:rsidR="00A447E0" w:rsidRPr="005C29F8" w:rsidRDefault="00A447E0" w:rsidP="00A018D4">
            <w:pPr>
              <w:jc w:val="center"/>
              <w:rPr>
                <w:rFonts w:cs="Arial"/>
                <w:color w:val="000000" w:themeColor="text1"/>
                <w:szCs w:val="16"/>
              </w:rPr>
            </w:pPr>
            <w:r w:rsidRPr="005C29F8">
              <w:rPr>
                <w:rFonts w:cs="Arial"/>
                <w:color w:val="000000" w:themeColor="text1"/>
                <w:szCs w:val="16"/>
              </w:rPr>
              <w:t>HS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BD14935" w14:textId="60122BF9" w:rsidR="00D8388A" w:rsidRPr="005C29F8" w:rsidRDefault="00D8388A" w:rsidP="00A018D4">
            <w:pPr>
              <w:jc w:val="center"/>
              <w:rPr>
                <w:rFonts w:cs="Arial"/>
                <w:color w:val="000000" w:themeColor="text1"/>
                <w:szCs w:val="16"/>
              </w:rPr>
            </w:pPr>
            <w:r w:rsidRPr="005C29F8">
              <w:rPr>
                <w:rFonts w:cs="Arial"/>
                <w:color w:val="000000" w:themeColor="text1"/>
                <w:szCs w:val="16"/>
              </w:rPr>
              <w:t>2017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6F252C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95EF5BC" w14:textId="7D694EC8"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B060BC7" w14:textId="41968557"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1FED35F" w14:textId="2593EB38"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7FFA394" w14:textId="1E6F01A0"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3323DB" w14:textId="0533F7A4" w:rsidR="00A447E0" w:rsidRPr="005C29F8" w:rsidRDefault="00A447E0"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21296697"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74BC789A" w14:textId="05954BAA"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C</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D6BB43D" w14:textId="4B847ED1" w:rsidR="004427EB" w:rsidRPr="005C29F8" w:rsidRDefault="004427EB" w:rsidP="00A018D4">
            <w:pPr>
              <w:jc w:val="center"/>
              <w:rPr>
                <w:rFonts w:cs="Arial"/>
                <w:color w:val="000000" w:themeColor="text1"/>
                <w:szCs w:val="16"/>
              </w:rPr>
            </w:pPr>
            <w:r w:rsidRPr="005C29F8">
              <w:rPr>
                <w:rFonts w:cs="Arial"/>
                <w:color w:val="000000" w:themeColor="text1"/>
                <w:szCs w:val="16"/>
              </w:rPr>
              <w:t>HS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27EE7196" w14:textId="6E95B953" w:rsidR="004427EB" w:rsidRPr="005C29F8" w:rsidRDefault="00D8388A" w:rsidP="00A018D4">
            <w:pPr>
              <w:jc w:val="center"/>
              <w:rPr>
                <w:rFonts w:cs="Arial"/>
                <w:color w:val="000000" w:themeColor="text1"/>
                <w:szCs w:val="16"/>
              </w:rPr>
            </w:pPr>
            <w:r w:rsidRPr="005C29F8">
              <w:rPr>
                <w:rFonts w:cs="Arial"/>
                <w:color w:val="000000" w:themeColor="text1"/>
                <w:szCs w:val="16"/>
              </w:rPr>
              <w:t>14.68%</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18850DA"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5926800" w14:textId="3D11FBD6" w:rsidR="004427EB" w:rsidRPr="005C29F8" w:rsidRDefault="004427EB" w:rsidP="00A018D4">
            <w:pPr>
              <w:jc w:val="center"/>
              <w:rPr>
                <w:rFonts w:cs="Arial"/>
                <w:color w:val="000000" w:themeColor="text1"/>
                <w:szCs w:val="16"/>
              </w:rPr>
            </w:pPr>
            <w:r w:rsidRPr="005C29F8">
              <w:rPr>
                <w:rFonts w:cs="Arial"/>
                <w:color w:val="000000" w:themeColor="text1"/>
                <w:szCs w:val="16"/>
              </w:rPr>
              <w:t>10.68%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ACB9AB" w14:textId="2153D3DE" w:rsidR="004427EB" w:rsidRPr="005C29F8" w:rsidRDefault="004427EB" w:rsidP="00A018D4">
            <w:pPr>
              <w:jc w:val="center"/>
              <w:rPr>
                <w:rFonts w:cs="Arial"/>
                <w:color w:val="000000" w:themeColor="text1"/>
                <w:szCs w:val="16"/>
              </w:rPr>
            </w:pPr>
            <w:r w:rsidRPr="005C29F8">
              <w:rPr>
                <w:rFonts w:cs="Arial"/>
                <w:color w:val="000000" w:themeColor="text1"/>
                <w:szCs w:val="16"/>
              </w:rPr>
              <w:t>14.69%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5BA91E" w14:textId="49E70C61" w:rsidR="004427EB" w:rsidRPr="005C29F8" w:rsidRDefault="004427EB" w:rsidP="00A018D4">
            <w:pPr>
              <w:jc w:val="center"/>
              <w:rPr>
                <w:rFonts w:cs="Arial"/>
                <w:color w:val="000000" w:themeColor="text1"/>
                <w:szCs w:val="16"/>
              </w:rPr>
            </w:pPr>
            <w:r w:rsidRPr="005C29F8">
              <w:rPr>
                <w:rFonts w:cs="Arial"/>
                <w:color w:val="000000" w:themeColor="text1"/>
                <w:szCs w:val="16"/>
              </w:rPr>
              <w:t>14.41%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C73AF20" w14:textId="15889674" w:rsidR="004427EB" w:rsidRPr="005C29F8" w:rsidRDefault="004427EB" w:rsidP="00A018D4">
            <w:pPr>
              <w:jc w:val="center"/>
              <w:rPr>
                <w:rFonts w:cs="Arial"/>
                <w:color w:val="000000" w:themeColor="text1"/>
                <w:szCs w:val="16"/>
              </w:rPr>
            </w:pPr>
            <w:r w:rsidRPr="005C29F8">
              <w:rPr>
                <w:rFonts w:cs="Arial"/>
                <w:color w:val="000000" w:themeColor="text1"/>
                <w:szCs w:val="16"/>
              </w:rPr>
              <w:t>14.68%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D12468D" w14:textId="18060539" w:rsidR="004427EB" w:rsidRPr="005C29F8" w:rsidRDefault="004427EB" w:rsidP="00A018D4">
            <w:pPr>
              <w:jc w:val="center"/>
              <w:rPr>
                <w:rFonts w:cs="Arial"/>
                <w:color w:val="000000" w:themeColor="text1"/>
                <w:szCs w:val="16"/>
              </w:rPr>
            </w:pPr>
            <w:r w:rsidRPr="005C29F8">
              <w:rPr>
                <w:rFonts w:cs="Arial"/>
                <w:color w:val="000000" w:themeColor="text1"/>
                <w:szCs w:val="16"/>
              </w:rPr>
              <w:t>15.52%</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Elementary</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2017</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Elementary</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22.87%</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24.37%</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26.35%</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25.58%</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22.87%</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22.77%</w:t>
            </w:r>
          </w:p>
        </w:tc>
      </w:tr>
      <w:tr w:rsidR="005C29F8" w:rsidRPr="005C29F8" w14:paraId="07185309" w14:textId="77777777" w:rsidTr="00AB0D6A">
        <w:trPr>
          <w:trHeight w:val="152"/>
        </w:trPr>
        <w:tc>
          <w:tcPr>
            <w:tcW w:w="248" w:type="pct"/>
            <w:shd w:val="clear" w:color="auto" w:fill="auto"/>
            <w:vAlign w:val="center"/>
          </w:tcPr>
          <w:p w14:paraId="3C3320AA"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B</w:t>
            </w:r>
          </w:p>
        </w:tc>
        <w:tc>
          <w:tcPr>
            <w:tcW w:w="459" w:type="pct"/>
            <w:shd w:val="clear" w:color="auto" w:fill="auto"/>
            <w:vAlign w:val="center"/>
          </w:tcPr>
          <w:p w14:paraId="3AE77CD3" w14:textId="5DAC75E1"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Middle</w:t>
            </w:r>
          </w:p>
        </w:tc>
        <w:tc>
          <w:tcPr>
            <w:tcW w:w="541" w:type="pct"/>
            <w:shd w:val="clear" w:color="auto" w:fill="auto"/>
            <w:vAlign w:val="center"/>
          </w:tcPr>
          <w:p w14:paraId="66B8E421" w14:textId="48C05BCD" w:rsidR="00DD2761" w:rsidRPr="005C29F8" w:rsidRDefault="00DD2761">
            <w:pPr>
              <w:spacing w:before="0" w:after="0"/>
              <w:jc w:val="center"/>
              <w:rPr>
                <w:rFonts w:cs="Arial"/>
                <w:color w:val="000000" w:themeColor="text1"/>
                <w:szCs w:val="16"/>
              </w:rPr>
            </w:pPr>
            <w:r w:rsidRPr="005C29F8">
              <w:rPr>
                <w:rFonts w:cs="Arial"/>
                <w:color w:val="000000" w:themeColor="text1"/>
                <w:szCs w:val="16"/>
              </w:rPr>
              <w:t>2017</w:t>
            </w:r>
          </w:p>
        </w:tc>
        <w:tc>
          <w:tcPr>
            <w:tcW w:w="335" w:type="pct"/>
            <w:shd w:val="clear" w:color="auto" w:fill="auto"/>
            <w:vAlign w:val="center"/>
          </w:tcPr>
          <w:p w14:paraId="33890FDB" w14:textId="168E9F11"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2C3212B6" w14:textId="5C99483E"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180494E7" w14:textId="7994DB98"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02D13205" w14:textId="20DBAEEF"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2E78A3F6" w14:textId="65278F39"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2" w:type="pct"/>
            <w:shd w:val="clear" w:color="auto" w:fill="auto"/>
            <w:vAlign w:val="bottom"/>
          </w:tcPr>
          <w:p w14:paraId="6536EC69" w14:textId="7B1CCAFD"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2D04E778" w14:textId="77777777" w:rsidTr="00AB0D6A">
        <w:trPr>
          <w:trHeight w:val="80"/>
        </w:trPr>
        <w:tc>
          <w:tcPr>
            <w:tcW w:w="248" w:type="pct"/>
            <w:shd w:val="clear" w:color="auto" w:fill="auto"/>
            <w:vAlign w:val="center"/>
          </w:tcPr>
          <w:p w14:paraId="58FAF9A0" w14:textId="2D6EFE47" w:rsidR="00060ADC" w:rsidRPr="00691ABA" w:rsidRDefault="00060ADC">
            <w:pPr>
              <w:spacing w:before="0" w:after="0"/>
              <w:jc w:val="center"/>
              <w:rPr>
                <w:rFonts w:cs="Arial"/>
                <w:b/>
                <w:bCs/>
                <w:color w:val="000000" w:themeColor="text1"/>
                <w:szCs w:val="16"/>
              </w:rPr>
            </w:pPr>
            <w:r w:rsidRPr="00691ABA">
              <w:rPr>
                <w:rFonts w:cs="Arial"/>
                <w:b/>
                <w:bCs/>
                <w:color w:val="000000" w:themeColor="text1"/>
                <w:szCs w:val="16"/>
              </w:rPr>
              <w:t>B</w:t>
            </w:r>
          </w:p>
        </w:tc>
        <w:tc>
          <w:tcPr>
            <w:tcW w:w="459" w:type="pct"/>
            <w:shd w:val="clear" w:color="auto" w:fill="auto"/>
            <w:vAlign w:val="center"/>
          </w:tcPr>
          <w:p w14:paraId="2F475362" w14:textId="161DB613" w:rsidR="00060ADC" w:rsidRPr="005C29F8" w:rsidRDefault="00060ADC">
            <w:pPr>
              <w:spacing w:before="0" w:after="0"/>
              <w:jc w:val="center"/>
              <w:rPr>
                <w:rFonts w:cs="Arial"/>
                <w:color w:val="000000" w:themeColor="text1"/>
                <w:szCs w:val="16"/>
              </w:rPr>
            </w:pPr>
            <w:r w:rsidRPr="005C29F8">
              <w:rPr>
                <w:rFonts w:cs="Arial"/>
                <w:color w:val="000000" w:themeColor="text1"/>
                <w:szCs w:val="16"/>
              </w:rPr>
              <w:t>Middle</w:t>
            </w:r>
          </w:p>
        </w:tc>
        <w:tc>
          <w:tcPr>
            <w:tcW w:w="541" w:type="pct"/>
            <w:shd w:val="clear" w:color="auto" w:fill="auto"/>
            <w:vAlign w:val="center"/>
          </w:tcPr>
          <w:p w14:paraId="5D96DC63" w14:textId="04171643" w:rsidR="00060ADC" w:rsidRPr="005C29F8" w:rsidRDefault="00DD2761">
            <w:pPr>
              <w:spacing w:before="0" w:after="0"/>
              <w:jc w:val="center"/>
              <w:rPr>
                <w:rFonts w:cs="Arial"/>
                <w:color w:val="000000" w:themeColor="text1"/>
                <w:szCs w:val="16"/>
              </w:rPr>
            </w:pPr>
            <w:r w:rsidRPr="005C29F8">
              <w:rPr>
                <w:rFonts w:cs="Arial"/>
                <w:color w:val="000000" w:themeColor="text1"/>
                <w:szCs w:val="16"/>
              </w:rPr>
              <w:t>14.96%</w:t>
            </w:r>
          </w:p>
        </w:tc>
        <w:tc>
          <w:tcPr>
            <w:tcW w:w="335" w:type="pct"/>
            <w:shd w:val="clear" w:color="auto" w:fill="auto"/>
            <w:vAlign w:val="center"/>
          </w:tcPr>
          <w:p w14:paraId="7B51C233" w14:textId="5E14C358" w:rsidR="00060ADC" w:rsidRPr="005C29F8" w:rsidRDefault="00060ADC"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0A94185D" w14:textId="1AB7681B" w:rsidR="00060ADC" w:rsidRPr="005C29F8" w:rsidRDefault="00060ADC" w:rsidP="00A018D4">
            <w:pPr>
              <w:jc w:val="center"/>
              <w:rPr>
                <w:rFonts w:cs="Arial"/>
                <w:color w:val="000000" w:themeColor="text1"/>
                <w:szCs w:val="16"/>
              </w:rPr>
            </w:pPr>
            <w:r w:rsidRPr="005C29F8">
              <w:rPr>
                <w:rFonts w:cs="Arial"/>
                <w:color w:val="000000" w:themeColor="text1"/>
                <w:szCs w:val="16"/>
              </w:rPr>
              <w:t>14.80%</w:t>
            </w:r>
          </w:p>
        </w:tc>
        <w:tc>
          <w:tcPr>
            <w:tcW w:w="684" w:type="pct"/>
            <w:tcBorders>
              <w:bottom w:val="single" w:sz="4" w:space="0" w:color="auto"/>
            </w:tcBorders>
            <w:shd w:val="clear" w:color="auto" w:fill="auto"/>
            <w:vAlign w:val="bottom"/>
          </w:tcPr>
          <w:p w14:paraId="6E7768BF" w14:textId="39EB6406" w:rsidR="00060ADC" w:rsidRPr="005C29F8" w:rsidRDefault="00060ADC" w:rsidP="00A018D4">
            <w:pPr>
              <w:jc w:val="center"/>
              <w:rPr>
                <w:rFonts w:cs="Arial"/>
                <w:color w:val="000000" w:themeColor="text1"/>
                <w:szCs w:val="16"/>
              </w:rPr>
            </w:pPr>
            <w:r w:rsidRPr="005C29F8">
              <w:rPr>
                <w:rFonts w:cs="Arial"/>
                <w:color w:val="000000" w:themeColor="text1"/>
                <w:szCs w:val="16"/>
              </w:rPr>
              <w:t>15.26%</w:t>
            </w:r>
          </w:p>
        </w:tc>
        <w:tc>
          <w:tcPr>
            <w:tcW w:w="684" w:type="pct"/>
            <w:tcBorders>
              <w:bottom w:val="single" w:sz="4" w:space="0" w:color="auto"/>
            </w:tcBorders>
            <w:shd w:val="clear" w:color="auto" w:fill="auto"/>
            <w:vAlign w:val="bottom"/>
          </w:tcPr>
          <w:p w14:paraId="75FA53BB" w14:textId="692C9089" w:rsidR="00060ADC" w:rsidRPr="005C29F8" w:rsidRDefault="00060ADC" w:rsidP="00A018D4">
            <w:pPr>
              <w:jc w:val="center"/>
              <w:rPr>
                <w:rFonts w:cs="Arial"/>
                <w:color w:val="000000" w:themeColor="text1"/>
                <w:szCs w:val="16"/>
              </w:rPr>
            </w:pPr>
            <w:r w:rsidRPr="005C29F8">
              <w:rPr>
                <w:rFonts w:cs="Arial"/>
                <w:color w:val="000000" w:themeColor="text1"/>
                <w:szCs w:val="16"/>
              </w:rPr>
              <w:t>15.91%</w:t>
            </w:r>
          </w:p>
        </w:tc>
        <w:tc>
          <w:tcPr>
            <w:tcW w:w="684" w:type="pct"/>
            <w:tcBorders>
              <w:bottom w:val="single" w:sz="4" w:space="0" w:color="auto"/>
            </w:tcBorders>
            <w:shd w:val="clear" w:color="auto" w:fill="auto"/>
            <w:vAlign w:val="bottom"/>
          </w:tcPr>
          <w:p w14:paraId="1F6B1FF3" w14:textId="48E21526" w:rsidR="00060ADC" w:rsidRPr="005C29F8" w:rsidRDefault="00060ADC" w:rsidP="00A018D4">
            <w:pPr>
              <w:jc w:val="center"/>
              <w:rPr>
                <w:rFonts w:cs="Arial"/>
                <w:color w:val="000000" w:themeColor="text1"/>
                <w:szCs w:val="16"/>
              </w:rPr>
            </w:pPr>
            <w:r w:rsidRPr="005C29F8">
              <w:rPr>
                <w:rFonts w:cs="Arial"/>
                <w:color w:val="000000" w:themeColor="text1"/>
                <w:szCs w:val="16"/>
              </w:rPr>
              <w:t>14.96%</w:t>
            </w:r>
          </w:p>
        </w:tc>
        <w:tc>
          <w:tcPr>
            <w:tcW w:w="682" w:type="pct"/>
            <w:tcBorders>
              <w:bottom w:val="single" w:sz="4" w:space="0" w:color="auto"/>
            </w:tcBorders>
            <w:shd w:val="clear" w:color="auto" w:fill="auto"/>
            <w:vAlign w:val="bottom"/>
          </w:tcPr>
          <w:p w14:paraId="6BB58038" w14:textId="13BAA927" w:rsidR="00060ADC" w:rsidRPr="005C29F8" w:rsidRDefault="00060ADC" w:rsidP="00A018D4">
            <w:pPr>
              <w:jc w:val="center"/>
              <w:rPr>
                <w:rFonts w:cs="Arial"/>
                <w:color w:val="000000" w:themeColor="text1"/>
                <w:szCs w:val="16"/>
              </w:rPr>
            </w:pPr>
            <w:r w:rsidRPr="005C29F8">
              <w:rPr>
                <w:rFonts w:cs="Arial"/>
                <w:color w:val="000000" w:themeColor="text1"/>
                <w:szCs w:val="16"/>
              </w:rPr>
              <w:t>17.09%</w:t>
            </w:r>
          </w:p>
        </w:tc>
      </w:tr>
      <w:tr w:rsidR="005C29F8" w:rsidRPr="005C29F8" w14:paraId="13E6FC70" w14:textId="77777777" w:rsidTr="00AB0D6A">
        <w:trPr>
          <w:trHeight w:val="152"/>
        </w:trPr>
        <w:tc>
          <w:tcPr>
            <w:tcW w:w="248" w:type="pct"/>
            <w:shd w:val="clear" w:color="auto" w:fill="auto"/>
            <w:vAlign w:val="center"/>
          </w:tcPr>
          <w:p w14:paraId="34CDB7EA"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C</w:t>
            </w:r>
          </w:p>
        </w:tc>
        <w:tc>
          <w:tcPr>
            <w:tcW w:w="459" w:type="pct"/>
            <w:shd w:val="clear" w:color="auto" w:fill="auto"/>
            <w:vAlign w:val="center"/>
          </w:tcPr>
          <w:p w14:paraId="194B5E7A" w14:textId="7B743978"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HS</w:t>
            </w:r>
          </w:p>
        </w:tc>
        <w:tc>
          <w:tcPr>
            <w:tcW w:w="541" w:type="pct"/>
            <w:shd w:val="clear" w:color="auto" w:fill="auto"/>
            <w:vAlign w:val="center"/>
          </w:tcPr>
          <w:p w14:paraId="107A7ADB" w14:textId="06FB7C29" w:rsidR="00DD2761" w:rsidRPr="005C29F8" w:rsidRDefault="00DD2761">
            <w:pPr>
              <w:spacing w:before="0" w:after="0"/>
              <w:jc w:val="center"/>
              <w:rPr>
                <w:rFonts w:cs="Arial"/>
                <w:color w:val="000000" w:themeColor="text1"/>
                <w:szCs w:val="16"/>
              </w:rPr>
            </w:pPr>
            <w:r w:rsidRPr="005C29F8">
              <w:rPr>
                <w:rFonts w:cs="Arial"/>
                <w:color w:val="000000" w:themeColor="text1"/>
                <w:szCs w:val="16"/>
              </w:rPr>
              <w:t>2017</w:t>
            </w:r>
          </w:p>
        </w:tc>
        <w:tc>
          <w:tcPr>
            <w:tcW w:w="335" w:type="pct"/>
            <w:shd w:val="clear" w:color="auto" w:fill="auto"/>
            <w:vAlign w:val="center"/>
          </w:tcPr>
          <w:p w14:paraId="589B3C46" w14:textId="78D6D3CF"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56641E06" w14:textId="76173DAA"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59E0A8CA" w14:textId="7757F0EA"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1AB83AB5" w14:textId="455BBC26"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4" w:type="pct"/>
            <w:shd w:val="clear" w:color="auto" w:fill="auto"/>
            <w:vAlign w:val="bottom"/>
          </w:tcPr>
          <w:p w14:paraId="28B0E5C2" w14:textId="6B132A52"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c>
          <w:tcPr>
            <w:tcW w:w="682" w:type="pct"/>
            <w:shd w:val="clear" w:color="auto" w:fill="auto"/>
            <w:vAlign w:val="bottom"/>
          </w:tcPr>
          <w:p w14:paraId="256AF934" w14:textId="197F2C37" w:rsidR="00911AA1" w:rsidRPr="005C29F8" w:rsidRDefault="00911AA1" w:rsidP="00A018D4">
            <w:pPr>
              <w:jc w:val="center"/>
              <w:rPr>
                <w:rFonts w:cs="Arial"/>
                <w:color w:val="000000" w:themeColor="text1"/>
                <w:szCs w:val="16"/>
              </w:rPr>
            </w:pPr>
            <w:r w:rsidRPr="005C29F8">
              <w:rPr>
                <w:rFonts w:cs="Arial"/>
                <w:color w:val="000000" w:themeColor="text1"/>
                <w:szCs w:val="16"/>
              </w:rPr>
              <w:t>100.00%</w:t>
            </w:r>
          </w:p>
        </w:tc>
      </w:tr>
      <w:tr w:rsidR="005C29F8" w:rsidRPr="005C29F8" w14:paraId="4A73E702" w14:textId="77777777" w:rsidTr="00AB0D6A">
        <w:trPr>
          <w:trHeight w:val="80"/>
        </w:trPr>
        <w:tc>
          <w:tcPr>
            <w:tcW w:w="248" w:type="pct"/>
            <w:shd w:val="clear" w:color="auto" w:fill="auto"/>
            <w:vAlign w:val="center"/>
          </w:tcPr>
          <w:p w14:paraId="7B1442A9" w14:textId="0329C8EF" w:rsidR="00060ADC" w:rsidRPr="00691ABA" w:rsidRDefault="00060ADC">
            <w:pPr>
              <w:spacing w:before="0" w:after="0"/>
              <w:jc w:val="center"/>
              <w:rPr>
                <w:rFonts w:cs="Arial"/>
                <w:b/>
                <w:bCs/>
                <w:color w:val="000000" w:themeColor="text1"/>
                <w:szCs w:val="16"/>
              </w:rPr>
            </w:pPr>
            <w:r w:rsidRPr="00691ABA">
              <w:rPr>
                <w:rFonts w:cs="Arial"/>
                <w:b/>
                <w:bCs/>
                <w:color w:val="000000" w:themeColor="text1"/>
                <w:szCs w:val="16"/>
              </w:rPr>
              <w:t>C</w:t>
            </w:r>
          </w:p>
        </w:tc>
        <w:tc>
          <w:tcPr>
            <w:tcW w:w="459" w:type="pct"/>
            <w:shd w:val="clear" w:color="auto" w:fill="auto"/>
            <w:vAlign w:val="center"/>
          </w:tcPr>
          <w:p w14:paraId="534E46ED" w14:textId="750E3789" w:rsidR="00060ADC" w:rsidRPr="005C29F8" w:rsidRDefault="00060ADC">
            <w:pPr>
              <w:spacing w:before="0" w:after="0"/>
              <w:jc w:val="center"/>
              <w:rPr>
                <w:rFonts w:cs="Arial"/>
                <w:color w:val="000000" w:themeColor="text1"/>
                <w:szCs w:val="16"/>
              </w:rPr>
            </w:pPr>
            <w:r w:rsidRPr="005C29F8">
              <w:rPr>
                <w:rFonts w:cs="Arial"/>
                <w:color w:val="000000" w:themeColor="text1"/>
                <w:szCs w:val="16"/>
              </w:rPr>
              <w:t>HS</w:t>
            </w:r>
          </w:p>
        </w:tc>
        <w:tc>
          <w:tcPr>
            <w:tcW w:w="541" w:type="pct"/>
            <w:shd w:val="clear" w:color="auto" w:fill="auto"/>
            <w:vAlign w:val="center"/>
          </w:tcPr>
          <w:p w14:paraId="1F493DAB" w14:textId="6832C479" w:rsidR="00060ADC" w:rsidRPr="005C29F8" w:rsidRDefault="00DD2761">
            <w:pPr>
              <w:spacing w:before="0" w:after="0"/>
              <w:jc w:val="center"/>
              <w:rPr>
                <w:rFonts w:cs="Arial"/>
                <w:color w:val="000000" w:themeColor="text1"/>
                <w:szCs w:val="16"/>
              </w:rPr>
            </w:pPr>
            <w:r w:rsidRPr="005C29F8">
              <w:rPr>
                <w:rFonts w:cs="Arial"/>
                <w:color w:val="000000" w:themeColor="text1"/>
                <w:szCs w:val="16"/>
              </w:rPr>
              <w:t>11.82%</w:t>
            </w:r>
          </w:p>
        </w:tc>
        <w:tc>
          <w:tcPr>
            <w:tcW w:w="335" w:type="pct"/>
            <w:shd w:val="clear" w:color="auto" w:fill="auto"/>
            <w:vAlign w:val="center"/>
          </w:tcPr>
          <w:p w14:paraId="00401474" w14:textId="45C7DBD4" w:rsidR="00060ADC" w:rsidRPr="005C29F8" w:rsidRDefault="00060ADC"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355D54F9" w14:textId="051F9CC6" w:rsidR="00060ADC" w:rsidRPr="005C29F8" w:rsidRDefault="00060ADC" w:rsidP="00A018D4">
            <w:pPr>
              <w:jc w:val="center"/>
              <w:rPr>
                <w:rFonts w:cs="Arial"/>
                <w:color w:val="000000" w:themeColor="text1"/>
                <w:szCs w:val="16"/>
              </w:rPr>
            </w:pPr>
            <w:r w:rsidRPr="005C29F8">
              <w:rPr>
                <w:rFonts w:cs="Arial"/>
                <w:color w:val="000000" w:themeColor="text1"/>
                <w:szCs w:val="16"/>
              </w:rPr>
              <w:t>10.95%</w:t>
            </w:r>
          </w:p>
        </w:tc>
        <w:tc>
          <w:tcPr>
            <w:tcW w:w="684" w:type="pct"/>
            <w:tcBorders>
              <w:bottom w:val="single" w:sz="4" w:space="0" w:color="auto"/>
            </w:tcBorders>
            <w:shd w:val="clear" w:color="auto" w:fill="auto"/>
            <w:vAlign w:val="bottom"/>
          </w:tcPr>
          <w:p w14:paraId="58919C17" w14:textId="6D825C35" w:rsidR="00060ADC" w:rsidRPr="005C29F8" w:rsidRDefault="00060ADC" w:rsidP="00A018D4">
            <w:pPr>
              <w:jc w:val="center"/>
              <w:rPr>
                <w:rFonts w:cs="Arial"/>
                <w:color w:val="000000" w:themeColor="text1"/>
                <w:szCs w:val="16"/>
              </w:rPr>
            </w:pPr>
            <w:r w:rsidRPr="005C29F8">
              <w:rPr>
                <w:rFonts w:cs="Arial"/>
                <w:color w:val="000000" w:themeColor="text1"/>
                <w:szCs w:val="16"/>
              </w:rPr>
              <w:t>15.00%</w:t>
            </w:r>
          </w:p>
        </w:tc>
        <w:tc>
          <w:tcPr>
            <w:tcW w:w="684" w:type="pct"/>
            <w:tcBorders>
              <w:bottom w:val="single" w:sz="4" w:space="0" w:color="auto"/>
            </w:tcBorders>
            <w:shd w:val="clear" w:color="auto" w:fill="auto"/>
            <w:vAlign w:val="bottom"/>
          </w:tcPr>
          <w:p w14:paraId="651DF917" w14:textId="1D6FCB33" w:rsidR="00060ADC" w:rsidRPr="005C29F8" w:rsidRDefault="00060ADC" w:rsidP="00A018D4">
            <w:pPr>
              <w:jc w:val="center"/>
              <w:rPr>
                <w:rFonts w:cs="Arial"/>
                <w:color w:val="000000" w:themeColor="text1"/>
                <w:szCs w:val="16"/>
              </w:rPr>
            </w:pPr>
            <w:r w:rsidRPr="005C29F8">
              <w:rPr>
                <w:rFonts w:cs="Arial"/>
                <w:color w:val="000000" w:themeColor="text1"/>
                <w:szCs w:val="16"/>
              </w:rPr>
              <w:t>10.66%</w:t>
            </w:r>
          </w:p>
        </w:tc>
        <w:tc>
          <w:tcPr>
            <w:tcW w:w="684" w:type="pct"/>
            <w:tcBorders>
              <w:bottom w:val="single" w:sz="4" w:space="0" w:color="auto"/>
            </w:tcBorders>
            <w:shd w:val="clear" w:color="auto" w:fill="auto"/>
            <w:vAlign w:val="bottom"/>
          </w:tcPr>
          <w:p w14:paraId="49E9E649" w14:textId="449E38FC" w:rsidR="00060ADC" w:rsidRPr="005C29F8" w:rsidRDefault="00060ADC" w:rsidP="00A018D4">
            <w:pPr>
              <w:jc w:val="center"/>
              <w:rPr>
                <w:rFonts w:cs="Arial"/>
                <w:color w:val="000000" w:themeColor="text1"/>
                <w:szCs w:val="16"/>
              </w:rPr>
            </w:pPr>
            <w:r w:rsidRPr="005C29F8">
              <w:rPr>
                <w:rFonts w:cs="Arial"/>
                <w:color w:val="000000" w:themeColor="text1"/>
                <w:szCs w:val="16"/>
              </w:rPr>
              <w:t>11.82%</w:t>
            </w:r>
          </w:p>
        </w:tc>
        <w:tc>
          <w:tcPr>
            <w:tcW w:w="682" w:type="pct"/>
            <w:tcBorders>
              <w:bottom w:val="single" w:sz="4" w:space="0" w:color="auto"/>
            </w:tcBorders>
            <w:shd w:val="clear" w:color="auto" w:fill="auto"/>
            <w:vAlign w:val="bottom"/>
          </w:tcPr>
          <w:p w14:paraId="2D344CD2" w14:textId="51F43620" w:rsidR="00060ADC" w:rsidRPr="005C29F8" w:rsidRDefault="00060ADC" w:rsidP="00A018D4">
            <w:pPr>
              <w:jc w:val="center"/>
              <w:rPr>
                <w:rFonts w:cs="Arial"/>
                <w:color w:val="000000" w:themeColor="text1"/>
                <w:szCs w:val="16"/>
              </w:rPr>
            </w:pPr>
            <w:r w:rsidRPr="005C29F8">
              <w:rPr>
                <w:rFonts w:cs="Arial"/>
                <w:color w:val="000000" w:themeColor="text1"/>
                <w:szCs w:val="16"/>
              </w:rPr>
              <w:t>9.99%</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lastRenderedPageBreak/>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Elementary</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24.00%</w:t>
            </w:r>
          </w:p>
        </w:tc>
      </w:tr>
      <w:tr w:rsidR="00085D89" w:rsidRPr="005C29F8" w14:paraId="4229AE62" w14:textId="7706C81C" w:rsidTr="00085D89">
        <w:tc>
          <w:tcPr>
            <w:tcW w:w="550" w:type="pct"/>
            <w:shd w:val="clear" w:color="auto" w:fill="auto"/>
          </w:tcPr>
          <w:p w14:paraId="65BFCE1A" w14:textId="0D697A5F"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0A529643" w14:textId="25196352"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B &gt;=</w:t>
            </w:r>
          </w:p>
        </w:tc>
        <w:tc>
          <w:tcPr>
            <w:tcW w:w="1453" w:type="pct"/>
            <w:shd w:val="clear" w:color="auto" w:fill="auto"/>
          </w:tcPr>
          <w:p w14:paraId="62F8D3A7" w14:textId="0187643F"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Middle</w:t>
            </w:r>
          </w:p>
        </w:tc>
        <w:tc>
          <w:tcPr>
            <w:tcW w:w="2488" w:type="pct"/>
            <w:shd w:val="clear" w:color="auto" w:fill="auto"/>
            <w:vAlign w:val="center"/>
          </w:tcPr>
          <w:p w14:paraId="1D5B4183" w14:textId="1238BC64" w:rsidR="00085D89" w:rsidRPr="005C29F8" w:rsidRDefault="00085D89" w:rsidP="00A018D4">
            <w:pPr>
              <w:jc w:val="center"/>
              <w:rPr>
                <w:rFonts w:cs="Arial"/>
                <w:color w:val="000000" w:themeColor="text1"/>
                <w:szCs w:val="16"/>
              </w:rPr>
            </w:pPr>
            <w:r w:rsidRPr="005C29F8">
              <w:rPr>
                <w:rFonts w:cs="Arial"/>
                <w:color w:val="000000" w:themeColor="text1"/>
                <w:szCs w:val="16"/>
              </w:rPr>
              <w:t>20.41%</w:t>
            </w:r>
          </w:p>
        </w:tc>
      </w:tr>
      <w:tr w:rsidR="00085D89" w:rsidRPr="005C29F8" w14:paraId="53D446D4" w14:textId="2ADB70F8" w:rsidTr="00085D89">
        <w:tc>
          <w:tcPr>
            <w:tcW w:w="550" w:type="pct"/>
            <w:shd w:val="clear" w:color="auto" w:fill="auto"/>
          </w:tcPr>
          <w:p w14:paraId="5413BB65" w14:textId="22884284"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1408EAB6" w14:textId="5A0418AE"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C &gt;=</w:t>
            </w:r>
          </w:p>
        </w:tc>
        <w:tc>
          <w:tcPr>
            <w:tcW w:w="1453" w:type="pct"/>
            <w:shd w:val="clear" w:color="auto" w:fill="auto"/>
          </w:tcPr>
          <w:p w14:paraId="6E4FCBFF" w14:textId="22B0FCFE"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HS</w:t>
            </w:r>
          </w:p>
        </w:tc>
        <w:tc>
          <w:tcPr>
            <w:tcW w:w="2488" w:type="pct"/>
            <w:shd w:val="clear" w:color="auto" w:fill="auto"/>
            <w:vAlign w:val="center"/>
          </w:tcPr>
          <w:p w14:paraId="3520F380" w14:textId="38C36219" w:rsidR="00085D89" w:rsidRPr="005C29F8" w:rsidRDefault="00085D89" w:rsidP="00A018D4">
            <w:pPr>
              <w:jc w:val="center"/>
              <w:rPr>
                <w:rFonts w:cs="Arial"/>
                <w:color w:val="000000" w:themeColor="text1"/>
                <w:szCs w:val="16"/>
              </w:rPr>
            </w:pPr>
            <w:r w:rsidRPr="005C29F8">
              <w:rPr>
                <w:rFonts w:cs="Arial"/>
                <w:color w:val="000000" w:themeColor="text1"/>
                <w:szCs w:val="16"/>
              </w:rPr>
              <w:t>16.52%</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Elementary</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23.77%</w:t>
            </w:r>
          </w:p>
        </w:tc>
      </w:tr>
      <w:tr w:rsidR="00085D89" w:rsidRPr="005C29F8" w14:paraId="6A0B25C6" w14:textId="5CECC00D" w:rsidTr="00085D89">
        <w:tc>
          <w:tcPr>
            <w:tcW w:w="550" w:type="pct"/>
            <w:shd w:val="clear" w:color="auto" w:fill="auto"/>
          </w:tcPr>
          <w:p w14:paraId="7A201508" w14:textId="57E216ED"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vAlign w:val="center"/>
          </w:tcPr>
          <w:p w14:paraId="3BD3C679" w14:textId="4834DDCE"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B &gt;=</w:t>
            </w:r>
          </w:p>
        </w:tc>
        <w:tc>
          <w:tcPr>
            <w:tcW w:w="1453" w:type="pct"/>
            <w:shd w:val="clear" w:color="auto" w:fill="auto"/>
          </w:tcPr>
          <w:p w14:paraId="75E8E6D8" w14:textId="145FCB9E"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Middle</w:t>
            </w:r>
          </w:p>
        </w:tc>
        <w:tc>
          <w:tcPr>
            <w:tcW w:w="2488" w:type="pct"/>
            <w:shd w:val="clear" w:color="auto" w:fill="auto"/>
            <w:vAlign w:val="center"/>
          </w:tcPr>
          <w:p w14:paraId="4671DF75" w14:textId="2CD78B1B" w:rsidR="00085D89" w:rsidRPr="005C29F8" w:rsidRDefault="00085D89" w:rsidP="00A018D4">
            <w:pPr>
              <w:jc w:val="center"/>
              <w:rPr>
                <w:rFonts w:cs="Arial"/>
                <w:color w:val="000000" w:themeColor="text1"/>
                <w:szCs w:val="16"/>
              </w:rPr>
            </w:pPr>
            <w:r w:rsidRPr="005C29F8">
              <w:rPr>
                <w:rFonts w:cs="Arial"/>
                <w:color w:val="000000" w:themeColor="text1"/>
                <w:szCs w:val="16"/>
              </w:rPr>
              <w:t>18.09%</w:t>
            </w:r>
          </w:p>
        </w:tc>
      </w:tr>
      <w:tr w:rsidR="00085D89" w:rsidRPr="005C29F8" w14:paraId="72653908" w14:textId="24A07D21" w:rsidTr="00085D89">
        <w:tc>
          <w:tcPr>
            <w:tcW w:w="550" w:type="pct"/>
            <w:shd w:val="clear" w:color="auto" w:fill="auto"/>
          </w:tcPr>
          <w:p w14:paraId="48B507DA" w14:textId="179672F1"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vAlign w:val="center"/>
          </w:tcPr>
          <w:p w14:paraId="63FB17C0" w14:textId="2F2DF4DD" w:rsidR="00085D89" w:rsidRPr="005C29F8" w:rsidRDefault="00085D89" w:rsidP="00911AA1">
            <w:pPr>
              <w:spacing w:before="0" w:after="0"/>
              <w:jc w:val="center"/>
              <w:rPr>
                <w:rFonts w:cs="Arial"/>
                <w:color w:val="000000" w:themeColor="text1"/>
                <w:szCs w:val="16"/>
              </w:rPr>
            </w:pPr>
            <w:r w:rsidRPr="005C29F8">
              <w:rPr>
                <w:rFonts w:cs="Arial"/>
                <w:color w:val="000000" w:themeColor="text1"/>
                <w:szCs w:val="16"/>
              </w:rPr>
              <w:t>C &gt;=</w:t>
            </w:r>
          </w:p>
        </w:tc>
        <w:tc>
          <w:tcPr>
            <w:tcW w:w="1453" w:type="pct"/>
            <w:shd w:val="clear" w:color="auto" w:fill="auto"/>
          </w:tcPr>
          <w:p w14:paraId="54F8A2F9" w14:textId="57220028"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HS</w:t>
            </w:r>
          </w:p>
        </w:tc>
        <w:tc>
          <w:tcPr>
            <w:tcW w:w="2488" w:type="pct"/>
            <w:shd w:val="clear" w:color="auto" w:fill="auto"/>
            <w:vAlign w:val="center"/>
          </w:tcPr>
          <w:p w14:paraId="32CB0D9F" w14:textId="65605481" w:rsidR="00085D89" w:rsidRPr="005C29F8" w:rsidRDefault="00085D89" w:rsidP="00A018D4">
            <w:pPr>
              <w:jc w:val="center"/>
              <w:rPr>
                <w:rFonts w:cs="Arial"/>
                <w:color w:val="000000" w:themeColor="text1"/>
                <w:szCs w:val="16"/>
              </w:rPr>
            </w:pPr>
            <w:r w:rsidRPr="005C29F8">
              <w:rPr>
                <w:rFonts w:cs="Arial"/>
                <w:color w:val="000000" w:themeColor="text1"/>
                <w:szCs w:val="16"/>
              </w:rPr>
              <w:t>11.99%</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2261CE05" w14:textId="31E113F2" w:rsidR="002D145D" w:rsidRPr="005C29F8" w:rsidRDefault="002D145D" w:rsidP="002D145D">
      <w:pPr>
        <w:rPr>
          <w:rFonts w:cs="Arial"/>
          <w:color w:val="000000" w:themeColor="text1"/>
          <w:szCs w:val="16"/>
        </w:rPr>
      </w:pP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NO</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lastRenderedPageBreak/>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Elementary</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22.25%</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24.00%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52B173E5" w14:textId="77777777" w:rsidTr="000C3A20">
        <w:tc>
          <w:tcPr>
            <w:tcW w:w="222" w:type="pct"/>
            <w:shd w:val="clear" w:color="auto" w:fill="auto"/>
            <w:vAlign w:val="center"/>
          </w:tcPr>
          <w:p w14:paraId="5153CDB6"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B</w:t>
            </w:r>
          </w:p>
        </w:tc>
        <w:tc>
          <w:tcPr>
            <w:tcW w:w="489" w:type="pct"/>
            <w:shd w:val="clear" w:color="auto" w:fill="auto"/>
          </w:tcPr>
          <w:p w14:paraId="137CEDF6" w14:textId="15F5155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Middle</w:t>
            </w:r>
          </w:p>
        </w:tc>
        <w:tc>
          <w:tcPr>
            <w:tcW w:w="659" w:type="pct"/>
            <w:shd w:val="clear" w:color="auto" w:fill="auto"/>
          </w:tcPr>
          <w:p w14:paraId="1707A82B" w14:textId="56FDC6AD" w:rsidR="004E1F6F" w:rsidRPr="005C29F8" w:rsidRDefault="004E1F6F" w:rsidP="004E1F6F">
            <w:pPr>
              <w:jc w:val="center"/>
              <w:rPr>
                <w:rFonts w:cs="Arial"/>
                <w:color w:val="000000" w:themeColor="text1"/>
                <w:szCs w:val="16"/>
              </w:rPr>
            </w:pPr>
          </w:p>
        </w:tc>
        <w:tc>
          <w:tcPr>
            <w:tcW w:w="600" w:type="pct"/>
            <w:shd w:val="clear" w:color="auto" w:fill="auto"/>
          </w:tcPr>
          <w:p w14:paraId="1BCB466D" w14:textId="7FC72749" w:rsidR="004E1F6F" w:rsidRPr="005C29F8" w:rsidRDefault="004E1F6F" w:rsidP="004E1F6F">
            <w:pPr>
              <w:jc w:val="center"/>
              <w:rPr>
                <w:rFonts w:cs="Arial"/>
                <w:color w:val="000000" w:themeColor="text1"/>
                <w:szCs w:val="16"/>
              </w:rPr>
            </w:pPr>
          </w:p>
        </w:tc>
        <w:tc>
          <w:tcPr>
            <w:tcW w:w="550" w:type="pct"/>
            <w:shd w:val="clear" w:color="auto" w:fill="auto"/>
          </w:tcPr>
          <w:p w14:paraId="60597E0A" w14:textId="4D673C7B" w:rsidR="004E1F6F" w:rsidRPr="005C29F8" w:rsidRDefault="004E1F6F" w:rsidP="004E1F6F">
            <w:pPr>
              <w:jc w:val="center"/>
              <w:rPr>
                <w:rFonts w:cs="Arial"/>
                <w:color w:val="000000" w:themeColor="text1"/>
                <w:szCs w:val="16"/>
              </w:rPr>
            </w:pPr>
            <w:r w:rsidRPr="005C29F8">
              <w:rPr>
                <w:rFonts w:cs="Arial"/>
                <w:color w:val="000000" w:themeColor="text1"/>
                <w:szCs w:val="16"/>
              </w:rPr>
              <w:t>19.41%</w:t>
            </w:r>
          </w:p>
        </w:tc>
        <w:tc>
          <w:tcPr>
            <w:tcW w:w="766" w:type="pct"/>
            <w:shd w:val="clear" w:color="auto" w:fill="auto"/>
          </w:tcPr>
          <w:p w14:paraId="6445398C" w14:textId="393A6DFD" w:rsidR="004E1F6F" w:rsidRPr="005C29F8" w:rsidRDefault="004E1F6F" w:rsidP="004E1F6F">
            <w:pPr>
              <w:jc w:val="center"/>
              <w:rPr>
                <w:rFonts w:cs="Arial"/>
                <w:color w:val="000000" w:themeColor="text1"/>
                <w:szCs w:val="16"/>
              </w:rPr>
            </w:pPr>
            <w:r w:rsidRPr="005C29F8">
              <w:rPr>
                <w:rFonts w:cs="Arial"/>
                <w:color w:val="000000" w:themeColor="text1"/>
                <w:szCs w:val="16"/>
              </w:rPr>
              <w:t>20.41%</w:t>
            </w:r>
          </w:p>
        </w:tc>
        <w:tc>
          <w:tcPr>
            <w:tcW w:w="507" w:type="pct"/>
            <w:shd w:val="clear" w:color="auto" w:fill="auto"/>
          </w:tcPr>
          <w:p w14:paraId="4EBD899F" w14:textId="57918237" w:rsidR="004E1F6F" w:rsidRPr="005C29F8" w:rsidRDefault="004E1F6F" w:rsidP="004E1F6F">
            <w:pPr>
              <w:jc w:val="center"/>
              <w:rPr>
                <w:rFonts w:cs="Arial"/>
                <w:color w:val="000000" w:themeColor="text1"/>
                <w:szCs w:val="16"/>
              </w:rPr>
            </w:pPr>
          </w:p>
        </w:tc>
        <w:tc>
          <w:tcPr>
            <w:tcW w:w="611" w:type="pct"/>
            <w:shd w:val="clear" w:color="auto" w:fill="auto"/>
          </w:tcPr>
          <w:p w14:paraId="585589D4" w14:textId="6C3ED8A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64956786" w14:textId="4047CEC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3EA2EA1E" w14:textId="77777777" w:rsidTr="000C3A20">
        <w:tc>
          <w:tcPr>
            <w:tcW w:w="222" w:type="pct"/>
            <w:shd w:val="clear" w:color="auto" w:fill="auto"/>
            <w:vAlign w:val="center"/>
          </w:tcPr>
          <w:p w14:paraId="7CB7E776"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C</w:t>
            </w:r>
          </w:p>
        </w:tc>
        <w:tc>
          <w:tcPr>
            <w:tcW w:w="489" w:type="pct"/>
            <w:shd w:val="clear" w:color="auto" w:fill="auto"/>
          </w:tcPr>
          <w:p w14:paraId="260DAFBC" w14:textId="67BCCD0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HS</w:t>
            </w:r>
          </w:p>
        </w:tc>
        <w:tc>
          <w:tcPr>
            <w:tcW w:w="659" w:type="pct"/>
            <w:shd w:val="clear" w:color="auto" w:fill="auto"/>
          </w:tcPr>
          <w:p w14:paraId="3637A0D0" w14:textId="60BBBFC6" w:rsidR="004E1F6F" w:rsidRPr="005C29F8" w:rsidRDefault="004E1F6F" w:rsidP="004E1F6F">
            <w:pPr>
              <w:jc w:val="center"/>
              <w:rPr>
                <w:rFonts w:cs="Arial"/>
                <w:color w:val="000000" w:themeColor="text1"/>
                <w:szCs w:val="16"/>
              </w:rPr>
            </w:pPr>
          </w:p>
        </w:tc>
        <w:tc>
          <w:tcPr>
            <w:tcW w:w="600" w:type="pct"/>
            <w:shd w:val="clear" w:color="auto" w:fill="auto"/>
          </w:tcPr>
          <w:p w14:paraId="0F212AA6" w14:textId="163B1727" w:rsidR="004E1F6F" w:rsidRPr="005C29F8" w:rsidRDefault="004E1F6F" w:rsidP="004E1F6F">
            <w:pPr>
              <w:jc w:val="center"/>
              <w:rPr>
                <w:rFonts w:cs="Arial"/>
                <w:color w:val="000000" w:themeColor="text1"/>
                <w:szCs w:val="16"/>
              </w:rPr>
            </w:pPr>
          </w:p>
        </w:tc>
        <w:tc>
          <w:tcPr>
            <w:tcW w:w="550" w:type="pct"/>
            <w:shd w:val="clear" w:color="auto" w:fill="auto"/>
          </w:tcPr>
          <w:p w14:paraId="066DE90A" w14:textId="5EE6838D" w:rsidR="004E1F6F" w:rsidRPr="005C29F8" w:rsidRDefault="004E1F6F" w:rsidP="004E1F6F">
            <w:pPr>
              <w:jc w:val="center"/>
              <w:rPr>
                <w:rFonts w:cs="Arial"/>
                <w:color w:val="000000" w:themeColor="text1"/>
                <w:szCs w:val="16"/>
              </w:rPr>
            </w:pPr>
            <w:r w:rsidRPr="005C29F8">
              <w:rPr>
                <w:rFonts w:cs="Arial"/>
                <w:color w:val="000000" w:themeColor="text1"/>
                <w:szCs w:val="16"/>
              </w:rPr>
              <w:t>15.52%</w:t>
            </w:r>
          </w:p>
        </w:tc>
        <w:tc>
          <w:tcPr>
            <w:tcW w:w="766" w:type="pct"/>
            <w:shd w:val="clear" w:color="auto" w:fill="auto"/>
          </w:tcPr>
          <w:p w14:paraId="4191EA17" w14:textId="17F82057" w:rsidR="004E1F6F" w:rsidRPr="005C29F8" w:rsidRDefault="004E1F6F" w:rsidP="004E1F6F">
            <w:pPr>
              <w:jc w:val="center"/>
              <w:rPr>
                <w:rFonts w:cs="Arial"/>
                <w:color w:val="000000" w:themeColor="text1"/>
                <w:szCs w:val="16"/>
              </w:rPr>
            </w:pPr>
            <w:r w:rsidRPr="005C29F8">
              <w:rPr>
                <w:rFonts w:cs="Arial"/>
                <w:color w:val="000000" w:themeColor="text1"/>
                <w:szCs w:val="16"/>
              </w:rPr>
              <w:t>16.52%</w:t>
            </w:r>
          </w:p>
        </w:tc>
        <w:tc>
          <w:tcPr>
            <w:tcW w:w="507" w:type="pct"/>
            <w:shd w:val="clear" w:color="auto" w:fill="auto"/>
          </w:tcPr>
          <w:p w14:paraId="15CE5CCF" w14:textId="00F68E62" w:rsidR="004E1F6F" w:rsidRPr="005C29F8" w:rsidRDefault="004E1F6F" w:rsidP="004E1F6F">
            <w:pPr>
              <w:jc w:val="center"/>
              <w:rPr>
                <w:rFonts w:cs="Arial"/>
                <w:color w:val="000000" w:themeColor="text1"/>
                <w:szCs w:val="16"/>
              </w:rPr>
            </w:pPr>
          </w:p>
        </w:tc>
        <w:tc>
          <w:tcPr>
            <w:tcW w:w="611" w:type="pct"/>
            <w:shd w:val="clear" w:color="auto" w:fill="auto"/>
          </w:tcPr>
          <w:p w14:paraId="28CB2C9E" w14:textId="4F0EF91A"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157B84D0" w14:textId="0B58E631"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6"/>
        <w:gridCol w:w="1390"/>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Elementary</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22.77%</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23.77%</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5E0D5724" w14:textId="77777777" w:rsidTr="000C3A20">
        <w:tc>
          <w:tcPr>
            <w:tcW w:w="222" w:type="pct"/>
            <w:shd w:val="clear" w:color="auto" w:fill="auto"/>
            <w:vAlign w:val="center"/>
          </w:tcPr>
          <w:p w14:paraId="2202EBA2" w14:textId="77777777" w:rsidR="004E1F6F" w:rsidRPr="005C29F8" w:rsidRDefault="004E1F6F" w:rsidP="004E1F6F">
            <w:pPr>
              <w:pStyle w:val="Default"/>
              <w:jc w:val="center"/>
              <w:rPr>
                <w:b/>
                <w:color w:val="000000" w:themeColor="text1"/>
                <w:sz w:val="16"/>
                <w:szCs w:val="16"/>
              </w:rPr>
            </w:pPr>
            <w:r w:rsidRPr="005C29F8">
              <w:rPr>
                <w:b/>
                <w:color w:val="000000" w:themeColor="text1"/>
                <w:sz w:val="16"/>
                <w:szCs w:val="16"/>
              </w:rPr>
              <w:t>B</w:t>
            </w:r>
          </w:p>
        </w:tc>
        <w:tc>
          <w:tcPr>
            <w:tcW w:w="486" w:type="pct"/>
            <w:shd w:val="clear" w:color="auto" w:fill="auto"/>
          </w:tcPr>
          <w:p w14:paraId="2BE28CC3" w14:textId="0E7257D5"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Middle</w:t>
            </w:r>
          </w:p>
        </w:tc>
        <w:tc>
          <w:tcPr>
            <w:tcW w:w="659" w:type="pct"/>
            <w:shd w:val="clear" w:color="auto" w:fill="auto"/>
          </w:tcPr>
          <w:p w14:paraId="65165B6C" w14:textId="4AA5C4B8" w:rsidR="004E1F6F" w:rsidRPr="005C29F8" w:rsidRDefault="004E1F6F" w:rsidP="004E1F6F">
            <w:pPr>
              <w:jc w:val="center"/>
              <w:rPr>
                <w:rFonts w:cs="Arial"/>
                <w:color w:val="000000" w:themeColor="text1"/>
                <w:szCs w:val="16"/>
              </w:rPr>
            </w:pPr>
          </w:p>
        </w:tc>
        <w:tc>
          <w:tcPr>
            <w:tcW w:w="601" w:type="pct"/>
            <w:shd w:val="clear" w:color="auto" w:fill="auto"/>
          </w:tcPr>
          <w:p w14:paraId="25BE3991" w14:textId="1C1CA512" w:rsidR="004E1F6F" w:rsidRPr="005C29F8" w:rsidRDefault="004E1F6F" w:rsidP="004E1F6F">
            <w:pPr>
              <w:jc w:val="center"/>
              <w:rPr>
                <w:rFonts w:cs="Arial"/>
                <w:color w:val="000000" w:themeColor="text1"/>
                <w:szCs w:val="16"/>
              </w:rPr>
            </w:pPr>
          </w:p>
        </w:tc>
        <w:tc>
          <w:tcPr>
            <w:tcW w:w="551" w:type="pct"/>
            <w:shd w:val="clear" w:color="auto" w:fill="auto"/>
          </w:tcPr>
          <w:p w14:paraId="0DB348C5" w14:textId="2F8A4588" w:rsidR="004E1F6F" w:rsidRPr="005C29F8" w:rsidRDefault="004E1F6F" w:rsidP="004E1F6F">
            <w:pPr>
              <w:jc w:val="center"/>
              <w:rPr>
                <w:rFonts w:cs="Arial"/>
                <w:color w:val="000000" w:themeColor="text1"/>
                <w:szCs w:val="16"/>
              </w:rPr>
            </w:pPr>
            <w:r w:rsidRPr="005C29F8">
              <w:rPr>
                <w:rFonts w:cs="Arial"/>
                <w:color w:val="000000" w:themeColor="text1"/>
                <w:szCs w:val="16"/>
              </w:rPr>
              <w:t>17.09%</w:t>
            </w:r>
          </w:p>
        </w:tc>
        <w:tc>
          <w:tcPr>
            <w:tcW w:w="765" w:type="pct"/>
            <w:shd w:val="clear" w:color="auto" w:fill="auto"/>
          </w:tcPr>
          <w:p w14:paraId="31FB5FEB" w14:textId="4BF20A90" w:rsidR="004E1F6F" w:rsidRPr="005C29F8" w:rsidRDefault="004E1F6F" w:rsidP="004E1F6F">
            <w:pPr>
              <w:jc w:val="center"/>
              <w:rPr>
                <w:rFonts w:cs="Arial"/>
                <w:color w:val="000000" w:themeColor="text1"/>
                <w:szCs w:val="16"/>
              </w:rPr>
            </w:pPr>
            <w:r w:rsidRPr="005C29F8">
              <w:rPr>
                <w:rFonts w:cs="Arial"/>
                <w:color w:val="000000" w:themeColor="text1"/>
                <w:szCs w:val="16"/>
              </w:rPr>
              <w:t>18.09%</w:t>
            </w:r>
          </w:p>
        </w:tc>
        <w:tc>
          <w:tcPr>
            <w:tcW w:w="508" w:type="pct"/>
            <w:shd w:val="clear" w:color="auto" w:fill="auto"/>
          </w:tcPr>
          <w:p w14:paraId="139B969C" w14:textId="619F4507" w:rsidR="004E1F6F" w:rsidRPr="005C29F8" w:rsidRDefault="004E1F6F" w:rsidP="004E1F6F">
            <w:pPr>
              <w:jc w:val="center"/>
              <w:rPr>
                <w:rFonts w:cs="Arial"/>
                <w:color w:val="000000" w:themeColor="text1"/>
                <w:szCs w:val="16"/>
              </w:rPr>
            </w:pPr>
          </w:p>
        </w:tc>
        <w:tc>
          <w:tcPr>
            <w:tcW w:w="612" w:type="pct"/>
            <w:shd w:val="clear" w:color="auto" w:fill="auto"/>
          </w:tcPr>
          <w:p w14:paraId="52EDA926" w14:textId="7B797DBA"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027F05C7" w14:textId="42C60C0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r w:rsidR="005C29F8" w:rsidRPr="005C29F8" w14:paraId="6F15E001" w14:textId="77777777" w:rsidTr="000C3A20">
        <w:tc>
          <w:tcPr>
            <w:tcW w:w="222" w:type="pct"/>
            <w:shd w:val="clear" w:color="auto" w:fill="auto"/>
            <w:vAlign w:val="center"/>
          </w:tcPr>
          <w:p w14:paraId="40D4F498"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C</w:t>
            </w:r>
          </w:p>
        </w:tc>
        <w:tc>
          <w:tcPr>
            <w:tcW w:w="486" w:type="pct"/>
            <w:shd w:val="clear" w:color="auto" w:fill="auto"/>
          </w:tcPr>
          <w:p w14:paraId="200262C5" w14:textId="4788A9A5"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HS</w:t>
            </w:r>
          </w:p>
        </w:tc>
        <w:tc>
          <w:tcPr>
            <w:tcW w:w="659" w:type="pct"/>
            <w:shd w:val="clear" w:color="auto" w:fill="auto"/>
          </w:tcPr>
          <w:p w14:paraId="44B84702" w14:textId="5478A148" w:rsidR="004E1F6F" w:rsidRPr="005C29F8" w:rsidRDefault="004E1F6F" w:rsidP="004E1F6F">
            <w:pPr>
              <w:jc w:val="center"/>
              <w:rPr>
                <w:rFonts w:cs="Arial"/>
                <w:color w:val="000000" w:themeColor="text1"/>
                <w:szCs w:val="16"/>
              </w:rPr>
            </w:pPr>
          </w:p>
        </w:tc>
        <w:tc>
          <w:tcPr>
            <w:tcW w:w="601" w:type="pct"/>
            <w:shd w:val="clear" w:color="auto" w:fill="auto"/>
          </w:tcPr>
          <w:p w14:paraId="6C88DEC2" w14:textId="11F5669A" w:rsidR="004E1F6F" w:rsidRPr="005C29F8" w:rsidRDefault="004E1F6F" w:rsidP="004E1F6F">
            <w:pPr>
              <w:jc w:val="center"/>
              <w:rPr>
                <w:rFonts w:cs="Arial"/>
                <w:color w:val="000000" w:themeColor="text1"/>
                <w:szCs w:val="16"/>
              </w:rPr>
            </w:pPr>
          </w:p>
        </w:tc>
        <w:tc>
          <w:tcPr>
            <w:tcW w:w="551" w:type="pct"/>
            <w:shd w:val="clear" w:color="auto" w:fill="auto"/>
          </w:tcPr>
          <w:p w14:paraId="59D699CF" w14:textId="460A79FA" w:rsidR="004E1F6F" w:rsidRPr="005C29F8" w:rsidRDefault="004E1F6F" w:rsidP="004E1F6F">
            <w:pPr>
              <w:jc w:val="center"/>
              <w:rPr>
                <w:rFonts w:cs="Arial"/>
                <w:color w:val="000000" w:themeColor="text1"/>
                <w:szCs w:val="16"/>
              </w:rPr>
            </w:pPr>
            <w:r w:rsidRPr="005C29F8">
              <w:rPr>
                <w:rFonts w:cs="Arial"/>
                <w:color w:val="000000" w:themeColor="text1"/>
                <w:szCs w:val="16"/>
              </w:rPr>
              <w:t>9.99%</w:t>
            </w:r>
          </w:p>
        </w:tc>
        <w:tc>
          <w:tcPr>
            <w:tcW w:w="765" w:type="pct"/>
            <w:shd w:val="clear" w:color="auto" w:fill="auto"/>
          </w:tcPr>
          <w:p w14:paraId="18D7723E" w14:textId="7A443B62" w:rsidR="004E1F6F" w:rsidRPr="005C29F8" w:rsidRDefault="004E1F6F" w:rsidP="004E1F6F">
            <w:pPr>
              <w:jc w:val="center"/>
              <w:rPr>
                <w:rFonts w:cs="Arial"/>
                <w:color w:val="000000" w:themeColor="text1"/>
                <w:szCs w:val="16"/>
              </w:rPr>
            </w:pPr>
            <w:r w:rsidRPr="005C29F8">
              <w:rPr>
                <w:rFonts w:cs="Arial"/>
                <w:color w:val="000000" w:themeColor="text1"/>
                <w:szCs w:val="16"/>
              </w:rPr>
              <w:t>11.99%</w:t>
            </w:r>
          </w:p>
        </w:tc>
        <w:tc>
          <w:tcPr>
            <w:tcW w:w="508" w:type="pct"/>
            <w:shd w:val="clear" w:color="auto" w:fill="auto"/>
          </w:tcPr>
          <w:p w14:paraId="1C467869" w14:textId="36566B3C" w:rsidR="004E1F6F" w:rsidRPr="005C29F8" w:rsidRDefault="004E1F6F" w:rsidP="004E1F6F">
            <w:pPr>
              <w:jc w:val="center"/>
              <w:rPr>
                <w:rFonts w:cs="Arial"/>
                <w:color w:val="000000" w:themeColor="text1"/>
                <w:szCs w:val="16"/>
              </w:rPr>
            </w:pPr>
          </w:p>
        </w:tc>
        <w:tc>
          <w:tcPr>
            <w:tcW w:w="612" w:type="pct"/>
            <w:shd w:val="clear" w:color="auto" w:fill="auto"/>
          </w:tcPr>
          <w:p w14:paraId="56861D59" w14:textId="0856E80D"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7220CAED" w14:textId="6484F1AC"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https://edu.wyoming.gov/data/assessment-reports/</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FFY19 - no data due to COVID-19. Wyoming assessment waiver submitted and approved by USDOE.</w:t>
      </w:r>
    </w:p>
    <w:p w14:paraId="1C326C48" w14:textId="1B3ADE94" w:rsidR="000A2C83" w:rsidRPr="0033429D" w:rsidRDefault="00573F6C" w:rsidP="008645AD">
      <w:pPr>
        <w:pStyle w:val="Heading2"/>
      </w:pPr>
      <w:r w:rsidRPr="0033429D">
        <w:lastRenderedPageBreak/>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7"/>
      <w:bookmarkEnd w:id="18"/>
    </w:p>
    <w:p w14:paraId="6B24B370" w14:textId="77777777" w:rsidR="006E5AE4" w:rsidRPr="005C29F8" w:rsidRDefault="006E5AE4" w:rsidP="00A018D4">
      <w:pPr>
        <w:rPr>
          <w:color w:val="000000" w:themeColor="text1"/>
          <w:szCs w:val="20"/>
        </w:rPr>
      </w:pPr>
      <w:bookmarkStart w:id="20" w:name="_Toc384383331"/>
      <w:bookmarkStart w:id="21"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2" w:name="_Toc384383332"/>
      <w:bookmarkStart w:id="23" w:name="_Toc392159284"/>
      <w:bookmarkEnd w:id="20"/>
      <w:bookmarkEnd w:id="21"/>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0.00%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w:t>
      </w:r>
      <w:r w:rsidRPr="005C29F8">
        <w:rPr>
          <w:rFonts w:cs="Arial"/>
          <w:color w:val="000000" w:themeColor="text1"/>
          <w:szCs w:val="16"/>
        </w:rPr>
        <w:lastRenderedPageBreak/>
        <w:t xml:space="preserve">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3FD5337B" w14:textId="54E74935" w:rsidR="002D145D" w:rsidRPr="005C29F8" w:rsidRDefault="002D145D" w:rsidP="002D145D">
      <w:pPr>
        <w:rPr>
          <w:rFonts w:cs="Arial"/>
          <w:color w:val="000000" w:themeColor="text1"/>
          <w:szCs w:val="16"/>
        </w:rPr>
      </w:pP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2"/>
      <w:bookmarkEnd w:id="23"/>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4</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45</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The WDE uses the “state bar” method for defining significant discrepancy. The FFY 2019 state rate (based on 2018-19 data) for suspending/expelling students with disabilities for more than ten days is 0.16%. The WDE is setting the state bar as five percentage points higher than the state rate. Thus, any district that suspends or expels 5.16% or more of its students with disabilities for more than ten days is flagged for significant discrepancy. There must be at least 25 students in the denominator and 3 students in the numerator of a suspension rate for it to be flagged, and all seven race and ethnicity reporting categories are included in this analysis.</w:t>
      </w:r>
    </w:p>
    <w:p w14:paraId="47F07052" w14:textId="77777777" w:rsidR="00BB504D" w:rsidRPr="005C29F8" w:rsidRDefault="00BB504D" w:rsidP="004369B2">
      <w:pPr>
        <w:rPr>
          <w:b/>
          <w:color w:val="000000" w:themeColor="text1"/>
        </w:rPr>
      </w:pPr>
      <w:bookmarkStart w:id="24" w:name="_Toc384383334"/>
      <w:bookmarkStart w:id="25" w:name="_Toc392159286"/>
      <w:r w:rsidRPr="005C29F8">
        <w:rPr>
          <w:b/>
          <w:color w:val="000000" w:themeColor="text1"/>
        </w:rPr>
        <w:t>Provide additional information about this indicator (optional)</w:t>
      </w:r>
    </w:p>
    <w:p w14:paraId="0275E470" w14:textId="5748926D" w:rsidR="00A869E9" w:rsidRPr="005C29F8" w:rsidRDefault="002B7490" w:rsidP="000E33D0">
      <w:pPr>
        <w:rPr>
          <w:rFonts w:cs="Arial"/>
          <w:color w:val="000000" w:themeColor="text1"/>
          <w:szCs w:val="16"/>
        </w:rPr>
      </w:pPr>
      <w:r w:rsidRPr="005C29F8">
        <w:rPr>
          <w:rFonts w:cs="Arial"/>
          <w:color w:val="000000" w:themeColor="text1"/>
          <w:szCs w:val="16"/>
        </w:rPr>
        <w:t>Of the 49 LEAs in Wyoming, none were identified as having significant discrepancy in FFY 2019 for Indicator 4A. In the entire state of Wyoming, only 27 students with disabilities were suspended or expelled for greater than ten days in FFY 2019. Only 10 LEAs had a suspension rate greater than 0%, and none had a suspension rate greater than 5.16%. Four LEAs were excluded from the Indicator 4A analyses due to not having at least 25 students with disabilities enrolled at the district; however, three of the four districts had a 0% suspension rate and the other district suspended only one student.</w:t>
      </w:r>
    </w:p>
    <w:bookmarkEnd w:id="24"/>
    <w:bookmarkEnd w:id="25"/>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1295BAEB" w14:textId="77777777" w:rsidR="007E6F97" w:rsidRPr="005C29F8" w:rsidRDefault="007E6F97" w:rsidP="004369B2">
      <w:pPr>
        <w:rPr>
          <w:color w:val="000000" w:themeColor="text1"/>
        </w:rPr>
      </w:pPr>
      <w:bookmarkStart w:id="26" w:name="_Toc381956335"/>
      <w:bookmarkStart w:id="27" w:name="_Toc384383336"/>
      <w:bookmarkStart w:id="28"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lastRenderedPageBreak/>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6"/>
      <w:bookmarkEnd w:id="27"/>
      <w:bookmarkEnd w:id="28"/>
    </w:p>
    <w:p w14:paraId="1BA30D93" w14:textId="77777777" w:rsidR="008637F8" w:rsidRPr="005C29F8" w:rsidRDefault="008637F8" w:rsidP="00A018D4">
      <w:pPr>
        <w:rPr>
          <w:color w:val="000000" w:themeColor="text1"/>
          <w:szCs w:val="20"/>
        </w:rPr>
      </w:pPr>
      <w:bookmarkStart w:id="29" w:name="_Toc384383338"/>
      <w:bookmarkStart w:id="30"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as a result of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2016</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0.00%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29"/>
      <w:bookmarkEnd w:id="30"/>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as a result of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5</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44</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1"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The WDE uses the “state bar” method for defining significant discrepancy. The FFY 2019 state rate (based on 2018-19 data) for suspending/expelling students with disabilities for more than ten days is 0.16%. The WDE is setting the state bar as five percentage points higher than the state rate. Thus, any district that suspends or expels 5.16% or more of its students with disabilities for more than ten days is flagged for significant discrepancy. There must be at least 25 students in the denominator and 3 students in the numerator of a suspension rate for it to be flagged, and all seven race and ethnicity reporting categories are included in this analysis.</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B7490" w:rsidP="000E33D0">
      <w:pPr>
        <w:rPr>
          <w:rFonts w:cs="Arial"/>
          <w:color w:val="000000" w:themeColor="text1"/>
          <w:szCs w:val="16"/>
        </w:rPr>
      </w:pPr>
      <w:r w:rsidRPr="005C29F8">
        <w:rPr>
          <w:rFonts w:cs="Arial"/>
          <w:color w:val="000000" w:themeColor="text1"/>
          <w:szCs w:val="16"/>
        </w:rPr>
        <w:t>Of the 49 LEAs in Wyoming, none were identified as having significant discrepancy in FFY 2019 for Indicator 4B. In the entire state of Wyoming, only 27 students with disabilities were suspended or expelled for greater than ten days in FFY 2019. For each of Wyoming’s 49 LEAs, the WDE calculates a suspension and expulsion rate for each of the seven race and ethnicity reporting categories. (Note: many LEAs do not have members of every race and ethnicity reporting category enrolled in the LEA.) None were identified as having significant discrepancy in FFY 2019 for Indicator 4B. Only 10 LEAs had a suspension rate greater than 0%. Of these 10 LEAs, two were excluded for a given race/ethnicity rate because there were not at least 25 students in the denominator (for each of these two LEAs, only one student was suspended). This illustrates the very small numbers of students with disabilities for a particular racial/ethnic group in some Wyoming LEAs. Of the 49 LEAs, 44 had at least one ratio calculated for Indicator 4B that was based on at least 25 students.</w:t>
      </w: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The State DID NOT identify noncompliance with Part B requirements as a result of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5C29F8"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5C29F8"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5C29F8" w:rsidRDefault="009A755E" w:rsidP="00A018D4">
            <w:pPr>
              <w:jc w:val="center"/>
              <w:rPr>
                <w:rFonts w:cs="Arial"/>
                <w:color w:val="000000" w:themeColor="text1"/>
                <w:szCs w:val="16"/>
              </w:rPr>
            </w:pP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2"/>
      <w:r w:rsidRPr="005C29F8">
        <w:rPr>
          <w:color w:val="000000" w:themeColor="text1"/>
          <w:sz w:val="22"/>
        </w:rPr>
        <w:t>Education Environments (children 6-21)</w:t>
      </w:r>
      <w:bookmarkEnd w:id="19"/>
      <w:bookmarkEnd w:id="31"/>
    </w:p>
    <w:p w14:paraId="52AD89A1" w14:textId="77777777" w:rsidR="00775845" w:rsidRPr="005C29F8" w:rsidRDefault="00775845" w:rsidP="00A018D4">
      <w:pPr>
        <w:rPr>
          <w:color w:val="000000" w:themeColor="text1"/>
          <w:szCs w:val="20"/>
        </w:rPr>
      </w:pPr>
      <w:bookmarkStart w:id="32"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A. Inside the regular class 80% or more of the day;</w:t>
      </w:r>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2"/>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62.09%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62.34%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62.59%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62.84%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63.09%</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54.30%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65.21%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65.38%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68.59%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70.71%</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7.10%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6.75%</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6.66%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6.49%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6.23%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5.77%</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1.33%</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2.63%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1.77%</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65.09%</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6.50%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2.00%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lastRenderedPageBreak/>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13,459</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9,950</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729</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85</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123</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18</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9,950</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13,459</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70.71%</w:t>
            </w:r>
          </w:p>
        </w:tc>
        <w:tc>
          <w:tcPr>
            <w:tcW w:w="565" w:type="pct"/>
            <w:shd w:val="clear" w:color="auto" w:fill="auto"/>
            <w:vAlign w:val="center"/>
          </w:tcPr>
          <w:p w14:paraId="497D8B9F" w14:textId="585C0A39" w:rsidR="00631963" w:rsidRPr="005C29F8" w:rsidRDefault="002B7490" w:rsidP="00A018D4">
            <w:pPr>
              <w:jc w:val="center"/>
              <w:rPr>
                <w:rFonts w:cs="Arial"/>
                <w:color w:val="000000" w:themeColor="text1"/>
                <w:szCs w:val="16"/>
              </w:rPr>
            </w:pPr>
            <w:r w:rsidRPr="005C29F8">
              <w:rPr>
                <w:rFonts w:cs="Arial"/>
                <w:color w:val="000000" w:themeColor="text1"/>
                <w:szCs w:val="16"/>
              </w:rPr>
              <w:t>65.09%</w:t>
            </w: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73.93%</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729</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13,459</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5.77%</w:t>
            </w:r>
          </w:p>
        </w:tc>
        <w:tc>
          <w:tcPr>
            <w:tcW w:w="565" w:type="pct"/>
            <w:shd w:val="clear" w:color="auto" w:fill="auto"/>
            <w:vAlign w:val="center"/>
          </w:tcPr>
          <w:p w14:paraId="02F3CF00" w14:textId="6A81B00C" w:rsidR="00631963" w:rsidRPr="005C29F8" w:rsidRDefault="002B7490" w:rsidP="00A018D4">
            <w:pPr>
              <w:jc w:val="center"/>
              <w:rPr>
                <w:rFonts w:cs="Arial"/>
                <w:color w:val="000000" w:themeColor="text1"/>
                <w:szCs w:val="16"/>
              </w:rPr>
            </w:pPr>
            <w:r w:rsidRPr="005C29F8">
              <w:rPr>
                <w:rFonts w:cs="Arial"/>
                <w:color w:val="000000" w:themeColor="text1"/>
                <w:szCs w:val="16"/>
              </w:rPr>
              <w:t>6.50%</w:t>
            </w: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5.42%</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226</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13,459</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1.77%</w:t>
            </w:r>
          </w:p>
        </w:tc>
        <w:tc>
          <w:tcPr>
            <w:tcW w:w="565" w:type="pct"/>
            <w:shd w:val="clear" w:color="auto" w:fill="auto"/>
            <w:vAlign w:val="center"/>
          </w:tcPr>
          <w:p w14:paraId="10D1478E" w14:textId="0F36466F" w:rsidR="00631963" w:rsidRPr="005C29F8" w:rsidRDefault="002B7490" w:rsidP="00A018D4">
            <w:pPr>
              <w:jc w:val="center"/>
              <w:rPr>
                <w:rFonts w:cs="Arial"/>
                <w:color w:val="000000" w:themeColor="text1"/>
                <w:szCs w:val="16"/>
              </w:rPr>
            </w:pPr>
            <w:r w:rsidRPr="005C29F8">
              <w:rPr>
                <w:rFonts w:cs="Arial"/>
                <w:color w:val="000000" w:themeColor="text1"/>
                <w:szCs w:val="16"/>
              </w:rPr>
              <w:t>2.00%</w:t>
            </w: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1.68%</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Please note that the data above represents 5-year olds in kindergarten through 21 year-olds. In 2019-20, Wyoming transitioned to the new EDFacts reporting requirements for EDFacts file FS002.</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 xml:space="preserve">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t>
      </w:r>
      <w:r w:rsidRPr="005C29F8">
        <w:rPr>
          <w:rFonts w:cs="Arial"/>
          <w:color w:val="000000" w:themeColor="text1"/>
          <w:szCs w:val="16"/>
        </w:rPr>
        <w:lastRenderedPageBreak/>
        <w:t>with their SY 2020-21 submission, when the change becomes permanent.  The State transitioned to reporting five-year-olds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 However, the State must revise the baseline for this indicator, using FFY 2019 data.</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2B7490" w:rsidP="001F692C">
      <w:pPr>
        <w:rPr>
          <w:rFonts w:cs="Arial"/>
          <w:color w:val="000000" w:themeColor="text1"/>
          <w:szCs w:val="16"/>
        </w:rPr>
      </w:pPr>
      <w:r w:rsidRPr="005C29F8">
        <w:rPr>
          <w:rFonts w:cs="Arial"/>
          <w:color w:val="000000" w:themeColor="text1"/>
          <w:szCs w:val="16"/>
        </w:rPr>
        <w:t>The State did not revise the baseline for this indicator, as required due to the change in the data source. The State must revise its baseline using data from FFY 2019.</w:t>
      </w: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3"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B. Separate special education class, separate school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of children aged 3 through 5 with IEPs attending a separate special education class, separate school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3"/>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61.73%</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61.98%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62.23%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62.48%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62.73%</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59.84%</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56.22%</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65.19%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59.90%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69.26%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76.04%</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28.76%</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28.51%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28.26%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28.01%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27.76%</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30.80%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33.89%</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25.25%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30.85%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23.95%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18.25%</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67.50%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22.50%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0448DBC0" w14:textId="4024B20E" w:rsidR="002D145D" w:rsidRPr="005C29F8" w:rsidRDefault="002D145D" w:rsidP="002D145D">
      <w:pPr>
        <w:rPr>
          <w:rFonts w:cs="Arial"/>
          <w:color w:val="000000" w:themeColor="text1"/>
          <w:szCs w:val="16"/>
        </w:rPr>
      </w:pPr>
    </w:p>
    <w:p w14:paraId="27170CED" w14:textId="77777777" w:rsidR="00E428BD" w:rsidRPr="005C29F8" w:rsidRDefault="00E428BD" w:rsidP="004369B2">
      <w:pPr>
        <w:rPr>
          <w:color w:val="000000" w:themeColor="text1"/>
        </w:rPr>
      </w:pPr>
      <w:bookmarkStart w:id="34" w:name="_Toc382082378"/>
      <w:bookmarkStart w:id="35"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2,399</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1,741</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212</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281</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1,741</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2,399</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76.04%</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67.50%</w:t>
            </w: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72.57%</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493</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2,399</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18.25%</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22.50%</w:t>
            </w: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20.55%</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t>Please note that the data above represents 3 through 5-year olds in preschool. In 2019-20, Wyoming transitioned to the new EDFacts reporting requirements for EDFacts file FS089 which excludes 5-year-olds in kindergarten from this count.</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The State transitioned to reporting five-year-olds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 However, the State must revise the baseline for this indicator, using FFY 2019 data.</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2B7490" w:rsidP="001F692C">
      <w:pPr>
        <w:rPr>
          <w:rFonts w:cs="Arial"/>
          <w:color w:val="000000" w:themeColor="text1"/>
          <w:szCs w:val="16"/>
        </w:rPr>
      </w:pPr>
      <w:r w:rsidRPr="005C29F8">
        <w:rPr>
          <w:rFonts w:cs="Arial"/>
          <w:color w:val="000000" w:themeColor="text1"/>
          <w:szCs w:val="16"/>
        </w:rPr>
        <w:t>The State did not revise the baseline for this indicator, as required due to the change in the data source. The State must revise its baseline using data from FFY 2019.</w:t>
      </w: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4"/>
      <w:bookmarkEnd w:id="35"/>
    </w:p>
    <w:p w14:paraId="1404DCF9" w14:textId="77777777" w:rsidR="00531E54" w:rsidRPr="005C29F8" w:rsidRDefault="00531E54" w:rsidP="00A018D4">
      <w:pPr>
        <w:rPr>
          <w:color w:val="000000" w:themeColor="text1"/>
          <w:szCs w:val="20"/>
        </w:rPr>
      </w:pPr>
      <w:bookmarkStart w:id="36"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89.50%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60.68%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91.23%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90.76%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87.79%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78.78%</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57.13%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57.33%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57.53%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57.53%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59.13%</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56.87%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59.49%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59.25%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76.05%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81.67%</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89.27%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89.37%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89.47%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89.67%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91.27%</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61.12%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92.06%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70.34%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59.25%</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53.72%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53.82%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53.92%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54.12%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55.72%</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54.77%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58.07%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54.87%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54.53%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57.26%</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89.18%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89.38%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89.58%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91.18%</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63.81%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92.77%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91.56%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61.25%</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68.55%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68.65%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68.95%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70.55%</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67.05%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77.79%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74.89%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70.84%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72.47%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69.99%</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79.00%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75.00%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61.15%</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57.50%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64.00%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70.25%</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239</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29</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12.13%</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19</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7.95%</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15</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6.28%</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70</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29.29%</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106</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44.35%</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w:t>
            </w:r>
            <w:r w:rsidRPr="005C29F8">
              <w:rPr>
                <w:rFonts w:cs="Arial"/>
                <w:color w:val="000000" w:themeColor="text1"/>
                <w:szCs w:val="16"/>
              </w:rPr>
              <w:lastRenderedPageBreak/>
              <w:t xml:space="preserve">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lastRenderedPageBreak/>
              <w:t>85</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133</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78.78%</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79.00%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63.91%</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176</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239</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81.67%</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75.00%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73.64%</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67</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28.03%</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27</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11.30%</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12</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5.02%</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72</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30.13%</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61</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25.52%</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84</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178</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59.25%</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61.15%</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47.19%</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133</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239</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57.26%</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57.50%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55.65%</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41</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17.15%</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33</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13.81%</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8</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3.35%</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46</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19.25%</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111</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46.44%</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lastRenderedPageBreak/>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54</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128</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61.25%</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64.00%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42.19%</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157</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239</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69.99%</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70.25%</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65.69%</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105291D6" w14:textId="2B417D4B" w:rsidR="009B37A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5C29F8" w14:paraId="61620C7C" w14:textId="77777777" w:rsidTr="003138F9">
        <w:trPr>
          <w:tblHeader/>
        </w:trPr>
        <w:tc>
          <w:tcPr>
            <w:tcW w:w="375" w:type="pct"/>
            <w:vAlign w:val="bottom"/>
          </w:tcPr>
          <w:p w14:paraId="0AA39E44" w14:textId="77777777" w:rsidR="005033CE" w:rsidRPr="005C29F8" w:rsidRDefault="005033CE" w:rsidP="004369B2">
            <w:pPr>
              <w:jc w:val="center"/>
              <w:rPr>
                <w:color w:val="000000" w:themeColor="text1"/>
              </w:rPr>
            </w:pPr>
            <w:r w:rsidRPr="005C29F8">
              <w:rPr>
                <w:b/>
                <w:color w:val="000000" w:themeColor="text1"/>
              </w:rPr>
              <w:t>Part</w:t>
            </w:r>
          </w:p>
        </w:tc>
        <w:tc>
          <w:tcPr>
            <w:tcW w:w="4625" w:type="pct"/>
            <w:shd w:val="clear" w:color="auto" w:fill="auto"/>
          </w:tcPr>
          <w:p w14:paraId="41FB5113" w14:textId="77777777" w:rsidR="005033CE" w:rsidRPr="005C29F8" w:rsidRDefault="005033CE" w:rsidP="004369B2">
            <w:pPr>
              <w:jc w:val="center"/>
              <w:rPr>
                <w:color w:val="000000" w:themeColor="text1"/>
              </w:rPr>
            </w:pPr>
            <w:r w:rsidRPr="005C29F8">
              <w:rPr>
                <w:b/>
                <w:color w:val="000000" w:themeColor="text1"/>
              </w:rPr>
              <w:t>Reasons for slippage, if applicable</w:t>
            </w:r>
          </w:p>
        </w:tc>
      </w:tr>
      <w:tr w:rsidR="005C29F8" w:rsidRPr="005C29F8" w14:paraId="27E1C634" w14:textId="77777777" w:rsidTr="003138F9">
        <w:tc>
          <w:tcPr>
            <w:tcW w:w="375" w:type="pct"/>
            <w:vAlign w:val="center"/>
          </w:tcPr>
          <w:p w14:paraId="0985CEF0" w14:textId="77777777" w:rsidR="005033CE" w:rsidRPr="005C29F8" w:rsidRDefault="005033CE" w:rsidP="004369B2">
            <w:pPr>
              <w:jc w:val="center"/>
              <w:rPr>
                <w:b/>
                <w:color w:val="000000" w:themeColor="text1"/>
              </w:rPr>
            </w:pPr>
            <w:r w:rsidRPr="005C29F8">
              <w:rPr>
                <w:b/>
                <w:color w:val="000000" w:themeColor="text1"/>
              </w:rPr>
              <w:t>A1</w:t>
            </w:r>
          </w:p>
        </w:tc>
        <w:tc>
          <w:tcPr>
            <w:tcW w:w="4625" w:type="pct"/>
            <w:shd w:val="clear" w:color="auto" w:fill="auto"/>
          </w:tcPr>
          <w:p w14:paraId="6D607127" w14:textId="1BD8E744" w:rsidR="005033CE" w:rsidRPr="005C29F8" w:rsidRDefault="008C5922" w:rsidP="004369B2">
            <w:pPr>
              <w:rPr>
                <w:color w:val="000000" w:themeColor="text1"/>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A1, the WDE examined results by the 14 regions to determine if this slippage was present in all 14 regions or if it was particular to just certain regions. Data indicated that 8 of the 14 regions saw a decrease in their A1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significance testing was done to determine which groups were least likely to show growth. The purpose of this was to determine if any changes in instructional practices needed to occur for certain groups of students. This analysis showed that students with a disability of speech language impairment were less likely to show growth than students with a disability of autism or other health impaired. Each region is provided with detailed reports of their Indicator 7 data which includes disaggregations of the scores by gender, race/ethnicity, disability, months in the program, etc. so that they can begin to determine which students improve/exit at age level and which do not. </w:t>
            </w:r>
          </w:p>
        </w:tc>
      </w:tr>
      <w:tr w:rsidR="005C29F8" w:rsidRPr="005C29F8" w14:paraId="2C5A03FF" w14:textId="77777777" w:rsidTr="003138F9">
        <w:tc>
          <w:tcPr>
            <w:tcW w:w="375" w:type="pct"/>
            <w:vAlign w:val="center"/>
          </w:tcPr>
          <w:p w14:paraId="1B7D7510" w14:textId="77777777" w:rsidR="005033CE" w:rsidRPr="005C29F8" w:rsidRDefault="005033CE" w:rsidP="004369B2">
            <w:pPr>
              <w:jc w:val="center"/>
              <w:rPr>
                <w:b/>
                <w:color w:val="000000" w:themeColor="text1"/>
              </w:rPr>
            </w:pPr>
            <w:r w:rsidRPr="005C29F8">
              <w:rPr>
                <w:b/>
                <w:color w:val="000000" w:themeColor="text1"/>
              </w:rPr>
              <w:t>A2</w:t>
            </w:r>
          </w:p>
        </w:tc>
        <w:tc>
          <w:tcPr>
            <w:tcW w:w="4625" w:type="pct"/>
            <w:shd w:val="clear" w:color="auto" w:fill="auto"/>
          </w:tcPr>
          <w:p w14:paraId="370094D2" w14:textId="465BB469" w:rsidR="005033CE" w:rsidRPr="005C29F8" w:rsidRDefault="008C5922" w:rsidP="00E21107">
            <w:pPr>
              <w:rPr>
                <w:rFonts w:cs="Arial"/>
                <w:color w:val="000000" w:themeColor="text1"/>
                <w:szCs w:val="16"/>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A2, the WDE examined results by the 14 regions to determine if this slippage was present in all 14 regions or if it was particular to just certain regions. Data indicated that 6 of the 14 regions saw a decrease in their A2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significance testing was done to determine which groups were least likely to score at age level. The purpose of this was to determine if any changes in instructional practices needed to occur for certain groups of students. This analysis showed no significance </w:t>
            </w:r>
            <w:r w:rsidRPr="005C29F8">
              <w:rPr>
                <w:rFonts w:cs="Arial"/>
                <w:color w:val="000000" w:themeColor="text1"/>
                <w:szCs w:val="16"/>
              </w:rPr>
              <w:lastRenderedPageBreak/>
              <w:t xml:space="preserve">differences. Each region is provided with detailed reports of their Indicator 7 data which includes disaggregation of the scores by gender, race/ethnicity, disability, months in the program, etc. so that they can begin to determine which students improve/exit at age level and which do not. </w:t>
            </w:r>
          </w:p>
        </w:tc>
      </w:tr>
      <w:tr w:rsidR="005C29F8" w:rsidRPr="005C29F8" w14:paraId="4048A12D" w14:textId="77777777" w:rsidTr="003138F9">
        <w:tc>
          <w:tcPr>
            <w:tcW w:w="375" w:type="pct"/>
            <w:vAlign w:val="center"/>
          </w:tcPr>
          <w:p w14:paraId="145820F6" w14:textId="77777777" w:rsidR="005033CE" w:rsidRPr="005C29F8" w:rsidRDefault="005033CE" w:rsidP="004369B2">
            <w:pPr>
              <w:jc w:val="center"/>
              <w:rPr>
                <w:b/>
                <w:color w:val="000000" w:themeColor="text1"/>
              </w:rPr>
            </w:pPr>
            <w:r w:rsidRPr="005C29F8">
              <w:rPr>
                <w:b/>
                <w:color w:val="000000" w:themeColor="text1"/>
              </w:rPr>
              <w:lastRenderedPageBreak/>
              <w:t>B1</w:t>
            </w:r>
          </w:p>
        </w:tc>
        <w:tc>
          <w:tcPr>
            <w:tcW w:w="4625" w:type="pct"/>
            <w:shd w:val="clear" w:color="auto" w:fill="auto"/>
          </w:tcPr>
          <w:p w14:paraId="13F5303F" w14:textId="12C0A103" w:rsidR="005033CE" w:rsidRPr="005C29F8" w:rsidRDefault="00852D5E" w:rsidP="00E21107">
            <w:pPr>
              <w:rPr>
                <w:rFonts w:cs="Arial"/>
                <w:i/>
                <w:color w:val="000000" w:themeColor="text1"/>
                <w:szCs w:val="16"/>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B1, the WDE examined results by the 14 regions to determine if this slippage was present in all 14 regions or if it was particular to just certain regions. Data indicated that 10 of the 14 regions saw a decrease in their B1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testing was done to determine which groups were least likely to show growth. The purpose of this was to determine if any changes in instructional practices needed to occur for certain groups of students. This analysis showed that students with a disability of speech language impairment were less likely to show growth than students with a disability of autism or other health impaired. Each region is provided with detailed reports of their Indicator 7 data which includes disaggregation of the scores by gender, race/ethnicity, disability, months in the program, etc. so that they can begin to determine which students improve/exit at age level and which do not. </w:t>
            </w:r>
          </w:p>
        </w:tc>
      </w:tr>
      <w:tr w:rsidR="005C29F8" w:rsidRPr="005C29F8" w14:paraId="24215C17" w14:textId="77777777" w:rsidTr="003138F9">
        <w:tc>
          <w:tcPr>
            <w:tcW w:w="375" w:type="pct"/>
            <w:vAlign w:val="center"/>
          </w:tcPr>
          <w:p w14:paraId="3D5C0F58" w14:textId="77777777" w:rsidR="005033CE" w:rsidRPr="005C29F8" w:rsidRDefault="005033CE" w:rsidP="004369B2">
            <w:pPr>
              <w:jc w:val="center"/>
              <w:rPr>
                <w:b/>
                <w:color w:val="000000" w:themeColor="text1"/>
              </w:rPr>
            </w:pPr>
            <w:r w:rsidRPr="005C29F8">
              <w:rPr>
                <w:b/>
                <w:color w:val="000000" w:themeColor="text1"/>
              </w:rPr>
              <w:t>B2</w:t>
            </w:r>
          </w:p>
        </w:tc>
        <w:tc>
          <w:tcPr>
            <w:tcW w:w="4625" w:type="pct"/>
            <w:shd w:val="clear" w:color="auto" w:fill="auto"/>
          </w:tcPr>
          <w:p w14:paraId="0FC56E33" w14:textId="577E037B" w:rsidR="005033CE" w:rsidRPr="005C29F8" w:rsidRDefault="008C5922" w:rsidP="00E21107">
            <w:pPr>
              <w:rPr>
                <w:rFonts w:cs="Arial"/>
                <w:i/>
                <w:color w:val="000000" w:themeColor="text1"/>
                <w:szCs w:val="16"/>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B2, the WDE examined results by the 14 regions to determine if this slippage was present in all 14 regions or if it was particular to just certain regions. Data indicated that 6 of the 14 regions saw a decrease in their B2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significance testing was done to determine which groups were least likely to score at age level. The purpose of this was to determine if any changes in instructional practices needed to occur for certain groups of students. This analysis showed that students in a separate classroom environment are less likely to score at age level than students in an environment with their peers. Each region is provided with detailed reports of their Indicator 7 data which includes disaggregation of the scores by gender, race/ethnicity, disability, months in the program, etc. so that they can begin to determine which students improve/exit at age level and which do not. </w:t>
            </w:r>
          </w:p>
        </w:tc>
      </w:tr>
      <w:tr w:rsidR="005C29F8" w:rsidRPr="005C29F8" w14:paraId="52A26FBD" w14:textId="77777777" w:rsidTr="003138F9">
        <w:tc>
          <w:tcPr>
            <w:tcW w:w="375" w:type="pct"/>
            <w:vAlign w:val="center"/>
          </w:tcPr>
          <w:p w14:paraId="2ED6B5B9" w14:textId="77777777" w:rsidR="005033CE" w:rsidRPr="005C29F8" w:rsidRDefault="005033CE" w:rsidP="004369B2">
            <w:pPr>
              <w:jc w:val="center"/>
              <w:rPr>
                <w:b/>
                <w:color w:val="000000" w:themeColor="text1"/>
              </w:rPr>
            </w:pPr>
            <w:r w:rsidRPr="005C29F8">
              <w:rPr>
                <w:b/>
                <w:color w:val="000000" w:themeColor="text1"/>
              </w:rPr>
              <w:t>C1</w:t>
            </w:r>
          </w:p>
        </w:tc>
        <w:tc>
          <w:tcPr>
            <w:tcW w:w="4625" w:type="pct"/>
            <w:shd w:val="clear" w:color="auto" w:fill="auto"/>
          </w:tcPr>
          <w:p w14:paraId="7E064C1A" w14:textId="356EB505" w:rsidR="005033CE" w:rsidRPr="005C29F8" w:rsidRDefault="005033CE" w:rsidP="00E21107">
            <w:pPr>
              <w:rPr>
                <w:rFonts w:cs="Arial"/>
                <w:color w:val="000000" w:themeColor="text1"/>
                <w:szCs w:val="16"/>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C1, the WDE examined results by the 14 regions to determine if this slippage was present in all 14 regions or if it was particular to just certain regions. Data indicated that 7 of the 14 regions saw a decrease in their C1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significance testing was done to determine which groups were least likely to show growth. The purpose of this was to </w:t>
            </w:r>
            <w:r w:rsidRPr="005C29F8">
              <w:rPr>
                <w:rFonts w:cs="Arial"/>
                <w:color w:val="000000" w:themeColor="text1"/>
                <w:szCs w:val="16"/>
              </w:rPr>
              <w:lastRenderedPageBreak/>
              <w:t>determine if any changes in instructional practices needed to occur for certain groups of students. This analysis showed no significance differences. Each region is provided with detailed reports of their Indicator 7 data which includes disaggregation of the scores by gender, race/ethnicity, disability, months in the program, etc. so that they can begin to determine which students improve/exit at age level and which do not.</w:t>
            </w:r>
          </w:p>
        </w:tc>
      </w:tr>
      <w:tr w:rsidR="005C29F8" w:rsidRPr="005C29F8" w14:paraId="78369361" w14:textId="77777777" w:rsidTr="003138F9">
        <w:tc>
          <w:tcPr>
            <w:tcW w:w="375" w:type="pct"/>
            <w:vAlign w:val="center"/>
          </w:tcPr>
          <w:p w14:paraId="3CA58DE3" w14:textId="77777777" w:rsidR="005033CE" w:rsidRPr="005C29F8" w:rsidRDefault="005033CE" w:rsidP="004369B2">
            <w:pPr>
              <w:jc w:val="center"/>
              <w:rPr>
                <w:b/>
                <w:color w:val="000000" w:themeColor="text1"/>
              </w:rPr>
            </w:pPr>
            <w:r w:rsidRPr="005C29F8">
              <w:rPr>
                <w:b/>
                <w:color w:val="000000" w:themeColor="text1"/>
              </w:rPr>
              <w:lastRenderedPageBreak/>
              <w:t>C2</w:t>
            </w:r>
          </w:p>
        </w:tc>
        <w:tc>
          <w:tcPr>
            <w:tcW w:w="4625" w:type="pct"/>
            <w:shd w:val="clear" w:color="auto" w:fill="auto"/>
          </w:tcPr>
          <w:p w14:paraId="36410A58" w14:textId="082DFC3E" w:rsidR="005033CE" w:rsidRPr="005C29F8" w:rsidRDefault="005033CE" w:rsidP="00E21107">
            <w:pPr>
              <w:rPr>
                <w:rFonts w:cs="Arial"/>
                <w:color w:val="000000" w:themeColor="text1"/>
                <w:szCs w:val="16"/>
              </w:rPr>
            </w:pPr>
            <w:r w:rsidRPr="005C29F8">
              <w:rPr>
                <w:rFonts w:cs="Arial"/>
                <w:color w:val="000000" w:themeColor="text1"/>
                <w:szCs w:val="16"/>
              </w:rPr>
              <w:t>One potential reason for the slippage is the reduced number of children on which the rates are based is due to COVID.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r w:rsidRPr="005C29F8">
              <w:rPr>
                <w:rFonts w:cs="Arial"/>
                <w:color w:val="000000" w:themeColor="text1"/>
                <w:szCs w:val="16"/>
              </w:rPr>
              <w:br/>
            </w:r>
            <w:r w:rsidRPr="005C29F8">
              <w:rPr>
                <w:rFonts w:cs="Arial"/>
                <w:color w:val="000000" w:themeColor="text1"/>
                <w:szCs w:val="16"/>
              </w:rPr>
              <w:br/>
              <w:t>Other than COVID, to determine why there is slippage in C2, the WDE examined results by the 14 regions to determine if this slippage was present in all 14 regions or if it was particular to just certain regions. Data indicated that 6 of the 14 regions saw a decrease in their C2 score. The primary reason for the decrease is the change in methodology for collecting data for Indicator 7 (see below). In 2019-20, the vast majority of children were evaluated with the BDI at both entry and exit, unlike in previous years. Showing growth with the BDI z-scores is more difficult than with the previous process. The WDE analyzed the various types of BDI scores to determine how best to capture accurate growth information on exiting children. The BDI provides “Change Sensitive Scores” (CSS) whose purpose is to monitor progress and growth in children’s developmental milestones. Now that all regions are using the BDI Data Manager online scoring tool, starting in 2020-21, the WDE will be able to analyze Change Sensitive Scores over time. As a result of this, we will be able to obtain more accurate measures of children’s growth from entry and exit. We expect all Summary Statement 1 scores will increase dramatically in 2020-21. In addition, in 2020-21, the WDE will be setting appropriate targets for the Indicator 7 scores now that the BDI process is fully implemented.</w:t>
            </w:r>
            <w:r w:rsidRPr="005C29F8">
              <w:rPr>
                <w:rFonts w:cs="Arial"/>
                <w:color w:val="000000" w:themeColor="text1"/>
                <w:szCs w:val="16"/>
              </w:rPr>
              <w:br/>
            </w:r>
            <w:r w:rsidRPr="005C29F8">
              <w:rPr>
                <w:rFonts w:cs="Arial"/>
                <w:color w:val="000000" w:themeColor="text1"/>
                <w:szCs w:val="16"/>
              </w:rPr>
              <w:br/>
              <w:t xml:space="preserve">At the state level, significance testing was done to determine which groups were least likely to score at age level. The purpose of this was to determine if any changes in instructional practices needed to occur for certain groups of students. This analysis showed that students with a disability of speech language impairment were less likely to score at age level than students with a disability of autism or other health impaired. Each region is provided with detailed reports of their Indicator 7 data which includes disaggregation of the scores by gender, race/ethnicity, disability, months in the program, etc. so that they can begin to determine which students improve/exit at age level and which do not. </w:t>
            </w:r>
          </w:p>
        </w:tc>
      </w:tr>
    </w:tbl>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7" w:name="_Toc382082381"/>
      <w:bookmarkStart w:id="38"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In 2018-19, all preschool regions had transitioned to the new process for gathering data on the three outcomes areas. This new process is use of the Battelle Developmental Inventory. The scoring process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w:t>
      </w:r>
      <w:r w:rsidRPr="005C29F8">
        <w:rPr>
          <w:rFonts w:cs="Arial"/>
          <w:color w:val="000000" w:themeColor="text1"/>
          <w:szCs w:val="16"/>
        </w:rPr>
        <w:br/>
      </w:r>
      <w:r w:rsidRPr="005C29F8">
        <w:rPr>
          <w:rFonts w:cs="Arial"/>
          <w:color w:val="000000" w:themeColor="text1"/>
          <w:szCs w:val="16"/>
        </w:rPr>
        <w:br/>
        <w:t>Note that there are still some students who, upon entry, used the previous process for gathering data on the three outcomes areas. Under the previous process, the regions could use one or more of the following assessments to collect data:</w:t>
      </w:r>
      <w:r w:rsidRPr="005C29F8">
        <w:rPr>
          <w:rFonts w:cs="Arial"/>
          <w:color w:val="000000" w:themeColor="text1"/>
          <w:szCs w:val="16"/>
        </w:rPr>
        <w:br/>
      </w:r>
      <w:r w:rsidRPr="005C29F8">
        <w:rPr>
          <w:rFonts w:cs="Arial"/>
          <w:color w:val="000000" w:themeColor="text1"/>
          <w:szCs w:val="16"/>
        </w:rPr>
        <w:br/>
        <w:t>Battelle Developmental Inventory Brigance Inventory of Early Development</w:t>
      </w:r>
      <w:r w:rsidRPr="005C29F8">
        <w:rPr>
          <w:rFonts w:cs="Arial"/>
          <w:color w:val="000000" w:themeColor="text1"/>
          <w:szCs w:val="16"/>
        </w:rPr>
        <w:br/>
        <w:t>Creative Curriculum Developmental Continuum for Ages 3-5 or, Other tools approved by the EIEP.</w:t>
      </w:r>
      <w:r w:rsidRPr="005C29F8">
        <w:rPr>
          <w:rFonts w:cs="Arial"/>
          <w:color w:val="000000" w:themeColor="text1"/>
          <w:szCs w:val="16"/>
        </w:rPr>
        <w:br/>
      </w:r>
      <w:r w:rsidRPr="005C29F8">
        <w:rPr>
          <w:rFonts w:cs="Arial"/>
          <w:color w:val="000000" w:themeColor="text1"/>
          <w:szCs w:val="16"/>
        </w:rPr>
        <w:br/>
        <w:t>With the previous process, the IEP team would also review other sources of information, including the Multidisciplinary Team Evaluation, the IEP objectives and outcomes, child observations and parent input in order to complete the Early Childhood Outcomes (ECO) Center Child Outcomes Summary Form (COSF) for each child.</w:t>
      </w:r>
      <w:r w:rsidRPr="005C29F8">
        <w:rPr>
          <w:rFonts w:cs="Arial"/>
          <w:color w:val="000000" w:themeColor="text1"/>
          <w:szCs w:val="16"/>
        </w:rPr>
        <w:br/>
      </w:r>
      <w:r w:rsidRPr="005C29F8">
        <w:rPr>
          <w:rFonts w:cs="Arial"/>
          <w:color w:val="000000" w:themeColor="text1"/>
          <w:szCs w:val="16"/>
        </w:rPr>
        <w:br/>
        <w:t xml:space="preserve">Starting in 2016-17, the new process, based solely on the BDI was implemented with a select group of regions. The purpose of the new process is to standardize the process for collecting information and to ensure the data are reliable and valid. As of 2018-19, all regions were using the BDI-based process. The 2020-21 year will represent the first year in which virtually all students will have an entry and exit score that is based on the BDI-process. </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t>As mentioned in the areas of slippage above, COVID did impact Indicator 7.   Only about 20% of the children who should have received exit scores did in fact receive exit scores due to the State of Wyoming closing down in mid-March. This prevented many of the Part B 619 service providers from administering the BDI to the exiting children.   Note that the WDE and the regions have come up with a plan for completing exit scores if a closure of this magnitude happens again. This includes setting up a virtual meeting with students and parents to see if students could be assessed virtually, setting up on-site appointments with proper safety protocols for parents to bring students to the center for testing, and/or having teachers use the previous COS approach using data they have available to determine an exit score.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lastRenderedPageBreak/>
        <w:t>7 - OSEP Response</w:t>
      </w:r>
    </w:p>
    <w:p w14:paraId="408E3220" w14:textId="3BF99ADA" w:rsidR="009B37A2" w:rsidRPr="005C29F8" w:rsidRDefault="002B7490" w:rsidP="001F692C">
      <w:pPr>
        <w:rPr>
          <w:rFonts w:cs="Arial"/>
          <w:color w:val="000000" w:themeColor="text1"/>
          <w:szCs w:val="16"/>
        </w:rPr>
      </w:pPr>
      <w:r w:rsidRPr="005C29F8">
        <w:rPr>
          <w:rFonts w:cs="Arial"/>
          <w:color w:val="000000" w:themeColor="text1"/>
          <w:szCs w:val="16"/>
        </w:rPr>
        <w:t xml:space="preserve">The State reported that the COVID-19 pandemic impacted the data for this indicator. Specifically, the State reported, "[o]nly about 20% of the children who should have received exit scores did in fact receive exit scores due to the State of Wyoming closing down in mid-March. This prevented many of the Part B 619 service providers from administering the BDI to the exiting children." </w:t>
      </w: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7"/>
      <w:bookmarkEnd w:id="38"/>
    </w:p>
    <w:p w14:paraId="66FBCA03" w14:textId="77777777" w:rsidR="00B654C1" w:rsidRPr="005C29F8" w:rsidRDefault="00B654C1" w:rsidP="00A018D4">
      <w:pPr>
        <w:rPr>
          <w:color w:val="000000" w:themeColor="text1"/>
          <w:szCs w:val="20"/>
        </w:rPr>
      </w:pPr>
      <w:bookmarkStart w:id="39"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9"/>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51.28%</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74.89%</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75.14%</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75.39%</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75.64%</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75.89%</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75.47%</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80.22%</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78.56%</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82.11%</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83.40%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78.50%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2,417</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2,829</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83.40%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78.50%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85.44%</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6,390</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44.27%</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A representative sample of preschool children and K-12 students is chosen from each preschool region and school district in the state for the Indicator 8 parent survey. Results are weighted according to district/region population size so that the overall state parent involvement percentage is an accurate reflection of the experiences of parents of students with disabilities age 3 to 21. Parents of students at all grade/age levels respond to the survey.</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6B6D7FE" w14:textId="62FEECDE" w:rsidTr="00AB0D6A">
        <w:tc>
          <w:tcPr>
            <w:tcW w:w="8550" w:type="dxa"/>
            <w:shd w:val="clear" w:color="auto" w:fill="auto"/>
          </w:tcPr>
          <w:p w14:paraId="03CC110D" w14:textId="4926EC6F" w:rsidR="00564D95" w:rsidRPr="005C29F8" w:rsidRDefault="00EF1C23" w:rsidP="00B6413B">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245" w:type="dxa"/>
            <w:shd w:val="clear" w:color="auto" w:fill="auto"/>
          </w:tcPr>
          <w:p w14:paraId="152E1EC0" w14:textId="4401EFC8"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C7B18C6" w14:textId="2B0391C4" w:rsidR="009B37A2" w:rsidRPr="005C29F8" w:rsidRDefault="009B37A2" w:rsidP="00B6413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972664F" w14:textId="35FA6AAA" w:rsidR="009B37A2" w:rsidRDefault="002B7490" w:rsidP="00B6413B">
      <w:pPr>
        <w:rPr>
          <w:rFonts w:cs="Arial"/>
          <w:color w:val="000000" w:themeColor="text1"/>
          <w:szCs w:val="16"/>
        </w:rPr>
      </w:pPr>
      <w:r w:rsidRPr="005C29F8">
        <w:rPr>
          <w:rFonts w:cs="Arial"/>
          <w:color w:val="000000" w:themeColor="text1"/>
          <w:szCs w:val="16"/>
        </w:rPr>
        <w:t xml:space="preserve">The sampling plan the WDE uses was approved by OSEP in 2008. Sampling is done at the district level. A sample of students with disabilities was randomly selected from each of the 49 LEAs. The number of students chosen was dependent upon the number of total students with disabilities at a district and each of the 14 preschool regions with the EIEP as indicated in the table below. The sample sizes selected ensured roughly similar margins of error across the different district sizes. </w:t>
      </w:r>
      <w:r w:rsidRPr="005C29F8">
        <w:rPr>
          <w:rFonts w:cs="Arial"/>
          <w:color w:val="000000" w:themeColor="text1"/>
          <w:szCs w:val="16"/>
        </w:rPr>
        <w:br/>
      </w:r>
      <w:r w:rsidRPr="005C29F8">
        <w:rPr>
          <w:rFonts w:cs="Arial"/>
          <w:color w:val="000000" w:themeColor="text1"/>
          <w:szCs w:val="16"/>
        </w:rPr>
        <w:br/>
        <w:t xml:space="preserve">Number of Students with Disabilities : Sample Size Chosen </w:t>
      </w:r>
      <w:r w:rsidRPr="005C29F8">
        <w:rPr>
          <w:rFonts w:cs="Arial"/>
          <w:color w:val="000000" w:themeColor="text1"/>
          <w:szCs w:val="16"/>
        </w:rPr>
        <w:br/>
        <w:t xml:space="preserve">1-70             All </w:t>
      </w:r>
      <w:r w:rsidRPr="005C29F8">
        <w:rPr>
          <w:rFonts w:cs="Arial"/>
          <w:color w:val="000000" w:themeColor="text1"/>
          <w:szCs w:val="16"/>
        </w:rPr>
        <w:br/>
        <w:t xml:space="preserve">71-100         70 </w:t>
      </w:r>
      <w:r w:rsidRPr="005C29F8">
        <w:rPr>
          <w:rFonts w:cs="Arial"/>
          <w:color w:val="000000" w:themeColor="text1"/>
          <w:szCs w:val="16"/>
        </w:rPr>
        <w:br/>
        <w:t xml:space="preserve">101-150       80 </w:t>
      </w:r>
      <w:r w:rsidRPr="005C29F8">
        <w:rPr>
          <w:rFonts w:cs="Arial"/>
          <w:color w:val="000000" w:themeColor="text1"/>
          <w:szCs w:val="16"/>
        </w:rPr>
        <w:br/>
        <w:t xml:space="preserve">151-200       90 </w:t>
      </w:r>
      <w:r w:rsidRPr="005C29F8">
        <w:rPr>
          <w:rFonts w:cs="Arial"/>
          <w:color w:val="000000" w:themeColor="text1"/>
          <w:szCs w:val="16"/>
        </w:rPr>
        <w:br/>
        <w:t xml:space="preserve">201-1000    100 </w:t>
      </w:r>
      <w:r w:rsidRPr="005C29F8">
        <w:rPr>
          <w:rFonts w:cs="Arial"/>
          <w:color w:val="000000" w:themeColor="text1"/>
          <w:szCs w:val="16"/>
        </w:rPr>
        <w:br/>
        <w:t xml:space="preserve">1000+          125 </w:t>
      </w:r>
      <w:r w:rsidRPr="005C29F8">
        <w:rPr>
          <w:rFonts w:cs="Arial"/>
          <w:color w:val="000000" w:themeColor="text1"/>
          <w:szCs w:val="16"/>
        </w:rPr>
        <w:br/>
      </w:r>
      <w:r w:rsidRPr="005C29F8">
        <w:rPr>
          <w:rFonts w:cs="Arial"/>
          <w:color w:val="000000" w:themeColor="text1"/>
          <w:szCs w:val="16"/>
        </w:rPr>
        <w:br/>
        <w:t>For those districts/regions for which a sample was chosen, the population was stratified by gender, race/ethnicity, primary disability, and grade level to ensure representativeness of the resulting sample. When calculating the state-level results, responses were weighted by the students with disability population size (e.g., a district/region that has four times the number of students with disabilities as another district will receive four times the weight in computing overall state results). Because the sampling plan is based on a representative sample from each and every district and preschool region, and because the proper weighting is done in the analysis, the WDE is assured that the indicator 8 results are valid and reliable.</w:t>
      </w:r>
      <w:r w:rsidRPr="005C29F8">
        <w:rPr>
          <w:rFonts w:cs="Arial"/>
          <w:color w:val="000000" w:themeColor="text1"/>
          <w:szCs w:val="16"/>
        </w:rPr>
        <w:br/>
      </w:r>
      <w:r w:rsidRPr="005C29F8">
        <w:rPr>
          <w:rFonts w:cs="Arial"/>
          <w:color w:val="000000" w:themeColor="text1"/>
          <w:szCs w:val="16"/>
        </w:rPr>
        <w:br/>
        <w:t xml:space="preserve">In addition to the sampling plan, WDE allowed districts to distribute the survey to additional parents of students with disabilities as a way to increase the total number of parent respondents. WDE analyzed the data by methodology (WDE-administered vs. District-administered) and noted no significant differences in the two when the proper weighting is applied. Thus, WDE is assured that the indicator 8 results are valid and reliable. </w:t>
      </w:r>
    </w:p>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The representativeness of the responses was examined by using statistical significance testing to determine if a particular group was over-represented or under-represented in the response rate.</w:t>
      </w:r>
      <w:r w:rsidRPr="005C29F8">
        <w:rPr>
          <w:rFonts w:cs="Arial"/>
          <w:color w:val="000000" w:themeColor="text1"/>
          <w:szCs w:val="16"/>
        </w:rPr>
        <w:br/>
      </w:r>
      <w:r w:rsidRPr="005C29F8">
        <w:rPr>
          <w:rFonts w:cs="Arial"/>
          <w:color w:val="000000" w:themeColor="text1"/>
          <w:szCs w:val="16"/>
        </w:rPr>
        <w:br/>
        <w:t xml:space="preserve">The representativeness of the survey was assessed by examining the demographic characteristics of the children of the parents who responded to the survey to the demographic characteristics of all special education students. Response rates by the demographic characteristics of grade level, race/ethnicity, primary disability, and geographic region were analyzed to determine if one group was more likely to respond than another group. This comparison indicates the results are generally representative (1) by geographic region where the child attends school; (2) by the grade level of the child; and (3) by the primary disability of the child. For example, 26% of the PreK-12 parents who returned a survey indicated that their children’s primary disability is Specific Learning Disability, and 24% of PreK-12 students with disabilities in the sample have a Specific Learning Disability. </w:t>
      </w:r>
      <w:r w:rsidRPr="005C29F8">
        <w:rPr>
          <w:rFonts w:cs="Arial"/>
          <w:color w:val="000000" w:themeColor="text1"/>
          <w:szCs w:val="16"/>
        </w:rPr>
        <w:br/>
      </w:r>
      <w:r w:rsidRPr="005C29F8">
        <w:rPr>
          <w:rFonts w:cs="Arial"/>
          <w:color w:val="000000" w:themeColor="text1"/>
          <w:szCs w:val="16"/>
        </w:rPr>
        <w:br/>
        <w:t xml:space="preserve">However, results showed that parents of white students were more likely to respond than parents of Native American students. 79% of parent respondents indicated that their student is white, and 74% of students with disabilities in the sample are white whereas 4% of parent respondents indicated that their student is Native American, and 8% of students with disabilities in the sample are Native American. </w:t>
      </w:r>
      <w:r w:rsidRPr="005C29F8">
        <w:rPr>
          <w:rFonts w:cs="Arial"/>
          <w:color w:val="000000" w:themeColor="text1"/>
          <w:szCs w:val="16"/>
        </w:rPr>
        <w:br/>
      </w:r>
      <w:r w:rsidRPr="005C29F8">
        <w:rPr>
          <w:rFonts w:cs="Arial"/>
          <w:color w:val="000000" w:themeColor="text1"/>
          <w:szCs w:val="16"/>
        </w:rPr>
        <w:lastRenderedPageBreak/>
        <w:br/>
        <w:t xml:space="preserve">Although the data indicated that parents of Native American students were slightly less likely to respond than parents of white students, the data indicated no significant differences in the parent involvement percentage by race/ethnicity, so we are confident that the results are representative. Further, statewide results were weighted by district/preschool region to ensure that the parent survey results reflected the population of parents and thus, were in fact, representative of the state. Further, the WDE are pleased with the extent to which the number of parents of Native American students are responding to the survey. Two years ago only 30 parents of Native American students responded to the survey; this year, 112. This is in large part due to the effort of three districts with a large percentage of Native American students encouraging their parents to complete the survey. </w:t>
      </w:r>
      <w:r w:rsidRPr="005C29F8">
        <w:rPr>
          <w:rFonts w:cs="Arial"/>
          <w:color w:val="000000" w:themeColor="text1"/>
          <w:szCs w:val="16"/>
        </w:rPr>
        <w:br/>
      </w:r>
      <w:r w:rsidRPr="005C29F8">
        <w:rPr>
          <w:rFonts w:cs="Arial"/>
          <w:color w:val="000000" w:themeColor="text1"/>
          <w:szCs w:val="16"/>
        </w:rPr>
        <w:br/>
        <w:t xml:space="preserve">WDE does not think COVID had an impact on the response rate given that the same process (mail and email, along with district in-person administration) was used as before. The response rate in 2019-20 is very high for this type of survey. WDE also has no reason to suspect that the COVID had an impact on the positivity of the survey responses. The parent involvement percentage and individual item responses slightly increased from 2018-19 to 2019-20, but WDE has no reason to believe that was a function of COVID. </w:t>
      </w:r>
      <w:r w:rsidRPr="005C29F8">
        <w:rPr>
          <w:rFonts w:cs="Arial"/>
          <w:color w:val="000000" w:themeColor="text1"/>
          <w:szCs w:val="16"/>
        </w:rPr>
        <w:br/>
      </w:r>
      <w:r w:rsidRPr="005C29F8">
        <w:rPr>
          <w:rFonts w:cs="Arial"/>
          <w:color w:val="000000" w:themeColor="text1"/>
          <w:szCs w:val="16"/>
        </w:rPr>
        <w:br/>
        <w:t xml:space="preserve">As mentioned previously, in 2019-20, WDE allowed districts to distribute the survey to additional parents of students with disabilities as a way to increase the total number of parent respondents. Districts were allowed to use different methods of administration (e.g., in-person, text blasts, email blasts). The sampling plan is still followed for each district; these surveys are over-and-above the WDE sample. The WDE weights all results appropriately. </w:t>
      </w:r>
      <w:r w:rsidRPr="005C29F8">
        <w:rPr>
          <w:rFonts w:cs="Arial"/>
          <w:color w:val="000000" w:themeColor="text1"/>
          <w:szCs w:val="16"/>
        </w:rPr>
        <w:br/>
      </w:r>
      <w:r w:rsidRPr="005C29F8">
        <w:rPr>
          <w:rFonts w:cs="Arial"/>
          <w:color w:val="000000" w:themeColor="text1"/>
          <w:szCs w:val="16"/>
        </w:rPr>
        <w:br/>
        <w:t>Some action items for the WDE:</w:t>
      </w:r>
      <w:r w:rsidRPr="005C29F8">
        <w:rPr>
          <w:rFonts w:cs="Arial"/>
          <w:color w:val="000000" w:themeColor="text1"/>
          <w:szCs w:val="16"/>
        </w:rPr>
        <w:br/>
        <w:t>- The WDE will follow-up with districts to see if there are particularly effective communication and dissemination strategies they are using for their parents.</w:t>
      </w:r>
      <w:r w:rsidRPr="005C29F8">
        <w:rPr>
          <w:rFonts w:cs="Arial"/>
          <w:color w:val="000000" w:themeColor="text1"/>
          <w:szCs w:val="16"/>
        </w:rPr>
        <w:br/>
        <w:t>- The WDE will ask districts for actions that WDE and/or districts could take to increase the response rate of parents of all students with disabilities.</w:t>
      </w:r>
      <w:r w:rsidRPr="005C29F8">
        <w:rPr>
          <w:rFonts w:cs="Arial"/>
          <w:color w:val="000000" w:themeColor="text1"/>
          <w:szCs w:val="16"/>
        </w:rPr>
        <w:br/>
        <w:t>-</w:t>
      </w:r>
      <w:r w:rsidRPr="005C29F8">
        <w:rPr>
          <w:rFonts w:cs="Arial"/>
          <w:color w:val="000000" w:themeColor="text1"/>
          <w:szCs w:val="16"/>
        </w:rPr>
        <w:tab/>
        <w:t xml:space="preserve">The WDE will continue to offer different ways for districts/regions to obtain parent responses so that the response rate of students of all race/ethnicities continues to increase. </w:t>
      </w:r>
      <w:r w:rsidRPr="005C29F8">
        <w:rPr>
          <w:rFonts w:cs="Arial"/>
          <w:color w:val="000000" w:themeColor="text1"/>
          <w:szCs w:val="16"/>
        </w:rPr>
        <w:br/>
        <w:t>- The WDE will continue to provide detailed reports of their survey results to districts and regions along with a set of guiding questions to use to interpret their data and make action plans.</w:t>
      </w:r>
    </w:p>
    <w:p w14:paraId="1A0A4F5E" w14:textId="77777777" w:rsidR="00221EC9" w:rsidRPr="005C29F8" w:rsidRDefault="00221EC9" w:rsidP="00221EC9">
      <w:pPr>
        <w:rPr>
          <w:rFonts w:cs="Arial"/>
          <w:b/>
          <w:color w:val="000000" w:themeColor="text1"/>
          <w:szCs w:val="16"/>
        </w:rPr>
      </w:pPr>
      <w:bookmarkStart w:id="40" w:name="_Toc381956336"/>
      <w:bookmarkStart w:id="41" w:name="_Toc384383342"/>
      <w:bookmarkStart w:id="42" w:name="_Toc392159310"/>
      <w:bookmarkStart w:id="43" w:name="_Toc382082387"/>
      <w:r w:rsidRPr="005C29F8">
        <w:rPr>
          <w:rFonts w:cs="Arial"/>
          <w:b/>
          <w:color w:val="000000" w:themeColor="text1"/>
          <w:szCs w:val="16"/>
        </w:rPr>
        <w:t>Provide additional information about this indicator (optional)</w:t>
      </w:r>
    </w:p>
    <w:p w14:paraId="7F22D6A0" w14:textId="105FEEC5" w:rsidR="009B37A2" w:rsidRPr="005C29F8" w:rsidRDefault="009B37A2" w:rsidP="007D435F">
      <w:pPr>
        <w:rPr>
          <w:rFonts w:cs="Arial"/>
          <w:color w:val="000000" w:themeColor="text1"/>
          <w:szCs w:val="16"/>
        </w:rPr>
      </w:pP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0"/>
      <w:bookmarkEnd w:id="41"/>
      <w:bookmarkEnd w:id="42"/>
    </w:p>
    <w:p w14:paraId="30C4375D" w14:textId="77777777" w:rsidR="00AF5AFB" w:rsidRPr="005C29F8" w:rsidRDefault="00AF5AFB" w:rsidP="00A018D4">
      <w:pPr>
        <w:rPr>
          <w:color w:val="000000" w:themeColor="text1"/>
          <w:szCs w:val="20"/>
        </w:rPr>
      </w:pPr>
      <w:bookmarkStart w:id="44" w:name="_Toc384383343"/>
      <w:bookmarkStart w:id="45"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6" w:name="_Toc384383344"/>
      <w:bookmarkStart w:id="47" w:name="_Toc392159312"/>
      <w:bookmarkEnd w:id="44"/>
      <w:bookmarkEnd w:id="45"/>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2005</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6"/>
      <w:bookmarkEnd w:id="47"/>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48</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8" w:name="_Hlk494459610"/>
      <w:r w:rsidRPr="005C29F8">
        <w:rPr>
          <w:rFonts w:cs="Arial"/>
          <w:color w:val="000000" w:themeColor="text1"/>
          <w:szCs w:val="16"/>
        </w:rPr>
        <w:t>The WDE collects the data used for Indicator 9 through the October 1 snapshot data collection. All races and ethnicities are included in the review of Indicator 9. The WDE calculates an Alternate Risk Ratio for each school district in the state, based on the identification rate of each racial/ethnic group in each district. The WDE uses the Alternate Risk Ratio (as defined by OSEP and WESTAT) for determining disproportionate representation because it is most relevant and meaningful for Wyoming’s small, rural population.</w:t>
      </w:r>
      <w:r w:rsidRPr="005C29F8">
        <w:rPr>
          <w:rFonts w:cs="Arial"/>
          <w:color w:val="000000" w:themeColor="text1"/>
          <w:szCs w:val="16"/>
        </w:rPr>
        <w:br/>
      </w:r>
      <w:r w:rsidRPr="005C29F8">
        <w:rPr>
          <w:rFonts w:cs="Arial"/>
          <w:color w:val="000000" w:themeColor="text1"/>
          <w:szCs w:val="16"/>
        </w:rPr>
        <w:br/>
        <w:t>Risk ratios are difficult to interpret 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an Alternate Risk Ratio was determined only if there were ten or more students in the group of interest (based on child count data).</w:t>
      </w:r>
      <w:r w:rsidRPr="005C29F8">
        <w:rPr>
          <w:rFonts w:cs="Arial"/>
          <w:color w:val="000000" w:themeColor="text1"/>
          <w:szCs w:val="16"/>
        </w:rPr>
        <w:br/>
      </w:r>
      <w:r w:rsidRPr="005C29F8">
        <w:rPr>
          <w:rFonts w:cs="Arial"/>
          <w:color w:val="000000" w:themeColor="text1"/>
          <w:szCs w:val="16"/>
        </w:rPr>
        <w:br/>
        <w:t>The WDE defines disproportionate representation as an Alternate Risk Ratio of 3.00 or above. Once a ratio is flagged for disproportionate representation, WDE staff members review the LEA’s evaluation policies and procedures in addition to applicable student evaluation records to determine if the disproportionate representation is due to inappropriate identification.</w:t>
      </w:r>
      <w:r w:rsidRPr="005C29F8">
        <w:rPr>
          <w:rFonts w:cs="Arial"/>
          <w:color w:val="000000" w:themeColor="text1"/>
          <w:szCs w:val="16"/>
        </w:rPr>
        <w:br/>
      </w:r>
      <w:r w:rsidRPr="005C29F8">
        <w:rPr>
          <w:rFonts w:cs="Arial"/>
          <w:color w:val="000000" w:themeColor="text1"/>
          <w:szCs w:val="16"/>
        </w:rPr>
        <w:br/>
        <w:t xml:space="preserve">For Indicator 9, all 48 public K-12 school districts are included in the analyses. Of these 48 LEAs, 48 met the minimum n requirements at least one time for a Final Risk Ratio to be calculated (for each LEA, in theory, seven risk ratios could be calculated–one for each racial/ethnic group). Please note that many LEAs in Wyoming have fewer than five students with a disability of a particular race/ethnicity. Thus, very small numbers prevent the State from calculating reliable and meaningful risk ratios for every racial/ethnic group in every LEA. </w:t>
      </w:r>
      <w:r w:rsidRPr="005C29F8">
        <w:rPr>
          <w:rFonts w:cs="Arial"/>
          <w:color w:val="000000" w:themeColor="text1"/>
          <w:szCs w:val="16"/>
        </w:rPr>
        <w:br/>
      </w:r>
      <w:r w:rsidRPr="005C29F8">
        <w:rPr>
          <w:rFonts w:cs="Arial"/>
          <w:color w:val="000000" w:themeColor="text1"/>
          <w:szCs w:val="16"/>
        </w:rPr>
        <w:br/>
        <w:t xml:space="preserve">Please note that Wyoming has 48 K-12 districts, and 1 preschool district. The preschool district serves children age 3 to 5; as such Indicators 9 and 10 are irrelevant to this preschool district. Thus, the correct denominator is 48 and the correct number of exclusions for not meeting the minimum n size is 0. (The preschool district wasn’t excluded because it didn’t meet the minimum n – it was excluded because it doesn’t serve children age 6 and up.) </w:t>
      </w:r>
    </w:p>
    <w:bookmarkEnd w:id="48"/>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For Indicator 9, the WDE conducts its review of district data through the desk audit portion of Wyoming’s Results Driven Accountability Monitoring System. All districts that have been flagged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3B71A72A" w14:textId="77777777" w:rsidR="00DF1529" w:rsidRPr="005C29F8" w:rsidRDefault="00DF1529" w:rsidP="00DF1529">
      <w:pPr>
        <w:rPr>
          <w:rFonts w:cs="Arial"/>
          <w:b/>
          <w:color w:val="000000" w:themeColor="text1"/>
          <w:szCs w:val="16"/>
        </w:rPr>
      </w:pPr>
      <w:bookmarkStart w:id="49" w:name="_Toc381956337"/>
      <w:bookmarkStart w:id="50" w:name="_Toc384383347"/>
      <w:bookmarkStart w:id="51"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5C29F8"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5C29F8"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5C29F8" w:rsidRDefault="009A755E" w:rsidP="00A018D4">
            <w:pPr>
              <w:jc w:val="center"/>
              <w:rPr>
                <w:rFonts w:cs="Arial"/>
                <w:color w:val="000000" w:themeColor="text1"/>
                <w:szCs w:val="16"/>
              </w:rPr>
            </w:pP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lastRenderedPageBreak/>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49"/>
      <w:bookmarkEnd w:id="50"/>
      <w:bookmarkEnd w:id="51"/>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2" w:name="_Toc384383348"/>
      <w:bookmarkStart w:id="5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4" w:name="_Toc384383349"/>
      <w:bookmarkStart w:id="55" w:name="_Toc392159317"/>
      <w:bookmarkEnd w:id="52"/>
      <w:bookmarkEnd w:id="53"/>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4"/>
      <w:bookmarkEnd w:id="55"/>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6" w:name="_Hlk20258880"/>
      <w:r w:rsidRPr="005C29F8">
        <w:rPr>
          <w:rFonts w:cs="Arial"/>
          <w:color w:val="000000" w:themeColor="text1"/>
          <w:szCs w:val="16"/>
        </w:rPr>
        <w:t>YES</w:t>
      </w:r>
    </w:p>
    <w:bookmarkEnd w:id="56"/>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44</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 xml:space="preserve">The WDE collects the data used for Indicator 10 through the October 1 snapshot data collection. All races and ethnicities are included in the review of Indicator 10. The WDE calculates an Alternate Risk Ratio for each school district in the state, based on the identification rate of each racial/ethnic group in each district. The WDE uses the Alternate Risk Ratio (as defined by OSEP/WESTAT) for determining disproportionate representation because it is most relevant and meaningful for Wyoming’s small, rural population. </w:t>
      </w:r>
      <w:r w:rsidRPr="005C29F8">
        <w:rPr>
          <w:rFonts w:cs="Arial"/>
          <w:color w:val="000000" w:themeColor="text1"/>
          <w:szCs w:val="16"/>
        </w:rPr>
        <w:br/>
      </w:r>
      <w:r w:rsidRPr="005C29F8">
        <w:rPr>
          <w:rFonts w:cs="Arial"/>
          <w:color w:val="000000" w:themeColor="text1"/>
          <w:szCs w:val="16"/>
        </w:rPr>
        <w:br/>
        <w:t xml:space="preserve">Risk ratios are difficult to interpret when they are based on small numbers of students (either in the racial/ethnic group or the comparison group). When risk ratios are based on small numbers, minor variations in the number of students in either the racial/ethnic group or the comparison group can produce dramatic changes in the size of the risk ratio. Thus, an Alternate Risk Ratio was determined only if there were ten or more students in the group of interest (based on child count data). </w:t>
      </w:r>
      <w:r w:rsidRPr="005C29F8">
        <w:rPr>
          <w:rFonts w:cs="Arial"/>
          <w:color w:val="000000" w:themeColor="text1"/>
          <w:szCs w:val="16"/>
        </w:rPr>
        <w:br/>
      </w:r>
      <w:r w:rsidRPr="005C29F8">
        <w:rPr>
          <w:rFonts w:cs="Arial"/>
          <w:color w:val="000000" w:themeColor="text1"/>
          <w:szCs w:val="16"/>
        </w:rPr>
        <w:br/>
        <w:t xml:space="preserve">The WDE defines disproportionate representation as an Alternate Risk Ratio of 3.00 or above. Once a ratio is flagged for disproportionate representation, WDE staff members review the LEA’s evaluation policies and procedures in addition to applicable student evaluation records to determine if the disproportionate representation is due to inappropriate identification. </w:t>
      </w:r>
      <w:r w:rsidRPr="005C29F8">
        <w:rPr>
          <w:rFonts w:cs="Arial"/>
          <w:color w:val="000000" w:themeColor="text1"/>
          <w:szCs w:val="16"/>
        </w:rPr>
        <w:br/>
      </w:r>
      <w:r w:rsidRPr="005C29F8">
        <w:rPr>
          <w:rFonts w:cs="Arial"/>
          <w:color w:val="000000" w:themeColor="text1"/>
          <w:szCs w:val="16"/>
        </w:rPr>
        <w:br/>
        <w:t>For Indicator 10, all of Wyoming’s 48 K-12 public school districts are included in the analyses. Of these 48 LEAs, 44 met the minimum n requirements at least one time for a Final Risk Ratio to be calculated (for each LEA, in theory, 42 risk ratios could be calculated–one for each racial/ethnic group times the six primary disability categories). Please note that many LEAs in Wyoming have fewer than five students with a disability of a particular race/ethnicity; when this is disaggregated further by type of primary disability, the numbers get extremely small. Thus, very small numbers prevent the State from calculating reliable and meaningful risk ratios for every racial/ethnic group by disability in every LEA.</w:t>
      </w:r>
      <w:r w:rsidRPr="005C29F8">
        <w:rPr>
          <w:rFonts w:cs="Arial"/>
          <w:color w:val="000000" w:themeColor="text1"/>
          <w:szCs w:val="16"/>
        </w:rPr>
        <w:br/>
      </w:r>
      <w:r w:rsidRPr="005C29F8">
        <w:rPr>
          <w:rFonts w:cs="Arial"/>
          <w:color w:val="000000" w:themeColor="text1"/>
          <w:szCs w:val="16"/>
        </w:rPr>
        <w:br/>
        <w:t xml:space="preserve">Please note that Wyoming has 48 K-12 districts, and 1 preschool district.  The preschool district serves children age 3 to 5; as such Indicators 9 and 10 are irrelevant to this preschool district.  Thus, the correct denominator is 48 and the correct number of exclusions for not meeting the minimum n size is 0.  (The preschool district wasn’t excluded because it didn’t meet the minimum n – it was excluded because it doesn’t serve children age 6 and up.) </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For Indicator 10, the WDE conducts its review of district data through the desk audit portion of Wyoming’s Results Driven Accountability Focused Monitoring System. All districts that have been flagged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1FCF1BF3" w14:textId="77777777" w:rsidR="00DF1529" w:rsidRPr="005C29F8" w:rsidRDefault="00DF1529" w:rsidP="00DF1529">
      <w:pPr>
        <w:rPr>
          <w:rFonts w:cs="Arial"/>
          <w:b/>
          <w:color w:val="000000" w:themeColor="text1"/>
          <w:szCs w:val="16"/>
        </w:rPr>
      </w:pPr>
      <w:bookmarkStart w:id="57" w:name="_Toc381956338"/>
      <w:bookmarkStart w:id="58" w:name="_Toc384383352"/>
      <w:bookmarkStart w:id="59"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5C29F8"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5C29F8"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5C29F8" w:rsidRDefault="009A755E" w:rsidP="004369B2">
            <w:pPr>
              <w:jc w:val="center"/>
              <w:rPr>
                <w:rFonts w:cs="Arial"/>
                <w:color w:val="000000" w:themeColor="text1"/>
                <w:szCs w:val="16"/>
              </w:rPr>
            </w:pP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7"/>
      <w:bookmarkEnd w:id="58"/>
      <w:bookmarkEnd w:id="59"/>
    </w:p>
    <w:p w14:paraId="4F5D642D" w14:textId="77777777" w:rsidR="00E119B0" w:rsidRPr="005C29F8" w:rsidRDefault="00E119B0" w:rsidP="00A018D4">
      <w:pPr>
        <w:rPr>
          <w:color w:val="000000" w:themeColor="text1"/>
          <w:szCs w:val="20"/>
        </w:rPr>
      </w:pPr>
      <w:bookmarkStart w:id="60" w:name="_Toc384383353"/>
      <w:bookmarkStart w:id="61"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2" w:name="_Toc384383354"/>
      <w:bookmarkStart w:id="63" w:name="_Toc392159322"/>
      <w:bookmarkEnd w:id="60"/>
      <w:bookmarkEnd w:id="61"/>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95.00%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98.57%</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98.68%</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98.34%</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98.55%</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98.43%</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3,119</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3,100</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98.43%</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99.39%</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19</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Of the 3,119 initial evaluations under Part B conducted during FFY 2019, there were 19 that did not meet the 60-day timeline requirement. Of these 19, 9 were from the State's 48 public school districts, and 10 were from the State's developmental preschools. The range in days beyond the 60-day timeline was 1 to 100 days. Reasons for the delays in evaluations: parental cancellations of meetings, difficulty contacting parents, and incorrect calculation of 60-day timeline. Further technical assistance will be provided to LEAs to assist with compliance in this area.</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used the 60 day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These data are collected on the end-of-year child count file (WDE-684C).</w:t>
      </w:r>
    </w:p>
    <w:p w14:paraId="4F981BFF" w14:textId="77777777" w:rsidR="00C86164" w:rsidRPr="005C29F8" w:rsidRDefault="00C86164" w:rsidP="00C86164">
      <w:pPr>
        <w:rPr>
          <w:rFonts w:cs="Arial"/>
          <w:b/>
          <w:color w:val="000000" w:themeColor="text1"/>
          <w:szCs w:val="16"/>
        </w:rPr>
      </w:pPr>
      <w:bookmarkStart w:id="64" w:name="_Toc381956339"/>
      <w:bookmarkStart w:id="65" w:name="_Toc384383357"/>
      <w:bookmarkStart w:id="66"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There were students for whom the evaluations exceeded the 60 day timeline due to statewide school/agency closures because of COVID-19. With the allowable exception under the IDEA of the parent(s) not making the student/child available, the State feels this exception applies to the unique circumstances in the pandemic of school/agency closures which prevented the parents from making the child available. For those incidences, and when there was clear documentation of communication through the use of Prior Written Notices and other means, where the school/agency and parents were in agreement, the State did not make a finding of noncompliance. Outside of COVID-19 circumstances, the State improved the Indicator 11 data by nearly 1%.</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64</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64</w:t>
            </w: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Regarding the 64 initial evaluations that were not completed within 60 days, the WDE requires specific corrective action from any LEA exhibiting a rate below 100% compliance with the 60-day requirement. First, the Department contacts each LEA with the student identification numbers of students whose initial evaluations were reportedly completed after 60 days from the LEA’s receipt of consent. In each instance the LEA is required to provide an explanation for the delay. The only acceptable reasons are those found in 34 C.F.R. §300.301(c)(1). After removing those with acceptable reasons, the WDE issues a letter containing findings for each of the students in whose case initial evaluations took longer than 60 days. LEAs are required to provide evidence that the student’s evaluation was completed, although late, unless the student is no longer within the jurisdiction of the LEA. In addition, the WDE also required an assurance that the district’s policies and procedures concerning initial evaluations have been reviewed with district staff members during the 2019-20 school year. Then, in order to ensure systemic correction for all students, the WDE reviews a sample of initial evaluations conducted during the current fiscal year to evidence 100% compliance for students other than those whose initial evaluations were completed late during the previous fiscal year. In this way, the Department ensures that its identification and correction processes meet the requirements of the OSEP 09-02 Memo.</w:t>
      </w:r>
      <w:r w:rsidRPr="005C29F8">
        <w:rPr>
          <w:rFonts w:cs="Arial"/>
          <w:color w:val="000000" w:themeColor="text1"/>
          <w:szCs w:val="16"/>
        </w:rPr>
        <w:br/>
      </w:r>
      <w:r w:rsidRPr="005C29F8">
        <w:rPr>
          <w:rFonts w:cs="Arial"/>
          <w:color w:val="000000" w:themeColor="text1"/>
          <w:szCs w:val="16"/>
        </w:rPr>
        <w:br/>
        <w:t>Depending upon the content of their CAP/compliance agreement, districts were provided with specially designed, on-site TA from WDE staff. Staffing levels are reviewed through various fiscal reports to identify potential personnel shortages that may be affecting an LEA’s ability to complete initial evaluations in a timely manner.</w:t>
      </w:r>
      <w:r w:rsidRPr="005C29F8">
        <w:rPr>
          <w:rFonts w:cs="Arial"/>
          <w:color w:val="000000" w:themeColor="text1"/>
          <w:szCs w:val="16"/>
        </w:rPr>
        <w:br/>
      </w:r>
      <w:r w:rsidRPr="005C29F8">
        <w:rPr>
          <w:rFonts w:cs="Arial"/>
          <w:color w:val="000000" w:themeColor="text1"/>
          <w:szCs w:val="16"/>
        </w:rPr>
        <w:br/>
        <w:t>Districts found out of compliance on the self-assessment are provided TA, if needed.</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For the 64 individual students for whom noncompliance was found, the State followed up to ensure that each evaluation was completed and eligibility determined. For each responsible school/agency, the State reviewed the policies and procedures for comprehensive evaluations and received an assurance to comply with the regulation's timeline. In addition, the State conducted a follow up activity of reviewing new evaluations conducted by those agencies to ensure the 60 day timeline was adhered to. This was completed within one year and is consistent with the OSEP Memorandum 09-02.</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lastRenderedPageBreak/>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4"/>
      <w:bookmarkEnd w:id="65"/>
      <w:bookmarkEnd w:id="66"/>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7" w:name="_Toc384383358"/>
      <w:bookmarkStart w:id="68"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69" w:name="_Toc384383359"/>
      <w:bookmarkStart w:id="70" w:name="_Toc392159327"/>
      <w:bookmarkEnd w:id="67"/>
      <w:bookmarkEnd w:id="68"/>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68.29%</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69"/>
          <w:bookmarkEnd w:id="70"/>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91.64%</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88.47%</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94.38%</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92.06%</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571</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37</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342</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177</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342</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349</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92.06%</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97.99%</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7</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There are 7 children for whom their Part B eligibility was not determined by their third birthday. The days after their third birthday ranged from 5 days to 120. Six of the children had delays of 30 days or less. Reasons for the delays included parent not available  and data errors.</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1" w:name="_Hlk20318414"/>
      <w:bookmarkEnd w:id="71"/>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These data are collected on the end-of-year child count file.</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32</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32</w:t>
            </w:r>
          </w:p>
        </w:tc>
        <w:tc>
          <w:tcPr>
            <w:tcW w:w="1231" w:type="pct"/>
            <w:shd w:val="clear" w:color="auto" w:fill="auto"/>
          </w:tcPr>
          <w:p w14:paraId="36D48FD7" w14:textId="2F6E80E6" w:rsidR="009A755E" w:rsidRPr="005C29F8"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All noncompliance for the FFY2018 (the 32 evaluations) were timely corrected within the one-year time-frame. Each region with noncompliance in FFY2018 was (1) timely corrected within the one-year time-frame of notification and (2) is currently implementing the regulatory requirements of this indicator based on a review of updated data consistent with OSEP Memorandum 09-02. In conducting its verification process, the WDE determined that the LEA (BHD) is correctly implementing the specific regulatory requirement—in this case 34 C.F.R. §300.124(b). This was achieved by reviewing new documentation on a sample of children records not previously reviewed from the LEA’s online special education database showing that IEPs were developed and implemented by the child’s third birthday (for those referred by Part C and found eligible for Part B).</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Regarding the 32 initial evaluations that were not completed on time, the WDE requires specific corrective action from any preschool region exhibiting a rate below 100% compliance. First, the Department contacts each preschool region with the identification numbers of children whose IEP was not developed and implemented by their third birthday. In each instance, the region is required to provide an explanation for the delay. The BHD issues a letter containing findings for each of the children whose transition from Part C to Part B was late. Regions are required to provide evidence that the child’s evaluation was completed, although late, unless the student is no longer within the jurisdiction of the BHD. In addition, the WDE also required an assurance that the region’s policies and procedures concerning Part C to Part B transitions have been reviewed with region staff members during the 2019-20 school year.</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2" w:name="_Toc384383363"/>
      <w:bookmarkStart w:id="73"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4" w:name="_Toc384383364"/>
      <w:bookmarkStart w:id="75" w:name="_Toc392159332"/>
      <w:bookmarkEnd w:id="72"/>
      <w:bookmarkEnd w:id="73"/>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54.58%</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94.32%</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87.29%</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93.67%</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98.50%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99.24%</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Number of youth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374</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384</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99.24%</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97.40%</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t xml:space="preserve">There were a total of 10 files found out of compliance. This is up from 3 files out of compliance in FFY18. There was a change in expectations in FFY19 during the Indicator 13 file review process in the area of COURSE OF STUDY. In previous years' reviews, the WDE reviewed the COURSE OF STUDY section of the IEP to see that it was completed. Through the work of our internal transition team, it was determined that simply checking for completion was not a meaningful way to check for quality transition planning. The WDE revised its guidance on the COURSE OF STUDY to LEAs and notified them that the WDE would now be looking for a connection between the COURSE OF STUDY and the transition goal to ensure alignment. For example, if the goal was to attend college to become a nurse, the WDE would be looking for Health Sciences and Math in the COURSE OF STUDY; courses that would lead to college admissions. It is the WDE's perspective that standard- based classes and work experience would be appropriate when a student is college bound. A COURSE OF STUDY filled with electives and modified curriculum delivered in a resource room may not be in alignment with a well thought-out and planned transition goal. </w:t>
      </w:r>
      <w:r w:rsidRPr="005C29F8">
        <w:rPr>
          <w:rFonts w:cs="Arial"/>
          <w:color w:val="000000" w:themeColor="text1"/>
          <w:szCs w:val="16"/>
        </w:rPr>
        <w:br/>
        <w:t xml:space="preserve">This year's data was the first group of files where the higher standard was applied. While this resulted in 7 more files of non-compliance than was found last year, the WDE believes that this practice will facilitate IEP teams to more meaningfully engage in transition planning that will lead to better post-school outcomes. </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monitoring</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To collect data for this indicator, the WDE selects a stratified, representative sample of student files from each district in the state; between 2-10 files are reviewed for each district. An internal General Supervision/Monitoring team reviews each of the files using the NSTTAC Indicator 13 Checklist Form A. A file that meets all of the applicable checklist criteria is deemed as meeting Indicator 13. Findings of non-compliance are reviewed with LEAs who are then required to resolve areas of non-compliance and resubmit files to include all corrections. Additional files are requested in round two to ensure compliance specific to Indicator 13. Further technical assistance and resource tools are provided to those districts identified as having needs in this area. Formal letters are distributed to all LEA's who meet compliance specific to this indicator.</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6"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The State does not believe that COVID-19 had an impact on completeness, reliability, or validity of the data. There was uninterrupted access to student's IEP files for the I-13 review. What we expect to see in the coming year that the implementation of the transition services written in the IEP was where the interruption occurred. That would not, however, be a compliance issue in itself. It will be the LEA's response to the interruption that will be what the State will have to investigate in the upcoming year.</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3</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3</w:t>
            </w:r>
          </w:p>
        </w:tc>
        <w:tc>
          <w:tcPr>
            <w:tcW w:w="1231" w:type="pct"/>
            <w:shd w:val="clear" w:color="auto" w:fill="auto"/>
          </w:tcPr>
          <w:p w14:paraId="6CF556ED" w14:textId="6BD64A21" w:rsidR="009A755E" w:rsidRPr="005C29F8"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In conducting its verification process, the WDE determined that each of the two LEAs that had noncompliance identified are correctly implementing the specific regulatory requirements—in this case 34 C.F.R §§300.320(b) and 300.321(b). This was achieved by requesting IEP files and meeting notices for a sample of students whose records were not reviewed during the initial transition review of December 2019. The WDE’s review of these students’ documentation during the spring of 2020 demonstrated that 100% of the files reviewed were compliant and the LEAs in question were following proper IEP transition practices.</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As reported in the State’s FFY 2018 APR under Indicator 13, the WDE made findings of noncompliance for 3 students across 2 LEAs in this area during that fiscal year. In conducting its verification process, the WDE determined that each of the 2 LEAs had corrected the child-specific noncompliance by reconvening the IEP team(s) or amending the program(s) to correct the deficiencies identified in the WDE’s response letters of early 2020. The two LEAs in question were required to submit Prior Written Notice forms and revised IEPs detailing the corrections made on each student’s behalf. For each of the 3 student files found noncompliant, 100% (all 3) of those files were corrected and made compliant within one year.  </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lastRenderedPageBreak/>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3"/>
      <w:bookmarkEnd w:id="76"/>
    </w:p>
    <w:p w14:paraId="22761492" w14:textId="77777777" w:rsidR="005C50DB" w:rsidRPr="00D37503" w:rsidRDefault="005C50DB" w:rsidP="00A018D4">
      <w:pPr>
        <w:rPr>
          <w:szCs w:val="20"/>
        </w:rPr>
      </w:pPr>
      <w:bookmarkStart w:id="77"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Option 2: States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1. Enrolled in higher education within one year of leaving high school;</w:t>
      </w:r>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7"/>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26.43%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26.68%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26.93%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27.18%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27.43%</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26.18%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28.44%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29.55%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26.43%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22.47%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25.22%</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58.37%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58.62%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58.87%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59.12%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59.37%</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58.12%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63.03%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55.40%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57.29%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58.10%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65.40%</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73.27%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73.77%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74.27%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74.77%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75.75%</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72.77%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80.57%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71.31%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71.25%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74.09%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79.02%</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27.00%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60.00%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76.00%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78"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444</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94</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180</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lastRenderedPageBreak/>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29</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33</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94</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444</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25.22%</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27.00%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21.17%</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274</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444</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65.40%</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60.00%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61.71%</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336</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444</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79.02%</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76.00%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75.68%</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The WDE has examined the Indicator 14A rate by district to identify those districts that had a decrease from 2018-19 to 2019-20. Ten districts saw a decrease in their 14A rate; but only three districts with at least 9 respondents saw a decrease. In October 2020, the WDE did six regional data drill-downs across the state whereby districts were provided with disaggregated reports of their Indicator 14 data by gender, race/ethnicity, disability, and exit code so that the districts could identify areas of potential improvements in their data. Districts were also provided with disaggregated information on who went on to higher education and who did not and were encouraged to closely examine this data and determine why their scores surrounding Indicator 14A decreased. Note that the slippage from 2018-19 to 2019-20, is not a statistically significant difference.</w:t>
            </w:r>
            <w:r w:rsidRPr="005C29F8">
              <w:rPr>
                <w:rFonts w:cs="Arial"/>
                <w:color w:val="000000" w:themeColor="text1"/>
                <w:szCs w:val="16"/>
              </w:rPr>
              <w:br/>
            </w:r>
            <w:r w:rsidRPr="005C29F8">
              <w:rPr>
                <w:rFonts w:cs="Arial"/>
                <w:color w:val="000000" w:themeColor="text1"/>
                <w:szCs w:val="16"/>
              </w:rPr>
              <w:br/>
              <w:t>Districts shared with the WDE that, for many students, the severity of Wyoming's economic situation prevented students from being able to afford higher education and had the necessity to seek employment instead. Wyoming's economy is heavily dependent on oil and coal, and both of those industries are in a serious "bust" cycle and it has had a significant impact on our citizens across the state. It is believed that this has had an impact on I-14A data.</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The WDE has examined the Indicator 14C rate by district to identify those districts that had a decrease from 2018-19 to 2019-20. Thirteen districts saw a decrease in their 14C rate; but only six districts with at least 9 respondents saw a decrease. In October 2020, the WDE did six regional data drill-downs across the state whereby districts were provided with disaggregated reports of their Indicator 14 data by gender, race/ethnicity, disability, and exit code so that the districts could identify areas of potential improvements in their data. Districts were also provided with disaggregated information on who went on to higher education, competitive employment, and other training/work and who did not and were encouraged to closely examine this data and determine why their scores surrounding Indicator 14C decreased. </w:t>
            </w:r>
            <w:r w:rsidRPr="005C29F8">
              <w:rPr>
                <w:rFonts w:cs="Arial"/>
                <w:color w:val="000000" w:themeColor="text1"/>
                <w:szCs w:val="16"/>
              </w:rPr>
              <w:br/>
            </w:r>
            <w:r w:rsidRPr="005C29F8">
              <w:rPr>
                <w:rFonts w:cs="Arial"/>
                <w:color w:val="000000" w:themeColor="text1"/>
                <w:szCs w:val="16"/>
              </w:rPr>
              <w:br/>
              <w:t>The WDE thinks it is likely that COVID impacted the Measurement C rates, particularly since it impacted the Measurement B rates. Almost 22% of exiters said that they were laid off of their job as a result of COVID, and 34% stated that their hours were reduced. The “other” training and “other” work rates did not decrease from 2018-19 to 2019-20, so the decrease in Measurement C was a result of higher education and competitive employment rates decreasing. Note that the slippage from 2018-19 to 2019-20 is not a statistically significant difference.</w:t>
            </w:r>
            <w:r w:rsidRPr="005C29F8">
              <w:rPr>
                <w:rFonts w:cs="Arial"/>
                <w:color w:val="000000" w:themeColor="text1"/>
                <w:szCs w:val="16"/>
              </w:rPr>
              <w:br/>
            </w:r>
            <w:r w:rsidRPr="005C29F8">
              <w:rPr>
                <w:rFonts w:cs="Arial"/>
                <w:color w:val="000000" w:themeColor="text1"/>
                <w:szCs w:val="16"/>
              </w:rPr>
              <w:br/>
              <w:t>Wyoming's economy is heavily dependent on oil and coal, and both of these industries have been heavily affected which has had a significant impact on citizens across the state. The tuition costs are preventing many students (with and without disabilities) from accessing higher education, and job opportunities are also diminished in this economic crisis that Wyoming is in. It is believed that this has had an impact on the I-14C data.</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The representativeness of the responses was examined by using statistical significance testing to determine if a particular group was over-represented or under-represented in the response rate.</w:t>
      </w:r>
      <w:r w:rsidRPr="005C29F8">
        <w:rPr>
          <w:rFonts w:cs="Arial"/>
          <w:color w:val="000000" w:themeColor="text1"/>
          <w:szCs w:val="16"/>
        </w:rPr>
        <w:br/>
      </w:r>
      <w:r w:rsidRPr="005C29F8">
        <w:rPr>
          <w:rFonts w:cs="Arial"/>
          <w:color w:val="000000" w:themeColor="text1"/>
          <w:szCs w:val="16"/>
        </w:rPr>
        <w:br/>
        <w:t>The overall response rate (71%) is very high.  Response rates by the demographic characteristics of gender, race/ethnicity, primary disability, and type of exiter were analyzed to determine if one group was more likely to respond than another group. No significant differences existed in response rates by gender, ethnicity, or disability. Students who dropped out (50%) were significantly less likely to respond than students who graduated with a certificate (83%) and students who graduated with a regular diploma (79%).  While the response rate for exiters who dropped out is lower than the response rate for other types of exiters, since 2017-18, the drop-out response rate has been 50% or higher.  In fact, prior to the districts assisting with making their own calls, the response rate for exiters who had dropped out was only 20%.  The WDE will continue to work with districts to help them increase their response rates even higher for students who dropped out.  Several districts with high response rates for their students who dropped out have been identified. The WDE will follow-up with these districts to find out what actions that WDE and/or districts could take to increase the response rate of these type of exiters.</w:t>
      </w:r>
      <w:r w:rsidRPr="005C29F8">
        <w:rPr>
          <w:rFonts w:cs="Arial"/>
          <w:color w:val="000000" w:themeColor="text1"/>
          <w:szCs w:val="16"/>
        </w:rPr>
        <w:br/>
        <w:t xml:space="preserve">  </w:t>
      </w:r>
      <w:r w:rsidRPr="005C29F8">
        <w:rPr>
          <w:rFonts w:cs="Arial"/>
          <w:color w:val="000000" w:themeColor="text1"/>
          <w:szCs w:val="16"/>
        </w:rPr>
        <w:br/>
        <w:t>The WDE does not think COVID had an impact on the response rate given that the same process was used as before (phone interviews and emails).  Further, the response rate increased by two percentage points from 2018-19 to 2019-20. Wyoming thinks it is possible that COVID impacted the Measurement B and C rates.  Almost 22% of exiters said that they were laid off of their job as a result of COVID, and 34% stated that their hours were reduced.</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79"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80" w:name="_Toc382082390"/>
      <w:bookmarkStart w:id="81" w:name="_Toc392159339"/>
      <w:bookmarkEnd w:id="79"/>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 xml:space="preserve">The State does not believe that COVID-19 had an impact on completeness, reliability, or validity of the data. COVID-19 did not hinder LEA's ability to reach out to former students to gather the information. Therefore, data quality was not compromised. COVID-19 did, however, have an impact on post school outcomes and is explained within the 14A and 14C slippage statements. </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0"/>
      <w:bookmarkEnd w:id="81"/>
    </w:p>
    <w:p w14:paraId="7EA31497" w14:textId="77777777" w:rsidR="005B0B58" w:rsidRPr="005C29F8"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84"/>
    <w:bookmarkEnd w:id="85"/>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86" w:name="_Toc382731913"/>
      <w:bookmarkStart w:id="87"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43B1695A" w14:textId="2970A905" w:rsidR="000A2C83" w:rsidRPr="005C29F8" w:rsidRDefault="000A2C83" w:rsidP="000A2C83">
      <w:pPr>
        <w:rPr>
          <w:rFonts w:cs="Arial"/>
          <w:color w:val="000000" w:themeColor="text1"/>
          <w:szCs w:val="16"/>
        </w:rPr>
      </w:pPr>
    </w:p>
    <w:bookmarkEnd w:id="86"/>
    <w:bookmarkEnd w:id="87"/>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100.00%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50.00%</w:t>
            </w: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lastRenderedPageBreak/>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2B7490" w:rsidP="00A018D4">
            <w:pPr>
              <w:jc w:val="center"/>
              <w:rPr>
                <w:rFonts w:cs="Arial"/>
                <w:color w:val="000000" w:themeColor="text1"/>
                <w:szCs w:val="16"/>
              </w:rPr>
            </w:pPr>
            <w:r w:rsidRPr="005C29F8">
              <w:rPr>
                <w:rFonts w:cs="Arial"/>
                <w:color w:val="000000" w:themeColor="text1"/>
                <w:szCs w:val="16"/>
              </w:rPr>
              <w:t>50.00%</w:t>
            </w: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The State reported fewer than ten resolution sessions held in FFY 2019. The State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8" w:name="_Toc382731916"/>
      <w:bookmarkStart w:id="89"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88"/>
    <w:bookmarkEnd w:id="89"/>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3</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The WDE uses its close working relationship with the Wyoming Association of Special Education Administrators (WASEA) and the Wyoming Advisory Panel for Students with Disabilities (WAPSD) to share the "State of the State in Special Education" and get input on priority focus areas, target setting, professional development needs, and requests for technical assistance. A review of Special Education data, both for the State and by LEA, are shared with the WAPSD and WASEA annually. In addition, the WDE uses regional and district level data analysis activities as an opportunity to share district level data regarding the performance of students with disabilities. During these annual activities, LEAs analyzed their data in comparison to statewide data and the data of similarly sized districts and provided the WDE with information on barriers, challenges, successes, district level programming and potential improvement activities. In addition to these activities the WAPSD, WASEA, district administrators of all 49 LEAs, Parents Helping Parents, and the parent advocacy group Parent Information Center (PIC) are given the opportunity to provide input and suggestions on setting the new indicator targets in the SPP when needed. This will certainly be critical over the next months when gathering stakeholder input for setting new SPP targets for FFY20. </w:t>
      </w:r>
      <w:r w:rsidRPr="005C29F8">
        <w:rPr>
          <w:rFonts w:cs="Arial"/>
          <w:color w:val="000000" w:themeColor="text1"/>
          <w:szCs w:val="16"/>
        </w:rPr>
        <w:br/>
        <w:t>In addition to working with these key special education groups in WY, the WDE utilizes social media to promote involvement and disseminate information on the mechanisms in which to provide input to the WDE and when.</w:t>
      </w:r>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100.00%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80.00%</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100.00%</w:t>
            </w: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lastRenderedPageBreak/>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3</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4</w:t>
            </w:r>
          </w:p>
        </w:tc>
        <w:tc>
          <w:tcPr>
            <w:tcW w:w="513" w:type="pct"/>
            <w:shd w:val="clear" w:color="auto" w:fill="auto"/>
          </w:tcPr>
          <w:p w14:paraId="466ED6BC" w14:textId="5349E9C8" w:rsidR="00ED71A6"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2B7490" w:rsidP="004369B2">
            <w:pPr>
              <w:jc w:val="center"/>
              <w:rPr>
                <w:rFonts w:cs="Arial"/>
                <w:color w:val="000000" w:themeColor="text1"/>
                <w:szCs w:val="16"/>
              </w:rPr>
            </w:pPr>
            <w:r w:rsidRPr="005C29F8">
              <w:rPr>
                <w:rFonts w:cs="Arial"/>
                <w:color w:val="000000" w:themeColor="text1"/>
                <w:szCs w:val="16"/>
              </w:rPr>
              <w:t>75.00%</w:t>
            </w: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The State reported fewer than ten mediations held in FFY 2019. The State is not required to provide targets until any fiscal year in which ten or more mediations were held. </w:t>
      </w:r>
    </w:p>
    <w:p w14:paraId="55A8CDDB" w14:textId="3FF2F0E0" w:rsidR="00913A33" w:rsidRDefault="001C46DC" w:rsidP="00123D76">
      <w:pPr>
        <w:pStyle w:val="Heading2"/>
      </w:pPr>
      <w:r w:rsidRPr="0033429D">
        <w:t>16 - Required Actions</w:t>
      </w:r>
    </w:p>
    <w:p w14:paraId="660F84D0" w14:textId="7C66FC52" w:rsidR="00D0416C" w:rsidRDefault="00D0416C" w:rsidP="00D0416C"/>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0"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Susan Shipley</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Special Education Systems Administrator and Part B Data Manager</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susan.shipley@wyo.gov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3077772925</w:t>
      </w:r>
    </w:p>
    <w:bookmarkEnd w:id="90"/>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68F3D045" w:rsidR="000657F0"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04/28/21 10:47:01 AM</w:t>
      </w:r>
    </w:p>
    <w:p w14:paraId="6C89C3D3" w14:textId="7C2A70E8" w:rsidR="00D0416C" w:rsidRDefault="00D0416C" w:rsidP="000657F0">
      <w:pPr>
        <w:autoSpaceDE w:val="0"/>
        <w:autoSpaceDN w:val="0"/>
        <w:adjustRightInd w:val="0"/>
        <w:rPr>
          <w:rFonts w:cs="Arial"/>
          <w:color w:val="000000" w:themeColor="text1"/>
          <w:szCs w:val="16"/>
        </w:rPr>
      </w:pPr>
    </w:p>
    <w:p w14:paraId="3580198A" w14:textId="77777777" w:rsidR="00AB2FCD" w:rsidRDefault="00AB2FCD">
      <w:pPr>
        <w:spacing w:before="0" w:after="200" w:line="276" w:lineRule="auto"/>
        <w:rPr>
          <w:rFonts w:eastAsiaTheme="majorEastAsia" w:cstheme="majorBidi"/>
          <w:b/>
          <w:bCs/>
          <w:sz w:val="20"/>
          <w:szCs w:val="28"/>
        </w:rPr>
      </w:pPr>
      <w:r>
        <w:br w:type="page"/>
      </w:r>
    </w:p>
    <w:p w14:paraId="033A6CD8" w14:textId="56988DAD" w:rsidR="00D0416C" w:rsidRPr="005C29F8" w:rsidRDefault="00D0416C" w:rsidP="00D0416C">
      <w:pPr>
        <w:pStyle w:val="Heading1"/>
      </w:pPr>
      <w:r>
        <w:lastRenderedPageBreak/>
        <w:t>ED Attachments</w:t>
      </w:r>
    </w:p>
    <w:p w14:paraId="596B3C30" w14:textId="5AD8394E" w:rsidR="00755AF7" w:rsidRPr="005C29F8" w:rsidRDefault="00D4078B" w:rsidP="00EE4B59">
      <w:pPr>
        <w:rPr>
          <w:rFonts w:cs="Arial"/>
          <w:color w:val="000000" w:themeColor="text1"/>
          <w:szCs w:val="16"/>
        </w:rPr>
      </w:pPr>
      <w:r>
        <w:rPr>
          <w:rFonts w:cs="Arial"/>
          <w:color w:val="000000" w:themeColor="text1"/>
          <w:szCs w:val="16"/>
        </w:rPr>
        <w:object w:dxaOrig="1508" w:dyaOrig="983" w14:anchorId="2EE6EA5A">
          <v:shape id="_x0000_i1026" type="#_x0000_t75" alt="WY-B-Dispute-Resolution-2019-20" style="width:79.2pt;height:50.4pt" o:ole="">
            <v:imagedata r:id="rId12" o:title=""/>
          </v:shape>
          <o:OLEObject Type="Embed" ProgID="Acrobat.Document.DC" ShapeID="_x0000_i1026" DrawAspect="Icon" ObjectID="_1689045102" r:id="rId13"/>
        </w:object>
      </w:r>
      <w:r>
        <w:rPr>
          <w:rFonts w:cs="Arial"/>
          <w:color w:val="000000" w:themeColor="text1"/>
          <w:szCs w:val="16"/>
        </w:rPr>
        <w:object w:dxaOrig="1508" w:dyaOrig="983" w14:anchorId="2603A99C">
          <v:shape id="_x0000_i1027" type="#_x0000_t75" alt="WY-2021DataRubricPartB" style="width:79.2pt;height:50.4pt" o:ole="">
            <v:imagedata r:id="rId14" o:title=""/>
          </v:shape>
          <o:OLEObject Type="Embed" ProgID="Excel.Sheet.12" ShapeID="_x0000_i1027" DrawAspect="Icon" ObjectID="_1689045103" r:id="rId15"/>
        </w:object>
      </w:r>
      <w:r w:rsidR="00094690">
        <w:rPr>
          <w:rFonts w:cs="Arial"/>
          <w:color w:val="000000" w:themeColor="text1"/>
          <w:szCs w:val="16"/>
        </w:rPr>
        <w:object w:dxaOrig="1508" w:dyaOrig="983" w14:anchorId="3256E400">
          <v:shape id="_x0000_i1035" type="#_x0000_t75" alt="wy-resultsmatrix-2021b" style="width:79.2pt;height:50.4pt" o:ole="">
            <v:imagedata r:id="rId16" o:title=""/>
          </v:shape>
          <o:OLEObject Type="Embed" ProgID="Acrobat.Document.DC" ShapeID="_x0000_i1035" DrawAspect="Icon" ObjectID="_1689045104" r:id="rId17"/>
        </w:object>
      </w:r>
    </w:p>
    <w:sectPr w:rsidR="00755AF7" w:rsidRPr="005C29F8"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9BE" w14:textId="77777777" w:rsidR="00B65B1B" w:rsidRDefault="00B65B1B" w:rsidP="000802F7">
      <w:pPr>
        <w:spacing w:before="0" w:after="0"/>
      </w:pPr>
      <w:r>
        <w:separator/>
      </w:r>
    </w:p>
  </w:endnote>
  <w:endnote w:type="continuationSeparator" w:id="0">
    <w:p w14:paraId="5D9B3523" w14:textId="77777777" w:rsidR="00B65B1B" w:rsidRDefault="00B65B1B" w:rsidP="000802F7">
      <w:pPr>
        <w:spacing w:before="0" w:after="0"/>
      </w:pPr>
      <w:r>
        <w:continuationSeparator/>
      </w:r>
    </w:p>
  </w:endnote>
  <w:endnote w:type="continuationNotice" w:id="1">
    <w:p w14:paraId="4125840B" w14:textId="77777777" w:rsidR="00B65B1B" w:rsidRDefault="00B65B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9828" w14:textId="77777777" w:rsidR="00B65B1B" w:rsidRDefault="00B65B1B" w:rsidP="000802F7">
      <w:pPr>
        <w:spacing w:before="0" w:after="0"/>
      </w:pPr>
      <w:r>
        <w:separator/>
      </w:r>
    </w:p>
  </w:footnote>
  <w:footnote w:type="continuationSeparator" w:id="0">
    <w:p w14:paraId="191E5594" w14:textId="77777777" w:rsidR="00B65B1B" w:rsidRDefault="00B65B1B" w:rsidP="000802F7">
      <w:pPr>
        <w:spacing w:before="0" w:after="0"/>
      </w:pPr>
      <w:r>
        <w:continuationSeparator/>
      </w:r>
    </w:p>
  </w:footnote>
  <w:footnote w:type="continuationNotice" w:id="1">
    <w:p w14:paraId="3151414D" w14:textId="77777777" w:rsidR="00B65B1B" w:rsidRDefault="00B65B1B">
      <w:pPr>
        <w:spacing w:before="0" w:after="0"/>
      </w:pPr>
    </w:p>
  </w:footnote>
  <w:footnote w:id="2">
    <w:p w14:paraId="007D198D" w14:textId="6C3E09D1" w:rsidR="00FE5A99" w:rsidRDefault="00FE5A99">
      <w:pPr>
        <w:pStyle w:val="FootnoteText"/>
      </w:pPr>
      <w:r>
        <w:rPr>
          <w:rStyle w:val="FootnoteReference"/>
        </w:rPr>
        <w:footnoteRef/>
      </w:r>
      <w:r>
        <w:t xml:space="preserve"> </w:t>
      </w:r>
      <w:r w:rsidRPr="00FE5A99">
        <w:rPr>
          <w:sz w:val="16"/>
          <w:szCs w:val="16"/>
        </w:rPr>
        <w:t>Data suppressed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4690"/>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5949"/>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67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C3E"/>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5D"/>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21C"/>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2FCD"/>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B1B"/>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012"/>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16C"/>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078B"/>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0B5"/>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1A"/>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5A99"/>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9135-1C73-42D3-99BA-41F88739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31915</Words>
  <Characters>181919</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Wolfsheimer, Jennifer</cp:lastModifiedBy>
  <cp:revision>8</cp:revision>
  <cp:lastPrinted>2014-08-19T16:56:00Z</cp:lastPrinted>
  <dcterms:created xsi:type="dcterms:W3CDTF">2021-07-23T21:33:00Z</dcterms:created>
  <dcterms:modified xsi:type="dcterms:W3CDTF">2021-07-29T10:25:00Z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fadc186a-cebf-4522-923f-3097882050ce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