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Hlk121691473"/>
      <w:bookmarkStart w:id="1" w:name="_Toc382082357"/>
      <w:bookmarkStart w:id="2" w:name="_Toc392159258"/>
      <w:bookmarkStart w:id="3" w:name="_Hlk110866287"/>
      <w:bookmarkEnd w:id="0"/>
      <w:r w:rsidRPr="00781112">
        <w:rPr>
          <w:rFonts w:cs="Arial"/>
          <w:b/>
          <w:bCs/>
          <w:smallCaps/>
          <w:color w:val="000000" w:themeColor="text1"/>
          <w:sz w:val="32"/>
          <w:szCs w:val="32"/>
        </w:rPr>
        <w:t>State Performance Plan / Annual Performance Report: Part B</w:t>
      </w:r>
    </w:p>
    <w:p w14:paraId="775F9C1C" w14:textId="05570B0D"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450F569A"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F46F21">
        <w:rPr>
          <w:rFonts w:cs="Arial"/>
          <w:b/>
          <w:bCs/>
          <w:color w:val="000000" w:themeColor="text1"/>
          <w:sz w:val="28"/>
          <w:szCs w:val="28"/>
        </w:rPr>
        <w:t>2021</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Wyoming</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787A231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2023</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 xml:space="preserve">Provide sufficient detail to ensure that the Secretary and the public </w:t>
      </w:r>
      <w:proofErr w:type="gramStart"/>
      <w:r w:rsidRPr="00781112">
        <w:rPr>
          <w:rFonts w:cs="Arial"/>
          <w:color w:val="000000" w:themeColor="text1"/>
          <w:szCs w:val="16"/>
          <w:shd w:val="clear" w:color="auto" w:fill="FFFFFF"/>
        </w:rPr>
        <w:t>are informed</w:t>
      </w:r>
      <w:proofErr w:type="gramEnd"/>
      <w:r w:rsidRPr="00781112">
        <w:rPr>
          <w:rFonts w:cs="Arial"/>
          <w:color w:val="000000" w:themeColor="text1"/>
          <w:szCs w:val="16"/>
          <w:shd w:val="clear" w:color="auto" w:fill="FFFFFF"/>
        </w:rPr>
        <w:t xml:space="preserve">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53819907" w:rsidR="00AF5649" w:rsidRPr="00781112" w:rsidRDefault="00AF5649" w:rsidP="004369B2">
      <w:pPr>
        <w:rPr>
          <w:color w:val="000000" w:themeColor="text1"/>
        </w:rPr>
      </w:pPr>
      <w:r w:rsidRPr="00781112">
        <w:rPr>
          <w:b/>
          <w:color w:val="000000" w:themeColor="text1"/>
        </w:rPr>
        <w:t xml:space="preserve">Executive Summary </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 xml:space="preserve">The Wyoming Department of Education (WDE): Special Education Programs (SEP) implements a general supervision system that aligns with both the letter and spirit of the Individuals with Disabilities Education Act (IDEA). The WDE has worked to develop and implement a State Performance Plan/Annual Performance Report (SPP/APR) process that is not only a means of  reporting to OSEP and the public on statewide data for students with </w:t>
      </w:r>
      <w:proofErr w:type="gramStart"/>
      <w:r w:rsidRPr="00781112">
        <w:rPr>
          <w:rFonts w:cs="Arial"/>
          <w:color w:val="000000" w:themeColor="text1"/>
          <w:szCs w:val="16"/>
        </w:rPr>
        <w:t>disabilities, but</w:t>
      </w:r>
      <w:proofErr w:type="gramEnd"/>
      <w:r w:rsidRPr="00781112">
        <w:rPr>
          <w:rFonts w:cs="Arial"/>
          <w:color w:val="000000" w:themeColor="text1"/>
          <w:szCs w:val="16"/>
        </w:rPr>
        <w:t xml:space="preserve"> is also an essential part of a holistic system of general supervision. The Wyoming General Supervision System is one that </w:t>
      </w:r>
      <w:proofErr w:type="gramStart"/>
      <w:r w:rsidRPr="00781112">
        <w:rPr>
          <w:rFonts w:cs="Arial"/>
          <w:color w:val="000000" w:themeColor="text1"/>
          <w:szCs w:val="16"/>
        </w:rPr>
        <w:t>is integrated</w:t>
      </w:r>
      <w:proofErr w:type="gramEnd"/>
      <w:r w:rsidRPr="00781112">
        <w:rPr>
          <w:rFonts w:cs="Arial"/>
          <w:color w:val="000000" w:themeColor="text1"/>
          <w:szCs w:val="16"/>
        </w:rPr>
        <w:t xml:space="preserve">, robust, and responsive to data represented in the SPP/APR OSEP indicators. </w:t>
      </w:r>
      <w:proofErr w:type="gramStart"/>
      <w:r w:rsidRPr="00781112">
        <w:rPr>
          <w:rFonts w:cs="Arial"/>
          <w:color w:val="000000" w:themeColor="text1"/>
          <w:szCs w:val="16"/>
        </w:rPr>
        <w:t>Ultimately, the</w:t>
      </w:r>
      <w:proofErr w:type="gramEnd"/>
      <w:r w:rsidRPr="00781112">
        <w:rPr>
          <w:rFonts w:cs="Arial"/>
          <w:color w:val="000000" w:themeColor="text1"/>
          <w:szCs w:val="16"/>
        </w:rPr>
        <w:t xml:space="preserve"> SPP /APR process plays a key role in continuously improving educational results and functional outcomes for students with disabilities.</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r w:rsidRPr="00781112">
        <w:rPr>
          <w:color w:val="000000" w:themeColor="text1"/>
        </w:rPr>
        <w:t>For the totality of the COVID pandemic, Wyoming’s schools (with the exception of schools on the Wind River Indian Reservation) were only closed for 3 months; March-</w:t>
      </w:r>
      <w:proofErr w:type="gramStart"/>
      <w:r w:rsidRPr="00781112">
        <w:rPr>
          <w:color w:val="000000" w:themeColor="text1"/>
        </w:rPr>
        <w:t>May,</w:t>
      </w:r>
      <w:proofErr w:type="gramEnd"/>
      <w:r w:rsidRPr="00781112">
        <w:rPr>
          <w:color w:val="000000" w:themeColor="text1"/>
        </w:rPr>
        <w:t xml:space="preserve"> 2020. It </w:t>
      </w:r>
      <w:proofErr w:type="gramStart"/>
      <w:r w:rsidRPr="00781112">
        <w:rPr>
          <w:color w:val="000000" w:themeColor="text1"/>
        </w:rPr>
        <w:t>is believed</w:t>
      </w:r>
      <w:proofErr w:type="gramEnd"/>
      <w:r w:rsidRPr="00781112">
        <w:rPr>
          <w:color w:val="000000" w:themeColor="text1"/>
        </w:rPr>
        <w:t xml:space="preserve"> that our low population (approximately 578,000 statewide) and rural, large geographical area (97,914 sq. miles) put us in </w:t>
      </w:r>
      <w:proofErr w:type="gramStart"/>
      <w:r w:rsidRPr="00781112">
        <w:rPr>
          <w:color w:val="000000" w:themeColor="text1"/>
        </w:rPr>
        <w:t>a unique</w:t>
      </w:r>
      <w:proofErr w:type="gramEnd"/>
      <w:r w:rsidRPr="00781112">
        <w:rPr>
          <w:color w:val="000000" w:themeColor="text1"/>
        </w:rPr>
        <w:t xml:space="preserve"> circumstance of being able to educate students safely in brick-and-mortar settings. Therefore, there was minimal loss of instructional time compared to other states across the country. Thus, gauging the impact COVID has had on data and outcomes was difficult in the beginning. Now, however, with </w:t>
      </w:r>
      <w:proofErr w:type="gramStart"/>
      <w:r w:rsidRPr="00781112">
        <w:rPr>
          <w:color w:val="000000" w:themeColor="text1"/>
        </w:rPr>
        <w:t>several</w:t>
      </w:r>
      <w:proofErr w:type="gramEnd"/>
      <w:r w:rsidRPr="00781112">
        <w:rPr>
          <w:color w:val="000000" w:themeColor="text1"/>
        </w:rPr>
        <w:t xml:space="preserve"> data points available to us, we are beginning to see where COVID has impacted Wyoming students in a way that was not immediately apparent.</w:t>
      </w:r>
      <w:r w:rsidRPr="00781112">
        <w:rPr>
          <w:color w:val="000000" w:themeColor="text1"/>
        </w:rPr>
        <w:br/>
      </w:r>
      <w:r w:rsidRPr="00781112">
        <w:rPr>
          <w:color w:val="000000" w:themeColor="text1"/>
        </w:rPr>
        <w:br/>
        <w:t xml:space="preserve">During the 3-month closure, all districts put into place virtual educational settings. For </w:t>
      </w:r>
      <w:proofErr w:type="gramStart"/>
      <w:r w:rsidRPr="00781112">
        <w:rPr>
          <w:color w:val="000000" w:themeColor="text1"/>
        </w:rPr>
        <w:t>a great number</w:t>
      </w:r>
      <w:proofErr w:type="gramEnd"/>
      <w:r w:rsidRPr="00781112">
        <w:rPr>
          <w:color w:val="000000" w:themeColor="text1"/>
        </w:rPr>
        <w:t xml:space="preserve"> of students and families, survey results have indicated it was difficult to transition from in-person to virtual education at home and even more difficult to implement successfully on a daily basis. However, for another set of students, virtual education was a positive experience. Since that time, more students (especially grades 7-12) attend school virtually than ever before. The two biggest reasons were fear of COVID exposure and student preference. </w:t>
      </w:r>
      <w:r w:rsidRPr="00781112">
        <w:rPr>
          <w:color w:val="000000" w:themeColor="text1"/>
        </w:rPr>
        <w:br/>
      </w:r>
      <w:r w:rsidRPr="00781112">
        <w:rPr>
          <w:color w:val="000000" w:themeColor="text1"/>
        </w:rPr>
        <w:br/>
        <w:t xml:space="preserve">Data </w:t>
      </w:r>
      <w:proofErr w:type="gramStart"/>
      <w:r w:rsidRPr="00781112">
        <w:rPr>
          <w:color w:val="000000" w:themeColor="text1"/>
        </w:rPr>
        <w:t>suggest</w:t>
      </w:r>
      <w:proofErr w:type="gramEnd"/>
      <w:r w:rsidRPr="00781112">
        <w:rPr>
          <w:color w:val="000000" w:themeColor="text1"/>
        </w:rPr>
        <w:t xml:space="preserve"> that students with disabilities are not performing well in virtual settings</w:t>
      </w:r>
      <w:proofErr w:type="gramStart"/>
      <w:r w:rsidRPr="00781112">
        <w:rPr>
          <w:color w:val="000000" w:themeColor="text1"/>
        </w:rPr>
        <w:t xml:space="preserve">.  </w:t>
      </w:r>
      <w:proofErr w:type="gramEnd"/>
      <w:r w:rsidRPr="00781112">
        <w:rPr>
          <w:color w:val="000000" w:themeColor="text1"/>
        </w:rPr>
        <w:t>Students with disabilities tend to have lower state test scores than students with disabilities who are attending in-person</w:t>
      </w:r>
      <w:proofErr w:type="gramStart"/>
      <w:r w:rsidRPr="00781112">
        <w:rPr>
          <w:color w:val="000000" w:themeColor="text1"/>
        </w:rPr>
        <w:t xml:space="preserve">.  </w:t>
      </w:r>
      <w:proofErr w:type="gramEnd"/>
      <w:r w:rsidRPr="00781112">
        <w:rPr>
          <w:color w:val="000000" w:themeColor="text1"/>
        </w:rPr>
        <w:t xml:space="preserve">This indicates </w:t>
      </w:r>
      <w:proofErr w:type="gramStart"/>
      <w:r w:rsidRPr="00781112">
        <w:rPr>
          <w:color w:val="000000" w:themeColor="text1"/>
        </w:rPr>
        <w:t>value</w:t>
      </w:r>
      <w:proofErr w:type="gramEnd"/>
      <w:r w:rsidRPr="00781112">
        <w:rPr>
          <w:color w:val="000000" w:themeColor="text1"/>
        </w:rPr>
        <w:t xml:space="preserve"> of in-person, direct instruction from a qualified professional and the rigorous expectations while in school. Although the impact of virtual schooling has </w:t>
      </w:r>
      <w:proofErr w:type="gramStart"/>
      <w:r w:rsidRPr="00781112">
        <w:rPr>
          <w:color w:val="000000" w:themeColor="text1"/>
        </w:rPr>
        <w:t>been examined</w:t>
      </w:r>
      <w:proofErr w:type="gramEnd"/>
      <w:r w:rsidRPr="00781112">
        <w:rPr>
          <w:color w:val="000000" w:themeColor="text1"/>
        </w:rPr>
        <w:t xml:space="preserve"> so far only on the state test data (Indicator 3), the WDE has started to collect information on virtual learning in its triannual enrollment collections and thus will be able to examine the impact of virtual learning on additional indicators this coming year.</w:t>
      </w: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49</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 xml:space="preserve">The systems that are in place to ensure that IDEA Part B requirements </w:t>
      </w:r>
      <w:proofErr w:type="gramStart"/>
      <w:r w:rsidRPr="00781112">
        <w:rPr>
          <w:rFonts w:cs="Arial"/>
          <w:b/>
          <w:color w:val="000000" w:themeColor="text1"/>
          <w:szCs w:val="16"/>
        </w:rPr>
        <w:t>are met</w:t>
      </w:r>
      <w:proofErr w:type="gramEnd"/>
      <w:r w:rsidRPr="00781112">
        <w:rPr>
          <w:rFonts w:cs="Arial"/>
          <w:b/>
          <w:color w:val="000000" w:themeColor="text1"/>
          <w:szCs w:val="16"/>
        </w:rPr>
        <w: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 xml:space="preserve">The Wyoming's General Supervision System utilizes each of the eight essential components set forth by OSEP and the National Center for Special Education Accountability Monitoring (NCSEAM) and includes the following: </w:t>
      </w:r>
      <w:r w:rsidRPr="00781112">
        <w:rPr>
          <w:rFonts w:cs="Arial"/>
          <w:color w:val="000000" w:themeColor="text1"/>
          <w:szCs w:val="16"/>
        </w:rPr>
        <w:br/>
      </w:r>
      <w:r w:rsidRPr="00781112">
        <w:rPr>
          <w:rFonts w:cs="Arial"/>
          <w:color w:val="000000" w:themeColor="text1"/>
          <w:szCs w:val="16"/>
        </w:rPr>
        <w:br/>
        <w:t>Stable Assessment</w:t>
      </w:r>
      <w:r w:rsidRPr="00781112">
        <w:rPr>
          <w:rFonts w:cs="Arial"/>
          <w:color w:val="000000" w:themeColor="text1"/>
          <w:szCs w:val="16"/>
        </w:rPr>
        <w:br/>
        <w:t xml:space="preserve">All LEAs participate in the Stable Assessment component on an annual basis. The Stable Assessment includes a review conducted by LEA staff and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activities conducted by WDE monitoring teams. The self-assessment portion of the Stable Assessment includes a measure of procedural compliance with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key federal and state requirements. Every LEA </w:t>
      </w:r>
      <w:proofErr w:type="gramStart"/>
      <w:r w:rsidRPr="00781112">
        <w:rPr>
          <w:rFonts w:cs="Arial"/>
          <w:color w:val="000000" w:themeColor="text1"/>
          <w:szCs w:val="16"/>
        </w:rPr>
        <w:t>is expected</w:t>
      </w:r>
      <w:proofErr w:type="gramEnd"/>
      <w:r w:rsidRPr="00781112">
        <w:rPr>
          <w:rFonts w:cs="Arial"/>
          <w:color w:val="000000" w:themeColor="text1"/>
          <w:szCs w:val="16"/>
        </w:rPr>
        <w:t xml:space="preserve"> to maintain 100% compliance with each of them.</w:t>
      </w:r>
      <w:r w:rsidRPr="00781112">
        <w:rPr>
          <w:rFonts w:cs="Arial"/>
          <w:color w:val="000000" w:themeColor="text1"/>
          <w:szCs w:val="16"/>
        </w:rPr>
        <w:br/>
        <w:t xml:space="preserve">The Stable Assessment also includes focused reviews on the timeliness of data reporting. The WDE tracks the timeliness of each LEA’s submissions. Timeliness </w:t>
      </w:r>
      <w:proofErr w:type="gramStart"/>
      <w:r w:rsidRPr="00781112">
        <w:rPr>
          <w:rFonts w:cs="Arial"/>
          <w:color w:val="000000" w:themeColor="text1"/>
          <w:szCs w:val="16"/>
        </w:rPr>
        <w:t>is judged</w:t>
      </w:r>
      <w:proofErr w:type="gramEnd"/>
      <w:r w:rsidRPr="00781112">
        <w:rPr>
          <w:rFonts w:cs="Arial"/>
          <w:color w:val="000000" w:themeColor="text1"/>
          <w:szCs w:val="16"/>
        </w:rPr>
        <w:t xml:space="preserve"> by considering submission dates for the self-assessment results, the certification date for the WDE 684, 457, and 459 data collections. </w:t>
      </w:r>
      <w:r w:rsidRPr="00781112">
        <w:rPr>
          <w:rFonts w:cs="Arial"/>
          <w:color w:val="000000" w:themeColor="text1"/>
          <w:szCs w:val="16"/>
        </w:rPr>
        <w:br/>
        <w:t xml:space="preserve">The final component of the Stable Assessment is the Indicator 13 internal review. The WDE annually requests and reviews a sample of files for students of post-secondary transition age. The WDE reviews these files according to the National Technical Assistance Center's Transition Checklist and, if any non-compliance </w:t>
      </w:r>
      <w:proofErr w:type="gramStart"/>
      <w:r w:rsidRPr="00781112">
        <w:rPr>
          <w:rFonts w:cs="Arial"/>
          <w:color w:val="000000" w:themeColor="text1"/>
          <w:szCs w:val="16"/>
        </w:rPr>
        <w:t>is found</w:t>
      </w:r>
      <w:proofErr w:type="gramEnd"/>
      <w:r w:rsidRPr="00781112">
        <w:rPr>
          <w:rFonts w:cs="Arial"/>
          <w:color w:val="000000" w:themeColor="text1"/>
          <w:szCs w:val="16"/>
        </w:rPr>
        <w:t xml:space="preserve">, the WDE responds in writing with specific guidance to assist the LEA in correcting the deficiencies and achieving compliance. LEAs must provide assurance of correction after taking the actions described in the State’s </w:t>
      </w:r>
      <w:proofErr w:type="gramStart"/>
      <w:r w:rsidRPr="00781112">
        <w:rPr>
          <w:rFonts w:cs="Arial"/>
          <w:color w:val="000000" w:themeColor="text1"/>
          <w:szCs w:val="16"/>
        </w:rPr>
        <w:t>letter, and</w:t>
      </w:r>
      <w:proofErr w:type="gramEnd"/>
      <w:r w:rsidRPr="00781112">
        <w:rPr>
          <w:rFonts w:cs="Arial"/>
          <w:color w:val="000000" w:themeColor="text1"/>
          <w:szCs w:val="16"/>
        </w:rPr>
        <w:t xml:space="preserve"> send evidence documenting the fact that correction has taken place in the case of each student. Conversely, if the sample files are all in compliance with these requirements, the LEA special education director receives written notification that the files </w:t>
      </w:r>
      <w:proofErr w:type="gramStart"/>
      <w:r w:rsidRPr="00781112">
        <w:rPr>
          <w:rFonts w:cs="Arial"/>
          <w:color w:val="000000" w:themeColor="text1"/>
          <w:szCs w:val="16"/>
        </w:rPr>
        <w:t>were found</w:t>
      </w:r>
      <w:proofErr w:type="gramEnd"/>
      <w:r w:rsidRPr="00781112">
        <w:rPr>
          <w:rFonts w:cs="Arial"/>
          <w:color w:val="000000" w:themeColor="text1"/>
          <w:szCs w:val="16"/>
        </w:rPr>
        <w:t xml:space="preserve"> to be in full compliance. Districts that failed to achieve 100% compliance during the first review must attend required training and submit an assurance of compliance. A Prong 2 review </w:t>
      </w:r>
      <w:proofErr w:type="gramStart"/>
      <w:r w:rsidRPr="00781112">
        <w:rPr>
          <w:rFonts w:cs="Arial"/>
          <w:color w:val="000000" w:themeColor="text1"/>
          <w:szCs w:val="16"/>
        </w:rPr>
        <w:t>is conducted</w:t>
      </w:r>
      <w:proofErr w:type="gramEnd"/>
      <w:r w:rsidRPr="00781112">
        <w:rPr>
          <w:rFonts w:cs="Arial"/>
          <w:color w:val="000000" w:themeColor="text1"/>
          <w:szCs w:val="16"/>
        </w:rPr>
        <w:t xml:space="preserve"> which includes several new student files as well as all files that were out of compliance during the initial review. Even though these districts have provided assurance of correction after the initial review, the WDE verifies that the specific violations have </w:t>
      </w:r>
      <w:proofErr w:type="gramStart"/>
      <w:r w:rsidRPr="00781112">
        <w:rPr>
          <w:rFonts w:cs="Arial"/>
          <w:color w:val="000000" w:themeColor="text1"/>
          <w:szCs w:val="16"/>
        </w:rPr>
        <w:t>been corrected</w:t>
      </w:r>
      <w:proofErr w:type="gramEnd"/>
      <w:r w:rsidRPr="00781112">
        <w:rPr>
          <w:rFonts w:cs="Arial"/>
          <w:color w:val="000000" w:themeColor="text1"/>
          <w:szCs w:val="16"/>
        </w:rPr>
        <w:t xml:space="preserve">. </w:t>
      </w:r>
      <w:r w:rsidRPr="00781112">
        <w:rPr>
          <w:rFonts w:cs="Arial"/>
          <w:color w:val="000000" w:themeColor="text1"/>
          <w:szCs w:val="16"/>
        </w:rPr>
        <w:br/>
      </w:r>
      <w:r w:rsidRPr="00781112">
        <w:rPr>
          <w:rFonts w:cs="Arial"/>
          <w:color w:val="000000" w:themeColor="text1"/>
          <w:szCs w:val="16"/>
        </w:rPr>
        <w:br/>
        <w:t xml:space="preserve">Risk-Based Assessment </w:t>
      </w:r>
      <w:r w:rsidRPr="00781112">
        <w:rPr>
          <w:rFonts w:cs="Arial"/>
          <w:color w:val="000000" w:themeColor="text1"/>
          <w:szCs w:val="16"/>
        </w:rPr>
        <w:br/>
        <w:t xml:space="preserve">Through a completion of a set of activities known as the Risk-Based Assessment (RBA), the WDE conducts additional monitoring activities in select LEAs based on performance on indicators 3A (formally 3B), 4B, 5C, 9, 10, 11 and 12. LEAs are required to participate in the RBA when the data falls outside of a defined range on any of the aforementioned indicators. In general, the RBA asks LEAs to explain the reasons behind lower-than expected performance on one or more of the indicators. For example, for Indicator 3A, the LEA is asked to explain why certain students with disabilities in WY-TOPP test-taking grades </w:t>
      </w:r>
      <w:proofErr w:type="gramStart"/>
      <w:r w:rsidRPr="00781112">
        <w:rPr>
          <w:rFonts w:cs="Arial"/>
          <w:color w:val="000000" w:themeColor="text1"/>
          <w:szCs w:val="16"/>
        </w:rPr>
        <w:t>reportedly did</w:t>
      </w:r>
      <w:proofErr w:type="gramEnd"/>
      <w:r w:rsidRPr="00781112">
        <w:rPr>
          <w:rFonts w:cs="Arial"/>
          <w:color w:val="000000" w:themeColor="text1"/>
          <w:szCs w:val="16"/>
        </w:rPr>
        <w:t xml:space="preserve"> not participate in one or more assessment subtests. For Indicator 11, the LEA </w:t>
      </w:r>
      <w:proofErr w:type="gramStart"/>
      <w:r w:rsidRPr="00781112">
        <w:rPr>
          <w:rFonts w:cs="Arial"/>
          <w:color w:val="000000" w:themeColor="text1"/>
          <w:szCs w:val="16"/>
        </w:rPr>
        <w:t>is asked</w:t>
      </w:r>
      <w:proofErr w:type="gramEnd"/>
      <w:r w:rsidRPr="00781112">
        <w:rPr>
          <w:rFonts w:cs="Arial"/>
          <w:color w:val="000000" w:themeColor="text1"/>
          <w:szCs w:val="16"/>
        </w:rPr>
        <w:t xml:space="preserve"> to provide a justification behind its failure to meet the 60-day timeline for an initial evaluation. Depending on the LEA’s response, the WDE may ask for additional information or require the LEA to implement activities designed to prevent future </w:t>
      </w:r>
      <w:proofErr w:type="gramStart"/>
      <w:r w:rsidRPr="00781112">
        <w:rPr>
          <w:rFonts w:cs="Arial"/>
          <w:color w:val="000000" w:themeColor="text1"/>
          <w:szCs w:val="16"/>
        </w:rPr>
        <w:t>poor performance</w:t>
      </w:r>
      <w:proofErr w:type="gramEnd"/>
      <w:r w:rsidRPr="00781112">
        <w:rPr>
          <w:rFonts w:cs="Arial"/>
          <w:color w:val="000000" w:themeColor="text1"/>
          <w:szCs w:val="16"/>
        </w:rPr>
        <w:t xml:space="preserve">, require training for the LEA staff, review policies and procedures, and review subsequent student files to ensure complaint evaluation practices. Any failure to meet the 60-day timeline for an initial evaluation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finding of non-compliance and LEAs are immediately notified as such. </w:t>
      </w:r>
      <w:r w:rsidRPr="00781112">
        <w:rPr>
          <w:rFonts w:cs="Arial"/>
          <w:color w:val="000000" w:themeColor="text1"/>
          <w:szCs w:val="16"/>
        </w:rPr>
        <w:br/>
      </w:r>
      <w:r w:rsidRPr="00781112">
        <w:rPr>
          <w:rFonts w:cs="Arial"/>
          <w:color w:val="000000" w:themeColor="text1"/>
          <w:szCs w:val="16"/>
        </w:rPr>
        <w:br/>
        <w:t xml:space="preserve">When a LEA’s performance on Indicators 9 and/or 10 results in an Alternate Risk Ratio of &gt;3.00 or &lt;0.25, the WDE requests the files of students who comprise the group(s) flagged for possible inappropriate identification. WDE then review the evaluation procedures used in each student’s case to </w:t>
      </w:r>
      <w:r w:rsidRPr="00781112">
        <w:rPr>
          <w:rFonts w:cs="Arial"/>
          <w:color w:val="000000" w:themeColor="text1"/>
          <w:szCs w:val="16"/>
        </w:rPr>
        <w:lastRenderedPageBreak/>
        <w:t xml:space="preserve">determine if evaluations and eligibility determinations </w:t>
      </w:r>
      <w:proofErr w:type="gramStart"/>
      <w:r w:rsidRPr="00781112">
        <w:rPr>
          <w:rFonts w:cs="Arial"/>
          <w:color w:val="000000" w:themeColor="text1"/>
          <w:szCs w:val="16"/>
        </w:rPr>
        <w:t>were made</w:t>
      </w:r>
      <w:proofErr w:type="gramEnd"/>
      <w:r w:rsidRPr="00781112">
        <w:rPr>
          <w:rFonts w:cs="Arial"/>
          <w:color w:val="000000" w:themeColor="text1"/>
          <w:szCs w:val="16"/>
        </w:rPr>
        <w:t xml:space="preserve"> in accordance with IDEA requirements. LEAs that have found students eligible under incorrect evaluation procedures, or due to faulty eligibility determinations, are required to address the noncompliance immediately through a corrective action process.</w:t>
      </w:r>
      <w:r w:rsidRPr="00781112">
        <w:rPr>
          <w:rFonts w:cs="Arial"/>
          <w:color w:val="000000" w:themeColor="text1"/>
          <w:szCs w:val="16"/>
        </w:rPr>
        <w:br/>
        <w:t xml:space="preserve">For Indicator 12, the Wyoming Department of Health, Behavioral Health Division (BHD- the IU responsible for Part B ages 3-5) is provided with the WISER IDs of all students who did not meet the compliance indicator. The 619 Coordinator provides justifications for any students who did not meet the requirements. After review of justifications, for any student that the Child Development Center (CDC) did not meet the transition timeline, the WISER IDs of these students are </w:t>
      </w:r>
      <w:proofErr w:type="gramStart"/>
      <w:r w:rsidRPr="00781112">
        <w:rPr>
          <w:rFonts w:cs="Arial"/>
          <w:color w:val="000000" w:themeColor="text1"/>
          <w:szCs w:val="16"/>
        </w:rPr>
        <w:t>referred back</w:t>
      </w:r>
      <w:proofErr w:type="gramEnd"/>
      <w:r w:rsidRPr="00781112">
        <w:rPr>
          <w:rFonts w:cs="Arial"/>
          <w:color w:val="000000" w:themeColor="text1"/>
          <w:szCs w:val="16"/>
        </w:rPr>
        <w:t xml:space="preserve"> to BHD. This is to ensure corrective action </w:t>
      </w:r>
      <w:proofErr w:type="gramStart"/>
      <w:r w:rsidRPr="00781112">
        <w:rPr>
          <w:rFonts w:cs="Arial"/>
          <w:color w:val="000000" w:themeColor="text1"/>
          <w:szCs w:val="16"/>
        </w:rPr>
        <w:t>is taken</w:t>
      </w:r>
      <w:proofErr w:type="gramEnd"/>
      <w:r w:rsidRPr="00781112">
        <w:rPr>
          <w:rFonts w:cs="Arial"/>
          <w:color w:val="000000" w:themeColor="text1"/>
          <w:szCs w:val="16"/>
        </w:rPr>
        <w:t xml:space="preserve"> by BHD. The WDE confirms that BHD verified that eligibility was determined for each student, reviewed local policies and procedures, reviewed subsequent student files transitioning from Part C to Part B to ensure complaint practices, and conducted training with regional staff if required. This is in keeping with OSEP guidance as described in the 09-02 Memo. Any failure to meet the timeline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finding of noncompliance and the BHD is notified of such.</w:t>
      </w:r>
      <w:r w:rsidRPr="00781112">
        <w:rPr>
          <w:rFonts w:cs="Arial"/>
          <w:color w:val="000000" w:themeColor="text1"/>
          <w:szCs w:val="16"/>
        </w:rPr>
        <w:br/>
        <w:t xml:space="preserve"> </w:t>
      </w:r>
      <w:r w:rsidRPr="00781112">
        <w:rPr>
          <w:rFonts w:cs="Arial"/>
          <w:color w:val="000000" w:themeColor="text1"/>
          <w:szCs w:val="16"/>
        </w:rPr>
        <w:br/>
        <w:t>On-site Monitoring</w:t>
      </w:r>
      <w:r w:rsidRPr="00781112">
        <w:rPr>
          <w:rFonts w:cs="Arial"/>
          <w:color w:val="000000" w:themeColor="text1"/>
          <w:szCs w:val="16"/>
        </w:rPr>
        <w:br/>
        <w:t xml:space="preserve">Following the annual statewide data drilldown (see below), focus indicators are chosen to guide the selection of LEAs for on-site monitoring. These can either be discrete indicators (for example, graduation rate), or a formula made up of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indicators. LEAs </w:t>
      </w:r>
      <w:proofErr w:type="gramStart"/>
      <w:r w:rsidRPr="00781112">
        <w:rPr>
          <w:rFonts w:cs="Arial"/>
          <w:color w:val="000000" w:themeColor="text1"/>
          <w:szCs w:val="16"/>
        </w:rPr>
        <w:t>are divided</w:t>
      </w:r>
      <w:proofErr w:type="gramEnd"/>
      <w:r w:rsidRPr="00781112">
        <w:rPr>
          <w:rFonts w:cs="Arial"/>
          <w:color w:val="000000" w:themeColor="text1"/>
          <w:szCs w:val="16"/>
        </w:rPr>
        <w:t xml:space="preserve"> into four population size groups and the lowest performing LEA in each group is selected for monitoring during that SY. LEAs whose determination status is anything other than meets requirements are eligible to be selected for on-site monitoring</w:t>
      </w:r>
      <w:proofErr w:type="gramStart"/>
      <w:r w:rsidRPr="00781112">
        <w:rPr>
          <w:rFonts w:cs="Arial"/>
          <w:color w:val="000000" w:themeColor="text1"/>
          <w:szCs w:val="16"/>
        </w:rPr>
        <w:t xml:space="preserve">.  </w:t>
      </w:r>
      <w:proofErr w:type="gramEnd"/>
      <w:r w:rsidRPr="00781112">
        <w:rPr>
          <w:rFonts w:cs="Arial"/>
          <w:color w:val="000000" w:themeColor="text1"/>
          <w:szCs w:val="16"/>
        </w:rPr>
        <w:t>The WDE may also select to monitor a sample of students across all LEAs according to a formula or a statewide identified need (most recently, students placed out of district).</w:t>
      </w:r>
      <w:r w:rsidRPr="00781112">
        <w:rPr>
          <w:rFonts w:cs="Arial"/>
          <w:color w:val="000000" w:themeColor="text1"/>
          <w:szCs w:val="16"/>
        </w:rPr>
        <w:br/>
      </w:r>
      <w:r w:rsidRPr="00781112">
        <w:rPr>
          <w:rFonts w:cs="Arial"/>
          <w:color w:val="000000" w:themeColor="text1"/>
          <w:szCs w:val="16"/>
        </w:rPr>
        <w:br/>
        <w:t xml:space="preserve">Prior to an on-site monitoring visit, the WDE analyzes district-level data to determine areas of potential noncompliance that might account for substandard performance outcomes. Compliance hypotheses are developed related to the identified areas of potential </w:t>
      </w:r>
      <w:proofErr w:type="gramStart"/>
      <w:r w:rsidRPr="00781112">
        <w:rPr>
          <w:rFonts w:cs="Arial"/>
          <w:color w:val="000000" w:themeColor="text1"/>
          <w:szCs w:val="16"/>
        </w:rPr>
        <w:t>noncompliance, and</w:t>
      </w:r>
      <w:proofErr w:type="gramEnd"/>
      <w:r w:rsidRPr="00781112">
        <w:rPr>
          <w:rFonts w:cs="Arial"/>
          <w:color w:val="000000" w:themeColor="text1"/>
          <w:szCs w:val="16"/>
        </w:rPr>
        <w:t xml:space="preserve"> become the framework for on-site monitoring activities.  Representative samples of student files </w:t>
      </w:r>
      <w:proofErr w:type="gramStart"/>
      <w:r w:rsidRPr="00781112">
        <w:rPr>
          <w:rFonts w:cs="Arial"/>
          <w:color w:val="000000" w:themeColor="text1"/>
          <w:szCs w:val="16"/>
        </w:rPr>
        <w:t>are selected</w:t>
      </w:r>
      <w:proofErr w:type="gramEnd"/>
      <w:r w:rsidRPr="00781112">
        <w:rPr>
          <w:rFonts w:cs="Arial"/>
          <w:color w:val="000000" w:themeColor="text1"/>
          <w:szCs w:val="16"/>
        </w:rPr>
        <w:t xml:space="preserve"> purposefully, and files are reviewed using tools designed to ensure regulatory compliance specific to the hypothesized area. On-site monitoring consists </w:t>
      </w:r>
      <w:proofErr w:type="gramStart"/>
      <w:r w:rsidRPr="00781112">
        <w:rPr>
          <w:rFonts w:cs="Arial"/>
          <w:color w:val="000000" w:themeColor="text1"/>
          <w:szCs w:val="16"/>
        </w:rPr>
        <w:t>of:</w:t>
      </w:r>
      <w:proofErr w:type="gramEnd"/>
      <w:r w:rsidRPr="00781112">
        <w:rPr>
          <w:rFonts w:cs="Arial"/>
          <w:color w:val="000000" w:themeColor="text1"/>
          <w:szCs w:val="16"/>
        </w:rPr>
        <w:t xml:space="preserve"> 1. Pre-monitoring consultation, 2. Special Education file reviews, 3. Reviews of policies and procedures, 4. Interviews with staff. 5. Student observations, 6. Review of service provider logs, 7. Exit interview to explain findings, and </w:t>
      </w:r>
      <w:proofErr w:type="gramStart"/>
      <w:r w:rsidRPr="00781112">
        <w:rPr>
          <w:rFonts w:cs="Arial"/>
          <w:color w:val="000000" w:themeColor="text1"/>
          <w:szCs w:val="16"/>
        </w:rPr>
        <w:t>8</w:t>
      </w:r>
      <w:proofErr w:type="gramEnd"/>
      <w:r w:rsidRPr="00781112">
        <w:rPr>
          <w:rFonts w:cs="Arial"/>
          <w:color w:val="000000" w:themeColor="text1"/>
          <w:szCs w:val="16"/>
        </w:rPr>
        <w:t xml:space="preserve">. Monitoring report. If there are findings of noncompliance, a report </w:t>
      </w:r>
      <w:proofErr w:type="gramStart"/>
      <w:r w:rsidRPr="00781112">
        <w:rPr>
          <w:rFonts w:cs="Arial"/>
          <w:color w:val="000000" w:themeColor="text1"/>
          <w:szCs w:val="16"/>
        </w:rPr>
        <w:t>is written</w:t>
      </w:r>
      <w:proofErr w:type="gramEnd"/>
      <w:r w:rsidRPr="00781112">
        <w:rPr>
          <w:rFonts w:cs="Arial"/>
          <w:color w:val="000000" w:themeColor="text1"/>
          <w:szCs w:val="16"/>
        </w:rPr>
        <w:t xml:space="preserve">, detailing those findings. </w:t>
      </w:r>
      <w:proofErr w:type="gramStart"/>
      <w:r w:rsidRPr="00781112">
        <w:rPr>
          <w:rFonts w:cs="Arial"/>
          <w:color w:val="000000" w:themeColor="text1"/>
          <w:szCs w:val="16"/>
        </w:rPr>
        <w:t>Some</w:t>
      </w:r>
      <w:proofErr w:type="gramEnd"/>
      <w:r w:rsidRPr="00781112">
        <w:rPr>
          <w:rFonts w:cs="Arial"/>
          <w:color w:val="000000" w:themeColor="text1"/>
          <w:szCs w:val="16"/>
        </w:rPr>
        <w:t xml:space="preserve"> findings may be </w:t>
      </w:r>
      <w:proofErr w:type="gramStart"/>
      <w:r w:rsidRPr="00781112">
        <w:rPr>
          <w:rFonts w:cs="Arial"/>
          <w:color w:val="000000" w:themeColor="text1"/>
          <w:szCs w:val="16"/>
        </w:rPr>
        <w:t>for concern</w:t>
      </w:r>
      <w:proofErr w:type="gramEnd"/>
      <w:r w:rsidRPr="00781112">
        <w:rPr>
          <w:rFonts w:cs="Arial"/>
          <w:color w:val="000000" w:themeColor="text1"/>
          <w:szCs w:val="16"/>
        </w:rPr>
        <w:t xml:space="preserve"> individual students, while others may be systemic. All systemic findings of noncompliance must </w:t>
      </w:r>
      <w:proofErr w:type="gramStart"/>
      <w:r w:rsidRPr="00781112">
        <w:rPr>
          <w:rFonts w:cs="Arial"/>
          <w:color w:val="000000" w:themeColor="text1"/>
          <w:szCs w:val="16"/>
        </w:rPr>
        <w:t>be corrected</w:t>
      </w:r>
      <w:proofErr w:type="gramEnd"/>
      <w:r w:rsidRPr="00781112">
        <w:rPr>
          <w:rFonts w:cs="Arial"/>
          <w:color w:val="000000" w:themeColor="text1"/>
          <w:szCs w:val="16"/>
        </w:rPr>
        <w:t xml:space="preserve"> within one year through a Corrective Action Plan (CAP). For individual student findings of noncompliance, we often give a </w:t>
      </w:r>
      <w:proofErr w:type="gramStart"/>
      <w:r w:rsidRPr="00781112">
        <w:rPr>
          <w:rFonts w:cs="Arial"/>
          <w:color w:val="000000" w:themeColor="text1"/>
          <w:szCs w:val="16"/>
        </w:rPr>
        <w:t>30 day</w:t>
      </w:r>
      <w:proofErr w:type="gramEnd"/>
      <w:r w:rsidRPr="00781112">
        <w:rPr>
          <w:rFonts w:cs="Arial"/>
          <w:color w:val="000000" w:themeColor="text1"/>
          <w:szCs w:val="16"/>
        </w:rPr>
        <w:t xml:space="preserve"> correction period. A CAP is a set of activities to address systemic district practices which resulted in findings of noncompliance and ensure correction within one year. Any noncompliance which </w:t>
      </w:r>
      <w:proofErr w:type="gramStart"/>
      <w:r w:rsidRPr="00781112">
        <w:rPr>
          <w:rFonts w:cs="Arial"/>
          <w:color w:val="000000" w:themeColor="text1"/>
          <w:szCs w:val="16"/>
        </w:rPr>
        <w:t>is not corrected</w:t>
      </w:r>
      <w:proofErr w:type="gramEnd"/>
      <w:r w:rsidRPr="00781112">
        <w:rPr>
          <w:rFonts w:cs="Arial"/>
          <w:color w:val="000000" w:themeColor="text1"/>
          <w:szCs w:val="16"/>
        </w:rPr>
        <w:t xml:space="preserve"> within one year warrants a Compliance Agreement, which is more directive and provides more intensive and targeted support to the LEA.</w:t>
      </w:r>
      <w:r w:rsidRPr="00781112">
        <w:rPr>
          <w:rFonts w:cs="Arial"/>
          <w:color w:val="000000" w:themeColor="text1"/>
          <w:szCs w:val="16"/>
        </w:rPr>
        <w:br/>
      </w:r>
      <w:r w:rsidRPr="00781112">
        <w:rPr>
          <w:rFonts w:cs="Arial"/>
          <w:color w:val="000000" w:themeColor="text1"/>
          <w:szCs w:val="16"/>
        </w:rPr>
        <w:br/>
        <w:t>Determinations Process: In accordance with Federal regulation and Chapter 7 Rules, each spring the WDE collects and reports data on performance and compliance indicators. Based on these data sets, the WDE places each LEA into one of four determination categories: Meets Requirements, Needs Assistance, Needs Intervention, or Needs Substantial Intervention. There are differing levels of support and requirements for each level.</w:t>
      </w:r>
      <w:r w:rsidRPr="00781112">
        <w:rPr>
          <w:rFonts w:cs="Arial"/>
          <w:color w:val="000000" w:themeColor="text1"/>
          <w:szCs w:val="16"/>
        </w:rPr>
        <w:br/>
      </w:r>
      <w:r w:rsidRPr="00781112">
        <w:rPr>
          <w:rFonts w:cs="Arial"/>
          <w:color w:val="000000" w:themeColor="text1"/>
          <w:szCs w:val="16"/>
        </w:rPr>
        <w:br/>
        <w:t>Dispute Resolution</w:t>
      </w:r>
      <w:r w:rsidRPr="00781112">
        <w:rPr>
          <w:rFonts w:cs="Arial"/>
          <w:color w:val="000000" w:themeColor="text1"/>
          <w:szCs w:val="16"/>
        </w:rPr>
        <w:br/>
        <w:t>The WY system for resolving disputes include medication, state complaints, and due process, as outlined and required by the IDEA.</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 xml:space="preserve">The mechanisms that the State has in place to ensure the timely delivery of high quality, </w:t>
      </w:r>
      <w:proofErr w:type="gramStart"/>
      <w:r w:rsidRPr="00781112">
        <w:rPr>
          <w:rFonts w:cs="Arial"/>
          <w:b/>
          <w:color w:val="000000" w:themeColor="text1"/>
          <w:szCs w:val="16"/>
        </w:rPr>
        <w:t>evidenced based</w:t>
      </w:r>
      <w:proofErr w:type="gramEnd"/>
      <w:r w:rsidRPr="00781112">
        <w:rPr>
          <w:rFonts w:cs="Arial"/>
          <w:b/>
          <w:color w:val="000000" w:themeColor="text1"/>
          <w:szCs w:val="16"/>
        </w:rPr>
        <w:t xml:space="preserve">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 xml:space="preserve">The WDE annually conducts two types of data events which analyze the compliance and outcome areas that need the most attention and guidance from the State. The first is a one-day statewide data drilldown. Internally, and with the addition of key stakeholders, the Special Education Programs Division holds a data retreat in which all Indicator data is </w:t>
      </w:r>
      <w:proofErr w:type="gramStart"/>
      <w:r w:rsidRPr="00781112">
        <w:rPr>
          <w:rFonts w:cs="Arial"/>
          <w:color w:val="000000" w:themeColor="text1"/>
          <w:szCs w:val="16"/>
        </w:rPr>
        <w:t>disaggregated</w:t>
      </w:r>
      <w:proofErr w:type="gramEnd"/>
      <w:r w:rsidRPr="00781112">
        <w:rPr>
          <w:rFonts w:cs="Arial"/>
          <w:color w:val="000000" w:themeColor="text1"/>
          <w:szCs w:val="16"/>
        </w:rPr>
        <w:t xml:space="preserve"> and areas of improvement and slippage are identified. The group looks for trends and sets high, medium, and low areas of need/focus. </w:t>
      </w:r>
      <w:r w:rsidRPr="00781112">
        <w:rPr>
          <w:rFonts w:cs="Arial"/>
          <w:color w:val="000000" w:themeColor="text1"/>
          <w:szCs w:val="16"/>
        </w:rPr>
        <w:br/>
      </w:r>
      <w:r w:rsidRPr="00781112">
        <w:rPr>
          <w:rFonts w:cs="Arial"/>
          <w:color w:val="000000" w:themeColor="text1"/>
          <w:szCs w:val="16"/>
        </w:rPr>
        <w:br/>
        <w:t xml:space="preserve">The second type of event is a regional data share out. This is a two-week activity in which the state is divided into </w:t>
      </w:r>
      <w:proofErr w:type="gramStart"/>
      <w:r w:rsidRPr="00781112">
        <w:rPr>
          <w:rFonts w:cs="Arial"/>
          <w:color w:val="000000" w:themeColor="text1"/>
          <w:szCs w:val="16"/>
        </w:rPr>
        <w:t>4</w:t>
      </w:r>
      <w:proofErr w:type="gramEnd"/>
      <w:r w:rsidRPr="00781112">
        <w:rPr>
          <w:rFonts w:cs="Arial"/>
          <w:color w:val="000000" w:themeColor="text1"/>
          <w:szCs w:val="16"/>
        </w:rPr>
        <w:t xml:space="preserve"> geographical areas plus two additional areas for Behavioral Health Division, the IU responsible for Part B students ages 3-5. LEAs from each area come to meet with the WDE for an in-depth look at their individual entity’s data. Each LEA has access to their data through various reports the WDE provides. Facilitators lead participants through the state’s "Structured Activity Data Guidebook" on several different topic areas: Identification, Eligibility, Placement, Services, and Student Outcomes (aggregated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disaggregated by subgroups such as race/ethnicity, grade, disability category, etc.). Participants identify their agency’s successes and challenges and leave with an identified problem to focus on for the school year. The WDE keeps track of each LEA’s area of need/focus and looks for trends across the state. </w:t>
      </w:r>
      <w:r w:rsidRPr="00781112">
        <w:rPr>
          <w:rFonts w:cs="Arial"/>
          <w:color w:val="000000" w:themeColor="text1"/>
          <w:szCs w:val="16"/>
        </w:rPr>
        <w:br/>
      </w:r>
      <w:r w:rsidRPr="00781112">
        <w:rPr>
          <w:rFonts w:cs="Arial"/>
          <w:color w:val="000000" w:themeColor="text1"/>
          <w:szCs w:val="16"/>
        </w:rPr>
        <w:br/>
        <w:t xml:space="preserve">Through these two critical activities, along with keeping a database of technical assistance calls and emails the state received over the past year, WDE identifies broad improvement strategies which can </w:t>
      </w:r>
      <w:proofErr w:type="gramStart"/>
      <w:r w:rsidRPr="00781112">
        <w:rPr>
          <w:rFonts w:cs="Arial"/>
          <w:color w:val="000000" w:themeColor="text1"/>
          <w:szCs w:val="16"/>
        </w:rPr>
        <w:t>be leveraged</w:t>
      </w:r>
      <w:proofErr w:type="gramEnd"/>
      <w:r w:rsidRPr="00781112">
        <w:rPr>
          <w:rFonts w:cs="Arial"/>
          <w:color w:val="000000" w:themeColor="text1"/>
          <w:szCs w:val="16"/>
        </w:rPr>
        <w:t xml:space="preserve"> to effect positive change. Specific improvement activities are developed, </w:t>
      </w:r>
      <w:proofErr w:type="gramStart"/>
      <w:r w:rsidRPr="00781112">
        <w:rPr>
          <w:rFonts w:cs="Arial"/>
          <w:color w:val="000000" w:themeColor="text1"/>
          <w:szCs w:val="16"/>
        </w:rPr>
        <w:t>revised</w:t>
      </w:r>
      <w:proofErr w:type="gramEnd"/>
      <w:r w:rsidRPr="00781112">
        <w:rPr>
          <w:rFonts w:cs="Arial"/>
          <w:color w:val="000000" w:themeColor="text1"/>
          <w:szCs w:val="16"/>
        </w:rPr>
        <w:t xml:space="preserve"> or discontinued to address current needs. This framework not only allows the WDE to be responsive in supporting LEAs, but also provides the structure for the data-based analysis of the effectiveness of current activities. </w:t>
      </w:r>
      <w:r w:rsidRPr="00781112">
        <w:rPr>
          <w:rFonts w:cs="Arial"/>
          <w:color w:val="000000" w:themeColor="text1"/>
          <w:szCs w:val="16"/>
        </w:rPr>
        <w:br/>
      </w:r>
      <w:r w:rsidRPr="00781112">
        <w:rPr>
          <w:rFonts w:cs="Arial"/>
          <w:color w:val="000000" w:themeColor="text1"/>
          <w:szCs w:val="16"/>
        </w:rPr>
        <w:br/>
        <w:t xml:space="preserve">The improvement strategies WDE uses to support educational agencies in attaining procedural compliance and increasing outcomes for students with disabilities </w:t>
      </w:r>
      <w:proofErr w:type="gramStart"/>
      <w:r w:rsidRPr="00781112">
        <w:rPr>
          <w:rFonts w:cs="Arial"/>
          <w:color w:val="000000" w:themeColor="text1"/>
          <w:szCs w:val="16"/>
        </w:rPr>
        <w:t>are designed</w:t>
      </w:r>
      <w:proofErr w:type="gramEnd"/>
      <w:r w:rsidRPr="00781112">
        <w:rPr>
          <w:rFonts w:cs="Arial"/>
          <w:color w:val="000000" w:themeColor="text1"/>
          <w:szCs w:val="16"/>
        </w:rPr>
        <w:t xml:space="preserve"> to effect change in a variety of situations and through the application of a variety of strategies. When statewide areas of data-based concern arise, guidance documents </w:t>
      </w:r>
      <w:proofErr w:type="gramStart"/>
      <w:r w:rsidRPr="00781112">
        <w:rPr>
          <w:rFonts w:cs="Arial"/>
          <w:color w:val="000000" w:themeColor="text1"/>
          <w:szCs w:val="16"/>
        </w:rPr>
        <w:t>are developed</w:t>
      </w:r>
      <w:proofErr w:type="gramEnd"/>
      <w:r w:rsidRPr="00781112">
        <w:rPr>
          <w:rFonts w:cs="Arial"/>
          <w:color w:val="000000" w:themeColor="text1"/>
          <w:szCs w:val="16"/>
        </w:rPr>
        <w:t xml:space="preserve"> and disseminated to provide an ongoing resource to which educational agencies can refer. Statewide initiatives </w:t>
      </w:r>
      <w:proofErr w:type="gramStart"/>
      <w:r w:rsidRPr="00781112">
        <w:rPr>
          <w:rFonts w:cs="Arial"/>
          <w:color w:val="000000" w:themeColor="text1"/>
          <w:szCs w:val="16"/>
        </w:rPr>
        <w:t>are implemented</w:t>
      </w:r>
      <w:proofErr w:type="gramEnd"/>
      <w:r w:rsidRPr="00781112">
        <w:rPr>
          <w:rFonts w:cs="Arial"/>
          <w:color w:val="000000" w:themeColor="text1"/>
          <w:szCs w:val="16"/>
        </w:rPr>
        <w:t xml:space="preserve"> to support LEAs in making systemic changes to support the improvement of student outcomes and support the work of the State Systemic Improvement Plan (SSIP). These initiatives include web-based presentations and resources. Currently the State is supporting Multi-tiered System of Support (MTSS),through an established state-level MTSS Center, Positive Behavioral Interventions and Support (PBIS), Preschool to Kindergarten Transition, and Data-Based Individualization (DBI) [a tier </w:t>
      </w:r>
      <w:proofErr w:type="gramStart"/>
      <w:r w:rsidRPr="00781112">
        <w:rPr>
          <w:rFonts w:cs="Arial"/>
          <w:color w:val="000000" w:themeColor="text1"/>
          <w:szCs w:val="16"/>
        </w:rPr>
        <w:t>3</w:t>
      </w:r>
      <w:proofErr w:type="gramEnd"/>
      <w:r w:rsidRPr="00781112">
        <w:rPr>
          <w:rFonts w:cs="Arial"/>
          <w:color w:val="000000" w:themeColor="text1"/>
          <w:szCs w:val="16"/>
        </w:rPr>
        <w:t xml:space="preserve"> intensive intervention structure] initiatives. </w:t>
      </w:r>
      <w:r w:rsidRPr="00781112">
        <w:rPr>
          <w:rFonts w:cs="Arial"/>
          <w:color w:val="000000" w:themeColor="text1"/>
          <w:szCs w:val="16"/>
        </w:rPr>
        <w:br/>
      </w:r>
      <w:r w:rsidRPr="00781112">
        <w:rPr>
          <w:rFonts w:cs="Arial"/>
          <w:color w:val="000000" w:themeColor="text1"/>
          <w:szCs w:val="16"/>
        </w:rPr>
        <w:br/>
        <w:t xml:space="preserve">Access to resources and web-based training </w:t>
      </w:r>
      <w:proofErr w:type="gramStart"/>
      <w:r w:rsidRPr="00781112">
        <w:rPr>
          <w:rFonts w:cs="Arial"/>
          <w:color w:val="000000" w:themeColor="text1"/>
          <w:szCs w:val="16"/>
        </w:rPr>
        <w:t>is provided</w:t>
      </w:r>
      <w:proofErr w:type="gramEnd"/>
      <w:r w:rsidRPr="00781112">
        <w:rPr>
          <w:rFonts w:cs="Arial"/>
          <w:color w:val="000000" w:themeColor="text1"/>
          <w:szCs w:val="16"/>
        </w:rPr>
        <w:t xml:space="preserve"> through the WDE's Wyoming Instructional Network website (WIN WEB). In addition, each Fall a three-day training event </w:t>
      </w:r>
      <w:proofErr w:type="gramStart"/>
      <w:r w:rsidRPr="00781112">
        <w:rPr>
          <w:rFonts w:cs="Arial"/>
          <w:color w:val="000000" w:themeColor="text1"/>
          <w:szCs w:val="16"/>
        </w:rPr>
        <w:t>is held</w:t>
      </w:r>
      <w:proofErr w:type="gramEnd"/>
      <w:r w:rsidRPr="00781112">
        <w:rPr>
          <w:rFonts w:cs="Arial"/>
          <w:color w:val="000000" w:themeColor="text1"/>
          <w:szCs w:val="16"/>
        </w:rPr>
        <w:t xml:space="preserve"> for all new LEA directors of special education. </w:t>
      </w:r>
      <w:r w:rsidRPr="00781112">
        <w:rPr>
          <w:rFonts w:cs="Arial"/>
          <w:color w:val="000000" w:themeColor="text1"/>
          <w:szCs w:val="16"/>
        </w:rPr>
        <w:br/>
      </w:r>
      <w:r w:rsidRPr="00781112">
        <w:rPr>
          <w:rFonts w:cs="Arial"/>
          <w:color w:val="000000" w:themeColor="text1"/>
          <w:szCs w:val="16"/>
        </w:rPr>
        <w:br/>
        <w:t xml:space="preserve">Other sources of data that inform the State’s technical assistance needs are based on disputes files, annual LEA determinations, and monitoring. In addition, information </w:t>
      </w:r>
      <w:proofErr w:type="gramStart"/>
      <w:r w:rsidRPr="00781112">
        <w:rPr>
          <w:rFonts w:cs="Arial"/>
          <w:color w:val="000000" w:themeColor="text1"/>
          <w:szCs w:val="16"/>
        </w:rPr>
        <w:t>is gathered</w:t>
      </w:r>
      <w:proofErr w:type="gramEnd"/>
      <w:r w:rsidRPr="00781112">
        <w:rPr>
          <w:rFonts w:cs="Arial"/>
          <w:color w:val="000000" w:themeColor="text1"/>
          <w:szCs w:val="16"/>
        </w:rPr>
        <w:t xml:space="preserve"> from the outreach consultants who support students with visual impairments and students who are deaf or hard of hearing, as those consultants are in schools and classrooms on a weekly basis. They provide student-level technical assistance to educational agencies in support of improved evaluations, IEP development/implementation, and instructional </w:t>
      </w:r>
      <w:proofErr w:type="gramStart"/>
      <w:r w:rsidRPr="00781112">
        <w:rPr>
          <w:rFonts w:cs="Arial"/>
          <w:color w:val="000000" w:themeColor="text1"/>
          <w:szCs w:val="16"/>
        </w:rPr>
        <w:t>supports</w:t>
      </w:r>
      <w:proofErr w:type="gramEnd"/>
      <w:r w:rsidRPr="00781112">
        <w:rPr>
          <w:rFonts w:cs="Arial"/>
          <w:color w:val="000000" w:themeColor="text1"/>
          <w:szCs w:val="16"/>
        </w:rPr>
        <w: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lastRenderedPageBreak/>
        <w:t xml:space="preserve">As with all areas of the WY General Supervision system, broad professional development improvement strategies are identified through a thorough analysis of special education </w:t>
      </w:r>
      <w:proofErr w:type="gramStart"/>
      <w:r w:rsidRPr="00781112">
        <w:rPr>
          <w:rFonts w:cs="Arial"/>
          <w:color w:val="000000" w:themeColor="text1"/>
          <w:szCs w:val="16"/>
        </w:rPr>
        <w:t>data;</w:t>
      </w:r>
      <w:proofErr w:type="gramEnd"/>
      <w:r w:rsidRPr="00781112">
        <w:rPr>
          <w:rFonts w:cs="Arial"/>
          <w:color w:val="000000" w:themeColor="text1"/>
          <w:szCs w:val="16"/>
        </w:rPr>
        <w:t xml:space="preserve"> both compliance and outcome data. Data informs the content, structure, and audience for professional development activities. For the reporting period,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professional development improvement strategies continued through a virtual format due, in part, to pandemic concerns, but also </w:t>
      </w:r>
      <w:proofErr w:type="gramStart"/>
      <w:r w:rsidRPr="00781112">
        <w:rPr>
          <w:rFonts w:cs="Arial"/>
          <w:color w:val="000000" w:themeColor="text1"/>
          <w:szCs w:val="16"/>
        </w:rPr>
        <w:t>for</w:t>
      </w:r>
      <w:proofErr w:type="gramEnd"/>
      <w:r w:rsidRPr="00781112">
        <w:rPr>
          <w:rFonts w:cs="Arial"/>
          <w:color w:val="000000" w:themeColor="text1"/>
          <w:szCs w:val="16"/>
        </w:rPr>
        <w:t xml:space="preserve"> more efficient and effective use of fiscal resources. </w:t>
      </w:r>
      <w:r w:rsidRPr="00781112">
        <w:rPr>
          <w:rFonts w:cs="Arial"/>
          <w:color w:val="000000" w:themeColor="text1"/>
          <w:szCs w:val="16"/>
        </w:rPr>
        <w:br/>
      </w:r>
      <w:r w:rsidRPr="00781112">
        <w:rPr>
          <w:rFonts w:cs="Arial"/>
          <w:color w:val="000000" w:themeColor="text1"/>
          <w:szCs w:val="16"/>
        </w:rPr>
        <w:br/>
        <w:t xml:space="preserve">Professional Development (PD) has two </w:t>
      </w:r>
      <w:proofErr w:type="gramStart"/>
      <w:r w:rsidRPr="00781112">
        <w:rPr>
          <w:rFonts w:cs="Arial"/>
          <w:color w:val="000000" w:themeColor="text1"/>
          <w:szCs w:val="16"/>
        </w:rPr>
        <w:t>approaches;</w:t>
      </w:r>
      <w:proofErr w:type="gramEnd"/>
      <w:r w:rsidRPr="00781112">
        <w:rPr>
          <w:rFonts w:cs="Arial"/>
          <w:color w:val="000000" w:themeColor="text1"/>
          <w:szCs w:val="16"/>
        </w:rPr>
        <w:t xml:space="preserve"> Universal and Targeted. The Universal PD content is applicable to all in special education, regardless of the student </w:t>
      </w:r>
      <w:proofErr w:type="gramStart"/>
      <w:r w:rsidRPr="00781112">
        <w:rPr>
          <w:rFonts w:cs="Arial"/>
          <w:color w:val="000000" w:themeColor="text1"/>
          <w:szCs w:val="16"/>
        </w:rPr>
        <w:t>population</w:t>
      </w:r>
      <w:proofErr w:type="gramEnd"/>
      <w:r w:rsidRPr="00781112">
        <w:rPr>
          <w:rFonts w:cs="Arial"/>
          <w:color w:val="000000" w:themeColor="text1"/>
          <w:szCs w:val="16"/>
        </w:rPr>
        <w:t xml:space="preserve"> the professional works with or their role in the special education system. </w:t>
      </w:r>
      <w:r w:rsidRPr="00781112">
        <w:rPr>
          <w:rFonts w:cs="Arial"/>
          <w:color w:val="000000" w:themeColor="text1"/>
          <w:szCs w:val="16"/>
        </w:rPr>
        <w:br/>
      </w:r>
      <w:r w:rsidRPr="00781112">
        <w:rPr>
          <w:rFonts w:cs="Arial"/>
          <w:color w:val="000000" w:themeColor="text1"/>
          <w:szCs w:val="16"/>
        </w:rPr>
        <w:br/>
        <w:t xml:space="preserve">Universal PD offering is designed around the needs of administrators, teachers, service providers, para-educators, </w:t>
      </w:r>
      <w:proofErr w:type="gramStart"/>
      <w:r w:rsidRPr="00781112">
        <w:rPr>
          <w:rFonts w:cs="Arial"/>
          <w:color w:val="000000" w:themeColor="text1"/>
          <w:szCs w:val="16"/>
        </w:rPr>
        <w:t>parents</w:t>
      </w:r>
      <w:proofErr w:type="gramEnd"/>
      <w:r w:rsidRPr="00781112">
        <w:rPr>
          <w:rFonts w:cs="Arial"/>
          <w:color w:val="000000" w:themeColor="text1"/>
          <w:szCs w:val="16"/>
        </w:rPr>
        <w:t xml:space="preserve"> and parent advocates, and those in other educational agencies. The WDE Special Education Division conducts a yearly statewide in-person conference during the last full week of July: Week of Academic Vision for Excellence (WAVE). This year’s conference included a broad range of topics designed to increase the knowledge and skills of professionals to help improve outcomes for students with disabilities and focused on mental health, social/emotional well-being, response to trauma, behavior/discipline, and special education law. The conference is well attended and regarded as quite helpful by attendees.</w:t>
      </w:r>
      <w:r w:rsidRPr="00781112">
        <w:rPr>
          <w:rFonts w:cs="Arial"/>
          <w:color w:val="000000" w:themeColor="text1"/>
          <w:szCs w:val="16"/>
        </w:rPr>
        <w:br/>
      </w:r>
      <w:r w:rsidRPr="00781112">
        <w:rPr>
          <w:rFonts w:cs="Arial"/>
          <w:color w:val="000000" w:themeColor="text1"/>
          <w:szCs w:val="16"/>
        </w:rPr>
        <w:br/>
        <w:t xml:space="preserve">Also, to fulfill statewide professional development needs, WDE continued to deliver twenty-five virtual evidence-based sessions and series of sessions to all educators and parents including IDEA compliance for teams placing students out of district, refining the implementation of IDEA, two separate four-part series to cover executive function and high leverage practices, paraeducator conference with seven booster sessions, new special education director training, LRE special education attorney panel, and an Early Childhood Summit covering 619 Part B topics, including kindergarten transition. </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 xml:space="preserve">Targeted PD is specialized and intentionally designed to meet the targeted needs of specific populations of educators and their students. Examples of this would be new special education administrators, teachers of the deaf, teachers of the visually impaired, orientation/mobility specialists, behavior specialists, teachers of students with emotional disabilities, </w:t>
      </w:r>
      <w:proofErr w:type="gramStart"/>
      <w:r w:rsidRPr="00781112">
        <w:rPr>
          <w:rFonts w:cs="Arial"/>
          <w:color w:val="000000" w:themeColor="text1"/>
          <w:szCs w:val="16"/>
        </w:rPr>
        <w:t>etc.</w:t>
      </w:r>
      <w:proofErr w:type="gramEnd"/>
      <w:r w:rsidRPr="00781112">
        <w:rPr>
          <w:rFonts w:cs="Arial"/>
          <w:color w:val="000000" w:themeColor="text1"/>
          <w:szCs w:val="16"/>
        </w:rPr>
        <w:t xml:space="preserve"> Targeted professional development might also </w:t>
      </w:r>
      <w:proofErr w:type="gramStart"/>
      <w:r w:rsidRPr="00781112">
        <w:rPr>
          <w:rFonts w:cs="Arial"/>
          <w:color w:val="000000" w:themeColor="text1"/>
          <w:szCs w:val="16"/>
        </w:rPr>
        <w:t>be provided</w:t>
      </w:r>
      <w:proofErr w:type="gramEnd"/>
      <w:r w:rsidRPr="00781112">
        <w:rPr>
          <w:rFonts w:cs="Arial"/>
          <w:color w:val="000000" w:themeColor="text1"/>
          <w:szCs w:val="16"/>
        </w:rPr>
        <w:t xml:space="preserve"> to a specific district or group of districts with similar, focused needs. </w:t>
      </w:r>
      <w:r w:rsidRPr="00781112">
        <w:rPr>
          <w:rFonts w:cs="Arial"/>
          <w:color w:val="000000" w:themeColor="text1"/>
          <w:szCs w:val="16"/>
        </w:rPr>
        <w:br/>
      </w:r>
      <w:r w:rsidRPr="00781112">
        <w:rPr>
          <w:rFonts w:cs="Arial"/>
          <w:color w:val="000000" w:themeColor="text1"/>
          <w:szCs w:val="16"/>
        </w:rPr>
        <w:br/>
        <w:t xml:space="preserve">Targeted PD </w:t>
      </w:r>
      <w:proofErr w:type="gramStart"/>
      <w:r w:rsidRPr="00781112">
        <w:rPr>
          <w:rFonts w:cs="Arial"/>
          <w:color w:val="000000" w:themeColor="text1"/>
          <w:szCs w:val="16"/>
        </w:rPr>
        <w:t>was given</w:t>
      </w:r>
      <w:proofErr w:type="gramEnd"/>
      <w:r w:rsidRPr="00781112">
        <w:rPr>
          <w:rFonts w:cs="Arial"/>
          <w:color w:val="000000" w:themeColor="text1"/>
          <w:szCs w:val="16"/>
        </w:rPr>
        <w:t xml:space="preserve"> to new administrators. Special Education Directors new to their position </w:t>
      </w:r>
      <w:proofErr w:type="gramStart"/>
      <w:r w:rsidRPr="00781112">
        <w:rPr>
          <w:rFonts w:cs="Arial"/>
          <w:color w:val="000000" w:themeColor="text1"/>
          <w:szCs w:val="16"/>
        </w:rPr>
        <w:t>are invited</w:t>
      </w:r>
      <w:proofErr w:type="gramEnd"/>
      <w:r w:rsidRPr="00781112">
        <w:rPr>
          <w:rFonts w:cs="Arial"/>
          <w:color w:val="000000" w:themeColor="text1"/>
          <w:szCs w:val="16"/>
        </w:rPr>
        <w:t xml:space="preserve"> to participate in a two- and half-day academy. During the Special Education Directors Academy, Directors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with the critical components of IDEA, job expectations, policy and procedure, and the dispute resolution process. Directors also receive updates on the on-going work at the state level including professional development opportunities and support offered to directors and special education staff by WDE. The purpose of the academy revolves around building relationships between the Directors and WDE staff. The academy establishes baseline expectations for new directors and assists them in understanding their role within the General Supervision responsibilities of the WDE, with a primary focus on reducing the number of compliance and procedural errors, improving the timeliness and quality of services provided, data responsibilities, and increasing positive outcomes for students with disabilities.</w:t>
      </w:r>
      <w:r w:rsidRPr="00781112">
        <w:rPr>
          <w:rFonts w:cs="Arial"/>
          <w:color w:val="000000" w:themeColor="text1"/>
          <w:szCs w:val="16"/>
        </w:rPr>
        <w:br/>
      </w:r>
      <w:r w:rsidRPr="00781112">
        <w:rPr>
          <w:rFonts w:cs="Arial"/>
          <w:color w:val="000000" w:themeColor="text1"/>
          <w:szCs w:val="16"/>
        </w:rPr>
        <w:br/>
        <w:t xml:space="preserve">In being responsible to the needs of professionals working with low-incidence populations, the WDE provided PD to Teachers of the Deaf on assistive technology, communication methods, family engagement, and language. The State hosted a monthly forum for them to address these topics and continue to have a close working relationship with our state Hands and Voices parent group. Through TASK-12 we support a national </w:t>
      </w:r>
      <w:proofErr w:type="gramStart"/>
      <w:r w:rsidRPr="00781112">
        <w:rPr>
          <w:rFonts w:cs="Arial"/>
          <w:color w:val="000000" w:themeColor="text1"/>
          <w:szCs w:val="16"/>
        </w:rPr>
        <w:t>6 month</w:t>
      </w:r>
      <w:proofErr w:type="gramEnd"/>
      <w:r w:rsidRPr="00781112">
        <w:rPr>
          <w:rFonts w:cs="Arial"/>
          <w:color w:val="000000" w:themeColor="text1"/>
          <w:szCs w:val="16"/>
        </w:rPr>
        <w:t xml:space="preserve"> interpreter mentoring program (IMET) to increase the skills of educational interpreters for effective communication. </w:t>
      </w:r>
      <w:r w:rsidRPr="00781112">
        <w:rPr>
          <w:rFonts w:cs="Arial"/>
          <w:color w:val="000000" w:themeColor="text1"/>
          <w:szCs w:val="16"/>
        </w:rPr>
        <w:br/>
      </w:r>
      <w:r w:rsidRPr="00781112">
        <w:rPr>
          <w:rFonts w:cs="Arial"/>
          <w:color w:val="000000" w:themeColor="text1"/>
          <w:szCs w:val="16"/>
        </w:rPr>
        <w:br/>
        <w:t>There were district and IEP specific targeted PD those working with blind/low vision and deaf-blind. The WDE held a training on numeracy for students with complex needs and then provided monthly coaching for implementation of these strategies and a training on the assessment of early communication skills and then provided quarterly coaching support for implementation.</w:t>
      </w:r>
      <w:r w:rsidRPr="00781112">
        <w:rPr>
          <w:rFonts w:cs="Arial"/>
          <w:color w:val="000000" w:themeColor="text1"/>
          <w:szCs w:val="16"/>
        </w:rPr>
        <w:br/>
      </w:r>
      <w:r w:rsidRPr="00781112">
        <w:rPr>
          <w:rFonts w:cs="Arial"/>
          <w:color w:val="000000" w:themeColor="text1"/>
          <w:szCs w:val="16"/>
        </w:rPr>
        <w:br/>
        <w:t>Regardless of the type of PD, the topics are always decided annually as a result of a department-wide, two-day data retreat. This is heavily weighted towards special education data, but also includes data or information provided from the assessment division, school improvement division, school fiscal support division, accreditation team, State Advisory Panel, Wyoming Association of Special Education Administrators, and federal programs division.</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lastRenderedPageBreak/>
        <w:t>14</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During the FFY 2020 period the inclusion of and focus on gaining parent’s perspectives was of the highest priority from the beginning of the target setting process two years ago. Now, the WDE seeks to keep parents involved in the review of progress, analyzing data, and building improvement strategies. A concerted effort </w:t>
      </w:r>
      <w:proofErr w:type="gramStart"/>
      <w:r w:rsidRPr="00781112">
        <w:rPr>
          <w:color w:val="000000" w:themeColor="text1"/>
          <w:szCs w:val="16"/>
        </w:rPr>
        <w:t>is made</w:t>
      </w:r>
      <w:proofErr w:type="gramEnd"/>
      <w:r w:rsidRPr="00781112">
        <w:rPr>
          <w:color w:val="000000" w:themeColor="text1"/>
          <w:szCs w:val="16"/>
        </w:rPr>
        <w:t xml:space="preserve"> to reach parents and get them involved who are not necessarily serving on advisory committees. This </w:t>
      </w:r>
      <w:proofErr w:type="gramStart"/>
      <w:r w:rsidRPr="00781112">
        <w:rPr>
          <w:color w:val="000000" w:themeColor="text1"/>
          <w:szCs w:val="16"/>
        </w:rPr>
        <w:t>is done</w:t>
      </w:r>
      <w:proofErr w:type="gramEnd"/>
      <w:r w:rsidRPr="00781112">
        <w:rPr>
          <w:color w:val="000000" w:themeColor="text1"/>
          <w:szCs w:val="16"/>
        </w:rPr>
        <w:t xml:space="preserve"> by reaching out to all LEA Special Education Directors, asking them to bring one or more parents to stakeholder meetings. In addition, parents </w:t>
      </w:r>
      <w:proofErr w:type="gramStart"/>
      <w:r w:rsidRPr="00781112">
        <w:rPr>
          <w:color w:val="000000" w:themeColor="text1"/>
          <w:szCs w:val="16"/>
        </w:rPr>
        <w:t>are given</w:t>
      </w:r>
      <w:proofErr w:type="gramEnd"/>
      <w:r w:rsidRPr="00781112">
        <w:rPr>
          <w:color w:val="000000" w:themeColor="text1"/>
          <w:szCs w:val="16"/>
        </w:rPr>
        <w:t xml:space="preserve"> links to the Wyoming Instructional Network to access statewide and district specific reports. </w:t>
      </w:r>
      <w:r w:rsidRPr="00781112">
        <w:rPr>
          <w:color w:val="000000" w:themeColor="text1"/>
          <w:szCs w:val="16"/>
        </w:rPr>
        <w:br/>
      </w:r>
      <w:r w:rsidRPr="00781112">
        <w:rPr>
          <w:color w:val="000000" w:themeColor="text1"/>
          <w:szCs w:val="16"/>
        </w:rPr>
        <w:br/>
        <w:t xml:space="preserve">Throughout the target setting phases, there were parents involved in </w:t>
      </w:r>
      <w:proofErr w:type="gramStart"/>
      <w:r w:rsidRPr="00781112">
        <w:rPr>
          <w:color w:val="000000" w:themeColor="text1"/>
          <w:szCs w:val="16"/>
        </w:rPr>
        <w:t>each and every</w:t>
      </w:r>
      <w:proofErr w:type="gramEnd"/>
      <w:r w:rsidRPr="00781112">
        <w:rPr>
          <w:color w:val="000000" w:themeColor="text1"/>
          <w:szCs w:val="16"/>
        </w:rPr>
        <w:t xml:space="preserve"> meeting, as were members of the Wyoming Advisory Panel (WAPSD) and the Parent Information Center. They were able to ask questions, make statements or suggestions verbally or in writing, or anonymously give feedback via a Jam Board option. In addition, the WDE SPP/APR lead provided a phone number in which parents could speak privately with suggestions, feedback, or concerns. </w:t>
      </w:r>
      <w:r w:rsidRPr="00781112">
        <w:rPr>
          <w:color w:val="000000" w:themeColor="text1"/>
          <w:szCs w:val="16"/>
        </w:rPr>
        <w:br/>
      </w:r>
      <w:r w:rsidRPr="00781112">
        <w:rPr>
          <w:color w:val="000000" w:themeColor="text1"/>
          <w:szCs w:val="16"/>
        </w:rPr>
        <w:br/>
        <w:t xml:space="preserve">For this FFY 2021 period, the parents </w:t>
      </w:r>
      <w:proofErr w:type="gramStart"/>
      <w:r w:rsidRPr="00781112">
        <w:rPr>
          <w:color w:val="000000" w:themeColor="text1"/>
          <w:szCs w:val="16"/>
        </w:rPr>
        <w:t>were invited</w:t>
      </w:r>
      <w:proofErr w:type="gramEnd"/>
      <w:r w:rsidRPr="00781112">
        <w:rPr>
          <w:color w:val="000000" w:themeColor="text1"/>
          <w:szCs w:val="16"/>
        </w:rPr>
        <w:t xml:space="preserve"> back for the data drilldown stakeholder meetings to analyze progress and improvement strategies. In fact, </w:t>
      </w:r>
      <w:proofErr w:type="gramStart"/>
      <w:r w:rsidRPr="00781112">
        <w:rPr>
          <w:color w:val="000000" w:themeColor="text1"/>
          <w:szCs w:val="16"/>
        </w:rPr>
        <w:t>14</w:t>
      </w:r>
      <w:proofErr w:type="gramEnd"/>
      <w:r w:rsidRPr="00781112">
        <w:rPr>
          <w:color w:val="000000" w:themeColor="text1"/>
          <w:szCs w:val="16"/>
        </w:rPr>
        <w:t xml:space="preserve"> parents did attend and participate. These meetings were the mechanism used in setting the State’s technical assistance, professional development, and monitoring priorities for the next reporting period. Participation </w:t>
      </w:r>
      <w:proofErr w:type="gramStart"/>
      <w:r w:rsidRPr="00781112">
        <w:rPr>
          <w:color w:val="000000" w:themeColor="text1"/>
          <w:szCs w:val="16"/>
        </w:rPr>
        <w:t>was done</w:t>
      </w:r>
      <w:proofErr w:type="gramEnd"/>
      <w:r w:rsidRPr="00781112">
        <w:rPr>
          <w:color w:val="000000" w:themeColor="text1"/>
          <w:szCs w:val="16"/>
        </w:rPr>
        <w:t xml:space="preserve"> by whole group discussions and small group work regarding a topic or topics of their choice. Take home materials </w:t>
      </w:r>
      <w:proofErr w:type="gramStart"/>
      <w:r w:rsidRPr="00781112">
        <w:rPr>
          <w:color w:val="000000" w:themeColor="text1"/>
          <w:szCs w:val="16"/>
        </w:rPr>
        <w:t>were disseminated</w:t>
      </w:r>
      <w:proofErr w:type="gramEnd"/>
      <w:r w:rsidRPr="00781112">
        <w:rPr>
          <w:color w:val="000000" w:themeColor="text1"/>
          <w:szCs w:val="16"/>
        </w:rPr>
        <w:t xml:space="preserve"> outlining the status of each of the SPP indicators and where additional reports (SPP/APR, district and State report cards, determinations, monitoring reports, and dispute resolution summaries) can be found on an on-going basis. </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For FFY2021, there were </w:t>
      </w:r>
      <w:proofErr w:type="gramStart"/>
      <w:r w:rsidRPr="00781112">
        <w:rPr>
          <w:color w:val="000000" w:themeColor="text1"/>
          <w:szCs w:val="16"/>
        </w:rPr>
        <w:t>several</w:t>
      </w:r>
      <w:proofErr w:type="gramEnd"/>
      <w:r w:rsidRPr="00781112">
        <w:rPr>
          <w:color w:val="000000" w:themeColor="text1"/>
          <w:szCs w:val="16"/>
        </w:rPr>
        <w:t xml:space="preserve"> activities implemented to assist and engage parents and families to facilitate improved outcomes for students with disabilities. </w:t>
      </w:r>
      <w:proofErr w:type="gramStart"/>
      <w:r w:rsidRPr="00781112">
        <w:rPr>
          <w:color w:val="000000" w:themeColor="text1"/>
          <w:szCs w:val="16"/>
        </w:rPr>
        <w:t>Several</w:t>
      </w:r>
      <w:proofErr w:type="gramEnd"/>
      <w:r w:rsidRPr="00781112">
        <w:rPr>
          <w:color w:val="000000" w:themeColor="text1"/>
          <w:szCs w:val="16"/>
        </w:rPr>
        <w:t xml:space="preserve"> diverse groups of parents and families were targeted for specific reasons. The special education division supported the department’s Wyoming Native American Education Conference which focuses on removing barriers to educational success of Wyoming’s Arapahoe and Eastern Shoshone students. Parents are engaged in learning how to support the student’s education and community involvement. This includes meaningful participation in a student’s IEP team meeting. </w:t>
      </w:r>
      <w:r w:rsidRPr="00781112">
        <w:rPr>
          <w:color w:val="000000" w:themeColor="text1"/>
          <w:szCs w:val="16"/>
        </w:rPr>
        <w:br/>
      </w:r>
      <w:r w:rsidRPr="00781112">
        <w:rPr>
          <w:color w:val="000000" w:themeColor="text1"/>
          <w:szCs w:val="16"/>
        </w:rPr>
        <w:br/>
        <w:t xml:space="preserve">The Wyoming Early Intervention Initiative educates families on quality intervention services for children who </w:t>
      </w:r>
      <w:proofErr w:type="gramStart"/>
      <w:r w:rsidRPr="00781112">
        <w:rPr>
          <w:color w:val="000000" w:themeColor="text1"/>
          <w:szCs w:val="16"/>
        </w:rPr>
        <w:t>is</w:t>
      </w:r>
      <w:proofErr w:type="gramEnd"/>
      <w:r w:rsidRPr="00781112">
        <w:rPr>
          <w:color w:val="000000" w:themeColor="text1"/>
          <w:szCs w:val="16"/>
        </w:rPr>
        <w:t xml:space="preserve"> deaf or hard of hearing (DHH), ages birth through five. This outlines intention strategies, provides resources, and connects community partners with families. The WDE maintains a grant with the Division of Vocational Rehabilitation and Workforce Services to educate parents and families supporting DHH students who are transitioning to post-secondary life. We also supported an organization called “Hands and Voices</w:t>
      </w:r>
      <w:proofErr w:type="gramStart"/>
      <w:r w:rsidRPr="00781112">
        <w:rPr>
          <w:color w:val="000000" w:themeColor="text1"/>
          <w:szCs w:val="16"/>
        </w:rPr>
        <w:t>”,</w:t>
      </w:r>
      <w:proofErr w:type="gramEnd"/>
      <w:r w:rsidRPr="00781112">
        <w:rPr>
          <w:color w:val="000000" w:themeColor="text1"/>
          <w:szCs w:val="16"/>
        </w:rPr>
        <w:t xml:space="preserve"> which is a parent organization to provide support to families of DHH students ages birth through 21 regarding a variety of issues specific to that population of children. The WDE supports the Early Hearing Detection and Intervention (EHDI) program which works closely with the families of babies born with hearing loss. </w:t>
      </w:r>
      <w:r w:rsidRPr="00781112">
        <w:rPr>
          <w:color w:val="000000" w:themeColor="text1"/>
          <w:szCs w:val="16"/>
        </w:rPr>
        <w:br/>
      </w:r>
      <w:r w:rsidRPr="00781112">
        <w:rPr>
          <w:color w:val="000000" w:themeColor="text1"/>
          <w:szCs w:val="16"/>
        </w:rPr>
        <w:br/>
        <w:t xml:space="preserve">Transdisciplinary play-based assessment clinics </w:t>
      </w:r>
      <w:proofErr w:type="gramStart"/>
      <w:r w:rsidRPr="00781112">
        <w:rPr>
          <w:color w:val="000000" w:themeColor="text1"/>
          <w:szCs w:val="16"/>
        </w:rPr>
        <w:t>were held</w:t>
      </w:r>
      <w:proofErr w:type="gramEnd"/>
      <w:r w:rsidRPr="00781112">
        <w:rPr>
          <w:color w:val="000000" w:themeColor="text1"/>
          <w:szCs w:val="16"/>
        </w:rPr>
        <w:t xml:space="preserve"> around the state to comprehensively assess students with significant needs, especially in rural areas with limited resources. These assessments were based on needs identified by the family and school staff. Clinic staff observed students and met with parents prior to the assessment. Parents and school personnel observed and provided information during the assessment. The school and family </w:t>
      </w:r>
      <w:proofErr w:type="gramStart"/>
      <w:r w:rsidRPr="00781112">
        <w:rPr>
          <w:color w:val="000000" w:themeColor="text1"/>
          <w:szCs w:val="16"/>
        </w:rPr>
        <w:t>are then provided</w:t>
      </w:r>
      <w:proofErr w:type="gramEnd"/>
      <w:r w:rsidRPr="00781112">
        <w:rPr>
          <w:color w:val="000000" w:themeColor="text1"/>
          <w:szCs w:val="16"/>
        </w:rPr>
        <w:t xml:space="preserve"> with a comprehensive report with learning and functional strategies and diagnoses, when appropriate. </w:t>
      </w:r>
      <w:r w:rsidRPr="00781112">
        <w:rPr>
          <w:color w:val="000000" w:themeColor="text1"/>
          <w:szCs w:val="16"/>
        </w:rPr>
        <w:br/>
      </w:r>
      <w:r w:rsidRPr="00781112">
        <w:rPr>
          <w:color w:val="000000" w:themeColor="text1"/>
          <w:szCs w:val="16"/>
        </w:rPr>
        <w:br/>
        <w:t xml:space="preserve">The WDE collaborated with the Western Regional Early Intervention Collaborative and the Texas School for the Blind to bring monthly webinars, related to the needs of children who are blind/low vision, deaf/hard of hearing and deaf-blind, to service providers, </w:t>
      </w:r>
      <w:proofErr w:type="gramStart"/>
      <w:r w:rsidRPr="00781112">
        <w:rPr>
          <w:color w:val="000000" w:themeColor="text1"/>
          <w:szCs w:val="16"/>
        </w:rPr>
        <w:t>teachers</w:t>
      </w:r>
      <w:proofErr w:type="gramEnd"/>
      <w:r w:rsidRPr="00781112">
        <w:rPr>
          <w:color w:val="000000" w:themeColor="text1"/>
          <w:szCs w:val="16"/>
        </w:rPr>
        <w:t xml:space="preserve"> and parents. These included: Unilateral Hearing Loss, Early Intervention Face to Face and Virtual, Serving Native American Families and Tribal Communities, Deaf/Hard of Hearing Early Intervention, Supporting Families, and Parent Coaching Through Connections.</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To reach and engage the public in setting targets, the WDE deployed two Facebook blasts with an explanation of the purpose and importance of involvement, and links to get background information, and provide feedback on each of the SPP indicators. An individual could respond to all indicators or the one(s) they feel most compelled to do so. The ability to engage in the process and provide input was located on The Wyoming Department of Education website. Each Facebook blast reached approximately 26,527 people across our State. </w:t>
      </w:r>
      <w:r w:rsidRPr="00781112">
        <w:rPr>
          <w:color w:val="000000" w:themeColor="text1"/>
          <w:szCs w:val="16"/>
        </w:rPr>
        <w:br/>
      </w:r>
      <w:r w:rsidRPr="00781112">
        <w:rPr>
          <w:color w:val="000000" w:themeColor="text1"/>
          <w:szCs w:val="16"/>
        </w:rPr>
        <w:br/>
        <w:t xml:space="preserve">Once the site </w:t>
      </w:r>
      <w:proofErr w:type="gramStart"/>
      <w:r w:rsidRPr="00781112">
        <w:rPr>
          <w:color w:val="000000" w:themeColor="text1"/>
          <w:szCs w:val="16"/>
        </w:rPr>
        <w:t>was accessed</w:t>
      </w:r>
      <w:proofErr w:type="gramEnd"/>
      <w:r w:rsidRPr="00781112">
        <w:rPr>
          <w:color w:val="000000" w:themeColor="text1"/>
          <w:szCs w:val="16"/>
        </w:rPr>
        <w:t xml:space="preserve">, there were several components to each indicator that were requested. First, the respondent was </w:t>
      </w:r>
      <w:proofErr w:type="gramStart"/>
      <w:r w:rsidRPr="00781112">
        <w:rPr>
          <w:color w:val="000000" w:themeColor="text1"/>
          <w:szCs w:val="16"/>
        </w:rPr>
        <w:t>given an explanation of</w:t>
      </w:r>
      <w:proofErr w:type="gramEnd"/>
      <w:r w:rsidRPr="00781112">
        <w:rPr>
          <w:color w:val="000000" w:themeColor="text1"/>
          <w:szCs w:val="16"/>
        </w:rPr>
        <w:t xml:space="preserve"> the indicator, historical data, and asked to choose a target from a set of proposed choices, or name one of their own. Next, the State solicited comments on perceived barriers that may impede districts and preschool regions from achieving the target. Additionally, the next step was to ask the respondents what improvement strategies the State could implement that would help facilitate LEAs to reach the target. Stakeholders took part in Jam Board activities to collect and memorialize their input on improvement efforts. The WDE took the information back to the Professional Development and Technical Assistance team to add to their planning efforts for the coming year. Finally, there was the agility to make any further comments, as well as </w:t>
      </w:r>
      <w:proofErr w:type="gramStart"/>
      <w:r w:rsidRPr="00781112">
        <w:rPr>
          <w:color w:val="000000" w:themeColor="text1"/>
          <w:szCs w:val="16"/>
        </w:rPr>
        <w:t>weigh</w:t>
      </w:r>
      <w:proofErr w:type="gramEnd"/>
      <w:r w:rsidRPr="00781112">
        <w:rPr>
          <w:color w:val="000000" w:themeColor="text1"/>
          <w:szCs w:val="16"/>
        </w:rPr>
        <w:t xml:space="preserve"> in on ways to identify outputs (data) to know if the improvement strategies are achieving the desired outcome. For many </w:t>
      </w:r>
      <w:proofErr w:type="gramStart"/>
      <w:r w:rsidRPr="00781112">
        <w:rPr>
          <w:color w:val="000000" w:themeColor="text1"/>
          <w:szCs w:val="16"/>
        </w:rPr>
        <w:t>years</w:t>
      </w:r>
      <w:proofErr w:type="gramEnd"/>
      <w:r w:rsidRPr="00781112">
        <w:rPr>
          <w:color w:val="000000" w:themeColor="text1"/>
          <w:szCs w:val="16"/>
        </w:rPr>
        <w:t xml:space="preserve"> the WDE has and will continue to meet annually with the Stakeholder group to review special education data, update on improvement strategies, and get further ideas into ways to address Stakeholder concerns. Further input </w:t>
      </w:r>
      <w:proofErr w:type="gramStart"/>
      <w:r w:rsidRPr="00781112">
        <w:rPr>
          <w:color w:val="000000" w:themeColor="text1"/>
          <w:szCs w:val="16"/>
        </w:rPr>
        <w:t>is solicited</w:t>
      </w:r>
      <w:proofErr w:type="gramEnd"/>
      <w:r w:rsidRPr="00781112">
        <w:rPr>
          <w:color w:val="000000" w:themeColor="text1"/>
          <w:szCs w:val="16"/>
        </w:rPr>
        <w:t xml:space="preserve"> and considered on a regular basis. </w:t>
      </w:r>
      <w:r w:rsidRPr="00781112">
        <w:rPr>
          <w:color w:val="000000" w:themeColor="text1"/>
          <w:szCs w:val="16"/>
        </w:rPr>
        <w:br/>
        <w:t xml:space="preserve">The WDE used </w:t>
      </w:r>
      <w:proofErr w:type="gramStart"/>
      <w:r w:rsidRPr="00781112">
        <w:rPr>
          <w:color w:val="000000" w:themeColor="text1"/>
          <w:szCs w:val="16"/>
        </w:rPr>
        <w:t>all of</w:t>
      </w:r>
      <w:proofErr w:type="gramEnd"/>
      <w:r w:rsidRPr="00781112">
        <w:rPr>
          <w:color w:val="000000" w:themeColor="text1"/>
          <w:szCs w:val="16"/>
        </w:rPr>
        <w:t xml:space="preserve"> its list serves, mass mail groups, and Facebook followers to reach as many people as possible. The public had 6 weeks to provide input.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 xml:space="preserve">The WDE uses the Wyoming Department of Education's public website and the Special Education Program Divisions website, the Wyoming Instructional Network (WIN WEB), to make available to the public </w:t>
      </w:r>
      <w:proofErr w:type="gramStart"/>
      <w:r w:rsidRPr="00781112">
        <w:rPr>
          <w:color w:val="000000" w:themeColor="text1"/>
          <w:szCs w:val="16"/>
        </w:rPr>
        <w:t>all of</w:t>
      </w:r>
      <w:proofErr w:type="gramEnd"/>
      <w:r w:rsidRPr="00781112">
        <w:rPr>
          <w:color w:val="000000" w:themeColor="text1"/>
          <w:szCs w:val="16"/>
        </w:rPr>
        <w:t xml:space="preserve"> its data, data analysis reports, calendar of activities (PD) related to improvement strategies, and special education resources. Through these two sites, the public has access to 5 years of SPP/APRs, 4 years of district and state report cards, </w:t>
      </w:r>
      <w:proofErr w:type="gramStart"/>
      <w:r w:rsidRPr="00781112">
        <w:rPr>
          <w:color w:val="000000" w:themeColor="text1"/>
          <w:szCs w:val="16"/>
        </w:rPr>
        <w:t>data</w:t>
      </w:r>
      <w:proofErr w:type="gramEnd"/>
      <w:r w:rsidRPr="00781112">
        <w:rPr>
          <w:color w:val="000000" w:themeColor="text1"/>
          <w:szCs w:val="16"/>
        </w:rPr>
        <w:t xml:space="preserve"> and information on the MTSS work, Data Based Individualization initiative (SSIP work), and the State's determination. If/when there are adjustments made to targets by stakeholders and the WDE, it will </w:t>
      </w:r>
      <w:proofErr w:type="gramStart"/>
      <w:r w:rsidRPr="00781112">
        <w:rPr>
          <w:color w:val="000000" w:themeColor="text1"/>
          <w:szCs w:val="16"/>
        </w:rPr>
        <w:t>be posted</w:t>
      </w:r>
      <w:proofErr w:type="gramEnd"/>
      <w:r w:rsidRPr="00781112">
        <w:rPr>
          <w:color w:val="000000" w:themeColor="text1"/>
          <w:szCs w:val="16"/>
        </w:rPr>
        <w:t xml:space="preserve"> on the website within 90 days. The current SPP/APRs are </w:t>
      </w:r>
      <w:proofErr w:type="gramStart"/>
      <w:r w:rsidRPr="00781112">
        <w:rPr>
          <w:color w:val="000000" w:themeColor="text1"/>
          <w:szCs w:val="16"/>
        </w:rPr>
        <w:t>generally posted</w:t>
      </w:r>
      <w:proofErr w:type="gramEnd"/>
      <w:r w:rsidRPr="00781112">
        <w:rPr>
          <w:color w:val="000000" w:themeColor="text1"/>
          <w:szCs w:val="16"/>
        </w:rPr>
        <w:t xml:space="preserve"> within 45 </w:t>
      </w:r>
      <w:r w:rsidRPr="00781112">
        <w:rPr>
          <w:color w:val="000000" w:themeColor="text1"/>
          <w:szCs w:val="16"/>
        </w:rPr>
        <w:lastRenderedPageBreak/>
        <w:t xml:space="preserve">days of the State's determination. The final report from the target setting process </w:t>
      </w:r>
      <w:proofErr w:type="gramStart"/>
      <w:r w:rsidRPr="00781112">
        <w:rPr>
          <w:color w:val="000000" w:themeColor="text1"/>
          <w:szCs w:val="16"/>
        </w:rPr>
        <w:t>is also posted</w:t>
      </w:r>
      <w:proofErr w:type="gramEnd"/>
      <w:r w:rsidRPr="00781112">
        <w:rPr>
          <w:color w:val="000000" w:themeColor="text1"/>
          <w:szCs w:val="16"/>
        </w:rPr>
        <w:t xml:space="preserve"> publicly at: https://wyominginstructionalnetwork.com/idea-special-education-resources/idea/spp-apr/stakeholder-input/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34FB353D" w:rsidR="00AF5649" w:rsidRPr="00781112" w:rsidRDefault="00AF5649" w:rsidP="004369B2">
      <w:pPr>
        <w:rPr>
          <w:b/>
          <w:color w:val="000000" w:themeColor="text1"/>
        </w:rPr>
      </w:pPr>
      <w:r w:rsidRPr="00781112">
        <w:rPr>
          <w:b/>
          <w:color w:val="000000" w:themeColor="text1"/>
        </w:rPr>
        <w:t>How and where the State reported to the public on the FFY 2020 performance of each LEA located in the State on the targets in the SPP/APR as soon as practicable, but no later than 120 days following the State’s submission of its FFY 2020 APR, as required by 34 CFR §300.602(b)(1)(i)(A); and a description of where, on its Web site, a complete copy of the State’s SPP/APR, including any revision if the State has revised the targets that it submitted with its FFY 2020 APR in 2022,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 xml:space="preserve">The Special Education Programs Division posts a current SPP online and notifies stakeholder groups of this posting. Copies of the SPP will also </w:t>
      </w:r>
      <w:proofErr w:type="gramStart"/>
      <w:r w:rsidRPr="00781112">
        <w:rPr>
          <w:rFonts w:cs="Arial"/>
          <w:color w:val="000000" w:themeColor="text1"/>
          <w:szCs w:val="16"/>
        </w:rPr>
        <w:t>be made</w:t>
      </w:r>
      <w:proofErr w:type="gramEnd"/>
      <w:r w:rsidRPr="00781112">
        <w:rPr>
          <w:rFonts w:cs="Arial"/>
          <w:color w:val="000000" w:themeColor="text1"/>
          <w:szCs w:val="16"/>
        </w:rPr>
        <w:t xml:space="preserve"> available to local education agencies, developmental preschool programs, and any individuals who request a hard copy. Also posted is 4 </w:t>
      </w:r>
      <w:proofErr w:type="gramStart"/>
      <w:r w:rsidRPr="00781112">
        <w:rPr>
          <w:rFonts w:cs="Arial"/>
          <w:color w:val="000000" w:themeColor="text1"/>
          <w:szCs w:val="16"/>
        </w:rPr>
        <w:t>years</w:t>
      </w:r>
      <w:proofErr w:type="gramEnd"/>
      <w:r w:rsidRPr="00781112">
        <w:rPr>
          <w:rFonts w:cs="Arial"/>
          <w:color w:val="000000" w:themeColor="text1"/>
          <w:szCs w:val="16"/>
        </w:rPr>
        <w:t xml:space="preserve"> worth of performance on the SPP indicators for each LEA. </w:t>
      </w:r>
      <w:r w:rsidRPr="00781112">
        <w:rPr>
          <w:rFonts w:cs="Arial"/>
          <w:color w:val="000000" w:themeColor="text1"/>
          <w:szCs w:val="16"/>
        </w:rPr>
        <w:br/>
      </w:r>
      <w:r w:rsidRPr="00781112">
        <w:rPr>
          <w:rFonts w:cs="Arial"/>
          <w:color w:val="000000" w:themeColor="text1"/>
          <w:szCs w:val="16"/>
        </w:rPr>
        <w:br/>
        <w:t>https://wyominginstructionalnetwork.com/spp-apr/</w:t>
      </w:r>
      <w:r w:rsidRPr="00781112">
        <w:rPr>
          <w:rFonts w:cs="Arial"/>
          <w:color w:val="000000" w:themeColor="text1"/>
          <w:szCs w:val="16"/>
        </w:rPr>
        <w:br/>
      </w:r>
      <w:r w:rsidRPr="00781112">
        <w:rPr>
          <w:rFonts w:cs="Arial"/>
          <w:color w:val="000000" w:themeColor="text1"/>
          <w:szCs w:val="16"/>
        </w:rPr>
        <w:br/>
        <w:t>In accordance with 20 U.S.C.1416(b)(C)(ii), the WDE will report annually to the public on the performance of each local educational agency and intermediate education unit on targets in the SPP. The WDE creates annual reports for each LEA. The reports are issued to each educational agency and posted on the Wyoming Instructional Network (WINWEB) website:</w:t>
      </w:r>
      <w:r w:rsidRPr="00781112">
        <w:rPr>
          <w:rFonts w:cs="Arial"/>
          <w:color w:val="000000" w:themeColor="text1"/>
          <w:szCs w:val="16"/>
        </w:rPr>
        <w:br/>
      </w:r>
      <w:r w:rsidRPr="00781112">
        <w:rPr>
          <w:rFonts w:cs="Arial"/>
          <w:color w:val="000000" w:themeColor="text1"/>
          <w:szCs w:val="16"/>
        </w:rPr>
        <w:br/>
        <w:t>https://wyominginstructionalnetwork.com/idea-special-education-resources/idea/spp-apr/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None</w:t>
      </w:r>
    </w:p>
    <w:p w14:paraId="6ECA4985" w14:textId="77777777" w:rsidR="008C56EE" w:rsidRPr="00781112" w:rsidRDefault="008C56EE" w:rsidP="000B4AA4">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 did not describe the mechanisms for soliciting broad stakeholder input on the State’s targets in the SPP/APR and subsequent revisions that the State made to those targets. Specifically, the State did not report a description of the activities conducted to increase the capacity of diverse groups of parents.</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has not provided a description of the activities conducted to increase the capacity of diverse groups of parents. In its FFY 2022 SPP/APR, the State must provide the required information.</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1"/>
      <w:bookmarkEnd w:id="2"/>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4"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 xml:space="preserve">Sampling </w:t>
      </w:r>
      <w:proofErr w:type="gramStart"/>
      <w:r w:rsidRPr="00781112">
        <w:rPr>
          <w:i/>
          <w:color w:val="000000" w:themeColor="text1"/>
        </w:rPr>
        <w:t>is not allowed</w:t>
      </w:r>
      <w:proofErr w:type="gramEnd"/>
      <w:r w:rsidRPr="00781112">
        <w:rPr>
          <w:i/>
          <w:color w:val="000000" w:themeColor="text1"/>
        </w:rPr>
        <w:t>.</w:t>
      </w:r>
    </w:p>
    <w:p w14:paraId="496A7DDE" w14:textId="60DA3384" w:rsidR="005F5514" w:rsidRPr="00781112" w:rsidRDefault="00815B9B" w:rsidP="003A6167">
      <w:pPr>
        <w:rPr>
          <w:rFonts w:cs="Arial"/>
          <w:color w:val="000000" w:themeColor="text1"/>
          <w:szCs w:val="16"/>
        </w:rPr>
      </w:pPr>
      <w:r w:rsidRPr="00781112">
        <w:t xml:space="preserve">Data for this indicator </w:t>
      </w:r>
      <w:proofErr w:type="gramStart"/>
      <w:r w:rsidRPr="00781112">
        <w:t>are</w:t>
      </w:r>
      <w:proofErr w:type="gramEnd"/>
      <w:r w:rsidRPr="00781112">
        <w:t xml:space="preserve"> “lag” data. </w:t>
      </w:r>
      <w:r w:rsidR="005F5514" w:rsidRPr="00781112">
        <w:rPr>
          <w:rFonts w:cs="Arial"/>
          <w:color w:val="000000" w:themeColor="text1"/>
          <w:szCs w:val="16"/>
        </w:rPr>
        <w:t xml:space="preserve">Describe the results of the State’s examination of the data for the year before the reporting year (e.g., for </w:t>
      </w:r>
      <w:r w:rsidR="007639D7">
        <w:rPr>
          <w:rFonts w:cs="Arial"/>
          <w:color w:val="000000" w:themeColor="text1"/>
          <w:szCs w:val="16"/>
        </w:rPr>
        <w:t>the FFY 2021 SPP/APR, use data from 2020-2021</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proofErr w:type="gramStart"/>
      <w:r w:rsidRPr="00781112">
        <w:t>Include</w:t>
      </w:r>
      <w:proofErr w:type="gramEnd"/>
      <w:r w:rsidRPr="00781112">
        <w:t xml:space="preserv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 xml:space="preserve">Provide a narrative that describes the conditions youth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If the conditions that youth with IEPs must meet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4"/>
    <w:p w14:paraId="7BB99CB8" w14:textId="1A60FDFA" w:rsidR="005E59DB" w:rsidRPr="00781112" w:rsidRDefault="005E59DB" w:rsidP="00B65C2C">
      <w:pPr>
        <w:rPr>
          <w:b/>
          <w:color w:val="000000" w:themeColor="text1"/>
        </w:rPr>
      </w:pPr>
      <w:r w:rsidRPr="00781112">
        <w:rPr>
          <w:b/>
          <w:color w:val="000000" w:themeColor="text1"/>
        </w:rPr>
        <w:t>Historical Data</w:t>
      </w:r>
      <w:r w:rsidR="00421B4F">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57.88%</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2020</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85.00%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64.00%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57.88%</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64.50%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61.08%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62.71%</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64.71%</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67.45%</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42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1"/>
        <w:gridCol w:w="1611"/>
        <w:gridCol w:w="1611"/>
        <w:gridCol w:w="1611"/>
        <w:gridCol w:w="1606"/>
      </w:tblGrid>
      <w:tr w:rsidR="00B14519" w:rsidRPr="00781112" w14:paraId="2AA1A231" w14:textId="4E09135F" w:rsidTr="00451D7E">
        <w:trPr>
          <w:trHeight w:val="366"/>
        </w:trPr>
        <w:tc>
          <w:tcPr>
            <w:tcW w:w="628" w:type="pct"/>
            <w:tcBorders>
              <w:bottom w:val="single" w:sz="4" w:space="0" w:color="auto"/>
            </w:tcBorders>
            <w:shd w:val="clear" w:color="auto" w:fill="auto"/>
          </w:tcPr>
          <w:p w14:paraId="40B33FED" w14:textId="77777777" w:rsidR="00B14519" w:rsidRPr="00781112" w:rsidRDefault="00B14519" w:rsidP="00373F78">
            <w:pPr>
              <w:jc w:val="center"/>
              <w:rPr>
                <w:b/>
                <w:color w:val="000000" w:themeColor="text1"/>
              </w:rPr>
            </w:pPr>
            <w:r w:rsidRPr="00781112">
              <w:rPr>
                <w:b/>
                <w:color w:val="000000" w:themeColor="text1"/>
              </w:rPr>
              <w:t>FFY</w:t>
            </w:r>
          </w:p>
        </w:tc>
        <w:tc>
          <w:tcPr>
            <w:tcW w:w="875" w:type="pct"/>
            <w:shd w:val="clear" w:color="auto" w:fill="auto"/>
          </w:tcPr>
          <w:p w14:paraId="71086D9D" w14:textId="38ED494E" w:rsidR="00B14519" w:rsidRPr="00781112" w:rsidRDefault="00B14519" w:rsidP="00373F78">
            <w:pPr>
              <w:jc w:val="center"/>
              <w:rPr>
                <w:b/>
                <w:color w:val="000000" w:themeColor="text1"/>
              </w:rPr>
            </w:pPr>
            <w:r w:rsidRPr="00781112">
              <w:rPr>
                <w:b/>
                <w:color w:val="000000" w:themeColor="text1"/>
              </w:rPr>
              <w:t>2021</w:t>
            </w:r>
          </w:p>
        </w:tc>
        <w:tc>
          <w:tcPr>
            <w:tcW w:w="875" w:type="pct"/>
          </w:tcPr>
          <w:p w14:paraId="4D39066B" w14:textId="301F6A49" w:rsidR="00B14519" w:rsidRPr="00781112" w:rsidRDefault="00B14519" w:rsidP="00373F78">
            <w:pPr>
              <w:jc w:val="center"/>
              <w:rPr>
                <w:b/>
                <w:color w:val="000000" w:themeColor="text1"/>
              </w:rPr>
            </w:pPr>
            <w:r w:rsidRPr="00781112">
              <w:rPr>
                <w:rFonts w:cs="Arial"/>
                <w:b/>
                <w:color w:val="000000" w:themeColor="text1"/>
                <w:szCs w:val="16"/>
              </w:rPr>
              <w:t>2022</w:t>
            </w:r>
          </w:p>
        </w:tc>
        <w:tc>
          <w:tcPr>
            <w:tcW w:w="875" w:type="pct"/>
          </w:tcPr>
          <w:p w14:paraId="1FB807B9" w14:textId="403D43E4" w:rsidR="00B14519" w:rsidRPr="00781112" w:rsidRDefault="00B14519" w:rsidP="00373F78">
            <w:pPr>
              <w:jc w:val="center"/>
              <w:rPr>
                <w:b/>
                <w:color w:val="000000" w:themeColor="text1"/>
              </w:rPr>
            </w:pPr>
            <w:r w:rsidRPr="00781112">
              <w:rPr>
                <w:rFonts w:cs="Arial"/>
                <w:b/>
                <w:color w:val="000000" w:themeColor="text1"/>
                <w:szCs w:val="16"/>
              </w:rPr>
              <w:t>2023</w:t>
            </w:r>
          </w:p>
        </w:tc>
        <w:tc>
          <w:tcPr>
            <w:tcW w:w="875" w:type="pct"/>
          </w:tcPr>
          <w:p w14:paraId="720CF74E" w14:textId="096265B6" w:rsidR="00B14519" w:rsidRPr="00781112" w:rsidRDefault="00B14519" w:rsidP="00373F78">
            <w:pPr>
              <w:jc w:val="center"/>
              <w:rPr>
                <w:b/>
                <w:color w:val="000000" w:themeColor="text1"/>
              </w:rPr>
            </w:pPr>
            <w:r w:rsidRPr="00781112">
              <w:rPr>
                <w:rFonts w:cs="Arial"/>
                <w:b/>
                <w:color w:val="000000" w:themeColor="text1"/>
                <w:szCs w:val="16"/>
              </w:rPr>
              <w:t>2024</w:t>
            </w:r>
          </w:p>
        </w:tc>
        <w:tc>
          <w:tcPr>
            <w:tcW w:w="874" w:type="pct"/>
          </w:tcPr>
          <w:p w14:paraId="767866E4" w14:textId="1EE4AF77"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30C65E4A" w14:textId="7AB118F2" w:rsidTr="00451D7E">
        <w:trPr>
          <w:trHeight w:val="374"/>
        </w:trPr>
        <w:tc>
          <w:tcPr>
            <w:tcW w:w="628" w:type="pct"/>
            <w:shd w:val="clear" w:color="auto" w:fill="auto"/>
            <w:vAlign w:val="center"/>
          </w:tcPr>
          <w:p w14:paraId="15D80559" w14:textId="5A8166E8" w:rsidR="00B14519" w:rsidRPr="00781112" w:rsidRDefault="00B14519" w:rsidP="00373F78">
            <w:pPr>
              <w:rPr>
                <w:rFonts w:cs="Arial"/>
                <w:color w:val="000000" w:themeColor="text1"/>
                <w:szCs w:val="16"/>
              </w:rPr>
            </w:pPr>
            <w:r w:rsidRPr="00781112">
              <w:rPr>
                <w:rFonts w:cs="Arial"/>
                <w:color w:val="000000" w:themeColor="text1"/>
                <w:szCs w:val="16"/>
              </w:rPr>
              <w:t>Target &gt;=</w:t>
            </w:r>
          </w:p>
        </w:tc>
        <w:tc>
          <w:tcPr>
            <w:tcW w:w="875" w:type="pct"/>
            <w:shd w:val="clear" w:color="auto" w:fill="auto"/>
            <w:vAlign w:val="center"/>
          </w:tcPr>
          <w:p w14:paraId="5C1E2097" w14:textId="7100F4DF" w:rsidR="00B14519" w:rsidRPr="00781112" w:rsidRDefault="00B14519" w:rsidP="00373F78">
            <w:pPr>
              <w:jc w:val="center"/>
              <w:rPr>
                <w:rFonts w:cs="Arial"/>
                <w:color w:val="000000" w:themeColor="text1"/>
                <w:szCs w:val="16"/>
              </w:rPr>
            </w:pPr>
            <w:r w:rsidRPr="00781112">
              <w:rPr>
                <w:rFonts w:cs="Arial"/>
                <w:color w:val="000000" w:themeColor="text1"/>
                <w:szCs w:val="16"/>
              </w:rPr>
              <w:t>57.88%</w:t>
            </w:r>
          </w:p>
        </w:tc>
        <w:tc>
          <w:tcPr>
            <w:tcW w:w="875" w:type="pct"/>
          </w:tcPr>
          <w:p w14:paraId="7717027B" w14:textId="1C4C1650" w:rsidR="00B14519" w:rsidRPr="00781112" w:rsidRDefault="00B14519" w:rsidP="00373F78">
            <w:pPr>
              <w:jc w:val="center"/>
              <w:rPr>
                <w:rFonts w:cs="Arial"/>
                <w:color w:val="000000" w:themeColor="text1"/>
                <w:szCs w:val="16"/>
              </w:rPr>
            </w:pPr>
            <w:r w:rsidRPr="00781112">
              <w:rPr>
                <w:color w:val="000000" w:themeColor="text1"/>
                <w:szCs w:val="16"/>
              </w:rPr>
              <w:t>58.21%</w:t>
            </w:r>
          </w:p>
        </w:tc>
        <w:tc>
          <w:tcPr>
            <w:tcW w:w="875" w:type="pct"/>
          </w:tcPr>
          <w:p w14:paraId="48C73194" w14:textId="78C93C75" w:rsidR="00B14519" w:rsidRPr="00781112" w:rsidRDefault="00B14519" w:rsidP="00373F78">
            <w:pPr>
              <w:jc w:val="center"/>
              <w:rPr>
                <w:rFonts w:cs="Arial"/>
                <w:color w:val="000000" w:themeColor="text1"/>
                <w:szCs w:val="16"/>
              </w:rPr>
            </w:pPr>
            <w:r w:rsidRPr="00781112">
              <w:rPr>
                <w:color w:val="000000" w:themeColor="text1"/>
                <w:szCs w:val="16"/>
              </w:rPr>
              <w:t>58.98%</w:t>
            </w:r>
          </w:p>
        </w:tc>
        <w:tc>
          <w:tcPr>
            <w:tcW w:w="875" w:type="pct"/>
          </w:tcPr>
          <w:p w14:paraId="1CC5CF36" w14:textId="47158C2B" w:rsidR="00B14519" w:rsidRPr="00781112" w:rsidRDefault="00B14519" w:rsidP="00373F78">
            <w:pPr>
              <w:jc w:val="center"/>
              <w:rPr>
                <w:rFonts w:cs="Arial"/>
                <w:color w:val="000000" w:themeColor="text1"/>
                <w:szCs w:val="16"/>
              </w:rPr>
            </w:pPr>
            <w:r w:rsidRPr="00781112">
              <w:rPr>
                <w:color w:val="000000" w:themeColor="text1"/>
                <w:szCs w:val="16"/>
              </w:rPr>
              <w:t>59.40%</w:t>
            </w:r>
          </w:p>
        </w:tc>
        <w:tc>
          <w:tcPr>
            <w:tcW w:w="874" w:type="pct"/>
          </w:tcPr>
          <w:p w14:paraId="6BAB194A" w14:textId="42E53978" w:rsidR="00B14519" w:rsidRPr="00781112" w:rsidRDefault="00B14519" w:rsidP="00373F78">
            <w:pPr>
              <w:jc w:val="center"/>
              <w:rPr>
                <w:rFonts w:cs="Arial"/>
                <w:color w:val="000000" w:themeColor="text1"/>
                <w:szCs w:val="16"/>
              </w:rPr>
            </w:pPr>
            <w:r w:rsidRPr="00781112">
              <w:rPr>
                <w:color w:val="000000" w:themeColor="text1"/>
                <w:szCs w:val="16"/>
              </w:rPr>
              <w:t>62.50%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6F475956" w14:textId="6AAE3895" w:rsidR="000C24C2" w:rsidRPr="00781112" w:rsidRDefault="000C24C2" w:rsidP="001011BB">
      <w:pPr>
        <w:rPr>
          <w:rFonts w:cs="Arial"/>
          <w:color w:val="000000" w:themeColor="text1"/>
          <w:szCs w:val="16"/>
        </w:rPr>
      </w:pP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497</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71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30</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05/25/2022</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289</w:t>
            </w:r>
          </w:p>
        </w:tc>
      </w:tr>
    </w:tbl>
    <w:p w14:paraId="0D2CDC7B" w14:textId="77777777" w:rsidR="00654A4B" w:rsidRPr="00781112" w:rsidRDefault="00654A4B" w:rsidP="00B65C2C">
      <w:pPr>
        <w:rPr>
          <w:color w:val="000000" w:themeColor="text1"/>
        </w:rPr>
      </w:pPr>
    </w:p>
    <w:p w14:paraId="7939D078" w14:textId="460D13CB" w:rsidR="00995737" w:rsidRPr="00781112" w:rsidRDefault="0047313F" w:rsidP="00C74928">
      <w:pPr>
        <w:keepNext/>
        <w:rPr>
          <w:b/>
          <w:bCs/>
          <w:color w:val="000000" w:themeColor="text1"/>
        </w:rPr>
      </w:pPr>
      <w:r>
        <w:rPr>
          <w:b/>
          <w:bCs/>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502"/>
        <w:gridCol w:w="1688"/>
        <w:gridCol w:w="1344"/>
        <w:gridCol w:w="2022"/>
        <w:gridCol w:w="1208"/>
        <w:gridCol w:w="1539"/>
        <w:gridCol w:w="1487"/>
      </w:tblGrid>
      <w:tr w:rsidR="0047313F" w:rsidRPr="00781112" w14:paraId="02722994" w14:textId="4BCF686A" w:rsidTr="0047313F">
        <w:trPr>
          <w:trHeight w:val="333"/>
          <w:tblHeader/>
        </w:trPr>
        <w:tc>
          <w:tcPr>
            <w:tcW w:w="696" w:type="pct"/>
            <w:shd w:val="clear" w:color="auto" w:fill="auto"/>
            <w:vAlign w:val="bottom"/>
          </w:tcPr>
          <w:p w14:paraId="272BBF68" w14:textId="161B6D1A"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782" w:type="pct"/>
            <w:shd w:val="clear" w:color="auto" w:fill="auto"/>
            <w:vAlign w:val="bottom"/>
          </w:tcPr>
          <w:p w14:paraId="055EF61F" w14:textId="6ADAF307" w:rsidR="0047313F" w:rsidRPr="00781112" w:rsidRDefault="0047313F" w:rsidP="0047313F">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623" w:type="pct"/>
            <w:shd w:val="clear" w:color="auto" w:fill="auto"/>
            <w:vAlign w:val="bottom"/>
          </w:tcPr>
          <w:p w14:paraId="74998318" w14:textId="7EBD313A" w:rsidR="0047313F" w:rsidRPr="00073BD7" w:rsidRDefault="0047313F" w:rsidP="0047313F">
            <w:pPr>
              <w:spacing w:after="0"/>
              <w:jc w:val="center"/>
              <w:rPr>
                <w:rFonts w:cs="Arial"/>
                <w:b/>
                <w:bCs/>
                <w:color w:val="000000" w:themeColor="text1"/>
                <w:szCs w:val="16"/>
              </w:rPr>
            </w:pPr>
            <w:r w:rsidRPr="00073BD7">
              <w:rPr>
                <w:b/>
                <w:bCs/>
              </w:rPr>
              <w:t>FFY 2020 Data</w:t>
            </w:r>
          </w:p>
        </w:tc>
        <w:tc>
          <w:tcPr>
            <w:tcW w:w="937" w:type="pct"/>
            <w:shd w:val="clear" w:color="auto" w:fill="auto"/>
            <w:vAlign w:val="bottom"/>
          </w:tcPr>
          <w:p w14:paraId="5A1C61A6" w14:textId="3B168025" w:rsidR="0047313F" w:rsidRPr="00073BD7" w:rsidRDefault="0047313F" w:rsidP="0047313F">
            <w:pPr>
              <w:spacing w:after="0"/>
              <w:jc w:val="center"/>
              <w:rPr>
                <w:rFonts w:cs="Arial"/>
                <w:b/>
                <w:bCs/>
                <w:color w:val="000000" w:themeColor="text1"/>
                <w:szCs w:val="16"/>
              </w:rPr>
            </w:pPr>
            <w:r w:rsidRPr="00073BD7">
              <w:rPr>
                <w:b/>
                <w:bCs/>
              </w:rPr>
              <w:t>FFY 2021 Target</w:t>
            </w:r>
          </w:p>
        </w:tc>
        <w:tc>
          <w:tcPr>
            <w:tcW w:w="560" w:type="pct"/>
            <w:shd w:val="clear" w:color="auto" w:fill="auto"/>
            <w:vAlign w:val="bottom"/>
          </w:tcPr>
          <w:p w14:paraId="51DD5A1B" w14:textId="693EF1DE" w:rsidR="0047313F" w:rsidRPr="00073BD7" w:rsidRDefault="0047313F" w:rsidP="0047313F">
            <w:pPr>
              <w:spacing w:after="0"/>
              <w:jc w:val="center"/>
              <w:rPr>
                <w:rFonts w:cs="Arial"/>
                <w:b/>
                <w:bCs/>
                <w:color w:val="000000" w:themeColor="text1"/>
                <w:szCs w:val="16"/>
              </w:rPr>
            </w:pPr>
            <w:r w:rsidRPr="00073BD7">
              <w:rPr>
                <w:b/>
                <w:bCs/>
              </w:rPr>
              <w:t>FFY 2021 Data</w:t>
            </w:r>
          </w:p>
        </w:tc>
        <w:tc>
          <w:tcPr>
            <w:tcW w:w="713" w:type="pct"/>
            <w:shd w:val="clear" w:color="auto" w:fill="auto"/>
            <w:vAlign w:val="bottom"/>
          </w:tcPr>
          <w:p w14:paraId="23C86FAA" w14:textId="7FC8D54B"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Status</w:t>
            </w:r>
          </w:p>
        </w:tc>
        <w:tc>
          <w:tcPr>
            <w:tcW w:w="690" w:type="pct"/>
            <w:shd w:val="clear" w:color="auto" w:fill="auto"/>
            <w:vAlign w:val="bottom"/>
          </w:tcPr>
          <w:p w14:paraId="6EE58552" w14:textId="4AA8F220" w:rsidR="0047313F" w:rsidRPr="00781112" w:rsidRDefault="0047313F" w:rsidP="0047313F">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7313F">
        <w:trPr>
          <w:trHeight w:val="340"/>
        </w:trPr>
        <w:tc>
          <w:tcPr>
            <w:tcW w:w="696"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497</w:t>
            </w:r>
          </w:p>
        </w:tc>
        <w:tc>
          <w:tcPr>
            <w:tcW w:w="782"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887</w:t>
            </w:r>
          </w:p>
        </w:tc>
        <w:tc>
          <w:tcPr>
            <w:tcW w:w="623"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67.45%</w:t>
            </w:r>
          </w:p>
        </w:tc>
        <w:tc>
          <w:tcPr>
            <w:tcW w:w="937"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57.88%</w:t>
            </w:r>
          </w:p>
        </w:tc>
        <w:tc>
          <w:tcPr>
            <w:tcW w:w="560"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56.03%</w:t>
            </w:r>
          </w:p>
        </w:tc>
        <w:tc>
          <w:tcPr>
            <w:tcW w:w="713"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90"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68A148EF" w14:textId="201EE2DF" w:rsidR="00120808" w:rsidRPr="00781112" w:rsidRDefault="00120808" w:rsidP="004369B2">
      <w:pPr>
        <w:rPr>
          <w:b/>
          <w:color w:val="000000" w:themeColor="text1"/>
        </w:rPr>
      </w:pPr>
      <w:r w:rsidRPr="00781112">
        <w:rPr>
          <w:b/>
          <w:color w:val="000000" w:themeColor="text1"/>
        </w:rPr>
        <w:t>Provide reasons for slippage, if applicable</w:t>
      </w:r>
    </w:p>
    <w:p w14:paraId="57093C7C" w14:textId="103154AB" w:rsidR="002D145D" w:rsidRPr="00781112" w:rsidRDefault="002B7490" w:rsidP="00AD3C71">
      <w:pPr>
        <w:rPr>
          <w:rFonts w:cs="Arial"/>
          <w:color w:val="000000" w:themeColor="text1"/>
          <w:szCs w:val="16"/>
        </w:rPr>
      </w:pPr>
      <w:r w:rsidRPr="00781112">
        <w:rPr>
          <w:rFonts w:cs="Arial"/>
          <w:color w:val="000000" w:themeColor="text1"/>
          <w:szCs w:val="16"/>
        </w:rPr>
        <w:t xml:space="preserve">As mentioned in the FFY2020 APR, the FFY2020 data point, which is the first "COVID" year (based on 2019-20 data), </w:t>
      </w:r>
      <w:proofErr w:type="gramStart"/>
      <w:r w:rsidRPr="00781112">
        <w:rPr>
          <w:rFonts w:cs="Arial"/>
          <w:color w:val="000000" w:themeColor="text1"/>
          <w:szCs w:val="16"/>
        </w:rPr>
        <w:t>was unusually high compared</w:t>
      </w:r>
      <w:proofErr w:type="gramEnd"/>
      <w:r w:rsidRPr="00781112">
        <w:rPr>
          <w:rFonts w:cs="Arial"/>
          <w:color w:val="000000" w:themeColor="text1"/>
          <w:szCs w:val="16"/>
        </w:rPr>
        <w:t xml:space="preserve"> to previous years and thus believed to be an anomaly. The FFY2021 data point of 56.03% is more in line with previous years' calculations based on EDFacts file FS009. (Note that the data points provided in the above </w:t>
      </w:r>
      <w:proofErr w:type="gramStart"/>
      <w:r w:rsidRPr="00781112">
        <w:rPr>
          <w:rFonts w:cs="Arial"/>
          <w:color w:val="000000" w:themeColor="text1"/>
          <w:szCs w:val="16"/>
        </w:rPr>
        <w:t>over time</w:t>
      </w:r>
      <w:proofErr w:type="gramEnd"/>
      <w:r w:rsidRPr="00781112">
        <w:rPr>
          <w:rFonts w:cs="Arial"/>
          <w:color w:val="000000" w:themeColor="text1"/>
          <w:szCs w:val="16"/>
        </w:rPr>
        <w:t xml:space="preserve"> data table for years FFY2016 through FFY2019 are based on the adjusted cohort 4-year calculation.) </w:t>
      </w:r>
      <w:r w:rsidRPr="00781112">
        <w:rPr>
          <w:rFonts w:cs="Arial"/>
          <w:color w:val="000000" w:themeColor="text1"/>
          <w:szCs w:val="16"/>
        </w:rPr>
        <w:br/>
      </w:r>
      <w:r w:rsidRPr="00781112">
        <w:rPr>
          <w:rFonts w:cs="Arial"/>
          <w:color w:val="000000" w:themeColor="text1"/>
          <w:szCs w:val="16"/>
        </w:rPr>
        <w:br/>
        <w:t>Although the slippage might be an artifact of the FFY2020 graduation rate being unusually high, the WDE still examined the FFY2021 graduation rate data</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Not surprisingly, the decrease in graduation rate of almost </w:t>
      </w:r>
      <w:proofErr w:type="gramStart"/>
      <w:r w:rsidRPr="00781112">
        <w:rPr>
          <w:rFonts w:cs="Arial"/>
          <w:color w:val="000000" w:themeColor="text1"/>
          <w:szCs w:val="16"/>
        </w:rPr>
        <w:t>11</w:t>
      </w:r>
      <w:proofErr w:type="gramEnd"/>
      <w:r w:rsidRPr="00781112">
        <w:rPr>
          <w:rFonts w:cs="Arial"/>
          <w:color w:val="000000" w:themeColor="text1"/>
          <w:szCs w:val="16"/>
        </w:rPr>
        <w:t xml:space="preserve"> percentage points corresponded to an increase in the drop-out rate of about 11 percentage points.  WDE also examined the data by district (26 of the </w:t>
      </w:r>
      <w:proofErr w:type="gramStart"/>
      <w:r w:rsidRPr="00781112">
        <w:rPr>
          <w:rFonts w:cs="Arial"/>
          <w:color w:val="000000" w:themeColor="text1"/>
          <w:szCs w:val="16"/>
        </w:rPr>
        <w:t>48</w:t>
      </w:r>
      <w:proofErr w:type="gramEnd"/>
      <w:r w:rsidRPr="00781112">
        <w:rPr>
          <w:rFonts w:cs="Arial"/>
          <w:color w:val="000000" w:themeColor="text1"/>
          <w:szCs w:val="16"/>
        </w:rPr>
        <w:t xml:space="preserve"> districts experienced a decrease in their graduation rate) and by various demographic/program characteristics. In addition, in October 2022, districts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with disaggregated reports of their graduation data by gender, disability, placement, etc. so that the districts could identify for which subgroups they saw a decrease in graduation rates over time and areas of potential improvements in their data. In examining the data statewide, the decrease in graduation occurred across various groups -- gender, race/ethnicity, primary disability, and environment; the WDE was unable to pinpoint a particular group of students for which graduation rates decreased; thus, districts </w:t>
      </w:r>
      <w:proofErr w:type="gramStart"/>
      <w:r w:rsidRPr="00781112">
        <w:rPr>
          <w:rFonts w:cs="Arial"/>
          <w:color w:val="000000" w:themeColor="text1"/>
          <w:szCs w:val="16"/>
        </w:rPr>
        <w:t>were encouraged</w:t>
      </w:r>
      <w:proofErr w:type="gramEnd"/>
      <w:r w:rsidRPr="00781112">
        <w:rPr>
          <w:rFonts w:cs="Arial"/>
          <w:color w:val="000000" w:themeColor="text1"/>
          <w:szCs w:val="16"/>
        </w:rPr>
        <w:t xml:space="preserve"> to do their own similar drill-down. </w:t>
      </w:r>
    </w:p>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w:t>
      </w:r>
      <w:proofErr w:type="gramStart"/>
      <w:r w:rsidRPr="00781112">
        <w:rPr>
          <w:rFonts w:cs="Arial"/>
          <w:b/>
          <w:color w:val="000000" w:themeColor="text1"/>
          <w:szCs w:val="16"/>
        </w:rPr>
        <w:t>in order to</w:t>
      </w:r>
      <w:proofErr w:type="gramEnd"/>
      <w:r w:rsidRPr="00781112">
        <w:rPr>
          <w:rFonts w:cs="Arial"/>
          <w:b/>
          <w:color w:val="000000" w:themeColor="text1"/>
          <w:szCs w:val="16"/>
        </w:rPr>
        <w:t xml:space="preserve">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requirements for earning a high school diploma from any school district in the State of Wyoming are as follows:</w:t>
      </w:r>
      <w:r w:rsidRPr="00781112">
        <w:rPr>
          <w:rFonts w:cs="Arial"/>
          <w:color w:val="000000" w:themeColor="text1"/>
          <w:szCs w:val="16"/>
        </w:rPr>
        <w:br/>
        <w:t xml:space="preserve"> •</w:t>
      </w:r>
      <w:r w:rsidRPr="00781112">
        <w:rPr>
          <w:rFonts w:cs="Arial"/>
          <w:color w:val="000000" w:themeColor="text1"/>
          <w:szCs w:val="16"/>
        </w:rPr>
        <w:tab/>
        <w:t xml:space="preserve">The successful completion of four years of English; three years of mathematics; three years of science; three years of social studies. [W.S. §21-2-304(a) (iii)] </w:t>
      </w:r>
      <w:r w:rsidRPr="00781112">
        <w:rPr>
          <w:rFonts w:cs="Arial"/>
          <w:color w:val="000000" w:themeColor="text1"/>
          <w:szCs w:val="16"/>
        </w:rPr>
        <w:br/>
        <w:t>•</w:t>
      </w:r>
      <w:r w:rsidRPr="00781112">
        <w:rPr>
          <w:rFonts w:cs="Arial"/>
          <w:color w:val="000000" w:themeColor="text1"/>
          <w:szCs w:val="16"/>
        </w:rPr>
        <w:tab/>
        <w:t xml:space="preserve">Satisfactorily passing an examination of the principles of the Constitution of the United States and the State of Wyoming. (W.S. §21-9-102) </w:t>
      </w:r>
      <w:r w:rsidRPr="00781112">
        <w:rPr>
          <w:rFonts w:cs="Arial"/>
          <w:color w:val="000000" w:themeColor="text1"/>
          <w:szCs w:val="16"/>
        </w:rPr>
        <w:br/>
        <w:t>•</w:t>
      </w:r>
      <w:r w:rsidRPr="00781112">
        <w:rPr>
          <w:rFonts w:cs="Arial"/>
          <w:color w:val="000000" w:themeColor="text1"/>
          <w:szCs w:val="16"/>
        </w:rPr>
        <w:tab/>
        <w:t xml:space="preserve">Evidence of proficient performance, at a minimum, on the uniform student conduct and performance standards for the common core of knowledge and skills. [W.S. 21-2-304(a)(iii) and (iv)] </w:t>
      </w:r>
      <w:r w:rsidRPr="00781112">
        <w:rPr>
          <w:rFonts w:cs="Arial"/>
          <w:color w:val="000000" w:themeColor="text1"/>
          <w:szCs w:val="16"/>
        </w:rPr>
        <w:br/>
      </w:r>
      <w:r w:rsidRPr="00781112">
        <w:rPr>
          <w:rFonts w:cs="Arial"/>
          <w:color w:val="000000" w:themeColor="text1"/>
          <w:szCs w:val="16"/>
        </w:rPr>
        <w:br/>
        <w:t>Upon the completion of these requirements, a student receives a regular diploma with one of the following endorsements stated on the student’s transcript: Advanced Endorsement; Comprehensive Endorsement; or General Endorsement. Beginning with students graduating in 2006 and thereafter, each student must demonstrate proficient performance on five out of the nine content and performance standards for language arts, mathematics, science, social studies, health, physical education, foreign language, career/vocational education and fine and performing arts.</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D145D" w:rsidP="000E33D0">
      <w:pPr>
        <w:rPr>
          <w:rFonts w:cs="Arial"/>
          <w:color w:val="000000" w:themeColor="text1"/>
          <w:szCs w:val="16"/>
        </w:rPr>
      </w:pPr>
    </w:p>
    <w:p w14:paraId="7D2A5658" w14:textId="39995CE7" w:rsidR="000C60E1" w:rsidRPr="00781112" w:rsidRDefault="00B0742B" w:rsidP="008645AD">
      <w:pPr>
        <w:pStyle w:val="Heading2"/>
      </w:pPr>
      <w:bookmarkStart w:id="6"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D145D" w:rsidP="001F692C">
      <w:pPr>
        <w:rPr>
          <w:rFonts w:cs="Arial"/>
          <w:color w:val="000000" w:themeColor="text1"/>
          <w:szCs w:val="16"/>
        </w:rPr>
      </w:pPr>
    </w:p>
    <w:p w14:paraId="5F7376D0" w14:textId="1C114A8A" w:rsidR="004C462E" w:rsidRPr="00781112" w:rsidRDefault="00B0742B" w:rsidP="008645AD">
      <w:pPr>
        <w:pStyle w:val="Heading2"/>
      </w:pPr>
      <w:bookmarkStart w:id="7" w:name="_Hlk21352084"/>
      <w:r w:rsidRPr="00781112">
        <w:t xml:space="preserve">1 - </w:t>
      </w:r>
      <w:bookmarkEnd w:id="7"/>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8"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6"/>
      <w:bookmarkEnd w:id="8"/>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135DFB11" w14:textId="77777777" w:rsidR="00820751" w:rsidRPr="00651E83" w:rsidRDefault="00820751" w:rsidP="00820751">
      <w:pPr>
        <w:pStyle w:val="Subhed"/>
      </w:pPr>
      <w:bookmarkStart w:id="9" w:name="_Toc392159263"/>
      <w:r w:rsidRPr="00651E83">
        <w:t xml:space="preserve">Monitoring Priority: </w:t>
      </w:r>
      <w:r w:rsidRPr="004A6DE5">
        <w:rPr>
          <w:b w:val="0"/>
        </w:rPr>
        <w:t>FAPE in the LRE</w:t>
      </w:r>
    </w:p>
    <w:p w14:paraId="1775856F" w14:textId="77777777" w:rsidR="00820751" w:rsidRPr="00651E83" w:rsidRDefault="00820751" w:rsidP="00820751">
      <w:pPr>
        <w:rPr>
          <w:rFonts w:cs="Arial"/>
          <w:szCs w:val="16"/>
        </w:rPr>
      </w:pPr>
      <w:r w:rsidRPr="00DC263A">
        <w:rPr>
          <w:rFonts w:cs="Arial"/>
          <w:b/>
          <w:szCs w:val="16"/>
        </w:rPr>
        <w:t>Results indicator</w:t>
      </w:r>
      <w:r w:rsidRPr="00651E83">
        <w:rPr>
          <w:rFonts w:cs="Arial"/>
          <w:szCs w:val="16"/>
        </w:rPr>
        <w:t>: Percent of youth with IEPs</w:t>
      </w:r>
      <w:r>
        <w:rPr>
          <w:rFonts w:cs="Arial"/>
          <w:szCs w:val="16"/>
        </w:rPr>
        <w:t xml:space="preserve"> who exited special education due to</w:t>
      </w:r>
      <w:r w:rsidRPr="00651E83">
        <w:rPr>
          <w:rFonts w:cs="Arial"/>
          <w:szCs w:val="16"/>
        </w:rPr>
        <w:t xml:space="preserve"> dropping out. (20 U.S.C. 1416 (a)(3)(A))</w:t>
      </w:r>
    </w:p>
    <w:p w14:paraId="128CA707" w14:textId="77777777" w:rsidR="00820751" w:rsidRPr="00651E83" w:rsidRDefault="00820751" w:rsidP="00820751">
      <w:pPr>
        <w:pStyle w:val="Subhed"/>
      </w:pPr>
      <w:r w:rsidRPr="00651E83">
        <w:t>Data Source</w:t>
      </w:r>
    </w:p>
    <w:p w14:paraId="38F077C2" w14:textId="77777777" w:rsidR="00820751" w:rsidRPr="00651E83" w:rsidRDefault="00820751" w:rsidP="00820751">
      <w:pPr>
        <w:rPr>
          <w:rFonts w:cs="Arial"/>
          <w:szCs w:val="16"/>
        </w:rPr>
      </w:pPr>
      <w:bookmarkStart w:id="10" w:name="_Hlk51055176"/>
      <w:r w:rsidRPr="00651E83">
        <w:rPr>
          <w:rFonts w:cs="Arial"/>
          <w:szCs w:val="16"/>
        </w:rPr>
        <w:t>Same data as used for reporting to the Department under section 618 of the Individuals with Disabilities Education Act (IDEA), using the definitions in EDFacts file specification FS009.</w:t>
      </w:r>
    </w:p>
    <w:bookmarkEnd w:id="10"/>
    <w:p w14:paraId="7C2F1A80" w14:textId="77777777" w:rsidR="00820751" w:rsidRPr="00651E83" w:rsidRDefault="00820751" w:rsidP="00820751">
      <w:pPr>
        <w:rPr>
          <w:rFonts w:cs="Arial"/>
          <w:szCs w:val="16"/>
        </w:rPr>
      </w:pPr>
      <w:r w:rsidRPr="00651E83">
        <w:rPr>
          <w:rFonts w:cs="Arial"/>
          <w:szCs w:val="16"/>
        </w:rPr>
        <w:t xml:space="preserve">Use same data source and measurement that the State used to report in its FFY 2010 SPP/APR that </w:t>
      </w:r>
      <w:proofErr w:type="gramStart"/>
      <w:r w:rsidRPr="00651E83">
        <w:rPr>
          <w:rFonts w:cs="Arial"/>
          <w:szCs w:val="16"/>
        </w:rPr>
        <w:t>was submitted</w:t>
      </w:r>
      <w:proofErr w:type="gramEnd"/>
      <w:r w:rsidRPr="00651E83">
        <w:rPr>
          <w:rFonts w:cs="Arial"/>
          <w:szCs w:val="16"/>
        </w:rPr>
        <w:t xml:space="preserve"> on February 1, 2012.</w:t>
      </w:r>
    </w:p>
    <w:p w14:paraId="36189637" w14:textId="77777777" w:rsidR="00820751" w:rsidRPr="00651E83" w:rsidRDefault="00820751" w:rsidP="00820751">
      <w:pPr>
        <w:pStyle w:val="Subhed"/>
      </w:pPr>
      <w:r w:rsidRPr="00651E83">
        <w:t>Measurement</w:t>
      </w:r>
    </w:p>
    <w:p w14:paraId="68477D3E" w14:textId="77777777" w:rsidR="00820751" w:rsidRPr="00651E83" w:rsidRDefault="00820751" w:rsidP="00820751">
      <w:pPr>
        <w:rPr>
          <w:rFonts w:cs="Arial"/>
          <w:szCs w:val="16"/>
        </w:rPr>
      </w:pPr>
      <w:r w:rsidRPr="00651E83">
        <w:rPr>
          <w:rFonts w:cs="Arial"/>
          <w:szCs w:val="16"/>
        </w:rPr>
        <w:t xml:space="preserve">States must report a percentage using the number of </w:t>
      </w:r>
      <w:proofErr w:type="gramStart"/>
      <w:r w:rsidRPr="00651E83">
        <w:rPr>
          <w:rFonts w:cs="Arial"/>
          <w:szCs w:val="16"/>
        </w:rPr>
        <w:t>youth</w:t>
      </w:r>
      <w:proofErr w:type="gramEnd"/>
      <w:r w:rsidRPr="00651E83">
        <w:rPr>
          <w:rFonts w:cs="Arial"/>
          <w:szCs w:val="16"/>
        </w:rPr>
        <w:t xml:space="preserve"> with IEPs (ages 14-21) who exited special education due to dropping out in the numerator and the number of all youth with IEPs who exited special education (ages 14-21) in the denominator.</w:t>
      </w:r>
    </w:p>
    <w:p w14:paraId="199C9562" w14:textId="77777777" w:rsidR="00820751" w:rsidRPr="00651E83" w:rsidRDefault="00820751" w:rsidP="00820751">
      <w:pPr>
        <w:pStyle w:val="Subhed"/>
      </w:pPr>
      <w:r w:rsidRPr="00651E83">
        <w:t>Instructions</w:t>
      </w:r>
    </w:p>
    <w:p w14:paraId="271B8C9F" w14:textId="77777777" w:rsidR="00820751" w:rsidRPr="00FE4C6C" w:rsidRDefault="00820751" w:rsidP="00820751">
      <w:pPr>
        <w:rPr>
          <w:rFonts w:cs="Arial"/>
          <w:i/>
          <w:iCs/>
          <w:szCs w:val="16"/>
        </w:rPr>
      </w:pPr>
      <w:r w:rsidRPr="00FE4C6C">
        <w:rPr>
          <w:rFonts w:cs="Arial"/>
          <w:i/>
          <w:iCs/>
          <w:szCs w:val="16"/>
        </w:rPr>
        <w:t xml:space="preserve">Sampling </w:t>
      </w:r>
      <w:proofErr w:type="gramStart"/>
      <w:r w:rsidRPr="00FE4C6C">
        <w:rPr>
          <w:rFonts w:cs="Arial"/>
          <w:i/>
          <w:iCs/>
          <w:szCs w:val="16"/>
        </w:rPr>
        <w:t>is not allowed</w:t>
      </w:r>
      <w:proofErr w:type="gramEnd"/>
      <w:r w:rsidRPr="00FE4C6C">
        <w:rPr>
          <w:rFonts w:cs="Arial"/>
          <w:i/>
          <w:iCs/>
          <w:szCs w:val="16"/>
        </w:rPr>
        <w:t>.</w:t>
      </w:r>
    </w:p>
    <w:p w14:paraId="66EE7631" w14:textId="77777777" w:rsidR="00820751" w:rsidRDefault="00820751" w:rsidP="00820751">
      <w:pPr>
        <w:rPr>
          <w:rFonts w:cs="Arial"/>
          <w:szCs w:val="16"/>
        </w:rPr>
      </w:pPr>
      <w:r w:rsidRPr="00937503">
        <w:rPr>
          <w:rFonts w:cs="Arial"/>
          <w:szCs w:val="16"/>
        </w:rPr>
        <w:t xml:space="preserve">Data for this indicator </w:t>
      </w:r>
      <w:proofErr w:type="gramStart"/>
      <w:r w:rsidRPr="00937503">
        <w:rPr>
          <w:rFonts w:cs="Arial"/>
          <w:szCs w:val="16"/>
        </w:rPr>
        <w:t>are</w:t>
      </w:r>
      <w:proofErr w:type="gramEnd"/>
      <w:r w:rsidRPr="00937503">
        <w:rPr>
          <w:rFonts w:cs="Arial"/>
          <w:szCs w:val="16"/>
        </w:rPr>
        <w:t xml:space="preserve"> “lag” data. Describe the results of the State’s examination of the data for the year before the reporting year (e.g., for the FFY 2021 SPP/APR, use data from 2020-2021), and compare the results to the target.</w:t>
      </w:r>
    </w:p>
    <w:p w14:paraId="65392C1C" w14:textId="77777777" w:rsidR="00820751" w:rsidRPr="008E308B" w:rsidRDefault="00820751" w:rsidP="00820751">
      <w:pPr>
        <w:rPr>
          <w:rFonts w:cs="Arial"/>
          <w:szCs w:val="16"/>
        </w:rPr>
      </w:pPr>
      <w:r w:rsidRPr="00651E83">
        <w:rPr>
          <w:rFonts w:cs="Arial"/>
          <w:szCs w:val="16"/>
        </w:rPr>
        <w:t>Include in the denominator the following exiting categories: (a) graduated with a regular high school diploma; (b) graduated with a</w:t>
      </w:r>
    </w:p>
    <w:p w14:paraId="5D5E271B" w14:textId="77777777" w:rsidR="00820751" w:rsidRPr="00651E83" w:rsidRDefault="00820751" w:rsidP="00820751">
      <w:pPr>
        <w:rPr>
          <w:rFonts w:cs="Arial"/>
          <w:szCs w:val="16"/>
        </w:rPr>
      </w:pPr>
      <w:r w:rsidRPr="008E308B">
        <w:rPr>
          <w:rFonts w:cs="Arial"/>
          <w:szCs w:val="16"/>
        </w:rPr>
        <w:t xml:space="preserve">state-defined alternate diploma; (c) received a certificate; (d) reached maximum age; or (e) dropped out. </w:t>
      </w:r>
    </w:p>
    <w:p w14:paraId="000F1718" w14:textId="77777777" w:rsidR="00820751" w:rsidRPr="00651E83" w:rsidRDefault="00820751" w:rsidP="00820751">
      <w:pPr>
        <w:rPr>
          <w:rFonts w:cs="Arial"/>
          <w:szCs w:val="16"/>
        </w:rPr>
      </w:pPr>
      <w:r w:rsidRPr="00651E83">
        <w:rPr>
          <w:rFonts w:cs="Arial"/>
          <w:szCs w:val="16"/>
        </w:rPr>
        <w:t>Do not include in the denominator the number of youths with IEPs who exited special education due to: (a) transferring to regular education; or (b) who moved but are known to be continuing in an educational program.</w:t>
      </w:r>
    </w:p>
    <w:p w14:paraId="5DF5B6DA" w14:textId="77777777" w:rsidR="00820751" w:rsidRPr="00651E83" w:rsidRDefault="00820751" w:rsidP="00820751">
      <w:pPr>
        <w:rPr>
          <w:rFonts w:cs="Arial"/>
          <w:szCs w:val="16"/>
        </w:rPr>
      </w:pPr>
      <w:r w:rsidRPr="00651E83">
        <w:rPr>
          <w:rFonts w:cs="Arial"/>
          <w:szCs w:val="16"/>
        </w:rPr>
        <w:t>Use the annual event school dropout rate for students leaving a school in a single year determined in accordance with the National Center for Education Statistic's Common Core of Data.</w:t>
      </w:r>
    </w:p>
    <w:p w14:paraId="37EF3DEB" w14:textId="77777777" w:rsidR="00820751" w:rsidRDefault="00820751" w:rsidP="00820751">
      <w:pPr>
        <w:rPr>
          <w:rFonts w:cs="Arial"/>
          <w:szCs w:val="16"/>
        </w:rPr>
      </w:pPr>
      <w:r w:rsidRPr="0019013F">
        <w:rPr>
          <w:rFonts w:cs="Arial"/>
          <w:szCs w:val="16"/>
        </w:rPr>
        <w:t>Provide a narrative that describes what counts as dropping out for all youth. Please explain if there is a difference between what counts as dropping out for all students and what counts as dropping out for students with IEPs.</w:t>
      </w:r>
    </w:p>
    <w:bookmarkEnd w:id="9"/>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3EF87C0F" w:rsidR="00907A35" w:rsidRPr="00781112" w:rsidRDefault="00907A35" w:rsidP="004369B2">
      <w:pPr>
        <w:rPr>
          <w:b/>
          <w:color w:val="000000" w:themeColor="text1"/>
        </w:rPr>
      </w:pPr>
      <w:r w:rsidRPr="00781112">
        <w:rPr>
          <w:b/>
          <w:color w:val="000000" w:themeColor="text1"/>
        </w:rPr>
        <w:t>Historical Data</w:t>
      </w:r>
      <w:r w:rsidR="00421B4F">
        <w:rPr>
          <w:rStyle w:val="FootnoteReference"/>
          <w:b/>
          <w:color w:val="000000" w:themeColor="text1"/>
        </w:rPr>
        <w:footnoteReference w:id="3"/>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2019</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34.76%</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2018</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2019</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2020</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6.05%</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6.00%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6.10%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33.19%</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5.44%</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6.21%</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6.16%</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5.99%</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21.78%</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4"/>
        <w:gridCol w:w="1676"/>
        <w:gridCol w:w="1676"/>
        <w:gridCol w:w="1676"/>
        <w:gridCol w:w="1676"/>
        <w:gridCol w:w="1673"/>
      </w:tblGrid>
      <w:tr w:rsidR="00B14519" w:rsidRPr="00781112" w14:paraId="029A4CCE" w14:textId="7CD6FC1B" w:rsidTr="00451D7E">
        <w:trPr>
          <w:trHeight w:val="378"/>
        </w:trPr>
        <w:tc>
          <w:tcPr>
            <w:tcW w:w="402" w:type="pct"/>
            <w:tcBorders>
              <w:bottom w:val="single" w:sz="4" w:space="0" w:color="auto"/>
            </w:tcBorders>
            <w:shd w:val="clear" w:color="auto" w:fill="auto"/>
          </w:tcPr>
          <w:p w14:paraId="7E454C96" w14:textId="77777777" w:rsidR="00B14519" w:rsidRPr="00781112" w:rsidRDefault="00B14519" w:rsidP="00373F78">
            <w:pPr>
              <w:jc w:val="center"/>
              <w:rPr>
                <w:b/>
                <w:color w:val="000000" w:themeColor="text1"/>
              </w:rPr>
            </w:pPr>
            <w:r w:rsidRPr="00781112">
              <w:rPr>
                <w:b/>
                <w:color w:val="000000" w:themeColor="text1"/>
              </w:rPr>
              <w:t>FFY</w:t>
            </w:r>
          </w:p>
        </w:tc>
        <w:tc>
          <w:tcPr>
            <w:tcW w:w="920" w:type="pct"/>
            <w:shd w:val="clear" w:color="auto" w:fill="auto"/>
            <w:vAlign w:val="center"/>
          </w:tcPr>
          <w:p w14:paraId="43981BCA" w14:textId="46BADE94" w:rsidR="00B14519" w:rsidRPr="00781112" w:rsidRDefault="00B14519" w:rsidP="00373F78">
            <w:pPr>
              <w:jc w:val="center"/>
              <w:rPr>
                <w:b/>
                <w:color w:val="000000" w:themeColor="text1"/>
              </w:rPr>
            </w:pPr>
            <w:r w:rsidRPr="00781112">
              <w:rPr>
                <w:b/>
                <w:color w:val="000000" w:themeColor="text1"/>
              </w:rPr>
              <w:t>2021</w:t>
            </w:r>
          </w:p>
        </w:tc>
        <w:tc>
          <w:tcPr>
            <w:tcW w:w="920" w:type="pct"/>
          </w:tcPr>
          <w:p w14:paraId="5E92A3B3" w14:textId="014BC7EC" w:rsidR="00B14519" w:rsidRPr="00781112" w:rsidRDefault="00B14519" w:rsidP="00373F78">
            <w:pPr>
              <w:jc w:val="center"/>
              <w:rPr>
                <w:b/>
                <w:color w:val="000000" w:themeColor="text1"/>
              </w:rPr>
            </w:pPr>
            <w:r w:rsidRPr="00781112">
              <w:rPr>
                <w:rFonts w:cs="Arial"/>
                <w:b/>
                <w:color w:val="000000" w:themeColor="text1"/>
                <w:szCs w:val="16"/>
              </w:rPr>
              <w:t>2022</w:t>
            </w:r>
          </w:p>
        </w:tc>
        <w:tc>
          <w:tcPr>
            <w:tcW w:w="920" w:type="pct"/>
          </w:tcPr>
          <w:p w14:paraId="3A9EE8AA" w14:textId="53416CB2" w:rsidR="00B14519" w:rsidRPr="00781112" w:rsidRDefault="00B14519" w:rsidP="00373F78">
            <w:pPr>
              <w:jc w:val="center"/>
              <w:rPr>
                <w:b/>
                <w:color w:val="000000" w:themeColor="text1"/>
              </w:rPr>
            </w:pPr>
            <w:r w:rsidRPr="00781112">
              <w:rPr>
                <w:rFonts w:cs="Arial"/>
                <w:b/>
                <w:color w:val="000000" w:themeColor="text1"/>
                <w:szCs w:val="16"/>
              </w:rPr>
              <w:t>2023</w:t>
            </w:r>
          </w:p>
        </w:tc>
        <w:tc>
          <w:tcPr>
            <w:tcW w:w="920" w:type="pct"/>
          </w:tcPr>
          <w:p w14:paraId="7D50850A" w14:textId="0FF3B8D7" w:rsidR="00B14519" w:rsidRPr="00781112" w:rsidRDefault="00B14519" w:rsidP="00373F78">
            <w:pPr>
              <w:jc w:val="center"/>
              <w:rPr>
                <w:b/>
                <w:color w:val="000000" w:themeColor="text1"/>
              </w:rPr>
            </w:pPr>
            <w:r w:rsidRPr="00781112">
              <w:rPr>
                <w:rFonts w:cs="Arial"/>
                <w:b/>
                <w:color w:val="000000" w:themeColor="text1"/>
                <w:szCs w:val="16"/>
              </w:rPr>
              <w:t>2024</w:t>
            </w:r>
          </w:p>
        </w:tc>
        <w:tc>
          <w:tcPr>
            <w:tcW w:w="920" w:type="pct"/>
          </w:tcPr>
          <w:p w14:paraId="150CD52F" w14:textId="1406DCAF"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74AFE5A4" w14:textId="4CB3606D" w:rsidTr="00451D7E">
        <w:trPr>
          <w:trHeight w:val="386"/>
        </w:trPr>
        <w:tc>
          <w:tcPr>
            <w:tcW w:w="402" w:type="pct"/>
            <w:shd w:val="clear" w:color="auto" w:fill="auto"/>
            <w:vAlign w:val="center"/>
          </w:tcPr>
          <w:p w14:paraId="74812D09" w14:textId="3A67082C" w:rsidR="00B14519" w:rsidRPr="00781112" w:rsidRDefault="00B14519" w:rsidP="00373F78">
            <w:pPr>
              <w:rPr>
                <w:rFonts w:cs="Arial"/>
                <w:color w:val="000000" w:themeColor="text1"/>
                <w:szCs w:val="16"/>
              </w:rPr>
            </w:pPr>
            <w:r w:rsidRPr="00781112">
              <w:rPr>
                <w:rFonts w:cs="Arial"/>
                <w:color w:val="000000" w:themeColor="text1"/>
                <w:szCs w:val="16"/>
              </w:rPr>
              <w:t>Target &lt;=</w:t>
            </w:r>
          </w:p>
        </w:tc>
        <w:tc>
          <w:tcPr>
            <w:tcW w:w="920" w:type="pct"/>
            <w:shd w:val="clear" w:color="auto" w:fill="auto"/>
            <w:vAlign w:val="center"/>
          </w:tcPr>
          <w:p w14:paraId="1AA9A6F0" w14:textId="23F8F955" w:rsidR="00B14519" w:rsidRPr="00781112" w:rsidRDefault="00B14519" w:rsidP="00373F78">
            <w:pPr>
              <w:jc w:val="center"/>
              <w:rPr>
                <w:rFonts w:cs="Arial"/>
                <w:color w:val="000000" w:themeColor="text1"/>
                <w:szCs w:val="16"/>
              </w:rPr>
            </w:pPr>
            <w:r w:rsidRPr="00781112">
              <w:rPr>
                <w:rFonts w:cs="Arial"/>
                <w:color w:val="000000" w:themeColor="text1"/>
                <w:szCs w:val="16"/>
              </w:rPr>
              <w:t>33.19%</w:t>
            </w:r>
          </w:p>
        </w:tc>
        <w:tc>
          <w:tcPr>
            <w:tcW w:w="920" w:type="pct"/>
          </w:tcPr>
          <w:p w14:paraId="1887156F" w14:textId="2A53DFD8" w:rsidR="00B14519" w:rsidRPr="00781112" w:rsidRDefault="00B14519" w:rsidP="00373F78">
            <w:pPr>
              <w:jc w:val="center"/>
              <w:rPr>
                <w:rFonts w:cs="Arial"/>
                <w:color w:val="000000" w:themeColor="text1"/>
                <w:szCs w:val="16"/>
              </w:rPr>
            </w:pPr>
            <w:r w:rsidRPr="00781112">
              <w:rPr>
                <w:color w:val="000000" w:themeColor="text1"/>
                <w:szCs w:val="16"/>
              </w:rPr>
              <w:t>32.78%</w:t>
            </w:r>
          </w:p>
        </w:tc>
        <w:tc>
          <w:tcPr>
            <w:tcW w:w="920" w:type="pct"/>
          </w:tcPr>
          <w:p w14:paraId="114E0304" w14:textId="3D4B66CA" w:rsidR="00B14519" w:rsidRPr="00781112" w:rsidRDefault="00B14519" w:rsidP="00373F78">
            <w:pPr>
              <w:jc w:val="center"/>
              <w:rPr>
                <w:rFonts w:cs="Arial"/>
                <w:color w:val="000000" w:themeColor="text1"/>
                <w:szCs w:val="16"/>
              </w:rPr>
            </w:pPr>
            <w:r w:rsidRPr="00781112">
              <w:rPr>
                <w:color w:val="000000" w:themeColor="text1"/>
                <w:szCs w:val="16"/>
              </w:rPr>
              <w:t>32.38%</w:t>
            </w:r>
          </w:p>
        </w:tc>
        <w:tc>
          <w:tcPr>
            <w:tcW w:w="920" w:type="pct"/>
          </w:tcPr>
          <w:p w14:paraId="78D67310" w14:textId="6B7563FE" w:rsidR="00B14519" w:rsidRPr="00781112" w:rsidRDefault="00B14519" w:rsidP="00373F78">
            <w:pPr>
              <w:jc w:val="center"/>
              <w:rPr>
                <w:rFonts w:cs="Arial"/>
                <w:color w:val="000000" w:themeColor="text1"/>
                <w:szCs w:val="16"/>
              </w:rPr>
            </w:pPr>
            <w:r w:rsidRPr="00781112">
              <w:rPr>
                <w:color w:val="000000" w:themeColor="text1"/>
                <w:szCs w:val="16"/>
              </w:rPr>
              <w:t>30.62%</w:t>
            </w:r>
          </w:p>
        </w:tc>
        <w:tc>
          <w:tcPr>
            <w:tcW w:w="920" w:type="pct"/>
          </w:tcPr>
          <w:p w14:paraId="56091902" w14:textId="764DD0A6" w:rsidR="00B14519" w:rsidRPr="00781112" w:rsidRDefault="00B14519" w:rsidP="00373F78">
            <w:pPr>
              <w:jc w:val="center"/>
              <w:rPr>
                <w:rFonts w:cs="Arial"/>
                <w:color w:val="000000" w:themeColor="text1"/>
                <w:szCs w:val="16"/>
              </w:rPr>
            </w:pPr>
            <w:r w:rsidRPr="00781112">
              <w:rPr>
                <w:color w:val="000000" w:themeColor="text1"/>
                <w:szCs w:val="16"/>
              </w:rPr>
              <w:t>29.00%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w:t>
      </w:r>
      <w:r w:rsidRPr="00781112">
        <w:rPr>
          <w:rFonts w:cs="Arial"/>
          <w:color w:val="000000" w:themeColor="text1"/>
          <w:szCs w:val="16"/>
        </w:rPr>
        <w:lastRenderedPageBreak/>
        <w:t xml:space="preserve">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1646393A" w14:textId="2F9E8E4A" w:rsidR="002D145D" w:rsidRPr="00781112" w:rsidRDefault="002D145D" w:rsidP="002D145D">
      <w:pPr>
        <w:rPr>
          <w:rFonts w:cs="Arial"/>
          <w:color w:val="000000" w:themeColor="text1"/>
          <w:szCs w:val="16"/>
        </w:rPr>
      </w:pP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497</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71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30</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2020-21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05/25/2022</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289</w:t>
            </w:r>
          </w:p>
        </w:tc>
      </w:tr>
    </w:tbl>
    <w:p w14:paraId="7CE42756" w14:textId="445D9372" w:rsidR="00654A4B" w:rsidRPr="00781112" w:rsidRDefault="00654A4B" w:rsidP="004369B2">
      <w:pPr>
        <w:rPr>
          <w:color w:val="000000" w:themeColor="text1"/>
        </w:rPr>
      </w:pPr>
    </w:p>
    <w:p w14:paraId="4463AFB2" w14:textId="259E343E" w:rsidR="00C96339" w:rsidRPr="00781112" w:rsidRDefault="0047313F" w:rsidP="004369B2">
      <w:pPr>
        <w:rPr>
          <w:color w:val="000000" w:themeColor="text1"/>
        </w:rPr>
      </w:pPr>
      <w:r>
        <w:rPr>
          <w:b/>
          <w:color w:val="000000" w:themeColor="text1"/>
        </w:rPr>
        <w:t xml:space="preserve">FFY 2021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47313F" w:rsidRPr="00781112" w14:paraId="5C4D1C2F" w14:textId="77777777" w:rsidTr="004D0044">
        <w:trPr>
          <w:trHeight w:val="359"/>
          <w:tblHeader/>
        </w:trPr>
        <w:tc>
          <w:tcPr>
            <w:tcW w:w="708" w:type="pct"/>
            <w:shd w:val="clear" w:color="auto" w:fill="auto"/>
            <w:vAlign w:val="bottom"/>
          </w:tcPr>
          <w:p w14:paraId="3F5808F2" w14:textId="257E84C8" w:rsidR="0047313F" w:rsidRPr="00781112" w:rsidRDefault="0047313F" w:rsidP="0047313F">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47313F" w:rsidRPr="00781112" w:rsidRDefault="0047313F" w:rsidP="0047313F">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4146FF5F" w:rsidR="0047313F" w:rsidRPr="00073BD7" w:rsidRDefault="0047313F" w:rsidP="0047313F">
            <w:pPr>
              <w:jc w:val="center"/>
              <w:rPr>
                <w:rFonts w:cs="Arial"/>
                <w:b/>
                <w:bCs/>
                <w:color w:val="000000" w:themeColor="text1"/>
                <w:szCs w:val="16"/>
              </w:rPr>
            </w:pPr>
            <w:r w:rsidRPr="00073BD7">
              <w:rPr>
                <w:b/>
                <w:bCs/>
              </w:rPr>
              <w:t>FFY 2020 Data</w:t>
            </w:r>
          </w:p>
        </w:tc>
        <w:tc>
          <w:tcPr>
            <w:tcW w:w="967" w:type="pct"/>
            <w:shd w:val="clear" w:color="auto" w:fill="auto"/>
            <w:vAlign w:val="bottom"/>
          </w:tcPr>
          <w:p w14:paraId="1F444650" w14:textId="5BBFB8FA" w:rsidR="0047313F" w:rsidRPr="00073BD7" w:rsidRDefault="0047313F" w:rsidP="0047313F">
            <w:pPr>
              <w:jc w:val="center"/>
              <w:rPr>
                <w:rFonts w:cs="Arial"/>
                <w:b/>
                <w:bCs/>
                <w:color w:val="000000" w:themeColor="text1"/>
                <w:szCs w:val="16"/>
              </w:rPr>
            </w:pPr>
            <w:r w:rsidRPr="00073BD7">
              <w:rPr>
                <w:b/>
                <w:bCs/>
              </w:rPr>
              <w:t>FFY 2021 Target</w:t>
            </w:r>
          </w:p>
        </w:tc>
        <w:tc>
          <w:tcPr>
            <w:tcW w:w="569" w:type="pct"/>
            <w:shd w:val="clear" w:color="auto" w:fill="auto"/>
            <w:vAlign w:val="bottom"/>
          </w:tcPr>
          <w:p w14:paraId="194A1B8B" w14:textId="65282403" w:rsidR="0047313F" w:rsidRPr="00073BD7" w:rsidRDefault="0047313F" w:rsidP="0047313F">
            <w:pPr>
              <w:jc w:val="center"/>
              <w:rPr>
                <w:rFonts w:cs="Arial"/>
                <w:b/>
                <w:bCs/>
                <w:color w:val="000000" w:themeColor="text1"/>
                <w:szCs w:val="16"/>
              </w:rPr>
            </w:pPr>
            <w:r w:rsidRPr="00073BD7">
              <w:rPr>
                <w:b/>
                <w:bCs/>
              </w:rPr>
              <w:t>FFY 2021 Data</w:t>
            </w:r>
          </w:p>
        </w:tc>
        <w:tc>
          <w:tcPr>
            <w:tcW w:w="724" w:type="pct"/>
            <w:shd w:val="clear" w:color="auto" w:fill="auto"/>
            <w:vAlign w:val="bottom"/>
          </w:tcPr>
          <w:p w14:paraId="4B0F6AF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47313F" w:rsidRPr="00781112" w:rsidRDefault="0047313F" w:rsidP="0047313F">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887</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21.78%</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33.19%</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32.58%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Students counted as not graduating in four years may have: </w:t>
      </w:r>
      <w:r w:rsidRPr="00781112">
        <w:rPr>
          <w:rFonts w:cs="Arial"/>
          <w:color w:val="000000" w:themeColor="text1"/>
          <w:szCs w:val="16"/>
          <w:shd w:val="clear" w:color="auto" w:fill="FFFFFF"/>
        </w:rPr>
        <w:br/>
        <w:t>1)</w:t>
      </w:r>
      <w:r w:rsidRPr="00781112">
        <w:rPr>
          <w:rFonts w:cs="Arial"/>
          <w:color w:val="000000" w:themeColor="text1"/>
          <w:szCs w:val="16"/>
          <w:shd w:val="clear" w:color="auto" w:fill="FFFFFF"/>
        </w:rPr>
        <w:tab/>
        <w:t xml:space="preserve">Dropped out, been rumored to transfer (no written confirmation), or left for reasons unknown by the school </w:t>
      </w:r>
      <w:r w:rsidRPr="00781112">
        <w:rPr>
          <w:rFonts w:cs="Arial"/>
          <w:color w:val="000000" w:themeColor="text1"/>
          <w:szCs w:val="16"/>
          <w:shd w:val="clear" w:color="auto" w:fill="FFFFFF"/>
        </w:rPr>
        <w:br/>
        <w:t>2)</w:t>
      </w:r>
      <w:r w:rsidRPr="00781112">
        <w:rPr>
          <w:rFonts w:cs="Arial"/>
          <w:color w:val="000000" w:themeColor="text1"/>
          <w:szCs w:val="16"/>
          <w:shd w:val="clear" w:color="auto" w:fill="FFFFFF"/>
        </w:rPr>
        <w:tab/>
        <w:t xml:space="preserve">Left school to participate in a non-high school diploma granting educational or trade program (including GED) </w:t>
      </w:r>
      <w:r w:rsidRPr="00781112">
        <w:rPr>
          <w:rFonts w:cs="Arial"/>
          <w:color w:val="000000" w:themeColor="text1"/>
          <w:szCs w:val="16"/>
          <w:shd w:val="clear" w:color="auto" w:fill="FFFFFF"/>
        </w:rPr>
        <w:br/>
        <w:t>3) Attended high school grades (9-12) for 4 full years without graduating (may still be seeking a diploma in 5 or 6 years)</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11" w:name="_Toc382082362"/>
      <w:bookmarkStart w:id="12" w:name="_Toc392159270"/>
      <w:bookmarkStart w:id="13"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A869E9" w:rsidP="001F692C">
      <w:pPr>
        <w:rPr>
          <w:rFonts w:cs="Arial"/>
          <w:color w:val="000000" w:themeColor="text1"/>
          <w:szCs w:val="16"/>
        </w:rPr>
      </w:pP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w:t>
      </w:r>
      <w:proofErr w:type="gramStart"/>
      <w:r w:rsidRPr="00781112">
        <w:rPr>
          <w:bCs/>
        </w:rPr>
        <w:t xml:space="preserve">.  </w:t>
      </w:r>
      <w:proofErr w:type="gramEnd"/>
      <w:r w:rsidRPr="00781112">
        <w:rPr>
          <w:bCs/>
        </w:rPr>
        <w:t>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97.12%</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96.08%</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93.30%</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97.03%</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95.99%</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93.65%</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6"/>
        <w:gridCol w:w="722"/>
        <w:gridCol w:w="1172"/>
        <w:gridCol w:w="1334"/>
        <w:gridCol w:w="1333"/>
        <w:gridCol w:w="1333"/>
        <w:gridCol w:w="1333"/>
        <w:gridCol w:w="1333"/>
      </w:tblGrid>
      <w:tr w:rsidR="00B14519" w:rsidRPr="00781112" w14:paraId="61B13027" w14:textId="7E8C0770" w:rsidTr="00451D7E">
        <w:tc>
          <w:tcPr>
            <w:tcW w:w="473" w:type="pct"/>
            <w:tcBorders>
              <w:bottom w:val="single" w:sz="4" w:space="0" w:color="auto"/>
            </w:tcBorders>
            <w:shd w:val="clear" w:color="auto" w:fill="auto"/>
            <w:vAlign w:val="center"/>
          </w:tcPr>
          <w:p w14:paraId="41C1EDA8" w14:textId="77777777" w:rsidR="00B14519" w:rsidRPr="00781112" w:rsidRDefault="00B14519" w:rsidP="00FD5357">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47C72AA9" w14:textId="77777777" w:rsidR="00B14519" w:rsidRPr="00781112" w:rsidRDefault="00B14519" w:rsidP="00FD5357">
            <w:pPr>
              <w:jc w:val="center"/>
              <w:rPr>
                <w:b/>
                <w:color w:val="000000" w:themeColor="text1"/>
              </w:rPr>
            </w:pPr>
            <w:r w:rsidRPr="00781112">
              <w:rPr>
                <w:b/>
                <w:color w:val="000000" w:themeColor="text1"/>
              </w:rPr>
              <w:t>Group</w:t>
            </w:r>
          </w:p>
        </w:tc>
        <w:tc>
          <w:tcPr>
            <w:tcW w:w="619" w:type="pct"/>
            <w:shd w:val="clear" w:color="auto" w:fill="auto"/>
            <w:vAlign w:val="center"/>
          </w:tcPr>
          <w:p w14:paraId="3EBC6D10" w14:textId="77777777" w:rsidR="00B14519" w:rsidRPr="00781112" w:rsidDel="008E7B87" w:rsidRDefault="00B14519" w:rsidP="00FD5357">
            <w:pPr>
              <w:jc w:val="center"/>
              <w:rPr>
                <w:b/>
                <w:color w:val="000000" w:themeColor="text1"/>
              </w:rPr>
            </w:pPr>
            <w:r w:rsidRPr="00781112">
              <w:rPr>
                <w:b/>
                <w:color w:val="000000" w:themeColor="text1"/>
              </w:rPr>
              <w:t>Group Name</w:t>
            </w:r>
          </w:p>
        </w:tc>
        <w:tc>
          <w:tcPr>
            <w:tcW w:w="705" w:type="pct"/>
            <w:shd w:val="clear" w:color="auto" w:fill="auto"/>
            <w:vAlign w:val="center"/>
          </w:tcPr>
          <w:p w14:paraId="5DB0C638" w14:textId="77777777" w:rsidR="00B14519" w:rsidRPr="00781112" w:rsidRDefault="00B14519" w:rsidP="00FD5357">
            <w:pPr>
              <w:jc w:val="center"/>
              <w:rPr>
                <w:b/>
                <w:color w:val="000000" w:themeColor="text1"/>
              </w:rPr>
            </w:pPr>
            <w:r w:rsidRPr="00781112">
              <w:rPr>
                <w:b/>
                <w:color w:val="000000" w:themeColor="text1"/>
              </w:rPr>
              <w:t>2021</w:t>
            </w:r>
          </w:p>
        </w:tc>
        <w:tc>
          <w:tcPr>
            <w:tcW w:w="705" w:type="pct"/>
            <w:vAlign w:val="center"/>
          </w:tcPr>
          <w:p w14:paraId="2BCE0486" w14:textId="3C221AF8" w:rsidR="00B14519" w:rsidRPr="00781112" w:rsidRDefault="00B14519" w:rsidP="00FD5357">
            <w:pPr>
              <w:jc w:val="center"/>
              <w:rPr>
                <w:b/>
                <w:color w:val="000000" w:themeColor="text1"/>
              </w:rPr>
            </w:pPr>
            <w:r w:rsidRPr="00781112">
              <w:rPr>
                <w:rFonts w:cs="Arial"/>
                <w:b/>
                <w:color w:val="000000" w:themeColor="text1"/>
                <w:szCs w:val="16"/>
              </w:rPr>
              <w:t>2022</w:t>
            </w:r>
          </w:p>
        </w:tc>
        <w:tc>
          <w:tcPr>
            <w:tcW w:w="705" w:type="pct"/>
            <w:vAlign w:val="center"/>
          </w:tcPr>
          <w:p w14:paraId="1990502A" w14:textId="03716A79" w:rsidR="00B14519" w:rsidRPr="00781112" w:rsidRDefault="00B14519" w:rsidP="00FD5357">
            <w:pPr>
              <w:jc w:val="center"/>
              <w:rPr>
                <w:b/>
                <w:color w:val="000000" w:themeColor="text1"/>
              </w:rPr>
            </w:pPr>
            <w:r w:rsidRPr="00781112">
              <w:rPr>
                <w:rFonts w:cs="Arial"/>
                <w:b/>
                <w:color w:val="000000" w:themeColor="text1"/>
                <w:szCs w:val="16"/>
              </w:rPr>
              <w:t>2023</w:t>
            </w:r>
          </w:p>
        </w:tc>
        <w:tc>
          <w:tcPr>
            <w:tcW w:w="705" w:type="pct"/>
            <w:vAlign w:val="center"/>
          </w:tcPr>
          <w:p w14:paraId="72DB4D15" w14:textId="310E5749" w:rsidR="00B14519" w:rsidRPr="00781112" w:rsidRDefault="00B14519" w:rsidP="00FD5357">
            <w:pPr>
              <w:jc w:val="center"/>
              <w:rPr>
                <w:b/>
                <w:color w:val="000000" w:themeColor="text1"/>
              </w:rPr>
            </w:pPr>
            <w:r w:rsidRPr="00781112">
              <w:rPr>
                <w:rFonts w:cs="Arial"/>
                <w:b/>
                <w:color w:val="000000" w:themeColor="text1"/>
                <w:szCs w:val="16"/>
              </w:rPr>
              <w:t>2024</w:t>
            </w:r>
          </w:p>
        </w:tc>
        <w:tc>
          <w:tcPr>
            <w:tcW w:w="705" w:type="pct"/>
            <w:vAlign w:val="center"/>
          </w:tcPr>
          <w:p w14:paraId="62291C5B" w14:textId="0E374F42" w:rsidR="00B14519" w:rsidRPr="00781112" w:rsidRDefault="00B14519" w:rsidP="00FD5357">
            <w:pPr>
              <w:jc w:val="center"/>
              <w:rPr>
                <w:b/>
                <w:color w:val="000000" w:themeColor="text1"/>
              </w:rPr>
            </w:pPr>
            <w:r w:rsidRPr="00781112">
              <w:rPr>
                <w:rFonts w:cs="Arial"/>
                <w:b/>
                <w:color w:val="000000" w:themeColor="text1"/>
                <w:szCs w:val="16"/>
              </w:rPr>
              <w:t>2025</w:t>
            </w:r>
          </w:p>
        </w:tc>
      </w:tr>
      <w:tr w:rsidR="00B14519" w:rsidRPr="00781112" w14:paraId="5EF23A8E" w14:textId="333536B2" w:rsidTr="00451D7E">
        <w:tc>
          <w:tcPr>
            <w:tcW w:w="473" w:type="pct"/>
            <w:shd w:val="clear" w:color="auto" w:fill="auto"/>
            <w:vAlign w:val="center"/>
          </w:tcPr>
          <w:p w14:paraId="659131E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0E33DCFC"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76B16B43" w14:textId="39FB8899"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0F6CE0A1" w14:textId="29A64BBD"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A0A22E0" w14:textId="6BB46B0C" w:rsidR="00B14519" w:rsidRPr="00781112" w:rsidRDefault="00B14519" w:rsidP="00C362C0">
            <w:pPr>
              <w:jc w:val="center"/>
              <w:rPr>
                <w:rFonts w:cs="Arial"/>
                <w:color w:val="000000" w:themeColor="text1"/>
                <w:szCs w:val="16"/>
              </w:rPr>
            </w:pPr>
            <w:r w:rsidRPr="00781112">
              <w:rPr>
                <w:rFonts w:cs="Arial"/>
                <w:color w:val="000000" w:themeColor="text1"/>
                <w:szCs w:val="16"/>
              </w:rPr>
              <w:t>95.00%</w:t>
            </w:r>
            <w:r w:rsidRPr="00781112">
              <w:t xml:space="preserve"> </w:t>
            </w:r>
          </w:p>
        </w:tc>
        <w:tc>
          <w:tcPr>
            <w:tcW w:w="705" w:type="pct"/>
            <w:vAlign w:val="center"/>
          </w:tcPr>
          <w:p w14:paraId="01E8CE0F" w14:textId="037B9FF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84B0AD2" w14:textId="38B3F908"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EAFB06" w14:textId="6B6573E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0DC87485" w14:textId="7CEA602E" w:rsidTr="00451D7E">
        <w:tc>
          <w:tcPr>
            <w:tcW w:w="473" w:type="pct"/>
            <w:shd w:val="clear" w:color="auto" w:fill="auto"/>
            <w:vAlign w:val="center"/>
          </w:tcPr>
          <w:p w14:paraId="0DBD5106"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32DA1B3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451C944" w14:textId="48D1DB42"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0A324D3" w14:textId="7CE00F34"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2AC2F70" w14:textId="3AB4351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2A4C051" w14:textId="2E65FFF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7CC4A95" w14:textId="1A1A42B6"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3563EF2" w14:textId="7C7E03A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546837A9" w14:textId="0EC3B58A" w:rsidTr="00451D7E">
        <w:tc>
          <w:tcPr>
            <w:tcW w:w="473" w:type="pct"/>
            <w:shd w:val="clear" w:color="auto" w:fill="auto"/>
            <w:vAlign w:val="center"/>
          </w:tcPr>
          <w:p w14:paraId="5E2AB8D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2801904B"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5F09655C" w14:textId="799E5EE7"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06826BA4" w14:textId="5829FE9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4B1D7EC" w14:textId="5E17D24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5B53368" w14:textId="52EA99DA"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5D2A6D2" w14:textId="0D1D128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D56BAE2" w14:textId="2F5D29E0"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42FB4D55" w14:textId="70E04CC1" w:rsidTr="00451D7E">
        <w:tc>
          <w:tcPr>
            <w:tcW w:w="473" w:type="pct"/>
            <w:shd w:val="clear" w:color="auto" w:fill="auto"/>
            <w:vAlign w:val="center"/>
          </w:tcPr>
          <w:p w14:paraId="5003C653"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3BDC476D"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A &gt;=</w:t>
            </w:r>
          </w:p>
        </w:tc>
        <w:tc>
          <w:tcPr>
            <w:tcW w:w="619" w:type="pct"/>
            <w:shd w:val="clear" w:color="auto" w:fill="auto"/>
            <w:vAlign w:val="center"/>
          </w:tcPr>
          <w:p w14:paraId="0CAD024F" w14:textId="139788C5"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43E3EC7" w14:textId="5E734881"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5C17E435" w14:textId="07B15AE7"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9AA205" w14:textId="39F901D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4966A75F" w14:textId="20C7AE1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022FBD29" w14:textId="276E187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36D735AC" w14:textId="5C55C170" w:rsidTr="00451D7E">
        <w:tc>
          <w:tcPr>
            <w:tcW w:w="473" w:type="pct"/>
            <w:shd w:val="clear" w:color="auto" w:fill="auto"/>
            <w:vAlign w:val="center"/>
          </w:tcPr>
          <w:p w14:paraId="3DD28514"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04829E1"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B &gt;=</w:t>
            </w:r>
          </w:p>
        </w:tc>
        <w:tc>
          <w:tcPr>
            <w:tcW w:w="619" w:type="pct"/>
            <w:shd w:val="clear" w:color="auto" w:fill="auto"/>
            <w:vAlign w:val="center"/>
          </w:tcPr>
          <w:p w14:paraId="7B7B7FDD" w14:textId="4EABA9DD"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4BE54D67" w14:textId="13C82F0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113A8B0" w14:textId="01C04123"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A3B0FBA" w14:textId="478F94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89FBACE" w14:textId="6A3893AE"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22CE6700" w14:textId="17865EEB"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r w:rsidR="00B14519" w:rsidRPr="00781112" w14:paraId="6D5345B6" w14:textId="77468A6F" w:rsidTr="00451D7E">
        <w:tc>
          <w:tcPr>
            <w:tcW w:w="473" w:type="pct"/>
            <w:shd w:val="clear" w:color="auto" w:fill="auto"/>
            <w:vAlign w:val="center"/>
          </w:tcPr>
          <w:p w14:paraId="7932C55F"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BCACF10" w14:textId="77777777" w:rsidR="00B14519" w:rsidRPr="00781112" w:rsidRDefault="00B14519" w:rsidP="00C362C0">
            <w:pPr>
              <w:spacing w:before="0" w:after="0"/>
              <w:jc w:val="center"/>
              <w:rPr>
                <w:rFonts w:cs="Arial"/>
                <w:color w:val="000000" w:themeColor="text1"/>
                <w:szCs w:val="16"/>
              </w:rPr>
            </w:pPr>
            <w:r w:rsidRPr="00781112">
              <w:rPr>
                <w:rFonts w:cs="Arial"/>
                <w:color w:val="000000" w:themeColor="text1"/>
                <w:szCs w:val="16"/>
              </w:rPr>
              <w:t>C &gt;=</w:t>
            </w:r>
          </w:p>
        </w:tc>
        <w:tc>
          <w:tcPr>
            <w:tcW w:w="619" w:type="pct"/>
            <w:shd w:val="clear" w:color="auto" w:fill="auto"/>
            <w:vAlign w:val="center"/>
          </w:tcPr>
          <w:p w14:paraId="1E7674E7" w14:textId="620A24D0" w:rsidR="00B14519" w:rsidRPr="00781112" w:rsidDel="00DB0A73" w:rsidRDefault="00B14519" w:rsidP="00C362C0">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416F7E76" w14:textId="5B460752"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7ADA18AC" w14:textId="2893C149"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1BF168BC" w14:textId="476AE7F5"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BB5329F" w14:textId="6B51850F"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c>
          <w:tcPr>
            <w:tcW w:w="705" w:type="pct"/>
            <w:vAlign w:val="center"/>
          </w:tcPr>
          <w:p w14:paraId="3163C52B" w14:textId="316A6F3C" w:rsidR="00B14519" w:rsidRPr="00781112" w:rsidRDefault="00B14519" w:rsidP="00C362C0">
            <w:pPr>
              <w:jc w:val="center"/>
              <w:rPr>
                <w:rFonts w:cs="Arial"/>
                <w:color w:val="000000" w:themeColor="text1"/>
                <w:szCs w:val="16"/>
              </w:rPr>
            </w:pPr>
            <w:r w:rsidRPr="00781112">
              <w:rPr>
                <w:rFonts w:cs="Arial"/>
                <w:color w:val="000000" w:themeColor="text1"/>
                <w:szCs w:val="16"/>
              </w:rPr>
              <w:t>95.00%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67850A3C" w:rsidR="004F4016" w:rsidRPr="00781112" w:rsidRDefault="00FA33C9" w:rsidP="004F4016">
      <w:pPr>
        <w:rPr>
          <w:b/>
          <w:color w:val="000000" w:themeColor="text1"/>
        </w:rPr>
      </w:pPr>
      <w:r>
        <w:rPr>
          <w:b/>
          <w:color w:val="000000" w:themeColor="text1"/>
        </w:rPr>
        <w:t>FFY 2021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1,124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952</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1,805</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512</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398</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687</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530</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449</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882</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74</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159</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2021-22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04/05/2023</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1,124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952</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1,805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615</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486</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970</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427</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359</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610</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74</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87</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157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2C31A3D5" w14:textId="77777777" w:rsidR="0039251E" w:rsidRDefault="0039251E">
      <w:pPr>
        <w:spacing w:before="0" w:after="200" w:line="276" w:lineRule="auto"/>
        <w:rPr>
          <w:b/>
          <w:color w:val="000000" w:themeColor="text1"/>
        </w:rPr>
      </w:pPr>
      <w:r>
        <w:rPr>
          <w:b/>
          <w:color w:val="000000" w:themeColor="text1"/>
        </w:rPr>
        <w:br w:type="page"/>
      </w:r>
    </w:p>
    <w:p w14:paraId="44A15970" w14:textId="53101CE7" w:rsidR="004F4016" w:rsidRPr="00781112" w:rsidRDefault="0047313F" w:rsidP="004F4016">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073BD7" w:rsidRPr="00781112" w14:paraId="3BAF6B00" w14:textId="77777777" w:rsidTr="0047313F">
        <w:trPr>
          <w:tblHeader/>
        </w:trPr>
        <w:tc>
          <w:tcPr>
            <w:tcW w:w="355" w:type="pct"/>
            <w:shd w:val="clear" w:color="auto" w:fill="auto"/>
            <w:vAlign w:val="bottom"/>
          </w:tcPr>
          <w:p w14:paraId="3F94C694" w14:textId="77777777" w:rsidR="00073BD7" w:rsidRPr="00781112" w:rsidRDefault="00073BD7" w:rsidP="00073BD7">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073BD7" w:rsidRPr="00781112" w:rsidRDefault="00073BD7" w:rsidP="00073BD7">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073BD7" w:rsidRPr="00781112" w:rsidRDefault="00073BD7" w:rsidP="00073BD7">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073BD7" w:rsidRPr="00781112" w:rsidRDefault="00073BD7" w:rsidP="00073BD7">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41B163B4" w:rsidR="00073BD7" w:rsidRPr="00781112" w:rsidRDefault="00073BD7" w:rsidP="00073BD7">
            <w:pPr>
              <w:jc w:val="center"/>
              <w:rPr>
                <w:b/>
                <w:color w:val="000000" w:themeColor="text1"/>
              </w:rPr>
            </w:pPr>
            <w:r w:rsidRPr="00073BD7">
              <w:rPr>
                <w:b/>
                <w:bCs/>
              </w:rPr>
              <w:t>FFY 2020 Data</w:t>
            </w:r>
          </w:p>
        </w:tc>
        <w:tc>
          <w:tcPr>
            <w:tcW w:w="467" w:type="pct"/>
            <w:shd w:val="clear" w:color="auto" w:fill="auto"/>
            <w:vAlign w:val="bottom"/>
          </w:tcPr>
          <w:p w14:paraId="2D0B1710" w14:textId="4D4AD625" w:rsidR="00073BD7" w:rsidRPr="00781112" w:rsidRDefault="00073BD7" w:rsidP="00073BD7">
            <w:pPr>
              <w:jc w:val="center"/>
              <w:rPr>
                <w:b/>
                <w:color w:val="000000" w:themeColor="text1"/>
              </w:rPr>
            </w:pPr>
            <w:r w:rsidRPr="00073BD7">
              <w:rPr>
                <w:b/>
                <w:bCs/>
              </w:rPr>
              <w:t>FFY 2021 Target</w:t>
            </w:r>
          </w:p>
        </w:tc>
        <w:tc>
          <w:tcPr>
            <w:tcW w:w="467" w:type="pct"/>
            <w:shd w:val="clear" w:color="auto" w:fill="auto"/>
            <w:vAlign w:val="bottom"/>
          </w:tcPr>
          <w:p w14:paraId="1D807DE2" w14:textId="4B06168B" w:rsidR="00073BD7" w:rsidRPr="00781112" w:rsidRDefault="00073BD7" w:rsidP="00073BD7">
            <w:pPr>
              <w:jc w:val="center"/>
              <w:rPr>
                <w:b/>
                <w:color w:val="000000" w:themeColor="text1"/>
              </w:rPr>
            </w:pPr>
            <w:r w:rsidRPr="00073BD7">
              <w:rPr>
                <w:b/>
                <w:bCs/>
              </w:rPr>
              <w:t>FFY 2021 Data</w:t>
            </w:r>
          </w:p>
        </w:tc>
        <w:tc>
          <w:tcPr>
            <w:tcW w:w="467" w:type="pct"/>
            <w:shd w:val="clear" w:color="auto" w:fill="auto"/>
            <w:vAlign w:val="bottom"/>
          </w:tcPr>
          <w:p w14:paraId="6569FC00" w14:textId="77777777" w:rsidR="00073BD7" w:rsidRPr="00781112" w:rsidRDefault="00073BD7" w:rsidP="00073BD7">
            <w:pPr>
              <w:jc w:val="center"/>
              <w:rPr>
                <w:b/>
                <w:color w:val="000000" w:themeColor="text1"/>
              </w:rPr>
            </w:pPr>
            <w:r w:rsidRPr="00781112">
              <w:rPr>
                <w:b/>
                <w:color w:val="000000" w:themeColor="text1"/>
              </w:rPr>
              <w:t>Status</w:t>
            </w:r>
          </w:p>
        </w:tc>
        <w:tc>
          <w:tcPr>
            <w:tcW w:w="466" w:type="pct"/>
            <w:shd w:val="clear" w:color="auto" w:fill="auto"/>
            <w:vAlign w:val="bottom"/>
          </w:tcPr>
          <w:p w14:paraId="2DF56EFB" w14:textId="77777777" w:rsidR="00073BD7" w:rsidRPr="00781112" w:rsidRDefault="00073BD7" w:rsidP="00073BD7">
            <w:pPr>
              <w:jc w:val="center"/>
              <w:rPr>
                <w:b/>
                <w:color w:val="000000" w:themeColor="text1"/>
              </w:rPr>
            </w:pPr>
            <w:r w:rsidRPr="00781112">
              <w:rPr>
                <w:b/>
                <w:color w:val="000000" w:themeColor="text1"/>
              </w:rPr>
              <w:t>Slippage</w:t>
            </w:r>
          </w:p>
        </w:tc>
      </w:tr>
      <w:tr w:rsidR="00396BA3" w:rsidRPr="00781112" w14:paraId="376FC28A" w14:textId="77777777" w:rsidTr="0047313F">
        <w:tc>
          <w:tcPr>
            <w:tcW w:w="355"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1,116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1,124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r w:rsidRPr="00781112">
              <w:rPr>
                <w:rFonts w:cs="Arial"/>
                <w:color w:val="000000" w:themeColor="text1"/>
                <w:szCs w:val="16"/>
              </w:rPr>
              <w:t>97.12%</w:t>
            </w: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99.29%</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56F1A9B2" w14:textId="77777777" w:rsidTr="0047313F">
        <w:tc>
          <w:tcPr>
            <w:tcW w:w="355"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934</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952</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r w:rsidRPr="00781112">
              <w:rPr>
                <w:rFonts w:cs="Arial"/>
                <w:color w:val="000000" w:themeColor="text1"/>
                <w:szCs w:val="16"/>
              </w:rPr>
              <w:t>96.08%</w:t>
            </w: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98.11%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r w:rsidR="00396BA3" w:rsidRPr="00781112" w14:paraId="7455692E" w14:textId="77777777" w:rsidTr="0047313F">
        <w:tc>
          <w:tcPr>
            <w:tcW w:w="355"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1,728</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1,805</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r w:rsidRPr="00781112">
              <w:rPr>
                <w:rFonts w:cs="Arial"/>
                <w:color w:val="000000" w:themeColor="text1"/>
                <w:szCs w:val="16"/>
              </w:rPr>
              <w:t>93.30%</w:t>
            </w: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95.00%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95.73%</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Met target</w:t>
            </w:r>
          </w:p>
        </w:tc>
        <w:tc>
          <w:tcPr>
            <w:tcW w:w="466"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No Slippage</w:t>
            </w:r>
          </w:p>
        </w:tc>
      </w:tr>
    </w:tbl>
    <w:p w14:paraId="4D76CCAA" w14:textId="77777777" w:rsidR="007A7E93" w:rsidRPr="00781112" w:rsidRDefault="007A7E93">
      <w:pPr>
        <w:spacing w:before="0" w:after="200" w:line="276" w:lineRule="auto"/>
        <w:rPr>
          <w:b/>
          <w:color w:val="000000" w:themeColor="text1"/>
        </w:rPr>
      </w:pPr>
    </w:p>
    <w:p w14:paraId="68F24FCA" w14:textId="439BA8D0" w:rsidR="00F17D5E" w:rsidRPr="00781112" w:rsidRDefault="0047313F" w:rsidP="00F17D5E">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47313F" w:rsidRPr="00781112" w14:paraId="681A67CD" w14:textId="77777777" w:rsidTr="00360DD6">
        <w:trPr>
          <w:tblHeader/>
        </w:trPr>
        <w:tc>
          <w:tcPr>
            <w:tcW w:w="331" w:type="pct"/>
            <w:shd w:val="clear" w:color="auto" w:fill="auto"/>
            <w:vAlign w:val="bottom"/>
          </w:tcPr>
          <w:p w14:paraId="32EBDF09" w14:textId="77777777" w:rsidR="0047313F" w:rsidRPr="00781112" w:rsidRDefault="0047313F" w:rsidP="0047313F">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47313F" w:rsidRPr="00781112" w:rsidRDefault="0047313F" w:rsidP="0047313F">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47313F" w:rsidRPr="00781112" w:rsidRDefault="0047313F" w:rsidP="0047313F">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47313F" w:rsidRPr="00781112" w:rsidRDefault="0047313F" w:rsidP="0047313F">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45A816FE" w:rsidR="0047313F" w:rsidRPr="00073BD7" w:rsidRDefault="0047313F" w:rsidP="0047313F">
            <w:pPr>
              <w:jc w:val="center"/>
              <w:rPr>
                <w:b/>
                <w:bCs/>
                <w:color w:val="000000" w:themeColor="text1"/>
              </w:rPr>
            </w:pPr>
            <w:r w:rsidRPr="00073BD7">
              <w:rPr>
                <w:b/>
                <w:bCs/>
              </w:rPr>
              <w:t>FFY 2020 Data</w:t>
            </w:r>
          </w:p>
        </w:tc>
        <w:tc>
          <w:tcPr>
            <w:tcW w:w="468" w:type="pct"/>
            <w:shd w:val="clear" w:color="auto" w:fill="auto"/>
            <w:vAlign w:val="bottom"/>
          </w:tcPr>
          <w:p w14:paraId="681C20C6" w14:textId="5C86E989" w:rsidR="0047313F" w:rsidRPr="00073BD7" w:rsidRDefault="0047313F" w:rsidP="0047313F">
            <w:pPr>
              <w:jc w:val="center"/>
              <w:rPr>
                <w:b/>
                <w:bCs/>
                <w:color w:val="000000" w:themeColor="text1"/>
              </w:rPr>
            </w:pPr>
            <w:r w:rsidRPr="00073BD7">
              <w:rPr>
                <w:b/>
                <w:bCs/>
              </w:rPr>
              <w:t>FFY 2021 Target</w:t>
            </w:r>
          </w:p>
        </w:tc>
        <w:tc>
          <w:tcPr>
            <w:tcW w:w="468" w:type="pct"/>
            <w:shd w:val="clear" w:color="auto" w:fill="auto"/>
            <w:vAlign w:val="bottom"/>
          </w:tcPr>
          <w:p w14:paraId="1A223A3A" w14:textId="3EBA0FC0" w:rsidR="0047313F" w:rsidRPr="00073BD7" w:rsidRDefault="0047313F" w:rsidP="0047313F">
            <w:pPr>
              <w:jc w:val="center"/>
              <w:rPr>
                <w:b/>
                <w:bCs/>
                <w:color w:val="000000" w:themeColor="text1"/>
              </w:rPr>
            </w:pPr>
            <w:r w:rsidRPr="00073BD7">
              <w:rPr>
                <w:b/>
                <w:bCs/>
              </w:rPr>
              <w:t>FFY 2021 Data</w:t>
            </w:r>
          </w:p>
        </w:tc>
        <w:tc>
          <w:tcPr>
            <w:tcW w:w="468" w:type="pct"/>
            <w:shd w:val="clear" w:color="auto" w:fill="auto"/>
            <w:vAlign w:val="bottom"/>
          </w:tcPr>
          <w:p w14:paraId="2E2084EF" w14:textId="77777777" w:rsidR="0047313F" w:rsidRPr="00781112" w:rsidRDefault="0047313F" w:rsidP="0047313F">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47313F" w:rsidRPr="00781112" w:rsidRDefault="0047313F" w:rsidP="0047313F">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1,116</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1,124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r w:rsidRPr="00781112">
              <w:rPr>
                <w:rFonts w:cs="Arial"/>
                <w:color w:val="000000" w:themeColor="text1"/>
                <w:szCs w:val="16"/>
              </w:rPr>
              <w:t>97.03%</w:t>
            </w: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99.29%</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932</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952</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r w:rsidRPr="00781112">
              <w:rPr>
                <w:rFonts w:cs="Arial"/>
                <w:color w:val="000000" w:themeColor="text1"/>
                <w:szCs w:val="16"/>
              </w:rPr>
              <w:t>95.99%</w:t>
            </w: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97.90%</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1,737</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1,805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r w:rsidRPr="00781112">
              <w:rPr>
                <w:rFonts w:cs="Arial"/>
                <w:color w:val="000000" w:themeColor="text1"/>
                <w:szCs w:val="16"/>
              </w:rPr>
              <w:t>93.65%</w:t>
            </w: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95.00%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96.23%</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Met target</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No Slippage</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 xml:space="preserve">https://edu.wyoming.gov/data/assessment-reports. NOTE: the participation rate </w:t>
      </w:r>
      <w:proofErr w:type="gramStart"/>
      <w:r w:rsidRPr="00781112">
        <w:rPr>
          <w:rFonts w:cs="Arial"/>
          <w:color w:val="000000" w:themeColor="text1"/>
          <w:szCs w:val="16"/>
        </w:rPr>
        <w:t>is displayed</w:t>
      </w:r>
      <w:proofErr w:type="gramEnd"/>
      <w:r w:rsidRPr="00781112">
        <w:rPr>
          <w:rFonts w:cs="Arial"/>
          <w:color w:val="000000" w:themeColor="text1"/>
          <w:szCs w:val="16"/>
        </w:rPr>
        <w:t xml:space="preserve"> in the assessment results reports.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11"/>
      <w:bookmarkEnd w:id="12"/>
    </w:p>
    <w:p w14:paraId="66C662B8" w14:textId="77777777" w:rsidR="007C3C89" w:rsidRPr="00781112" w:rsidRDefault="007C3C89" w:rsidP="00A018D4">
      <w:pPr>
        <w:rPr>
          <w:color w:val="000000" w:themeColor="text1"/>
          <w:szCs w:val="20"/>
        </w:rPr>
      </w:pPr>
      <w:bookmarkStart w:id="14"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 xml:space="preserve">Proficiency rate percent = [(# of children with IEPs scoring at or above proficient against grade level academic achievement standards) divided by the (total # of children with IEPs who received a valid score and for whom a proficiency level </w:t>
      </w:r>
      <w:proofErr w:type="gramStart"/>
      <w:r w:rsidR="001B1437" w:rsidRPr="00781112">
        <w:rPr>
          <w:rFonts w:cs="Arial"/>
          <w:szCs w:val="16"/>
        </w:rPr>
        <w:t>was assigned</w:t>
      </w:r>
      <w:proofErr w:type="gramEnd"/>
      <w:r w:rsidR="001B1437" w:rsidRPr="00781112">
        <w:rPr>
          <w:rFonts w:cs="Arial"/>
          <w:szCs w:val="16"/>
        </w:rPr>
        <w:t xml:space="preserve">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4"/>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19.69%</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16.88%</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12.47%</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21.63%</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11.76%</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7.24%</w:t>
            </w:r>
          </w:p>
        </w:tc>
      </w:tr>
    </w:tbl>
    <w:p w14:paraId="59FDF599" w14:textId="77777777" w:rsidR="00E87854" w:rsidRPr="00781112" w:rsidRDefault="00E87854" w:rsidP="004369B2">
      <w:pPr>
        <w:rPr>
          <w:b/>
          <w:color w:val="000000" w:themeColor="text1"/>
        </w:rPr>
      </w:pPr>
    </w:p>
    <w:p w14:paraId="4E5C7995" w14:textId="4B1994AB" w:rsidR="004D0044" w:rsidRPr="00781112" w:rsidRDefault="00AA3A41" w:rsidP="00AA3A41">
      <w:pPr>
        <w:tabs>
          <w:tab w:val="left" w:pos="2145"/>
        </w:tabs>
        <w:rPr>
          <w:color w:val="000000" w:themeColor="text1"/>
        </w:rPr>
      </w:pPr>
      <w:r>
        <w:rPr>
          <w:color w:val="000000" w:themeColor="text1"/>
        </w:rPr>
        <w:tab/>
      </w:r>
    </w:p>
    <w:p w14:paraId="38F110A8" w14:textId="3014A321" w:rsidR="00E539AB" w:rsidRPr="00781112" w:rsidRDefault="00E539AB" w:rsidP="004369B2">
      <w:pPr>
        <w:rPr>
          <w:b/>
          <w:color w:val="000000" w:themeColor="text1"/>
        </w:rPr>
      </w:pPr>
      <w:r w:rsidRPr="00781112">
        <w:rPr>
          <w:b/>
          <w:color w:val="000000" w:themeColor="text1"/>
        </w:rPr>
        <w:t>Targets</w:t>
      </w:r>
    </w:p>
    <w:tbl>
      <w:tblPr>
        <w:tblW w:w="44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tblGrid>
      <w:tr w:rsidR="00B14519" w:rsidRPr="00781112" w14:paraId="241559C7" w14:textId="3976E689" w:rsidTr="00451D7E">
        <w:tc>
          <w:tcPr>
            <w:tcW w:w="624" w:type="pct"/>
            <w:tcBorders>
              <w:bottom w:val="single" w:sz="4" w:space="0" w:color="auto"/>
            </w:tcBorders>
            <w:shd w:val="clear" w:color="auto" w:fill="auto"/>
            <w:vAlign w:val="center"/>
          </w:tcPr>
          <w:p w14:paraId="5F6C0247" w14:textId="02A2F5D1" w:rsidR="00B14519" w:rsidRPr="00781112" w:rsidRDefault="00B14519" w:rsidP="00536B0B">
            <w:pPr>
              <w:jc w:val="center"/>
              <w:rPr>
                <w:b/>
                <w:color w:val="000000" w:themeColor="text1"/>
              </w:rPr>
            </w:pPr>
            <w:r w:rsidRPr="00781112">
              <w:rPr>
                <w:b/>
                <w:color w:val="000000" w:themeColor="text1"/>
              </w:rPr>
              <w:t>Subject</w:t>
            </w:r>
          </w:p>
        </w:tc>
        <w:tc>
          <w:tcPr>
            <w:tcW w:w="625" w:type="pct"/>
            <w:tcBorders>
              <w:bottom w:val="single" w:sz="4" w:space="0" w:color="auto"/>
            </w:tcBorders>
            <w:shd w:val="clear" w:color="auto" w:fill="auto"/>
            <w:vAlign w:val="center"/>
          </w:tcPr>
          <w:p w14:paraId="1318C08B" w14:textId="57349DD9" w:rsidR="00B14519" w:rsidRPr="00781112" w:rsidRDefault="00B14519" w:rsidP="00536B0B">
            <w:pPr>
              <w:jc w:val="center"/>
              <w:rPr>
                <w:b/>
                <w:color w:val="000000" w:themeColor="text1"/>
              </w:rPr>
            </w:pPr>
            <w:r w:rsidRPr="00781112">
              <w:rPr>
                <w:b/>
                <w:color w:val="000000" w:themeColor="text1"/>
              </w:rPr>
              <w:t>Group</w:t>
            </w:r>
          </w:p>
        </w:tc>
        <w:tc>
          <w:tcPr>
            <w:tcW w:w="625" w:type="pct"/>
            <w:shd w:val="clear" w:color="auto" w:fill="auto"/>
            <w:vAlign w:val="center"/>
          </w:tcPr>
          <w:p w14:paraId="7EAB09FA" w14:textId="030EC418" w:rsidR="00B14519" w:rsidRPr="00781112" w:rsidDel="008E7B87" w:rsidRDefault="00B14519" w:rsidP="00536B0B">
            <w:pPr>
              <w:jc w:val="center"/>
              <w:rPr>
                <w:b/>
                <w:color w:val="000000" w:themeColor="text1"/>
              </w:rPr>
            </w:pPr>
            <w:r w:rsidRPr="00781112">
              <w:rPr>
                <w:b/>
                <w:color w:val="000000" w:themeColor="text1"/>
              </w:rPr>
              <w:t>Group Name</w:t>
            </w:r>
          </w:p>
        </w:tc>
        <w:tc>
          <w:tcPr>
            <w:tcW w:w="625" w:type="pct"/>
            <w:shd w:val="clear" w:color="auto" w:fill="auto"/>
            <w:vAlign w:val="center"/>
          </w:tcPr>
          <w:p w14:paraId="547F4988" w14:textId="1F981DE2" w:rsidR="00B14519" w:rsidRPr="00781112" w:rsidRDefault="00B14519" w:rsidP="00536B0B">
            <w:pPr>
              <w:jc w:val="center"/>
              <w:rPr>
                <w:b/>
                <w:color w:val="000000" w:themeColor="text1"/>
              </w:rPr>
            </w:pPr>
            <w:r w:rsidRPr="00781112">
              <w:rPr>
                <w:b/>
                <w:color w:val="000000" w:themeColor="text1"/>
              </w:rPr>
              <w:t>2021</w:t>
            </w:r>
          </w:p>
        </w:tc>
        <w:tc>
          <w:tcPr>
            <w:tcW w:w="625" w:type="pct"/>
            <w:vAlign w:val="center"/>
          </w:tcPr>
          <w:p w14:paraId="54E0670C" w14:textId="46A8862B" w:rsidR="00B14519" w:rsidRPr="00781112" w:rsidRDefault="00B14519" w:rsidP="00536B0B">
            <w:pPr>
              <w:jc w:val="center"/>
              <w:rPr>
                <w:b/>
                <w:color w:val="000000" w:themeColor="text1"/>
              </w:rPr>
            </w:pPr>
            <w:r w:rsidRPr="00781112">
              <w:rPr>
                <w:rFonts w:cs="Arial"/>
                <w:b/>
                <w:color w:val="000000" w:themeColor="text1"/>
                <w:szCs w:val="16"/>
              </w:rPr>
              <w:t>2022</w:t>
            </w:r>
          </w:p>
        </w:tc>
        <w:tc>
          <w:tcPr>
            <w:tcW w:w="625" w:type="pct"/>
            <w:vAlign w:val="center"/>
          </w:tcPr>
          <w:p w14:paraId="0317CAEF" w14:textId="4A2FF736" w:rsidR="00B14519" w:rsidRPr="00781112" w:rsidRDefault="00B14519" w:rsidP="00536B0B">
            <w:pPr>
              <w:jc w:val="center"/>
              <w:rPr>
                <w:b/>
                <w:color w:val="000000" w:themeColor="text1"/>
              </w:rPr>
            </w:pPr>
            <w:r w:rsidRPr="00781112">
              <w:rPr>
                <w:rFonts w:cs="Arial"/>
                <w:b/>
                <w:color w:val="000000" w:themeColor="text1"/>
                <w:szCs w:val="16"/>
              </w:rPr>
              <w:t>2023</w:t>
            </w:r>
          </w:p>
        </w:tc>
        <w:tc>
          <w:tcPr>
            <w:tcW w:w="625" w:type="pct"/>
            <w:vAlign w:val="center"/>
          </w:tcPr>
          <w:p w14:paraId="20B86A7A" w14:textId="2D2BB96C" w:rsidR="00B14519" w:rsidRPr="00781112" w:rsidRDefault="00B14519" w:rsidP="00536B0B">
            <w:pPr>
              <w:jc w:val="center"/>
              <w:rPr>
                <w:b/>
                <w:color w:val="000000" w:themeColor="text1"/>
              </w:rPr>
            </w:pPr>
            <w:r w:rsidRPr="00781112">
              <w:rPr>
                <w:rFonts w:cs="Arial"/>
                <w:b/>
                <w:color w:val="000000" w:themeColor="text1"/>
                <w:szCs w:val="16"/>
              </w:rPr>
              <w:t>2024</w:t>
            </w:r>
          </w:p>
        </w:tc>
        <w:tc>
          <w:tcPr>
            <w:tcW w:w="625" w:type="pct"/>
            <w:vAlign w:val="center"/>
          </w:tcPr>
          <w:p w14:paraId="076A0812" w14:textId="01751FCE" w:rsidR="00B14519" w:rsidRPr="00781112" w:rsidRDefault="00B14519" w:rsidP="00536B0B">
            <w:pPr>
              <w:jc w:val="center"/>
              <w:rPr>
                <w:b/>
                <w:color w:val="000000" w:themeColor="text1"/>
              </w:rPr>
            </w:pPr>
            <w:r w:rsidRPr="00781112">
              <w:rPr>
                <w:rFonts w:cs="Arial"/>
                <w:b/>
                <w:color w:val="000000" w:themeColor="text1"/>
                <w:szCs w:val="16"/>
              </w:rPr>
              <w:t>2025</w:t>
            </w:r>
          </w:p>
        </w:tc>
      </w:tr>
      <w:tr w:rsidR="00B14519" w:rsidRPr="00781112" w14:paraId="6D8B6989" w14:textId="160D0375" w:rsidTr="00451D7E">
        <w:tc>
          <w:tcPr>
            <w:tcW w:w="624" w:type="pct"/>
            <w:shd w:val="clear" w:color="auto" w:fill="auto"/>
            <w:vAlign w:val="center"/>
          </w:tcPr>
          <w:p w14:paraId="1B70FAC0" w14:textId="0849CE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6221F405" w14:textId="189877A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6D2C8AC8" w14:textId="0101FADC"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1794FDC8" w14:textId="2C32479D" w:rsidR="00B14519" w:rsidRPr="00781112" w:rsidRDefault="00B14519" w:rsidP="004E5C74">
            <w:pPr>
              <w:jc w:val="center"/>
              <w:rPr>
                <w:rFonts w:cs="Arial"/>
                <w:color w:val="000000" w:themeColor="text1"/>
                <w:szCs w:val="16"/>
              </w:rPr>
            </w:pPr>
            <w:r w:rsidRPr="00781112">
              <w:rPr>
                <w:rFonts w:cs="Arial"/>
                <w:color w:val="000000" w:themeColor="text1"/>
                <w:szCs w:val="16"/>
              </w:rPr>
              <w:t>19.69%</w:t>
            </w:r>
          </w:p>
        </w:tc>
        <w:tc>
          <w:tcPr>
            <w:tcW w:w="625" w:type="pct"/>
            <w:vAlign w:val="center"/>
          </w:tcPr>
          <w:p w14:paraId="609A7D0F" w14:textId="138D9671" w:rsidR="00B14519" w:rsidRPr="00781112" w:rsidRDefault="00B14519" w:rsidP="004E5C74">
            <w:pPr>
              <w:jc w:val="center"/>
              <w:rPr>
                <w:rFonts w:cs="Arial"/>
                <w:color w:val="000000" w:themeColor="text1"/>
                <w:szCs w:val="16"/>
              </w:rPr>
            </w:pPr>
            <w:r w:rsidRPr="00781112">
              <w:rPr>
                <w:rFonts w:cs="Arial"/>
                <w:color w:val="000000" w:themeColor="text1"/>
                <w:szCs w:val="16"/>
              </w:rPr>
              <w:t>19.92%</w:t>
            </w:r>
          </w:p>
        </w:tc>
        <w:tc>
          <w:tcPr>
            <w:tcW w:w="625" w:type="pct"/>
            <w:vAlign w:val="center"/>
          </w:tcPr>
          <w:p w14:paraId="3DF1FAFA" w14:textId="4C333171" w:rsidR="00B14519" w:rsidRPr="00781112" w:rsidRDefault="00B14519" w:rsidP="004E5C74">
            <w:pPr>
              <w:jc w:val="center"/>
              <w:rPr>
                <w:rFonts w:cs="Arial"/>
                <w:color w:val="000000" w:themeColor="text1"/>
                <w:szCs w:val="16"/>
              </w:rPr>
            </w:pPr>
            <w:r w:rsidRPr="00781112">
              <w:rPr>
                <w:rFonts w:cs="Arial"/>
                <w:color w:val="000000" w:themeColor="text1"/>
                <w:szCs w:val="16"/>
              </w:rPr>
              <w:t>20.14%</w:t>
            </w:r>
          </w:p>
        </w:tc>
        <w:tc>
          <w:tcPr>
            <w:tcW w:w="625" w:type="pct"/>
            <w:vAlign w:val="center"/>
          </w:tcPr>
          <w:p w14:paraId="77B3DA55" w14:textId="44F9C6DA" w:rsidR="00B14519" w:rsidRPr="00781112" w:rsidRDefault="00B14519" w:rsidP="004E5C74">
            <w:pPr>
              <w:jc w:val="center"/>
              <w:rPr>
                <w:rFonts w:cs="Arial"/>
                <w:color w:val="000000" w:themeColor="text1"/>
                <w:szCs w:val="16"/>
              </w:rPr>
            </w:pPr>
            <w:r w:rsidRPr="00781112">
              <w:rPr>
                <w:rFonts w:cs="Arial"/>
                <w:color w:val="000000" w:themeColor="text1"/>
                <w:szCs w:val="16"/>
              </w:rPr>
              <w:t>20.60%</w:t>
            </w:r>
          </w:p>
        </w:tc>
        <w:tc>
          <w:tcPr>
            <w:tcW w:w="625" w:type="pct"/>
            <w:vAlign w:val="center"/>
          </w:tcPr>
          <w:p w14:paraId="59DDD0B3" w14:textId="64292362" w:rsidR="00B14519" w:rsidRPr="00781112" w:rsidRDefault="00B14519" w:rsidP="004E5C74">
            <w:pPr>
              <w:jc w:val="center"/>
              <w:rPr>
                <w:rFonts w:cs="Arial"/>
                <w:color w:val="000000" w:themeColor="text1"/>
                <w:szCs w:val="16"/>
              </w:rPr>
            </w:pPr>
            <w:r w:rsidRPr="00781112">
              <w:rPr>
                <w:rFonts w:cs="Arial"/>
                <w:color w:val="000000" w:themeColor="text1"/>
                <w:szCs w:val="16"/>
              </w:rPr>
              <w:t>21.50%</w:t>
            </w:r>
          </w:p>
        </w:tc>
      </w:tr>
      <w:tr w:rsidR="00B14519" w:rsidRPr="00781112" w14:paraId="6BD665D1" w14:textId="5FDF63E7" w:rsidTr="00451D7E">
        <w:tc>
          <w:tcPr>
            <w:tcW w:w="624" w:type="pct"/>
            <w:shd w:val="clear" w:color="auto" w:fill="auto"/>
            <w:vAlign w:val="center"/>
          </w:tcPr>
          <w:p w14:paraId="2A84087F" w14:textId="4E8F4953"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646C0D6" w14:textId="23685D2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67079A1D" w14:textId="08C9FD02"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03609D46" w14:textId="75CA57B6" w:rsidR="00B14519" w:rsidRPr="00781112" w:rsidRDefault="00B14519" w:rsidP="004E5C74">
            <w:pPr>
              <w:jc w:val="center"/>
              <w:rPr>
                <w:rFonts w:cs="Arial"/>
                <w:color w:val="000000" w:themeColor="text1"/>
                <w:szCs w:val="16"/>
              </w:rPr>
            </w:pPr>
            <w:r w:rsidRPr="00781112">
              <w:rPr>
                <w:rFonts w:cs="Arial"/>
                <w:color w:val="000000" w:themeColor="text1"/>
                <w:szCs w:val="16"/>
              </w:rPr>
              <w:t>16.88%</w:t>
            </w:r>
          </w:p>
        </w:tc>
        <w:tc>
          <w:tcPr>
            <w:tcW w:w="625" w:type="pct"/>
            <w:vAlign w:val="center"/>
          </w:tcPr>
          <w:p w14:paraId="08D72C36" w14:textId="2621CBFF" w:rsidR="00B14519" w:rsidRPr="00781112" w:rsidRDefault="00B14519" w:rsidP="004E5C74">
            <w:pPr>
              <w:jc w:val="center"/>
              <w:rPr>
                <w:rFonts w:cs="Arial"/>
                <w:color w:val="000000" w:themeColor="text1"/>
                <w:szCs w:val="16"/>
              </w:rPr>
            </w:pPr>
            <w:r w:rsidRPr="00781112">
              <w:rPr>
                <w:rFonts w:cs="Arial"/>
                <w:color w:val="000000" w:themeColor="text1"/>
                <w:szCs w:val="16"/>
              </w:rPr>
              <w:t>17.27%</w:t>
            </w:r>
          </w:p>
        </w:tc>
        <w:tc>
          <w:tcPr>
            <w:tcW w:w="625" w:type="pct"/>
            <w:vAlign w:val="center"/>
          </w:tcPr>
          <w:p w14:paraId="60E9FAA2" w14:textId="0E1508C1" w:rsidR="00B14519" w:rsidRPr="00781112" w:rsidRDefault="00B14519" w:rsidP="004E5C74">
            <w:pPr>
              <w:jc w:val="center"/>
              <w:rPr>
                <w:rFonts w:cs="Arial"/>
                <w:color w:val="000000" w:themeColor="text1"/>
                <w:szCs w:val="16"/>
              </w:rPr>
            </w:pPr>
            <w:r w:rsidRPr="00781112">
              <w:rPr>
                <w:rFonts w:cs="Arial"/>
                <w:color w:val="000000" w:themeColor="text1"/>
                <w:szCs w:val="16"/>
              </w:rPr>
              <w:t>17.66%</w:t>
            </w:r>
          </w:p>
        </w:tc>
        <w:tc>
          <w:tcPr>
            <w:tcW w:w="625" w:type="pct"/>
            <w:vAlign w:val="center"/>
          </w:tcPr>
          <w:p w14:paraId="55ED1028" w14:textId="05411637" w:rsidR="00B14519" w:rsidRPr="00781112" w:rsidRDefault="00B14519" w:rsidP="004E5C74">
            <w:pPr>
              <w:jc w:val="center"/>
              <w:rPr>
                <w:rFonts w:cs="Arial"/>
                <w:color w:val="000000" w:themeColor="text1"/>
                <w:szCs w:val="16"/>
              </w:rPr>
            </w:pPr>
            <w:r w:rsidRPr="00781112">
              <w:rPr>
                <w:rFonts w:cs="Arial"/>
                <w:color w:val="000000" w:themeColor="text1"/>
                <w:szCs w:val="16"/>
              </w:rPr>
              <w:t>18.44%</w:t>
            </w:r>
          </w:p>
        </w:tc>
        <w:tc>
          <w:tcPr>
            <w:tcW w:w="625" w:type="pct"/>
            <w:vAlign w:val="center"/>
          </w:tcPr>
          <w:p w14:paraId="3D7C28F8" w14:textId="2CE26657" w:rsidR="00B14519" w:rsidRPr="00781112" w:rsidRDefault="00B14519" w:rsidP="004E5C74">
            <w:pPr>
              <w:jc w:val="center"/>
              <w:rPr>
                <w:rFonts w:cs="Arial"/>
                <w:color w:val="000000" w:themeColor="text1"/>
                <w:szCs w:val="16"/>
              </w:rPr>
            </w:pPr>
            <w:r w:rsidRPr="00781112">
              <w:rPr>
                <w:rFonts w:cs="Arial"/>
                <w:color w:val="000000" w:themeColor="text1"/>
                <w:szCs w:val="16"/>
              </w:rPr>
              <w:t>20.00%</w:t>
            </w:r>
          </w:p>
        </w:tc>
      </w:tr>
      <w:tr w:rsidR="00B14519" w:rsidRPr="00781112" w14:paraId="7A08D372" w14:textId="5FBBCE88" w:rsidTr="00451D7E">
        <w:tc>
          <w:tcPr>
            <w:tcW w:w="624" w:type="pct"/>
            <w:shd w:val="clear" w:color="auto" w:fill="auto"/>
            <w:vAlign w:val="center"/>
          </w:tcPr>
          <w:p w14:paraId="3C8DF435" w14:textId="69FCCDF1"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Reading</w:t>
            </w:r>
          </w:p>
        </w:tc>
        <w:tc>
          <w:tcPr>
            <w:tcW w:w="625" w:type="pct"/>
            <w:shd w:val="clear" w:color="auto" w:fill="auto"/>
            <w:vAlign w:val="center"/>
          </w:tcPr>
          <w:p w14:paraId="2CDE7790" w14:textId="3B90C904"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69727A60" w14:textId="2476755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6D9D8EC6" w14:textId="3C7C8315" w:rsidR="00B14519" w:rsidRPr="00781112" w:rsidRDefault="00B14519" w:rsidP="004E5C74">
            <w:pPr>
              <w:jc w:val="center"/>
              <w:rPr>
                <w:rFonts w:cs="Arial"/>
                <w:color w:val="000000" w:themeColor="text1"/>
                <w:szCs w:val="16"/>
              </w:rPr>
            </w:pPr>
            <w:r w:rsidRPr="00781112">
              <w:rPr>
                <w:rFonts w:cs="Arial"/>
                <w:color w:val="000000" w:themeColor="text1"/>
                <w:szCs w:val="16"/>
              </w:rPr>
              <w:t>12.47%</w:t>
            </w:r>
          </w:p>
        </w:tc>
        <w:tc>
          <w:tcPr>
            <w:tcW w:w="625" w:type="pct"/>
            <w:vAlign w:val="center"/>
          </w:tcPr>
          <w:p w14:paraId="6F53672D" w14:textId="674E45B1" w:rsidR="00B14519" w:rsidRPr="00781112" w:rsidRDefault="00B14519" w:rsidP="004E5C74">
            <w:pPr>
              <w:jc w:val="center"/>
              <w:rPr>
                <w:rFonts w:cs="Arial"/>
                <w:color w:val="000000" w:themeColor="text1"/>
                <w:szCs w:val="16"/>
              </w:rPr>
            </w:pPr>
            <w:r w:rsidRPr="00781112">
              <w:rPr>
                <w:rFonts w:cs="Arial"/>
                <w:color w:val="000000" w:themeColor="text1"/>
                <w:szCs w:val="16"/>
              </w:rPr>
              <w:t>12.85%</w:t>
            </w:r>
          </w:p>
        </w:tc>
        <w:tc>
          <w:tcPr>
            <w:tcW w:w="625" w:type="pct"/>
            <w:vAlign w:val="center"/>
          </w:tcPr>
          <w:p w14:paraId="1E839895" w14:textId="3633076A" w:rsidR="00B14519" w:rsidRPr="00781112" w:rsidRDefault="00B14519" w:rsidP="004E5C74">
            <w:pPr>
              <w:jc w:val="center"/>
              <w:rPr>
                <w:rFonts w:cs="Arial"/>
                <w:color w:val="000000" w:themeColor="text1"/>
                <w:szCs w:val="16"/>
              </w:rPr>
            </w:pPr>
            <w:r w:rsidRPr="00781112">
              <w:rPr>
                <w:rFonts w:cs="Arial"/>
                <w:color w:val="000000" w:themeColor="text1"/>
                <w:szCs w:val="16"/>
              </w:rPr>
              <w:t>13.22%</w:t>
            </w:r>
          </w:p>
        </w:tc>
        <w:tc>
          <w:tcPr>
            <w:tcW w:w="625" w:type="pct"/>
            <w:vAlign w:val="center"/>
          </w:tcPr>
          <w:p w14:paraId="64501470" w14:textId="22292C16" w:rsidR="00B14519" w:rsidRPr="00781112" w:rsidRDefault="00B14519" w:rsidP="004E5C74">
            <w:pPr>
              <w:jc w:val="center"/>
              <w:rPr>
                <w:rFonts w:cs="Arial"/>
                <w:color w:val="000000" w:themeColor="text1"/>
                <w:szCs w:val="16"/>
              </w:rPr>
            </w:pPr>
            <w:r w:rsidRPr="00781112">
              <w:rPr>
                <w:rFonts w:cs="Arial"/>
                <w:color w:val="000000" w:themeColor="text1"/>
                <w:szCs w:val="16"/>
              </w:rPr>
              <w:t>13.98%</w:t>
            </w:r>
          </w:p>
        </w:tc>
        <w:tc>
          <w:tcPr>
            <w:tcW w:w="625" w:type="pct"/>
            <w:vAlign w:val="center"/>
          </w:tcPr>
          <w:p w14:paraId="0CF7FF79" w14:textId="48B4AF2C" w:rsidR="00B14519" w:rsidRPr="00781112" w:rsidRDefault="00B14519" w:rsidP="004E5C74">
            <w:pPr>
              <w:jc w:val="center"/>
              <w:rPr>
                <w:rFonts w:cs="Arial"/>
                <w:color w:val="000000" w:themeColor="text1"/>
                <w:szCs w:val="16"/>
              </w:rPr>
            </w:pPr>
            <w:r w:rsidRPr="00781112">
              <w:rPr>
                <w:rFonts w:cs="Arial"/>
                <w:color w:val="000000" w:themeColor="text1"/>
                <w:szCs w:val="16"/>
              </w:rPr>
              <w:t>15.50%</w:t>
            </w:r>
          </w:p>
        </w:tc>
      </w:tr>
      <w:tr w:rsidR="00B14519" w:rsidRPr="00781112" w14:paraId="734BCCC4" w14:textId="02B757A8" w:rsidTr="00451D7E">
        <w:tc>
          <w:tcPr>
            <w:tcW w:w="624" w:type="pct"/>
            <w:shd w:val="clear" w:color="auto" w:fill="auto"/>
            <w:vAlign w:val="center"/>
          </w:tcPr>
          <w:p w14:paraId="20286AC8" w14:textId="018C9C4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185C8DA8" w14:textId="625489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A &gt;=</w:t>
            </w:r>
          </w:p>
        </w:tc>
        <w:tc>
          <w:tcPr>
            <w:tcW w:w="625" w:type="pct"/>
            <w:shd w:val="clear" w:color="auto" w:fill="auto"/>
            <w:vAlign w:val="center"/>
          </w:tcPr>
          <w:p w14:paraId="16FD84A2" w14:textId="1BD2010B"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4</w:t>
            </w:r>
          </w:p>
        </w:tc>
        <w:tc>
          <w:tcPr>
            <w:tcW w:w="625" w:type="pct"/>
            <w:shd w:val="clear" w:color="auto" w:fill="auto"/>
            <w:vAlign w:val="center"/>
          </w:tcPr>
          <w:p w14:paraId="0005999A" w14:textId="601F796F" w:rsidR="00B14519" w:rsidRPr="00781112" w:rsidRDefault="00B14519" w:rsidP="004E5C74">
            <w:pPr>
              <w:jc w:val="center"/>
              <w:rPr>
                <w:rFonts w:cs="Arial"/>
                <w:color w:val="000000" w:themeColor="text1"/>
                <w:szCs w:val="16"/>
              </w:rPr>
            </w:pPr>
            <w:r w:rsidRPr="00781112">
              <w:rPr>
                <w:rFonts w:cs="Arial"/>
                <w:color w:val="000000" w:themeColor="text1"/>
                <w:szCs w:val="16"/>
              </w:rPr>
              <w:t>21.63%</w:t>
            </w:r>
          </w:p>
        </w:tc>
        <w:tc>
          <w:tcPr>
            <w:tcW w:w="625" w:type="pct"/>
            <w:vAlign w:val="center"/>
          </w:tcPr>
          <w:p w14:paraId="2ADA59C0" w14:textId="7F027C54" w:rsidR="00B14519" w:rsidRPr="00781112" w:rsidRDefault="00B14519" w:rsidP="004E5C74">
            <w:pPr>
              <w:jc w:val="center"/>
              <w:rPr>
                <w:rFonts w:cs="Arial"/>
                <w:color w:val="000000" w:themeColor="text1"/>
                <w:szCs w:val="16"/>
              </w:rPr>
            </w:pPr>
            <w:r w:rsidRPr="00781112">
              <w:rPr>
                <w:rFonts w:cs="Arial"/>
                <w:color w:val="000000" w:themeColor="text1"/>
                <w:szCs w:val="16"/>
              </w:rPr>
              <w:t>21.87%</w:t>
            </w:r>
          </w:p>
        </w:tc>
        <w:tc>
          <w:tcPr>
            <w:tcW w:w="625" w:type="pct"/>
            <w:vAlign w:val="center"/>
          </w:tcPr>
          <w:p w14:paraId="63258519" w14:textId="524B5DC2" w:rsidR="00B14519" w:rsidRPr="00781112" w:rsidRDefault="00B14519" w:rsidP="004E5C74">
            <w:pPr>
              <w:jc w:val="center"/>
              <w:rPr>
                <w:rFonts w:cs="Arial"/>
                <w:color w:val="000000" w:themeColor="text1"/>
                <w:szCs w:val="16"/>
              </w:rPr>
            </w:pPr>
            <w:r w:rsidRPr="00781112">
              <w:rPr>
                <w:rFonts w:cs="Arial"/>
                <w:color w:val="000000" w:themeColor="text1"/>
                <w:szCs w:val="16"/>
              </w:rPr>
              <w:t>22.10%</w:t>
            </w:r>
          </w:p>
        </w:tc>
        <w:tc>
          <w:tcPr>
            <w:tcW w:w="625" w:type="pct"/>
            <w:vAlign w:val="center"/>
          </w:tcPr>
          <w:p w14:paraId="4B2BD04F" w14:textId="59A32E65" w:rsidR="00B14519" w:rsidRPr="00781112" w:rsidRDefault="00B14519" w:rsidP="004E5C74">
            <w:pPr>
              <w:jc w:val="center"/>
              <w:rPr>
                <w:rFonts w:cs="Arial"/>
                <w:color w:val="000000" w:themeColor="text1"/>
                <w:szCs w:val="16"/>
              </w:rPr>
            </w:pPr>
            <w:r w:rsidRPr="00781112">
              <w:rPr>
                <w:rFonts w:cs="Arial"/>
                <w:color w:val="000000" w:themeColor="text1"/>
                <w:szCs w:val="16"/>
              </w:rPr>
              <w:t>22.57%</w:t>
            </w:r>
          </w:p>
        </w:tc>
        <w:tc>
          <w:tcPr>
            <w:tcW w:w="625" w:type="pct"/>
            <w:vAlign w:val="center"/>
          </w:tcPr>
          <w:p w14:paraId="2E366D74" w14:textId="47D73C6E" w:rsidR="00B14519" w:rsidRPr="00781112" w:rsidRDefault="00B14519" w:rsidP="004E5C74">
            <w:pPr>
              <w:jc w:val="center"/>
              <w:rPr>
                <w:rFonts w:cs="Arial"/>
                <w:color w:val="000000" w:themeColor="text1"/>
                <w:szCs w:val="16"/>
              </w:rPr>
            </w:pPr>
            <w:r w:rsidRPr="00781112">
              <w:rPr>
                <w:rFonts w:cs="Arial"/>
                <w:color w:val="000000" w:themeColor="text1"/>
                <w:szCs w:val="16"/>
              </w:rPr>
              <w:t>23.50%</w:t>
            </w:r>
          </w:p>
        </w:tc>
      </w:tr>
      <w:tr w:rsidR="00B14519" w:rsidRPr="00781112" w14:paraId="26043383" w14:textId="3D057A6F" w:rsidTr="00451D7E">
        <w:tc>
          <w:tcPr>
            <w:tcW w:w="624" w:type="pct"/>
            <w:shd w:val="clear" w:color="auto" w:fill="auto"/>
            <w:vAlign w:val="center"/>
          </w:tcPr>
          <w:p w14:paraId="2BCD3006" w14:textId="785241B2"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79B80F0C" w14:textId="52C31857"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B &gt;=</w:t>
            </w:r>
          </w:p>
        </w:tc>
        <w:tc>
          <w:tcPr>
            <w:tcW w:w="625" w:type="pct"/>
            <w:shd w:val="clear" w:color="auto" w:fill="auto"/>
            <w:vAlign w:val="center"/>
          </w:tcPr>
          <w:p w14:paraId="27B1E35D" w14:textId="336183AA"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8</w:t>
            </w:r>
          </w:p>
        </w:tc>
        <w:tc>
          <w:tcPr>
            <w:tcW w:w="625" w:type="pct"/>
            <w:shd w:val="clear" w:color="auto" w:fill="auto"/>
            <w:vAlign w:val="center"/>
          </w:tcPr>
          <w:p w14:paraId="25263A65" w14:textId="2189A9FC" w:rsidR="00B14519" w:rsidRPr="00781112" w:rsidRDefault="00B14519" w:rsidP="004E5C74">
            <w:pPr>
              <w:jc w:val="center"/>
              <w:rPr>
                <w:rFonts w:cs="Arial"/>
                <w:color w:val="000000" w:themeColor="text1"/>
                <w:szCs w:val="16"/>
              </w:rPr>
            </w:pPr>
            <w:r w:rsidRPr="00781112">
              <w:rPr>
                <w:rFonts w:cs="Arial"/>
                <w:color w:val="000000" w:themeColor="text1"/>
                <w:szCs w:val="16"/>
              </w:rPr>
              <w:t>11.76%</w:t>
            </w:r>
          </w:p>
        </w:tc>
        <w:tc>
          <w:tcPr>
            <w:tcW w:w="625" w:type="pct"/>
            <w:vAlign w:val="center"/>
          </w:tcPr>
          <w:p w14:paraId="558D49D9" w14:textId="56776B71" w:rsidR="00B14519" w:rsidRPr="00781112" w:rsidRDefault="00B14519" w:rsidP="004E5C74">
            <w:pPr>
              <w:jc w:val="center"/>
              <w:rPr>
                <w:rFonts w:cs="Arial"/>
                <w:color w:val="000000" w:themeColor="text1"/>
                <w:szCs w:val="16"/>
              </w:rPr>
            </w:pPr>
            <w:r w:rsidRPr="00781112">
              <w:rPr>
                <w:rFonts w:cs="Arial"/>
                <w:color w:val="000000" w:themeColor="text1"/>
                <w:szCs w:val="16"/>
              </w:rPr>
              <w:t>11.98%</w:t>
            </w:r>
          </w:p>
        </w:tc>
        <w:tc>
          <w:tcPr>
            <w:tcW w:w="625" w:type="pct"/>
            <w:vAlign w:val="center"/>
          </w:tcPr>
          <w:p w14:paraId="529C7F25" w14:textId="45E82B2D" w:rsidR="00B14519" w:rsidRPr="00781112" w:rsidRDefault="00B14519" w:rsidP="004E5C74">
            <w:pPr>
              <w:jc w:val="center"/>
              <w:rPr>
                <w:rFonts w:cs="Arial"/>
                <w:color w:val="000000" w:themeColor="text1"/>
                <w:szCs w:val="16"/>
              </w:rPr>
            </w:pPr>
            <w:r w:rsidRPr="00781112">
              <w:rPr>
                <w:rFonts w:cs="Arial"/>
                <w:color w:val="000000" w:themeColor="text1"/>
                <w:szCs w:val="16"/>
              </w:rPr>
              <w:t>12.19%</w:t>
            </w:r>
          </w:p>
        </w:tc>
        <w:tc>
          <w:tcPr>
            <w:tcW w:w="625" w:type="pct"/>
            <w:vAlign w:val="center"/>
          </w:tcPr>
          <w:p w14:paraId="0CD7F429" w14:textId="3C743F76" w:rsidR="00B14519" w:rsidRPr="00781112" w:rsidRDefault="00B14519" w:rsidP="004E5C74">
            <w:pPr>
              <w:jc w:val="center"/>
              <w:rPr>
                <w:rFonts w:cs="Arial"/>
                <w:color w:val="000000" w:themeColor="text1"/>
                <w:szCs w:val="16"/>
              </w:rPr>
            </w:pPr>
            <w:r w:rsidRPr="00781112">
              <w:rPr>
                <w:rFonts w:cs="Arial"/>
                <w:color w:val="000000" w:themeColor="text1"/>
                <w:szCs w:val="16"/>
              </w:rPr>
              <w:t>12.63%</w:t>
            </w:r>
          </w:p>
        </w:tc>
        <w:tc>
          <w:tcPr>
            <w:tcW w:w="625" w:type="pct"/>
            <w:vAlign w:val="center"/>
          </w:tcPr>
          <w:p w14:paraId="32C7804D" w14:textId="4585EF77" w:rsidR="00B14519" w:rsidRPr="00781112" w:rsidRDefault="00B14519" w:rsidP="004E5C74">
            <w:pPr>
              <w:jc w:val="center"/>
              <w:rPr>
                <w:rFonts w:cs="Arial"/>
                <w:color w:val="000000" w:themeColor="text1"/>
                <w:szCs w:val="16"/>
              </w:rPr>
            </w:pPr>
            <w:r w:rsidRPr="00781112">
              <w:rPr>
                <w:rFonts w:cs="Arial"/>
                <w:color w:val="000000" w:themeColor="text1"/>
                <w:szCs w:val="16"/>
              </w:rPr>
              <w:t>13.50%</w:t>
            </w:r>
          </w:p>
        </w:tc>
      </w:tr>
      <w:tr w:rsidR="00B14519" w:rsidRPr="00781112" w14:paraId="169D5323" w14:textId="1CB4A506" w:rsidTr="00451D7E">
        <w:tc>
          <w:tcPr>
            <w:tcW w:w="624" w:type="pct"/>
            <w:shd w:val="clear" w:color="auto" w:fill="auto"/>
            <w:vAlign w:val="center"/>
          </w:tcPr>
          <w:p w14:paraId="21DAE194" w14:textId="06AF539C"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Math</w:t>
            </w:r>
          </w:p>
        </w:tc>
        <w:tc>
          <w:tcPr>
            <w:tcW w:w="625" w:type="pct"/>
            <w:shd w:val="clear" w:color="auto" w:fill="auto"/>
            <w:vAlign w:val="center"/>
          </w:tcPr>
          <w:p w14:paraId="650CB8D7" w14:textId="080D022D" w:rsidR="00B14519" w:rsidRPr="00781112" w:rsidRDefault="00B14519" w:rsidP="004E5C74">
            <w:pPr>
              <w:spacing w:before="0" w:after="0"/>
              <w:jc w:val="center"/>
              <w:rPr>
                <w:rFonts w:cs="Arial"/>
                <w:color w:val="000000" w:themeColor="text1"/>
                <w:szCs w:val="16"/>
              </w:rPr>
            </w:pPr>
            <w:r w:rsidRPr="00781112">
              <w:rPr>
                <w:rFonts w:cs="Arial"/>
                <w:color w:val="000000" w:themeColor="text1"/>
                <w:szCs w:val="16"/>
              </w:rPr>
              <w:t>C &gt;=</w:t>
            </w:r>
          </w:p>
        </w:tc>
        <w:tc>
          <w:tcPr>
            <w:tcW w:w="625" w:type="pct"/>
            <w:shd w:val="clear" w:color="auto" w:fill="auto"/>
            <w:vAlign w:val="center"/>
          </w:tcPr>
          <w:p w14:paraId="45DBFB21" w14:textId="372229DD" w:rsidR="00B14519" w:rsidRPr="00781112" w:rsidDel="00DB0A73" w:rsidRDefault="00B14519" w:rsidP="004E5C74">
            <w:pPr>
              <w:jc w:val="center"/>
              <w:rPr>
                <w:rFonts w:cs="Arial"/>
                <w:color w:val="000000" w:themeColor="text1"/>
                <w:szCs w:val="16"/>
              </w:rPr>
            </w:pPr>
            <w:r w:rsidRPr="00781112">
              <w:rPr>
                <w:rFonts w:cs="Arial"/>
                <w:color w:val="000000" w:themeColor="text1"/>
                <w:szCs w:val="16"/>
              </w:rPr>
              <w:t>Grade HS</w:t>
            </w:r>
          </w:p>
        </w:tc>
        <w:tc>
          <w:tcPr>
            <w:tcW w:w="625" w:type="pct"/>
            <w:shd w:val="clear" w:color="auto" w:fill="auto"/>
            <w:vAlign w:val="center"/>
          </w:tcPr>
          <w:p w14:paraId="341BF449" w14:textId="76191C29" w:rsidR="00B14519" w:rsidRPr="00781112" w:rsidRDefault="00B14519" w:rsidP="004E5C74">
            <w:pPr>
              <w:jc w:val="center"/>
              <w:rPr>
                <w:rFonts w:cs="Arial"/>
                <w:color w:val="000000" w:themeColor="text1"/>
                <w:szCs w:val="16"/>
              </w:rPr>
            </w:pPr>
            <w:r w:rsidRPr="00781112">
              <w:rPr>
                <w:rFonts w:cs="Arial"/>
                <w:color w:val="000000" w:themeColor="text1"/>
                <w:szCs w:val="16"/>
              </w:rPr>
              <w:t>7.24%</w:t>
            </w:r>
          </w:p>
        </w:tc>
        <w:tc>
          <w:tcPr>
            <w:tcW w:w="625" w:type="pct"/>
            <w:vAlign w:val="center"/>
          </w:tcPr>
          <w:p w14:paraId="5424FF66" w14:textId="7AB6DE06" w:rsidR="00B14519" w:rsidRPr="00781112" w:rsidRDefault="00B14519" w:rsidP="004E5C74">
            <w:pPr>
              <w:jc w:val="center"/>
              <w:rPr>
                <w:rFonts w:cs="Arial"/>
                <w:color w:val="000000" w:themeColor="text1"/>
                <w:szCs w:val="16"/>
              </w:rPr>
            </w:pPr>
            <w:r w:rsidRPr="00781112">
              <w:rPr>
                <w:rFonts w:cs="Arial"/>
                <w:color w:val="000000" w:themeColor="text1"/>
                <w:szCs w:val="16"/>
              </w:rPr>
              <w:t>7.46%</w:t>
            </w:r>
          </w:p>
        </w:tc>
        <w:tc>
          <w:tcPr>
            <w:tcW w:w="625" w:type="pct"/>
            <w:vAlign w:val="center"/>
          </w:tcPr>
          <w:p w14:paraId="552DC3D3" w14:textId="79B2C0C8" w:rsidR="00B14519" w:rsidRPr="00781112" w:rsidRDefault="00B14519" w:rsidP="004E5C74">
            <w:pPr>
              <w:jc w:val="center"/>
              <w:rPr>
                <w:rFonts w:cs="Arial"/>
                <w:color w:val="000000" w:themeColor="text1"/>
                <w:szCs w:val="16"/>
              </w:rPr>
            </w:pPr>
            <w:r w:rsidRPr="00781112">
              <w:rPr>
                <w:rFonts w:cs="Arial"/>
                <w:color w:val="000000" w:themeColor="text1"/>
                <w:szCs w:val="16"/>
              </w:rPr>
              <w:t>7.68%</w:t>
            </w:r>
          </w:p>
        </w:tc>
        <w:tc>
          <w:tcPr>
            <w:tcW w:w="625" w:type="pct"/>
            <w:vAlign w:val="center"/>
          </w:tcPr>
          <w:p w14:paraId="4ECE9215" w14:textId="1D6B1BD9" w:rsidR="00B14519" w:rsidRPr="00781112" w:rsidRDefault="00B14519" w:rsidP="004E5C74">
            <w:pPr>
              <w:jc w:val="center"/>
              <w:rPr>
                <w:rFonts w:cs="Arial"/>
                <w:color w:val="000000" w:themeColor="text1"/>
                <w:szCs w:val="16"/>
              </w:rPr>
            </w:pPr>
            <w:r w:rsidRPr="00781112">
              <w:rPr>
                <w:rFonts w:cs="Arial"/>
                <w:color w:val="000000" w:themeColor="text1"/>
                <w:szCs w:val="16"/>
              </w:rPr>
              <w:t>8.12%</w:t>
            </w:r>
          </w:p>
        </w:tc>
        <w:tc>
          <w:tcPr>
            <w:tcW w:w="625" w:type="pct"/>
            <w:vAlign w:val="center"/>
          </w:tcPr>
          <w:p w14:paraId="6E3EC3AC" w14:textId="066F1EBD" w:rsidR="00B14519" w:rsidRPr="00781112" w:rsidRDefault="00B14519" w:rsidP="004E5C74">
            <w:pPr>
              <w:jc w:val="center"/>
              <w:rPr>
                <w:rFonts w:cs="Arial"/>
                <w:color w:val="000000" w:themeColor="text1"/>
                <w:szCs w:val="16"/>
              </w:rPr>
            </w:pPr>
            <w:r w:rsidRPr="00781112">
              <w:rPr>
                <w:rFonts w:cs="Arial"/>
                <w:color w:val="000000" w:themeColor="text1"/>
                <w:szCs w:val="16"/>
              </w:rPr>
              <w:t>9.00%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w:t>
      </w:r>
      <w:r w:rsidRPr="00781112">
        <w:rPr>
          <w:rFonts w:cs="Arial"/>
          <w:color w:val="000000" w:themeColor="text1"/>
          <w:szCs w:val="16"/>
        </w:rPr>
        <w:lastRenderedPageBreak/>
        <w:t xml:space="preserve">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5" w:name="_Toc392159273"/>
    </w:p>
    <w:p w14:paraId="2F64E7B3" w14:textId="74B76004" w:rsidR="00344AE0" w:rsidRPr="00781112" w:rsidRDefault="00FA33C9">
      <w:pPr>
        <w:rPr>
          <w:b/>
          <w:color w:val="000000" w:themeColor="text1"/>
        </w:rPr>
      </w:pPr>
      <w:r>
        <w:rPr>
          <w:b/>
          <w:color w:val="000000" w:themeColor="text1"/>
        </w:rPr>
        <w:t>FFY 2021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Default="002B7490" w:rsidP="00552927">
      <w:pPr>
        <w:rPr>
          <w:rFonts w:cs="Arial"/>
          <w:color w:val="000000" w:themeColor="text1"/>
          <w:szCs w:val="16"/>
        </w:rPr>
      </w:pPr>
      <w:r w:rsidRPr="00781112">
        <w:rPr>
          <w:rFonts w:cs="Arial"/>
          <w:color w:val="000000" w:themeColor="text1"/>
          <w:szCs w:val="16"/>
        </w:rPr>
        <w:t>04/05/2023</w:t>
      </w:r>
    </w:p>
    <w:p w14:paraId="14B8C416" w14:textId="77777777" w:rsidR="0039251E" w:rsidRPr="00781112" w:rsidRDefault="0039251E" w:rsidP="00552927">
      <w:pPr>
        <w:rPr>
          <w:rFonts w:cs="Arial"/>
          <w:color w:val="000000" w:themeColor="text1"/>
          <w:szCs w:val="16"/>
        </w:rPr>
      </w:pP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1,042</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847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1,569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131</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75</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119</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63</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63</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57</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04/05/2023</w:t>
      </w:r>
    </w:p>
    <w:p w14:paraId="3D9EE573" w14:textId="77777777" w:rsidR="0039251E" w:rsidRPr="00781112" w:rsidRDefault="0039251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1,042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845</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1,580</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175</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52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76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49</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30</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26</w:t>
            </w:r>
          </w:p>
        </w:tc>
      </w:tr>
      <w:bookmarkEnd w:id="15"/>
    </w:tbl>
    <w:p w14:paraId="1A4F8ED6" w14:textId="77777777" w:rsidR="00966232" w:rsidRPr="00781112" w:rsidRDefault="00966232" w:rsidP="004369B2">
      <w:pPr>
        <w:rPr>
          <w:color w:val="000000" w:themeColor="text1"/>
        </w:rPr>
      </w:pPr>
    </w:p>
    <w:p w14:paraId="78986658" w14:textId="77777777" w:rsidR="0039251E" w:rsidRDefault="0039251E">
      <w:pPr>
        <w:spacing w:before="0" w:after="200" w:line="276" w:lineRule="auto"/>
        <w:rPr>
          <w:b/>
          <w:color w:val="000000" w:themeColor="text1"/>
        </w:rPr>
      </w:pPr>
      <w:r>
        <w:rPr>
          <w:b/>
          <w:color w:val="000000" w:themeColor="text1"/>
        </w:rPr>
        <w:br w:type="page"/>
      </w:r>
    </w:p>
    <w:p w14:paraId="1E1876C6" w14:textId="13D54A84" w:rsidR="00E539AB" w:rsidRPr="00781112" w:rsidRDefault="0047313F" w:rsidP="004369B2">
      <w:pPr>
        <w:rPr>
          <w:b/>
          <w:color w:val="000000" w:themeColor="text1"/>
        </w:rPr>
      </w:pPr>
      <w:r>
        <w:rPr>
          <w:b/>
          <w:color w:val="000000" w:themeColor="text1"/>
        </w:rPr>
        <w:lastRenderedPageBreak/>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FA33C9" w:rsidRPr="00781112" w14:paraId="52CF9222" w14:textId="5C9FC6C2" w:rsidTr="004B3F40">
        <w:trPr>
          <w:tblHeader/>
        </w:trPr>
        <w:tc>
          <w:tcPr>
            <w:tcW w:w="198" w:type="pct"/>
            <w:shd w:val="clear" w:color="auto" w:fill="auto"/>
            <w:vAlign w:val="bottom"/>
          </w:tcPr>
          <w:p w14:paraId="5B0C0A4E" w14:textId="31160362" w:rsidR="00FA33C9" w:rsidRPr="00781112" w:rsidRDefault="00FA33C9" w:rsidP="00FA33C9">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FA33C9" w:rsidRPr="00781112" w:rsidRDefault="00FA33C9" w:rsidP="00FA33C9">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FA33C9" w:rsidRPr="00781112" w:rsidRDefault="00FA33C9" w:rsidP="00FA33C9">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FA33C9" w:rsidRPr="00781112" w:rsidRDefault="00FA33C9" w:rsidP="00FA33C9">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19033228" w:rsidR="00FA33C9" w:rsidRPr="00073BD7" w:rsidRDefault="00FA33C9" w:rsidP="00FA33C9">
            <w:pPr>
              <w:jc w:val="center"/>
              <w:rPr>
                <w:b/>
                <w:bCs/>
                <w:color w:val="000000" w:themeColor="text1"/>
              </w:rPr>
            </w:pPr>
            <w:r w:rsidRPr="00073BD7">
              <w:rPr>
                <w:b/>
                <w:bCs/>
              </w:rPr>
              <w:t>FFY 2020 Data</w:t>
            </w:r>
          </w:p>
        </w:tc>
        <w:tc>
          <w:tcPr>
            <w:tcW w:w="503" w:type="pct"/>
            <w:shd w:val="clear" w:color="auto" w:fill="auto"/>
            <w:vAlign w:val="bottom"/>
          </w:tcPr>
          <w:p w14:paraId="3E51680E" w14:textId="2AA7DE2E" w:rsidR="00FA33C9" w:rsidRPr="00073BD7" w:rsidRDefault="00FA33C9" w:rsidP="00FA33C9">
            <w:pPr>
              <w:jc w:val="center"/>
              <w:rPr>
                <w:b/>
                <w:bCs/>
                <w:color w:val="000000" w:themeColor="text1"/>
              </w:rPr>
            </w:pPr>
            <w:r w:rsidRPr="00073BD7">
              <w:rPr>
                <w:b/>
                <w:bCs/>
              </w:rPr>
              <w:t>FFY 2021 Target</w:t>
            </w:r>
          </w:p>
        </w:tc>
        <w:tc>
          <w:tcPr>
            <w:tcW w:w="503" w:type="pct"/>
            <w:shd w:val="clear" w:color="auto" w:fill="auto"/>
            <w:vAlign w:val="bottom"/>
          </w:tcPr>
          <w:p w14:paraId="29685ECA" w14:textId="050366A7" w:rsidR="00FA33C9" w:rsidRPr="00073BD7" w:rsidRDefault="00FA33C9" w:rsidP="00FA33C9">
            <w:pPr>
              <w:jc w:val="center"/>
              <w:rPr>
                <w:b/>
                <w:bCs/>
                <w:color w:val="000000" w:themeColor="text1"/>
              </w:rPr>
            </w:pPr>
            <w:r w:rsidRPr="00073BD7">
              <w:rPr>
                <w:b/>
                <w:bCs/>
              </w:rPr>
              <w:t>FFY 2021 Data</w:t>
            </w:r>
          </w:p>
        </w:tc>
        <w:tc>
          <w:tcPr>
            <w:tcW w:w="503" w:type="pct"/>
            <w:shd w:val="clear" w:color="auto" w:fill="auto"/>
            <w:vAlign w:val="bottom"/>
          </w:tcPr>
          <w:p w14:paraId="5E9D6295" w14:textId="7F28EB50" w:rsidR="00FA33C9" w:rsidRPr="00781112" w:rsidRDefault="00FA33C9" w:rsidP="00FA33C9">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FA33C9" w:rsidRPr="00781112" w:rsidRDefault="00FA33C9" w:rsidP="00FA33C9">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194</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1,042</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r w:rsidRPr="00781112">
              <w:rPr>
                <w:rFonts w:cs="Arial"/>
                <w:color w:val="000000" w:themeColor="text1"/>
                <w:szCs w:val="16"/>
              </w:rPr>
              <w:t>19.69%</w:t>
            </w: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19.69%</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18.62%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138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847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r w:rsidRPr="00781112">
              <w:rPr>
                <w:rFonts w:cs="Arial"/>
                <w:color w:val="000000" w:themeColor="text1"/>
                <w:szCs w:val="16"/>
              </w:rPr>
              <w:t>16.88%</w:t>
            </w: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16.88%</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16.29%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No Slippage</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176</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1,569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r w:rsidRPr="00781112">
              <w:rPr>
                <w:rFonts w:cs="Arial"/>
                <w:color w:val="000000" w:themeColor="text1"/>
                <w:szCs w:val="16"/>
              </w:rPr>
              <w:t>12.47%</w:t>
            </w: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12.47%</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11.22%</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Did not meet target</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Slippage</w:t>
            </w:r>
          </w:p>
        </w:tc>
      </w:tr>
    </w:tbl>
    <w:p w14:paraId="76631636" w14:textId="7429D556" w:rsidR="00C04118" w:rsidRPr="00781112" w:rsidRDefault="00C04118" w:rsidP="00C04118">
      <w:pPr>
        <w:rPr>
          <w:b/>
          <w:color w:val="000000" w:themeColor="text1"/>
        </w:rPr>
      </w:pPr>
      <w:r w:rsidRPr="00781112">
        <w:rPr>
          <w:b/>
          <w:color w:val="000000" w:themeColor="text1"/>
        </w:rPr>
        <w:t>Provide reasons for slippage for Group A, if applicable</w:t>
      </w:r>
    </w:p>
    <w:p w14:paraId="5258161E" w14:textId="43B991B5" w:rsidR="00C04118" w:rsidRPr="00781112" w:rsidRDefault="00C04118" w:rsidP="00C04118">
      <w:pPr>
        <w:rPr>
          <w:rFonts w:cs="Arial"/>
          <w:color w:val="000000" w:themeColor="text1"/>
          <w:szCs w:val="16"/>
        </w:rPr>
      </w:pPr>
      <w:r w:rsidRPr="00781112">
        <w:rPr>
          <w:rFonts w:cs="Arial"/>
          <w:color w:val="000000" w:themeColor="text1"/>
          <w:szCs w:val="16"/>
        </w:rPr>
        <w:t xml:space="preserve">The WDE has examined the proficiency rates by district to identify those districts who had a decrease from 2020-21 to 2021-22. Twenty-one of the forty-eight districts saw a decrease in their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proficiency rates in Reading, so it was not particular to a few districts. Because this was not specific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the State implemented a process to determine </w:t>
      </w:r>
      <w:proofErr w:type="gramStart"/>
      <w:r w:rsidRPr="00781112">
        <w:rPr>
          <w:rFonts w:cs="Arial"/>
          <w:color w:val="000000" w:themeColor="text1"/>
          <w:szCs w:val="16"/>
        </w:rPr>
        <w:t>a cause</w:t>
      </w:r>
      <w:proofErr w:type="gramEnd"/>
      <w:r w:rsidRPr="00781112">
        <w:rPr>
          <w:rFonts w:cs="Arial"/>
          <w:color w:val="000000" w:themeColor="text1"/>
          <w:szCs w:val="16"/>
        </w:rPr>
        <w:t xml:space="preserve"> for slippage. The WDE compiled and provided proficiency reports disaggregated by race/ethnicity, grade level, disability category, attendance rates,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students were receiving supplementary aids and services, as well as accommodations. The State also provided the "WY Structured Activity Guidebook for Special Education Data" which contains guiding questions and templates to assist districts in identifying a root cause for the subgroups showing proficiency decreases. The WDE facilitated data share out sessions to guide district teams through the process and allowed them to walk away with action steps to improve assessment data for students with disabilities. </w:t>
      </w:r>
      <w:r w:rsidRPr="00781112">
        <w:rPr>
          <w:rFonts w:cs="Arial"/>
          <w:color w:val="000000" w:themeColor="text1"/>
          <w:szCs w:val="16"/>
        </w:rPr>
        <w:br/>
      </w:r>
      <w:r w:rsidRPr="00781112">
        <w:rPr>
          <w:rFonts w:cs="Arial"/>
          <w:color w:val="000000" w:themeColor="text1"/>
          <w:szCs w:val="16"/>
        </w:rPr>
        <w:br/>
        <w:t xml:space="preserve">Even though the decrease in proficiency from FFY2020 to FFY2021 is not a statistically significant difference, 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Statewide data. </w:t>
      </w:r>
      <w:proofErr w:type="gramStart"/>
      <w:r w:rsidRPr="00781112">
        <w:rPr>
          <w:rFonts w:cs="Arial"/>
          <w:color w:val="000000" w:themeColor="text1"/>
          <w:szCs w:val="16"/>
        </w:rPr>
        <w:t>Some</w:t>
      </w:r>
      <w:proofErr w:type="gramEnd"/>
      <w:r w:rsidRPr="00781112">
        <w:rPr>
          <w:rFonts w:cs="Arial"/>
          <w:color w:val="000000" w:themeColor="text1"/>
          <w:szCs w:val="16"/>
        </w:rPr>
        <w:t xml:space="preserve"> notable findings are that students who are attending virtual schools performed significantly lower than students not attending virtual schools. Students placed in settings other than the regular education environment performed lower than students in the regular education environment. Students with a Specific Learning Disability or Other Health Impairment tended to have had the lowest proficiency rates for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Reading. </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w:t>
      </w:r>
      <w:proofErr w:type="gramStart"/>
      <w:r w:rsidRPr="00781112">
        <w:rPr>
          <w:rFonts w:cs="Arial"/>
          <w:color w:val="000000" w:themeColor="text1"/>
          <w:szCs w:val="16"/>
        </w:rPr>
        <w:t>is it</w:t>
      </w:r>
      <w:proofErr w:type="gramEnd"/>
      <w:r w:rsidRPr="00781112">
        <w:rPr>
          <w:rFonts w:cs="Arial"/>
          <w:color w:val="000000" w:themeColor="text1"/>
          <w:szCs w:val="16"/>
        </w:rPr>
        <w:t xml:space="preserve"> </w:t>
      </w:r>
      <w:proofErr w:type="gramStart"/>
      <w:r w:rsidRPr="00781112">
        <w:rPr>
          <w:rFonts w:cs="Arial"/>
          <w:color w:val="000000" w:themeColor="text1"/>
          <w:szCs w:val="16"/>
        </w:rPr>
        <w:t>virtually impossible</w:t>
      </w:r>
      <w:proofErr w:type="gramEnd"/>
      <w:r w:rsidRPr="00781112">
        <w:rPr>
          <w:rFonts w:cs="Arial"/>
          <w:color w:val="000000" w:themeColor="text1"/>
          <w:szCs w:val="16"/>
        </w:rPr>
        <w:t xml:space="preserve"> to do so. If only </w:t>
      </w:r>
      <w:proofErr w:type="gramStart"/>
      <w:r w:rsidRPr="00781112">
        <w:rPr>
          <w:rFonts w:cs="Arial"/>
          <w:color w:val="000000" w:themeColor="text1"/>
          <w:szCs w:val="16"/>
        </w:rPr>
        <w:t>11</w:t>
      </w:r>
      <w:proofErr w:type="gramEnd"/>
      <w:r w:rsidRPr="00781112">
        <w:rPr>
          <w:rFonts w:cs="Arial"/>
          <w:color w:val="000000" w:themeColor="text1"/>
          <w:szCs w:val="16"/>
        </w:rPr>
        <w:t xml:space="preserve"> more students would have scored proficient on the grade 4 reading test, there would have been no slippage. It is hard to determine where these </w:t>
      </w:r>
      <w:proofErr w:type="gramStart"/>
      <w:r w:rsidRPr="00781112">
        <w:rPr>
          <w:rFonts w:cs="Arial"/>
          <w:color w:val="000000" w:themeColor="text1"/>
          <w:szCs w:val="16"/>
        </w:rPr>
        <w:t>11</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 By districts and WDE examining data for patterns, and then targeting select subgroups for increased performance, the proficiency rates should increase.</w:t>
      </w:r>
    </w:p>
    <w:p w14:paraId="17E4436B" w14:textId="77777777" w:rsidR="00C04118" w:rsidRPr="00781112" w:rsidRDefault="00C04118" w:rsidP="00C04118">
      <w:pPr>
        <w:rPr>
          <w:b/>
          <w:color w:val="000000" w:themeColor="text1"/>
        </w:rPr>
      </w:pPr>
      <w:r w:rsidRPr="00781112">
        <w:rPr>
          <w:b/>
          <w:color w:val="000000" w:themeColor="text1"/>
        </w:rPr>
        <w:t>Provide reasons for slippage for Group C, if applicable</w:t>
      </w:r>
    </w:p>
    <w:p w14:paraId="2AFB0D47" w14:textId="30E0EC2B" w:rsidR="00C04118" w:rsidRPr="00781112" w:rsidRDefault="00C04118" w:rsidP="00C04118">
      <w:pPr>
        <w:rPr>
          <w:rFonts w:cs="Arial"/>
          <w:color w:val="000000" w:themeColor="text1"/>
          <w:szCs w:val="16"/>
        </w:rPr>
      </w:pPr>
      <w:r w:rsidRPr="00781112">
        <w:rPr>
          <w:rFonts w:cs="Arial"/>
          <w:color w:val="000000" w:themeColor="text1"/>
          <w:szCs w:val="16"/>
        </w:rPr>
        <w:t xml:space="preserve">The WDE has examined the proficiency rates by district to identify those districts who had a decrease from 2020-21 to 2021-22. Almost one-half (23) of the districts saw a decrease in their high school proficiency rates in Reading, so it was not particular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Because this was not specific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the State implemented a process to determine </w:t>
      </w:r>
      <w:proofErr w:type="gramStart"/>
      <w:r w:rsidRPr="00781112">
        <w:rPr>
          <w:rFonts w:cs="Arial"/>
          <w:color w:val="000000" w:themeColor="text1"/>
          <w:szCs w:val="16"/>
        </w:rPr>
        <w:t>a cause</w:t>
      </w:r>
      <w:proofErr w:type="gramEnd"/>
      <w:r w:rsidRPr="00781112">
        <w:rPr>
          <w:rFonts w:cs="Arial"/>
          <w:color w:val="000000" w:themeColor="text1"/>
          <w:szCs w:val="16"/>
        </w:rPr>
        <w:t xml:space="preserve"> for slippage. The WDE compiled and provided proficiency reports disaggregated by race/ethnicity, grade level, disability category, attendance rates,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students were receiving supplementary aids and services, as well as accommodations. The State also provided the "WY Structured Activity Guidebook for Special Education Data" which contains guiding questions and templates to assist districts in identifying a root cause for the subgroups showing proficiency decreases. The WDE facilitated data share out sessions to guide district teams through the process and allowed them to walk away with action steps to improve assessment data for students with disabilities. </w:t>
      </w:r>
      <w:r w:rsidRPr="00781112">
        <w:rPr>
          <w:rFonts w:cs="Arial"/>
          <w:color w:val="000000" w:themeColor="text1"/>
          <w:szCs w:val="16"/>
        </w:rPr>
        <w:br/>
        <w:t xml:space="preserve"> </w:t>
      </w:r>
      <w:r w:rsidRPr="00781112">
        <w:rPr>
          <w:rFonts w:cs="Arial"/>
          <w:color w:val="000000" w:themeColor="text1"/>
          <w:szCs w:val="16"/>
        </w:rPr>
        <w:br/>
        <w:t xml:space="preserve">Even though the decrease in proficiency from FFY2020 to FFY2021 is not a statistically significant difference, 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data. </w:t>
      </w:r>
      <w:proofErr w:type="gramStart"/>
      <w:r w:rsidRPr="00781112">
        <w:rPr>
          <w:rFonts w:cs="Arial"/>
          <w:color w:val="000000" w:themeColor="text1"/>
          <w:szCs w:val="16"/>
        </w:rPr>
        <w:t>Some</w:t>
      </w:r>
      <w:proofErr w:type="gramEnd"/>
      <w:r w:rsidRPr="00781112">
        <w:rPr>
          <w:rFonts w:cs="Arial"/>
          <w:color w:val="000000" w:themeColor="text1"/>
          <w:szCs w:val="16"/>
        </w:rPr>
        <w:t xml:space="preserve"> notable findings are that students who are attending virtual schools performed lower than students not attending virtual schools. Students placed in settings other than the regular education environment performed lower than students in the regular education environment. Students with a Specific Learning Disability tended to have had the lowest proficiency rates for high school Reading.</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is it </w:t>
      </w:r>
      <w:proofErr w:type="gramStart"/>
      <w:r w:rsidRPr="00781112">
        <w:rPr>
          <w:rFonts w:cs="Arial"/>
          <w:color w:val="000000" w:themeColor="text1"/>
          <w:szCs w:val="16"/>
        </w:rPr>
        <w:t>virtually impossible</w:t>
      </w:r>
      <w:proofErr w:type="gramEnd"/>
      <w:r w:rsidRPr="00781112">
        <w:rPr>
          <w:rFonts w:cs="Arial"/>
          <w:color w:val="000000" w:themeColor="text1"/>
          <w:szCs w:val="16"/>
        </w:rPr>
        <w:t xml:space="preserve"> to do so. If only </w:t>
      </w:r>
      <w:proofErr w:type="gramStart"/>
      <w:r w:rsidRPr="00781112">
        <w:rPr>
          <w:rFonts w:cs="Arial"/>
          <w:color w:val="000000" w:themeColor="text1"/>
          <w:szCs w:val="16"/>
        </w:rPr>
        <w:t>20</w:t>
      </w:r>
      <w:proofErr w:type="gramEnd"/>
      <w:r w:rsidRPr="00781112">
        <w:rPr>
          <w:rFonts w:cs="Arial"/>
          <w:color w:val="000000" w:themeColor="text1"/>
          <w:szCs w:val="16"/>
        </w:rPr>
        <w:t xml:space="preserve"> more students would have scored proficient on the grade high school reading test, there would have been no slippage. It is hard to determine where these </w:t>
      </w:r>
      <w:proofErr w:type="gramStart"/>
      <w:r w:rsidRPr="00781112">
        <w:rPr>
          <w:rFonts w:cs="Arial"/>
          <w:color w:val="000000" w:themeColor="text1"/>
          <w:szCs w:val="16"/>
        </w:rPr>
        <w:t>20</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 By districts and WDE examining data for patterns, and then targeting select subgroups for increased performance, the proficiency rates should increase.</w:t>
      </w:r>
    </w:p>
    <w:p w14:paraId="1E0C977F" w14:textId="77777777" w:rsidR="005004AB" w:rsidRPr="00781112" w:rsidRDefault="005004AB" w:rsidP="005004AB">
      <w:pPr>
        <w:rPr>
          <w:color w:val="000000" w:themeColor="text1"/>
        </w:rPr>
      </w:pPr>
    </w:p>
    <w:p w14:paraId="324457C6" w14:textId="6E85C345" w:rsidR="00497DE4" w:rsidRPr="00781112" w:rsidRDefault="0047313F" w:rsidP="004369B2">
      <w:pPr>
        <w:rPr>
          <w:b/>
          <w:color w:val="000000" w:themeColor="text1"/>
        </w:rPr>
      </w:pPr>
      <w:r>
        <w:rPr>
          <w:b/>
          <w:color w:val="000000" w:themeColor="text1"/>
        </w:rPr>
        <w:t>FFY 2021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FA33C9" w:rsidRPr="00781112" w14:paraId="1ECD1184" w14:textId="77777777" w:rsidTr="00242D8A">
        <w:trPr>
          <w:tblHeader/>
          <w:jc w:val="center"/>
        </w:trPr>
        <w:tc>
          <w:tcPr>
            <w:tcW w:w="223" w:type="pct"/>
            <w:shd w:val="clear" w:color="auto" w:fill="auto"/>
            <w:vAlign w:val="bottom"/>
          </w:tcPr>
          <w:p w14:paraId="2B938423" w14:textId="01A79B33" w:rsidR="00FA33C9" w:rsidRPr="00781112" w:rsidRDefault="00FA33C9" w:rsidP="00FA33C9">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FA33C9" w:rsidRPr="00781112" w:rsidRDefault="00FA33C9" w:rsidP="00FA33C9">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FA33C9" w:rsidRPr="00781112" w:rsidRDefault="00FA33C9" w:rsidP="00FA33C9">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FA33C9" w:rsidRPr="00781112" w:rsidRDefault="00FA33C9" w:rsidP="00FA33C9">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1CA12D86" w:rsidR="00FA33C9" w:rsidRPr="00073BD7" w:rsidRDefault="00FA33C9" w:rsidP="00FA33C9">
            <w:pPr>
              <w:jc w:val="center"/>
              <w:rPr>
                <w:b/>
                <w:bCs/>
                <w:color w:val="000000" w:themeColor="text1"/>
              </w:rPr>
            </w:pPr>
            <w:r w:rsidRPr="00073BD7">
              <w:rPr>
                <w:b/>
                <w:bCs/>
              </w:rPr>
              <w:t>FFY 2020 Data</w:t>
            </w:r>
          </w:p>
        </w:tc>
        <w:tc>
          <w:tcPr>
            <w:tcW w:w="500" w:type="pct"/>
            <w:shd w:val="clear" w:color="auto" w:fill="auto"/>
            <w:vAlign w:val="bottom"/>
          </w:tcPr>
          <w:p w14:paraId="69212BFA" w14:textId="6E5C201B" w:rsidR="00FA33C9" w:rsidRPr="00073BD7" w:rsidRDefault="00FA33C9" w:rsidP="00FA33C9">
            <w:pPr>
              <w:jc w:val="center"/>
              <w:rPr>
                <w:b/>
                <w:bCs/>
                <w:color w:val="000000" w:themeColor="text1"/>
              </w:rPr>
            </w:pPr>
            <w:r w:rsidRPr="00073BD7">
              <w:rPr>
                <w:b/>
                <w:bCs/>
              </w:rPr>
              <w:t>FFY 2021 Target</w:t>
            </w:r>
          </w:p>
        </w:tc>
        <w:tc>
          <w:tcPr>
            <w:tcW w:w="500" w:type="pct"/>
            <w:shd w:val="clear" w:color="auto" w:fill="auto"/>
            <w:vAlign w:val="bottom"/>
          </w:tcPr>
          <w:p w14:paraId="38A0F56E" w14:textId="5F488F03" w:rsidR="00FA33C9" w:rsidRPr="00073BD7" w:rsidRDefault="00FA33C9" w:rsidP="00FA33C9">
            <w:pPr>
              <w:jc w:val="center"/>
              <w:rPr>
                <w:b/>
                <w:bCs/>
                <w:color w:val="000000" w:themeColor="text1"/>
              </w:rPr>
            </w:pPr>
            <w:r w:rsidRPr="00073BD7">
              <w:rPr>
                <w:b/>
                <w:bCs/>
              </w:rPr>
              <w:t>FFY 2021 Data</w:t>
            </w:r>
          </w:p>
        </w:tc>
        <w:tc>
          <w:tcPr>
            <w:tcW w:w="500" w:type="pct"/>
            <w:shd w:val="clear" w:color="auto" w:fill="auto"/>
            <w:vAlign w:val="bottom"/>
          </w:tcPr>
          <w:p w14:paraId="11F44E1D" w14:textId="39A61F57" w:rsidR="00FA33C9" w:rsidRPr="00781112" w:rsidRDefault="00FA33C9" w:rsidP="00FA33C9">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FA33C9" w:rsidRPr="00781112" w:rsidRDefault="00FA33C9" w:rsidP="00FA33C9">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224</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1,042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r w:rsidRPr="00781112">
              <w:rPr>
                <w:rFonts w:cs="Arial"/>
                <w:color w:val="000000" w:themeColor="text1"/>
                <w:szCs w:val="16"/>
              </w:rPr>
              <w:t>21.63%</w:t>
            </w: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21.63%</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21.50%</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No Slippage</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82</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845</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r w:rsidRPr="00781112">
              <w:rPr>
                <w:rFonts w:cs="Arial"/>
                <w:color w:val="000000" w:themeColor="text1"/>
                <w:szCs w:val="16"/>
              </w:rPr>
              <w:t>11.76%</w:t>
            </w: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11.76%</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9.70%</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102</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1,580</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7.24%</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6.46%</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Did not meet target</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Slippage</w:t>
            </w:r>
          </w:p>
        </w:tc>
      </w:tr>
    </w:tbl>
    <w:p w14:paraId="2B8A2418" w14:textId="77777777" w:rsidR="00CF57A2" w:rsidRPr="00781112" w:rsidRDefault="00CF57A2" w:rsidP="00CF57A2">
      <w:pPr>
        <w:rPr>
          <w:b/>
          <w:color w:val="000000" w:themeColor="text1"/>
        </w:rPr>
      </w:pPr>
      <w:r w:rsidRPr="00781112">
        <w:rPr>
          <w:b/>
          <w:color w:val="000000" w:themeColor="text1"/>
        </w:rPr>
        <w:t>Provide reasons for slippage for Group B, if applicable</w:t>
      </w:r>
    </w:p>
    <w:p w14:paraId="6D978701" w14:textId="72718EFB" w:rsidR="00CF57A2" w:rsidRPr="00781112" w:rsidRDefault="00CF57A2" w:rsidP="00CF57A2">
      <w:pPr>
        <w:rPr>
          <w:rFonts w:cs="Arial"/>
          <w:color w:val="000000" w:themeColor="text1"/>
          <w:szCs w:val="16"/>
        </w:rPr>
      </w:pPr>
      <w:r w:rsidRPr="00781112">
        <w:rPr>
          <w:rFonts w:cs="Arial"/>
          <w:color w:val="000000" w:themeColor="text1"/>
          <w:szCs w:val="16"/>
        </w:rPr>
        <w:lastRenderedPageBreak/>
        <w:t xml:space="preserve">The WDE has examined the proficiency rates by district to identify those districts that had a decrease from 2020-21 to 2021-22. Twenty-one of the forty-eight districts saw a decrease in their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proficiency rates in Math, so it was not particular to a few districts. Because this was not specific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the State implemented a process to determine </w:t>
      </w:r>
      <w:proofErr w:type="gramStart"/>
      <w:r w:rsidRPr="00781112">
        <w:rPr>
          <w:rFonts w:cs="Arial"/>
          <w:color w:val="000000" w:themeColor="text1"/>
          <w:szCs w:val="16"/>
        </w:rPr>
        <w:t>a cause</w:t>
      </w:r>
      <w:proofErr w:type="gramEnd"/>
      <w:r w:rsidRPr="00781112">
        <w:rPr>
          <w:rFonts w:cs="Arial"/>
          <w:color w:val="000000" w:themeColor="text1"/>
          <w:szCs w:val="16"/>
        </w:rPr>
        <w:t xml:space="preserve"> for slippage. The WDE compiled and provided proficiency reports disaggregated by race/ethnicity, grade level, disability category, attendance rates,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students were receiving supplementary aids and services, as well as accommodations. The State also provided the "WY Structured Activity Guidebook for Special Education Data" which contains guiding questions and templates to assist districts in identifying a root cause for the subgroups showing proficiency decreases. The WDE facilitated data share out sessions to guide district teams through the process and allowed them to walk away with action steps to improve assessment data for students with disabilities. </w:t>
      </w:r>
      <w:r w:rsidRPr="00781112">
        <w:rPr>
          <w:rFonts w:cs="Arial"/>
          <w:color w:val="000000" w:themeColor="text1"/>
          <w:szCs w:val="16"/>
        </w:rPr>
        <w:br/>
        <w:t xml:space="preserve"> </w:t>
      </w:r>
      <w:r w:rsidRPr="00781112">
        <w:rPr>
          <w:rFonts w:cs="Arial"/>
          <w:color w:val="000000" w:themeColor="text1"/>
          <w:szCs w:val="16"/>
        </w:rPr>
        <w:br/>
        <w:t xml:space="preserve">Even though the decrease in proficiency from FFY2020 to FFY2021 is not a statistically significant difference, 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data. </w:t>
      </w:r>
      <w:proofErr w:type="gramStart"/>
      <w:r w:rsidRPr="00781112">
        <w:rPr>
          <w:rFonts w:cs="Arial"/>
          <w:color w:val="000000" w:themeColor="text1"/>
          <w:szCs w:val="16"/>
        </w:rPr>
        <w:t>Some</w:t>
      </w:r>
      <w:proofErr w:type="gramEnd"/>
      <w:r w:rsidRPr="00781112">
        <w:rPr>
          <w:rFonts w:cs="Arial"/>
          <w:color w:val="000000" w:themeColor="text1"/>
          <w:szCs w:val="16"/>
        </w:rPr>
        <w:t xml:space="preserve"> notable findings are that students who are attending virtual schools performed lower than students not attending virtual schools. Students placed in settings other than the regular education environment performed lower than students in the regular education environment. Students with a Specific Learning Disability or Other Health Impairment tended to have had the lowest proficiency rates in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Math. </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w:t>
      </w:r>
      <w:proofErr w:type="gramStart"/>
      <w:r w:rsidRPr="00781112">
        <w:rPr>
          <w:rFonts w:cs="Arial"/>
          <w:color w:val="000000" w:themeColor="text1"/>
          <w:szCs w:val="16"/>
        </w:rPr>
        <w:t>is it</w:t>
      </w:r>
      <w:proofErr w:type="gramEnd"/>
      <w:r w:rsidRPr="00781112">
        <w:rPr>
          <w:rFonts w:cs="Arial"/>
          <w:color w:val="000000" w:themeColor="text1"/>
          <w:szCs w:val="16"/>
        </w:rPr>
        <w:t xml:space="preserve"> </w:t>
      </w:r>
      <w:proofErr w:type="gramStart"/>
      <w:r w:rsidRPr="00781112">
        <w:rPr>
          <w:rFonts w:cs="Arial"/>
          <w:color w:val="000000" w:themeColor="text1"/>
          <w:szCs w:val="16"/>
        </w:rPr>
        <w:t>virtually impossible</w:t>
      </w:r>
      <w:proofErr w:type="gramEnd"/>
      <w:r w:rsidRPr="00781112">
        <w:rPr>
          <w:rFonts w:cs="Arial"/>
          <w:color w:val="000000" w:themeColor="text1"/>
          <w:szCs w:val="16"/>
        </w:rPr>
        <w:t xml:space="preserve"> to do so. If only </w:t>
      </w:r>
      <w:proofErr w:type="gramStart"/>
      <w:r w:rsidRPr="00781112">
        <w:rPr>
          <w:rFonts w:cs="Arial"/>
          <w:color w:val="000000" w:themeColor="text1"/>
          <w:szCs w:val="16"/>
        </w:rPr>
        <w:t>17</w:t>
      </w:r>
      <w:proofErr w:type="gramEnd"/>
      <w:r w:rsidRPr="00781112">
        <w:rPr>
          <w:rFonts w:cs="Arial"/>
          <w:color w:val="000000" w:themeColor="text1"/>
          <w:szCs w:val="16"/>
        </w:rPr>
        <w:t xml:space="preserve"> more students would have scored proficient on the grade 8 math test, there would have been no slippage. It is hard to determine where these </w:t>
      </w:r>
      <w:proofErr w:type="gramStart"/>
      <w:r w:rsidRPr="00781112">
        <w:rPr>
          <w:rFonts w:cs="Arial"/>
          <w:color w:val="000000" w:themeColor="text1"/>
          <w:szCs w:val="16"/>
        </w:rPr>
        <w:t>17</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 By districts and WDE examining data for patterns, and then targeting select subgroups for increased performance, the proficiency rates should increase.</w:t>
      </w:r>
    </w:p>
    <w:p w14:paraId="057C4180" w14:textId="77777777" w:rsidR="00CF57A2" w:rsidRPr="00781112" w:rsidRDefault="00CF57A2" w:rsidP="00CF57A2">
      <w:pPr>
        <w:rPr>
          <w:b/>
          <w:color w:val="000000" w:themeColor="text1"/>
        </w:rPr>
      </w:pPr>
      <w:r w:rsidRPr="00781112">
        <w:rPr>
          <w:b/>
          <w:color w:val="000000" w:themeColor="text1"/>
        </w:rPr>
        <w:t>Provide reasons for slippage for Group C, if applicable</w:t>
      </w:r>
    </w:p>
    <w:p w14:paraId="0AE9759D" w14:textId="2A5F4E4D" w:rsidR="00CF57A2" w:rsidRPr="00781112" w:rsidRDefault="00CF57A2" w:rsidP="00CF57A2">
      <w:pPr>
        <w:rPr>
          <w:rFonts w:cs="Arial"/>
          <w:color w:val="000000" w:themeColor="text1"/>
          <w:szCs w:val="16"/>
        </w:rPr>
      </w:pPr>
      <w:r w:rsidRPr="00781112">
        <w:rPr>
          <w:rFonts w:cs="Arial"/>
          <w:color w:val="000000" w:themeColor="text1"/>
          <w:szCs w:val="16"/>
        </w:rPr>
        <w:t xml:space="preserve">The WDE has examined the proficiency rates by district to identify those districts that had a decrease from 2020-21 to 2021-22. Almost one-half (23) of the districts saw a decrease in their high school proficiency rates in Math, so it was not particular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Because this was not specific to </w:t>
      </w:r>
      <w:proofErr w:type="gramStart"/>
      <w:r w:rsidRPr="00781112">
        <w:rPr>
          <w:rFonts w:cs="Arial"/>
          <w:color w:val="000000" w:themeColor="text1"/>
          <w:szCs w:val="16"/>
        </w:rPr>
        <w:t>a few</w:t>
      </w:r>
      <w:proofErr w:type="gramEnd"/>
      <w:r w:rsidRPr="00781112">
        <w:rPr>
          <w:rFonts w:cs="Arial"/>
          <w:color w:val="000000" w:themeColor="text1"/>
          <w:szCs w:val="16"/>
        </w:rPr>
        <w:t xml:space="preserve"> districts, the State implemented a process to determine </w:t>
      </w:r>
      <w:proofErr w:type="gramStart"/>
      <w:r w:rsidRPr="00781112">
        <w:rPr>
          <w:rFonts w:cs="Arial"/>
          <w:color w:val="000000" w:themeColor="text1"/>
          <w:szCs w:val="16"/>
        </w:rPr>
        <w:t>a cause</w:t>
      </w:r>
      <w:proofErr w:type="gramEnd"/>
      <w:r w:rsidRPr="00781112">
        <w:rPr>
          <w:rFonts w:cs="Arial"/>
          <w:color w:val="000000" w:themeColor="text1"/>
          <w:szCs w:val="16"/>
        </w:rPr>
        <w:t xml:space="preserve"> for slippage. The WDE compiled and provided proficiency reports disaggregated by race/ethnicity, grade level, disability category, attendance rates, and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students were receiving supplementary aids and services, as well as accommodations. The State also provided the "WY Structured Activity Guidebook for Special Education Data" which contains guiding questions and templates to assist districts in identifying a root cause for the subgroups showing proficiency decreases. The WDE facilitated data share out sessions to guide district teams through the process and allowed them to walk away with action steps to improve assessment data for students with disabilities. </w:t>
      </w:r>
      <w:r w:rsidRPr="00781112">
        <w:rPr>
          <w:rFonts w:cs="Arial"/>
          <w:color w:val="000000" w:themeColor="text1"/>
          <w:szCs w:val="16"/>
        </w:rPr>
        <w:br/>
      </w:r>
      <w:r w:rsidRPr="00781112">
        <w:rPr>
          <w:rFonts w:cs="Arial"/>
          <w:color w:val="000000" w:themeColor="text1"/>
          <w:szCs w:val="16"/>
        </w:rPr>
        <w:br/>
        <w:t xml:space="preserve">Even though the decrease in proficiency from FFY2020 to FFY2021 is not a statistically significant difference, 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data. </w:t>
      </w:r>
      <w:proofErr w:type="gramStart"/>
      <w:r w:rsidRPr="00781112">
        <w:rPr>
          <w:rFonts w:cs="Arial"/>
          <w:color w:val="000000" w:themeColor="text1"/>
          <w:szCs w:val="16"/>
        </w:rPr>
        <w:t>Some</w:t>
      </w:r>
      <w:proofErr w:type="gramEnd"/>
      <w:r w:rsidRPr="00781112">
        <w:rPr>
          <w:rFonts w:cs="Arial"/>
          <w:color w:val="000000" w:themeColor="text1"/>
          <w:szCs w:val="16"/>
        </w:rPr>
        <w:t xml:space="preserve"> notable findings are that students who are attending virtual schools performed lower than students not attending virtual schools. Students placed in settings other than the regular education environment performed lower than students in the regular education environment. Students with a Specific Learning Disability, Other Health Impairment, or Emotional Disability tended to have had the lowest proficiency rates in high school Math.</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is it </w:t>
      </w:r>
      <w:proofErr w:type="gramStart"/>
      <w:r w:rsidRPr="00781112">
        <w:rPr>
          <w:rFonts w:cs="Arial"/>
          <w:color w:val="000000" w:themeColor="text1"/>
          <w:szCs w:val="16"/>
        </w:rPr>
        <w:t>virtually impossible</w:t>
      </w:r>
      <w:proofErr w:type="gramEnd"/>
      <w:r w:rsidRPr="00781112">
        <w:rPr>
          <w:rFonts w:cs="Arial"/>
          <w:color w:val="000000" w:themeColor="text1"/>
          <w:szCs w:val="16"/>
        </w:rPr>
        <w:t xml:space="preserve"> to do so. If only </w:t>
      </w:r>
      <w:proofErr w:type="gramStart"/>
      <w:r w:rsidRPr="00781112">
        <w:rPr>
          <w:rFonts w:cs="Arial"/>
          <w:color w:val="000000" w:themeColor="text1"/>
          <w:szCs w:val="16"/>
        </w:rPr>
        <w:t>12</w:t>
      </w:r>
      <w:proofErr w:type="gramEnd"/>
      <w:r w:rsidRPr="00781112">
        <w:rPr>
          <w:rFonts w:cs="Arial"/>
          <w:color w:val="000000" w:themeColor="text1"/>
          <w:szCs w:val="16"/>
        </w:rPr>
        <w:t xml:space="preserve"> more students would have scored proficient on the grade high school math test, there would have been no slippage. It is hard to determine where these </w:t>
      </w:r>
      <w:proofErr w:type="gramStart"/>
      <w:r w:rsidRPr="00781112">
        <w:rPr>
          <w:rFonts w:cs="Arial"/>
          <w:color w:val="000000" w:themeColor="text1"/>
          <w:szCs w:val="16"/>
        </w:rPr>
        <w:t>12</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 By districts and WDE examining data for patterns, and then targeting select subgroups for increased performance, the proficiency rates should increase.</w:t>
      </w:r>
    </w:p>
    <w:p w14:paraId="197C30C8" w14:textId="77777777" w:rsidR="00CF57A2" w:rsidRPr="00781112" w:rsidRDefault="00CF57A2" w:rsidP="00580134">
      <w:pPr>
        <w:rPr>
          <w:rFonts w:cs="Arial"/>
          <w:iCs/>
          <w:color w:val="000000" w:themeColor="text1"/>
          <w:szCs w:val="16"/>
        </w:rPr>
      </w:pPr>
    </w:p>
    <w:p w14:paraId="0071F535" w14:textId="49E697A9" w:rsidR="00585959" w:rsidRPr="00781112" w:rsidRDefault="00497DE4" w:rsidP="0039251E">
      <w:pPr>
        <w:spacing w:before="0" w:after="200" w:line="276" w:lineRule="auto"/>
        <w:rPr>
          <w:color w:val="000000" w:themeColor="text1"/>
        </w:rPr>
      </w:pPr>
      <w:r w:rsidRPr="00781112">
        <w:rPr>
          <w:b/>
          <w:color w:val="000000" w:themeColor="text1"/>
        </w:rPr>
        <w:t>Regulatory Information</w:t>
      </w:r>
      <w:r w:rsidR="0039251E">
        <w:rPr>
          <w:color w:val="000000" w:themeColor="text1"/>
        </w:rPr>
        <w:br/>
      </w:r>
      <w:r w:rsidR="00A14B5D"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https://edu.wyoming.gov/data/assessment-reports/</w:t>
      </w:r>
    </w:p>
    <w:p w14:paraId="2BE473B4" w14:textId="77777777" w:rsidR="00053391" w:rsidRPr="00781112" w:rsidRDefault="00053391" w:rsidP="004369B2">
      <w:pPr>
        <w:rPr>
          <w:b/>
          <w:color w:val="000000" w:themeColor="text1"/>
        </w:rPr>
      </w:pPr>
      <w:bookmarkStart w:id="16" w:name="_Toc382082367"/>
      <w:bookmarkStart w:id="17"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 xml:space="preserve">The Special Education Programs Division has disaggregated proficiency data for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and high school Reading and 8th grade and high school Math in various ways; race/ethnicity, disability category, district location, etc. and found no notable root cause by the usual disaggregation methods . The overall decrease in State proficiency data was not due to </w:t>
      </w:r>
      <w:proofErr w:type="gramStart"/>
      <w:r w:rsidRPr="00781112">
        <w:rPr>
          <w:rFonts w:cs="Arial"/>
          <w:color w:val="000000" w:themeColor="text1"/>
          <w:szCs w:val="16"/>
        </w:rPr>
        <w:t>a large impact</w:t>
      </w:r>
      <w:proofErr w:type="gramEnd"/>
      <w:r w:rsidRPr="00781112">
        <w:rPr>
          <w:rFonts w:cs="Arial"/>
          <w:color w:val="000000" w:themeColor="text1"/>
          <w:szCs w:val="16"/>
        </w:rPr>
        <w:t xml:space="preserve"> by one (or a few) districts, a particular disability category, or a particular race/ethnicity group. It was a culmination of </w:t>
      </w:r>
      <w:proofErr w:type="gramStart"/>
      <w:r w:rsidRPr="00781112">
        <w:rPr>
          <w:rFonts w:cs="Arial"/>
          <w:color w:val="000000" w:themeColor="text1"/>
          <w:szCs w:val="16"/>
        </w:rPr>
        <w:t>several</w:t>
      </w:r>
      <w:proofErr w:type="gramEnd"/>
      <w:r w:rsidRPr="00781112">
        <w:rPr>
          <w:rFonts w:cs="Arial"/>
          <w:color w:val="000000" w:themeColor="text1"/>
          <w:szCs w:val="16"/>
        </w:rPr>
        <w:t xml:space="preserve"> small decreases. There was not a change in the assessment or </w:t>
      </w:r>
      <w:proofErr w:type="gramStart"/>
      <w:r w:rsidRPr="00781112">
        <w:rPr>
          <w:rFonts w:cs="Arial"/>
          <w:color w:val="000000" w:themeColor="text1"/>
          <w:szCs w:val="16"/>
        </w:rPr>
        <w:t>it's</w:t>
      </w:r>
      <w:proofErr w:type="gramEnd"/>
      <w:r w:rsidRPr="00781112">
        <w:rPr>
          <w:rFonts w:cs="Arial"/>
          <w:color w:val="000000" w:themeColor="text1"/>
          <w:szCs w:val="16"/>
        </w:rPr>
        <w:t xml:space="preserve"> administration, including the testing window. It is important to note the slippage was not statically significant.</w:t>
      </w:r>
      <w:r w:rsidRPr="00781112">
        <w:rPr>
          <w:rFonts w:cs="Arial"/>
          <w:color w:val="000000" w:themeColor="text1"/>
          <w:szCs w:val="16"/>
        </w:rPr>
        <w:br/>
      </w:r>
      <w:r w:rsidRPr="00781112">
        <w:rPr>
          <w:rFonts w:cs="Arial"/>
          <w:color w:val="000000" w:themeColor="text1"/>
          <w:szCs w:val="16"/>
        </w:rPr>
        <w:br/>
        <w:t xml:space="preserve">The State has begun to examine and track the performance of its students who attend school in virtual settings. Our students with disabilities are performing lower on the state assessment (indicator 3B) than students attending school in-person. In addition, the number of </w:t>
      </w:r>
      <w:proofErr w:type="gramStart"/>
      <w:r w:rsidRPr="00781112">
        <w:rPr>
          <w:rFonts w:cs="Arial"/>
          <w:color w:val="000000" w:themeColor="text1"/>
          <w:szCs w:val="16"/>
        </w:rPr>
        <w:t>student</w:t>
      </w:r>
      <w:proofErr w:type="gramEnd"/>
      <w:r w:rsidRPr="00781112">
        <w:rPr>
          <w:rFonts w:cs="Arial"/>
          <w:color w:val="000000" w:themeColor="text1"/>
          <w:szCs w:val="16"/>
        </w:rPr>
        <w:t xml:space="preserve"> attending school in a virtual setting is at an all-time high for Wyoming. This has been the case since the beginning of the COVID pandemic. The WDE has started to collect information on virtual learning in its triannual enrollment collections and will be examining further the impact on indicator </w:t>
      </w:r>
      <w:proofErr w:type="gramStart"/>
      <w:r w:rsidRPr="00781112">
        <w:rPr>
          <w:rFonts w:cs="Arial"/>
          <w:color w:val="000000" w:themeColor="text1"/>
          <w:szCs w:val="16"/>
        </w:rPr>
        <w:t>3</w:t>
      </w:r>
      <w:proofErr w:type="gramEnd"/>
      <w:r w:rsidRPr="00781112">
        <w:rPr>
          <w:rFonts w:cs="Arial"/>
          <w:color w:val="000000" w:themeColor="text1"/>
          <w:szCs w:val="16"/>
        </w:rPr>
        <w:t xml:space="preserve"> and others. </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3ED35024" w14:textId="46B68F84" w:rsidR="00A869E9" w:rsidRPr="0039251E" w:rsidRDefault="00573F6C" w:rsidP="0039251E">
      <w:pPr>
        <w:pStyle w:val="Heading2"/>
      </w:pPr>
      <w:r w:rsidRPr="00781112">
        <w:t>3B - OSEP Response</w:t>
      </w:r>
    </w:p>
    <w:p w14:paraId="54E3AE73" w14:textId="64AC87E7" w:rsidR="00A869E9" w:rsidRPr="0039251E" w:rsidRDefault="00573F6C" w:rsidP="0039251E">
      <w:pPr>
        <w:pStyle w:val="Heading2"/>
      </w:pPr>
      <w:r w:rsidRPr="00781112">
        <w:t>3B - Required Actions</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6"/>
      <w:bookmarkEnd w:id="17"/>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8" w:name="_Toc384383330"/>
      <w:bookmarkStart w:id="19" w:name="_Toc392159282"/>
      <w:bookmarkStart w:id="20"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 xml:space="preserve">Proficiency rate percent = [(# of children with IEPs scoring at or above proficient against alternate academic achievement standards) divided by the (total # of children with IEPs who received a valid score and for whom a proficiency level </w:t>
      </w:r>
      <w:proofErr w:type="gramStart"/>
      <w:r w:rsidR="00385214" w:rsidRPr="00781112">
        <w:rPr>
          <w:rFonts w:cs="Arial"/>
          <w:szCs w:val="16"/>
        </w:rPr>
        <w:t>was assigned</w:t>
      </w:r>
      <w:proofErr w:type="gramEnd"/>
      <w:r w:rsidR="00385214" w:rsidRPr="00781112">
        <w:rPr>
          <w:rFonts w:cs="Arial"/>
          <w:szCs w:val="16"/>
        </w:rPr>
        <w:t xml:space="preserve"> for the alternate assessment)]. Calculate separately for reading and math</w:t>
      </w:r>
      <w:proofErr w:type="gramStart"/>
      <w:r w:rsidR="00385214" w:rsidRPr="00781112">
        <w:rPr>
          <w:rFonts w:cs="Arial"/>
          <w:szCs w:val="16"/>
        </w:rPr>
        <w:t xml:space="preserve">.  </w:t>
      </w:r>
      <w:proofErr w:type="gramEnd"/>
      <w:r w:rsidR="00385214" w:rsidRPr="00781112">
        <w:rPr>
          <w:rFonts w:cs="Arial"/>
          <w:szCs w:val="16"/>
        </w:rPr>
        <w:t>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 xml:space="preserve">Include information regarding where to find public reports of assessment participation and performance results, as required by 34 CFR §300.160(f), i.e., a link to the Web site where these data </w:t>
      </w:r>
      <w:proofErr w:type="gramStart"/>
      <w:r w:rsidRPr="00781112">
        <w:rPr>
          <w:rFonts w:cs="Arial"/>
          <w:color w:val="000000" w:themeColor="text1"/>
          <w:szCs w:val="16"/>
        </w:rPr>
        <w:t>are reported</w:t>
      </w:r>
      <w:proofErr w:type="gramEnd"/>
      <w:r w:rsidRPr="00781112">
        <w:rPr>
          <w:rFonts w:cs="Arial"/>
          <w:color w:val="000000" w:themeColor="text1"/>
          <w:szCs w:val="16"/>
        </w:rPr>
        <w:t>.</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53.52%</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68.75%</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52.27%</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43.66%</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65.43%</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41.98%</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44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3"/>
        <w:gridCol w:w="697"/>
        <w:gridCol w:w="1738"/>
        <w:gridCol w:w="1256"/>
        <w:gridCol w:w="1256"/>
        <w:gridCol w:w="1256"/>
        <w:gridCol w:w="1256"/>
        <w:gridCol w:w="1256"/>
      </w:tblGrid>
      <w:tr w:rsidR="00B14519" w:rsidRPr="00781112" w14:paraId="6FE97918" w14:textId="1BF8CF9D" w:rsidTr="00451D7E">
        <w:tc>
          <w:tcPr>
            <w:tcW w:w="427" w:type="pct"/>
            <w:tcBorders>
              <w:bottom w:val="single" w:sz="4" w:space="0" w:color="auto"/>
            </w:tcBorders>
            <w:shd w:val="clear" w:color="auto" w:fill="auto"/>
          </w:tcPr>
          <w:p w14:paraId="5CDF6985" w14:textId="5342FC63" w:rsidR="00B14519" w:rsidRPr="00781112" w:rsidRDefault="00B14519" w:rsidP="00561042">
            <w:pPr>
              <w:jc w:val="center"/>
              <w:rPr>
                <w:b/>
                <w:color w:val="000000" w:themeColor="text1"/>
              </w:rPr>
            </w:pPr>
            <w:r w:rsidRPr="00781112">
              <w:rPr>
                <w:b/>
                <w:color w:val="000000" w:themeColor="text1"/>
              </w:rPr>
              <w:t>Subject</w:t>
            </w:r>
          </w:p>
        </w:tc>
        <w:tc>
          <w:tcPr>
            <w:tcW w:w="366" w:type="pct"/>
            <w:tcBorders>
              <w:bottom w:val="single" w:sz="4" w:space="0" w:color="auto"/>
            </w:tcBorders>
            <w:shd w:val="clear" w:color="auto" w:fill="auto"/>
          </w:tcPr>
          <w:p w14:paraId="01DFF2B4" w14:textId="2094C240" w:rsidR="00B14519" w:rsidRPr="00781112" w:rsidRDefault="00B14519" w:rsidP="00561042">
            <w:pPr>
              <w:jc w:val="center"/>
              <w:rPr>
                <w:b/>
                <w:color w:val="000000" w:themeColor="text1"/>
              </w:rPr>
            </w:pPr>
            <w:r w:rsidRPr="00781112">
              <w:rPr>
                <w:b/>
                <w:color w:val="000000" w:themeColor="text1"/>
              </w:rPr>
              <w:t>Group</w:t>
            </w:r>
          </w:p>
        </w:tc>
        <w:tc>
          <w:tcPr>
            <w:tcW w:w="912" w:type="pct"/>
            <w:shd w:val="clear" w:color="auto" w:fill="auto"/>
          </w:tcPr>
          <w:p w14:paraId="3976F221" w14:textId="32F28582" w:rsidR="00B14519" w:rsidRPr="00781112" w:rsidDel="008E7B87" w:rsidRDefault="00B14519" w:rsidP="00561042">
            <w:pPr>
              <w:jc w:val="center"/>
              <w:rPr>
                <w:b/>
                <w:color w:val="000000" w:themeColor="text1"/>
              </w:rPr>
            </w:pPr>
            <w:r w:rsidRPr="00781112">
              <w:rPr>
                <w:b/>
                <w:color w:val="000000" w:themeColor="text1"/>
              </w:rPr>
              <w:t>Group Name</w:t>
            </w:r>
          </w:p>
        </w:tc>
        <w:tc>
          <w:tcPr>
            <w:tcW w:w="659" w:type="pct"/>
            <w:shd w:val="clear" w:color="auto" w:fill="auto"/>
          </w:tcPr>
          <w:p w14:paraId="076E9FA3" w14:textId="2BDFEC53" w:rsidR="00B14519" w:rsidRPr="00781112" w:rsidRDefault="00B14519" w:rsidP="00561042">
            <w:pPr>
              <w:jc w:val="center"/>
              <w:rPr>
                <w:b/>
                <w:color w:val="000000" w:themeColor="text1"/>
              </w:rPr>
            </w:pPr>
            <w:r w:rsidRPr="00781112">
              <w:rPr>
                <w:b/>
                <w:color w:val="000000" w:themeColor="text1"/>
              </w:rPr>
              <w:t>2021</w:t>
            </w:r>
          </w:p>
        </w:tc>
        <w:tc>
          <w:tcPr>
            <w:tcW w:w="659" w:type="pct"/>
            <w:vAlign w:val="center"/>
          </w:tcPr>
          <w:p w14:paraId="2A95FA03" w14:textId="46828D1C" w:rsidR="00B14519" w:rsidRPr="00781112" w:rsidRDefault="00B14519" w:rsidP="00561042">
            <w:pPr>
              <w:jc w:val="center"/>
              <w:rPr>
                <w:b/>
                <w:color w:val="000000" w:themeColor="text1"/>
              </w:rPr>
            </w:pPr>
            <w:r w:rsidRPr="00781112">
              <w:rPr>
                <w:rFonts w:cs="Arial"/>
                <w:b/>
                <w:color w:val="000000" w:themeColor="text1"/>
                <w:szCs w:val="16"/>
              </w:rPr>
              <w:t>2022</w:t>
            </w:r>
          </w:p>
        </w:tc>
        <w:tc>
          <w:tcPr>
            <w:tcW w:w="659" w:type="pct"/>
            <w:vAlign w:val="center"/>
          </w:tcPr>
          <w:p w14:paraId="56A4FE1C" w14:textId="196C362E" w:rsidR="00B14519" w:rsidRPr="00781112" w:rsidRDefault="00B14519" w:rsidP="00561042">
            <w:pPr>
              <w:jc w:val="center"/>
              <w:rPr>
                <w:b/>
                <w:color w:val="000000" w:themeColor="text1"/>
              </w:rPr>
            </w:pPr>
            <w:r w:rsidRPr="00781112">
              <w:rPr>
                <w:rFonts w:cs="Arial"/>
                <w:b/>
                <w:color w:val="000000" w:themeColor="text1"/>
                <w:szCs w:val="16"/>
              </w:rPr>
              <w:t>2023</w:t>
            </w:r>
          </w:p>
        </w:tc>
        <w:tc>
          <w:tcPr>
            <w:tcW w:w="659" w:type="pct"/>
            <w:vAlign w:val="center"/>
          </w:tcPr>
          <w:p w14:paraId="6FCB9B7C" w14:textId="67672F5E" w:rsidR="00B14519" w:rsidRPr="00781112" w:rsidRDefault="00B14519" w:rsidP="00561042">
            <w:pPr>
              <w:jc w:val="center"/>
              <w:rPr>
                <w:b/>
                <w:color w:val="000000" w:themeColor="text1"/>
              </w:rPr>
            </w:pPr>
            <w:r w:rsidRPr="00781112">
              <w:rPr>
                <w:rFonts w:cs="Arial"/>
                <w:b/>
                <w:color w:val="000000" w:themeColor="text1"/>
                <w:szCs w:val="16"/>
              </w:rPr>
              <w:t>2024</w:t>
            </w:r>
          </w:p>
        </w:tc>
        <w:tc>
          <w:tcPr>
            <w:tcW w:w="659" w:type="pct"/>
            <w:vAlign w:val="center"/>
          </w:tcPr>
          <w:p w14:paraId="7118C826" w14:textId="7C910CE0" w:rsidR="00B14519" w:rsidRPr="00781112" w:rsidRDefault="00B14519" w:rsidP="00561042">
            <w:pPr>
              <w:jc w:val="center"/>
              <w:rPr>
                <w:b/>
                <w:color w:val="000000" w:themeColor="text1"/>
              </w:rPr>
            </w:pPr>
            <w:r w:rsidRPr="00781112">
              <w:rPr>
                <w:rFonts w:cs="Arial"/>
                <w:b/>
                <w:color w:val="000000" w:themeColor="text1"/>
                <w:szCs w:val="16"/>
              </w:rPr>
              <w:t>2025</w:t>
            </w:r>
          </w:p>
        </w:tc>
      </w:tr>
      <w:tr w:rsidR="00B14519" w:rsidRPr="00781112" w14:paraId="24016D03" w14:textId="0FC0BA7B" w:rsidTr="00451D7E">
        <w:tc>
          <w:tcPr>
            <w:tcW w:w="427" w:type="pct"/>
            <w:shd w:val="clear" w:color="auto" w:fill="auto"/>
            <w:vAlign w:val="center"/>
          </w:tcPr>
          <w:p w14:paraId="6AD78348"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68D451C5" w14:textId="0D62DF33"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10A86524" w14:textId="5A63BB4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3451F312" w14:textId="2295E6F6" w:rsidR="00B14519" w:rsidRPr="00781112" w:rsidRDefault="00B14519" w:rsidP="00D13592">
            <w:pPr>
              <w:jc w:val="center"/>
              <w:rPr>
                <w:rFonts w:cs="Arial"/>
                <w:color w:val="000000" w:themeColor="text1"/>
                <w:szCs w:val="16"/>
              </w:rPr>
            </w:pPr>
            <w:r w:rsidRPr="00781112">
              <w:rPr>
                <w:rFonts w:cs="Arial"/>
                <w:color w:val="000000" w:themeColor="text1"/>
                <w:szCs w:val="16"/>
              </w:rPr>
              <w:t>53.52%</w:t>
            </w:r>
          </w:p>
        </w:tc>
        <w:tc>
          <w:tcPr>
            <w:tcW w:w="659" w:type="pct"/>
            <w:vAlign w:val="center"/>
          </w:tcPr>
          <w:p w14:paraId="1A23D563" w14:textId="56F68959" w:rsidR="00B14519" w:rsidRPr="00781112" w:rsidRDefault="00B14519" w:rsidP="00D13592">
            <w:pPr>
              <w:jc w:val="center"/>
              <w:rPr>
                <w:rFonts w:cs="Arial"/>
                <w:color w:val="000000" w:themeColor="text1"/>
                <w:szCs w:val="16"/>
              </w:rPr>
            </w:pPr>
            <w:r w:rsidRPr="00781112">
              <w:rPr>
                <w:rFonts w:cs="Arial"/>
                <w:color w:val="000000" w:themeColor="text1"/>
                <w:szCs w:val="16"/>
              </w:rPr>
              <w:t>53.77%</w:t>
            </w:r>
          </w:p>
        </w:tc>
        <w:tc>
          <w:tcPr>
            <w:tcW w:w="659" w:type="pct"/>
            <w:vAlign w:val="center"/>
          </w:tcPr>
          <w:p w14:paraId="6BBDE651" w14:textId="47B65FE0" w:rsidR="00B14519" w:rsidRPr="00781112" w:rsidRDefault="00B14519" w:rsidP="00D13592">
            <w:pPr>
              <w:jc w:val="center"/>
              <w:rPr>
                <w:rFonts w:cs="Arial"/>
                <w:color w:val="000000" w:themeColor="text1"/>
                <w:szCs w:val="16"/>
              </w:rPr>
            </w:pPr>
            <w:r w:rsidRPr="00781112">
              <w:rPr>
                <w:rFonts w:cs="Arial"/>
                <w:color w:val="000000" w:themeColor="text1"/>
                <w:szCs w:val="16"/>
              </w:rPr>
              <w:t>54.02%</w:t>
            </w:r>
          </w:p>
        </w:tc>
        <w:tc>
          <w:tcPr>
            <w:tcW w:w="659" w:type="pct"/>
            <w:vAlign w:val="center"/>
          </w:tcPr>
          <w:p w14:paraId="5A275577" w14:textId="6DCA94CB" w:rsidR="00B14519" w:rsidRPr="00781112" w:rsidRDefault="00B14519" w:rsidP="00D13592">
            <w:pPr>
              <w:jc w:val="center"/>
              <w:rPr>
                <w:rFonts w:cs="Arial"/>
                <w:color w:val="000000" w:themeColor="text1"/>
                <w:szCs w:val="16"/>
              </w:rPr>
            </w:pPr>
            <w:r w:rsidRPr="00781112">
              <w:rPr>
                <w:rFonts w:cs="Arial"/>
                <w:color w:val="000000" w:themeColor="text1"/>
                <w:szCs w:val="16"/>
              </w:rPr>
              <w:t>54.51%</w:t>
            </w:r>
          </w:p>
        </w:tc>
        <w:tc>
          <w:tcPr>
            <w:tcW w:w="659" w:type="pct"/>
            <w:vAlign w:val="center"/>
          </w:tcPr>
          <w:p w14:paraId="3206928B" w14:textId="11EAF098" w:rsidR="00B14519" w:rsidRPr="00781112" w:rsidRDefault="00B14519" w:rsidP="00D13592">
            <w:pPr>
              <w:jc w:val="center"/>
              <w:rPr>
                <w:rFonts w:cs="Arial"/>
                <w:color w:val="000000" w:themeColor="text1"/>
                <w:szCs w:val="16"/>
              </w:rPr>
            </w:pPr>
            <w:r w:rsidRPr="00781112">
              <w:rPr>
                <w:rFonts w:cs="Arial"/>
                <w:color w:val="000000" w:themeColor="text1"/>
                <w:szCs w:val="16"/>
              </w:rPr>
              <w:t>55.50%</w:t>
            </w:r>
          </w:p>
        </w:tc>
      </w:tr>
      <w:tr w:rsidR="00B14519" w:rsidRPr="00781112" w14:paraId="4229AE62" w14:textId="33381C2A" w:rsidTr="00451D7E">
        <w:tc>
          <w:tcPr>
            <w:tcW w:w="427" w:type="pct"/>
            <w:shd w:val="clear" w:color="auto" w:fill="auto"/>
            <w:vAlign w:val="center"/>
          </w:tcPr>
          <w:p w14:paraId="65BFCE1A" w14:textId="0D697A5F"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0A529643" w14:textId="2519635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62F8D3A7" w14:textId="0DE3112A"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1D5B4183" w14:textId="1238BC64" w:rsidR="00B14519" w:rsidRPr="00781112" w:rsidRDefault="00B14519" w:rsidP="00D13592">
            <w:pPr>
              <w:jc w:val="center"/>
              <w:rPr>
                <w:rFonts w:cs="Arial"/>
                <w:color w:val="000000" w:themeColor="text1"/>
                <w:szCs w:val="16"/>
              </w:rPr>
            </w:pPr>
            <w:r w:rsidRPr="00781112">
              <w:rPr>
                <w:rFonts w:cs="Arial"/>
                <w:color w:val="000000" w:themeColor="text1"/>
                <w:szCs w:val="16"/>
              </w:rPr>
              <w:t>68.75%</w:t>
            </w:r>
          </w:p>
        </w:tc>
        <w:tc>
          <w:tcPr>
            <w:tcW w:w="659" w:type="pct"/>
            <w:vAlign w:val="center"/>
          </w:tcPr>
          <w:p w14:paraId="200F306C" w14:textId="40F15380" w:rsidR="00B14519" w:rsidRPr="00781112" w:rsidRDefault="00B14519" w:rsidP="00D13592">
            <w:pPr>
              <w:jc w:val="center"/>
              <w:rPr>
                <w:rFonts w:cs="Arial"/>
                <w:color w:val="000000" w:themeColor="text1"/>
                <w:szCs w:val="16"/>
              </w:rPr>
            </w:pPr>
            <w:r w:rsidRPr="00781112">
              <w:rPr>
                <w:rFonts w:cs="Arial"/>
                <w:color w:val="000000" w:themeColor="text1"/>
                <w:szCs w:val="16"/>
              </w:rPr>
              <w:t>68.91%</w:t>
            </w:r>
          </w:p>
        </w:tc>
        <w:tc>
          <w:tcPr>
            <w:tcW w:w="659" w:type="pct"/>
            <w:vAlign w:val="center"/>
          </w:tcPr>
          <w:p w14:paraId="01C155DC" w14:textId="32FC3C15" w:rsidR="00B14519" w:rsidRPr="00781112" w:rsidRDefault="00B14519" w:rsidP="00D13592">
            <w:pPr>
              <w:jc w:val="center"/>
              <w:rPr>
                <w:rFonts w:cs="Arial"/>
                <w:color w:val="000000" w:themeColor="text1"/>
                <w:szCs w:val="16"/>
              </w:rPr>
            </w:pPr>
            <w:r w:rsidRPr="00781112">
              <w:rPr>
                <w:rFonts w:cs="Arial"/>
                <w:color w:val="000000" w:themeColor="text1"/>
                <w:szCs w:val="16"/>
              </w:rPr>
              <w:t>69.06%</w:t>
            </w:r>
          </w:p>
        </w:tc>
        <w:tc>
          <w:tcPr>
            <w:tcW w:w="659" w:type="pct"/>
            <w:vAlign w:val="center"/>
          </w:tcPr>
          <w:p w14:paraId="31A2EE92" w14:textId="183FF0A7" w:rsidR="00B14519" w:rsidRPr="00781112" w:rsidRDefault="00B14519" w:rsidP="00D13592">
            <w:pPr>
              <w:jc w:val="center"/>
              <w:rPr>
                <w:rFonts w:cs="Arial"/>
                <w:color w:val="000000" w:themeColor="text1"/>
                <w:szCs w:val="16"/>
              </w:rPr>
            </w:pPr>
            <w:r w:rsidRPr="00781112">
              <w:rPr>
                <w:rFonts w:cs="Arial"/>
                <w:color w:val="000000" w:themeColor="text1"/>
                <w:szCs w:val="16"/>
              </w:rPr>
              <w:t>69.38%</w:t>
            </w:r>
          </w:p>
        </w:tc>
        <w:tc>
          <w:tcPr>
            <w:tcW w:w="659" w:type="pct"/>
            <w:vAlign w:val="center"/>
          </w:tcPr>
          <w:p w14:paraId="52A72D95" w14:textId="51822CAD" w:rsidR="00B14519" w:rsidRPr="00781112" w:rsidRDefault="00B14519" w:rsidP="00D13592">
            <w:pPr>
              <w:jc w:val="center"/>
              <w:rPr>
                <w:rFonts w:cs="Arial"/>
                <w:color w:val="000000" w:themeColor="text1"/>
                <w:szCs w:val="16"/>
              </w:rPr>
            </w:pPr>
            <w:r w:rsidRPr="00781112">
              <w:rPr>
                <w:rFonts w:cs="Arial"/>
                <w:color w:val="000000" w:themeColor="text1"/>
                <w:szCs w:val="16"/>
              </w:rPr>
              <w:t>70.00%</w:t>
            </w:r>
          </w:p>
        </w:tc>
      </w:tr>
      <w:tr w:rsidR="00B14519" w:rsidRPr="00781112" w14:paraId="53D446D4" w14:textId="31EA6E11" w:rsidTr="00451D7E">
        <w:tc>
          <w:tcPr>
            <w:tcW w:w="427" w:type="pct"/>
            <w:shd w:val="clear" w:color="auto" w:fill="auto"/>
            <w:vAlign w:val="center"/>
          </w:tcPr>
          <w:p w14:paraId="5413BB65" w14:textId="22884284"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Reading</w:t>
            </w:r>
          </w:p>
        </w:tc>
        <w:tc>
          <w:tcPr>
            <w:tcW w:w="366" w:type="pct"/>
            <w:shd w:val="clear" w:color="auto" w:fill="auto"/>
            <w:vAlign w:val="center"/>
          </w:tcPr>
          <w:p w14:paraId="1408EAB6" w14:textId="5A0418A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6E4FCBFF" w14:textId="158A4AA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520F380" w14:textId="38C36219" w:rsidR="00B14519" w:rsidRPr="00781112" w:rsidRDefault="00B14519" w:rsidP="00D13592">
            <w:pPr>
              <w:jc w:val="center"/>
              <w:rPr>
                <w:rFonts w:cs="Arial"/>
                <w:color w:val="000000" w:themeColor="text1"/>
                <w:szCs w:val="16"/>
              </w:rPr>
            </w:pPr>
            <w:r w:rsidRPr="00781112">
              <w:rPr>
                <w:rFonts w:cs="Arial"/>
                <w:color w:val="000000" w:themeColor="text1"/>
                <w:szCs w:val="16"/>
              </w:rPr>
              <w:t>52.27%</w:t>
            </w:r>
          </w:p>
        </w:tc>
        <w:tc>
          <w:tcPr>
            <w:tcW w:w="659" w:type="pct"/>
            <w:vAlign w:val="center"/>
          </w:tcPr>
          <w:p w14:paraId="3305DD14" w14:textId="4DBBF69C" w:rsidR="00B14519" w:rsidRPr="00781112" w:rsidRDefault="00B14519" w:rsidP="00D13592">
            <w:pPr>
              <w:jc w:val="center"/>
              <w:rPr>
                <w:rFonts w:cs="Arial"/>
                <w:color w:val="000000" w:themeColor="text1"/>
                <w:szCs w:val="16"/>
              </w:rPr>
            </w:pPr>
            <w:r w:rsidRPr="00781112">
              <w:rPr>
                <w:rFonts w:cs="Arial"/>
                <w:color w:val="000000" w:themeColor="text1"/>
                <w:szCs w:val="16"/>
              </w:rPr>
              <w:t>52.49%</w:t>
            </w:r>
          </w:p>
        </w:tc>
        <w:tc>
          <w:tcPr>
            <w:tcW w:w="659" w:type="pct"/>
            <w:vAlign w:val="center"/>
          </w:tcPr>
          <w:p w14:paraId="02FF2601" w14:textId="545909AE" w:rsidR="00B14519" w:rsidRPr="00781112" w:rsidRDefault="00B14519" w:rsidP="00D13592">
            <w:pPr>
              <w:jc w:val="center"/>
              <w:rPr>
                <w:rFonts w:cs="Arial"/>
                <w:color w:val="000000" w:themeColor="text1"/>
                <w:szCs w:val="16"/>
              </w:rPr>
            </w:pPr>
            <w:r w:rsidRPr="00781112">
              <w:rPr>
                <w:rFonts w:cs="Arial"/>
                <w:color w:val="000000" w:themeColor="text1"/>
                <w:szCs w:val="16"/>
              </w:rPr>
              <w:t>52.70%</w:t>
            </w:r>
          </w:p>
        </w:tc>
        <w:tc>
          <w:tcPr>
            <w:tcW w:w="659" w:type="pct"/>
            <w:vAlign w:val="center"/>
          </w:tcPr>
          <w:p w14:paraId="607B9906" w14:textId="6058F884" w:rsidR="00B14519" w:rsidRPr="00781112" w:rsidRDefault="00B14519" w:rsidP="00D13592">
            <w:pPr>
              <w:jc w:val="center"/>
              <w:rPr>
                <w:rFonts w:cs="Arial"/>
                <w:color w:val="000000" w:themeColor="text1"/>
                <w:szCs w:val="16"/>
              </w:rPr>
            </w:pPr>
            <w:r w:rsidRPr="00781112">
              <w:rPr>
                <w:rFonts w:cs="Arial"/>
                <w:color w:val="000000" w:themeColor="text1"/>
                <w:szCs w:val="16"/>
              </w:rPr>
              <w:t>53.14%</w:t>
            </w:r>
          </w:p>
        </w:tc>
        <w:tc>
          <w:tcPr>
            <w:tcW w:w="659" w:type="pct"/>
            <w:vAlign w:val="center"/>
          </w:tcPr>
          <w:p w14:paraId="00AA5B51" w14:textId="2B22FFA4" w:rsidR="00B14519" w:rsidRPr="00781112" w:rsidRDefault="00B14519" w:rsidP="00D13592">
            <w:pPr>
              <w:jc w:val="center"/>
              <w:rPr>
                <w:rFonts w:cs="Arial"/>
                <w:color w:val="000000" w:themeColor="text1"/>
                <w:szCs w:val="16"/>
              </w:rPr>
            </w:pPr>
            <w:r w:rsidRPr="00781112">
              <w:rPr>
                <w:rFonts w:cs="Arial"/>
                <w:color w:val="000000" w:themeColor="text1"/>
                <w:szCs w:val="16"/>
              </w:rPr>
              <w:t>54.00%</w:t>
            </w:r>
          </w:p>
        </w:tc>
      </w:tr>
      <w:tr w:rsidR="00B14519" w:rsidRPr="00781112" w14:paraId="4D7E1CB4" w14:textId="31C0C80F" w:rsidTr="00451D7E">
        <w:tc>
          <w:tcPr>
            <w:tcW w:w="427" w:type="pct"/>
            <w:shd w:val="clear" w:color="auto" w:fill="auto"/>
            <w:vAlign w:val="center"/>
          </w:tcPr>
          <w:p w14:paraId="3E17FC71" w14:textId="77777777"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93C59D6" w14:textId="4FA6AC82"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A &gt;=</w:t>
            </w:r>
          </w:p>
        </w:tc>
        <w:tc>
          <w:tcPr>
            <w:tcW w:w="912" w:type="pct"/>
            <w:shd w:val="clear" w:color="auto" w:fill="auto"/>
            <w:vAlign w:val="center"/>
          </w:tcPr>
          <w:p w14:paraId="06CBBAA1" w14:textId="25010E97"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4</w:t>
            </w:r>
          </w:p>
        </w:tc>
        <w:tc>
          <w:tcPr>
            <w:tcW w:w="659" w:type="pct"/>
            <w:shd w:val="clear" w:color="auto" w:fill="auto"/>
            <w:vAlign w:val="center"/>
          </w:tcPr>
          <w:p w14:paraId="5B4F37F7" w14:textId="0586B65B" w:rsidR="00B14519" w:rsidRPr="00781112" w:rsidRDefault="00B14519" w:rsidP="00D13592">
            <w:pPr>
              <w:jc w:val="center"/>
              <w:rPr>
                <w:rFonts w:cs="Arial"/>
                <w:color w:val="000000" w:themeColor="text1"/>
                <w:szCs w:val="16"/>
              </w:rPr>
            </w:pPr>
            <w:r w:rsidRPr="00781112">
              <w:rPr>
                <w:rFonts w:cs="Arial"/>
                <w:color w:val="000000" w:themeColor="text1"/>
                <w:szCs w:val="16"/>
              </w:rPr>
              <w:t>43.66%</w:t>
            </w:r>
          </w:p>
        </w:tc>
        <w:tc>
          <w:tcPr>
            <w:tcW w:w="659" w:type="pct"/>
            <w:vAlign w:val="center"/>
          </w:tcPr>
          <w:p w14:paraId="5BCC413B" w14:textId="09A05E02" w:rsidR="00B14519" w:rsidRPr="00781112" w:rsidRDefault="00B14519" w:rsidP="00D13592">
            <w:pPr>
              <w:jc w:val="center"/>
              <w:rPr>
                <w:rFonts w:cs="Arial"/>
                <w:color w:val="000000" w:themeColor="text1"/>
                <w:szCs w:val="16"/>
              </w:rPr>
            </w:pPr>
            <w:r w:rsidRPr="00781112">
              <w:rPr>
                <w:rFonts w:cs="Arial"/>
                <w:color w:val="000000" w:themeColor="text1"/>
                <w:szCs w:val="16"/>
              </w:rPr>
              <w:t>43.89%</w:t>
            </w:r>
          </w:p>
        </w:tc>
        <w:tc>
          <w:tcPr>
            <w:tcW w:w="659" w:type="pct"/>
            <w:vAlign w:val="center"/>
          </w:tcPr>
          <w:p w14:paraId="45EF5FCE" w14:textId="00D7D29B" w:rsidR="00B14519" w:rsidRPr="00781112" w:rsidRDefault="00B14519" w:rsidP="00D13592">
            <w:pPr>
              <w:jc w:val="center"/>
              <w:rPr>
                <w:rFonts w:cs="Arial"/>
                <w:color w:val="000000" w:themeColor="text1"/>
                <w:szCs w:val="16"/>
              </w:rPr>
            </w:pPr>
            <w:r w:rsidRPr="00781112">
              <w:rPr>
                <w:rFonts w:cs="Arial"/>
                <w:color w:val="000000" w:themeColor="text1"/>
                <w:szCs w:val="16"/>
              </w:rPr>
              <w:t>44.12%</w:t>
            </w:r>
          </w:p>
        </w:tc>
        <w:tc>
          <w:tcPr>
            <w:tcW w:w="659" w:type="pct"/>
            <w:vAlign w:val="center"/>
          </w:tcPr>
          <w:p w14:paraId="68AE213E" w14:textId="4ECF4085" w:rsidR="00B14519" w:rsidRPr="00781112" w:rsidRDefault="00B14519" w:rsidP="00D13592">
            <w:pPr>
              <w:jc w:val="center"/>
              <w:rPr>
                <w:rFonts w:cs="Arial"/>
                <w:color w:val="000000" w:themeColor="text1"/>
                <w:szCs w:val="16"/>
              </w:rPr>
            </w:pPr>
            <w:r w:rsidRPr="00781112">
              <w:rPr>
                <w:rFonts w:cs="Arial"/>
                <w:color w:val="000000" w:themeColor="text1"/>
                <w:szCs w:val="16"/>
              </w:rPr>
              <w:t>44.58%</w:t>
            </w:r>
          </w:p>
        </w:tc>
        <w:tc>
          <w:tcPr>
            <w:tcW w:w="659" w:type="pct"/>
            <w:vAlign w:val="center"/>
          </w:tcPr>
          <w:p w14:paraId="7B3E2D7F" w14:textId="73124E34" w:rsidR="00B14519" w:rsidRPr="00781112" w:rsidRDefault="00B14519" w:rsidP="00D13592">
            <w:pPr>
              <w:jc w:val="center"/>
              <w:rPr>
                <w:rFonts w:cs="Arial"/>
                <w:color w:val="000000" w:themeColor="text1"/>
                <w:szCs w:val="16"/>
              </w:rPr>
            </w:pPr>
            <w:r w:rsidRPr="00781112">
              <w:rPr>
                <w:rFonts w:cs="Arial"/>
                <w:color w:val="000000" w:themeColor="text1"/>
                <w:szCs w:val="16"/>
              </w:rPr>
              <w:t>45.50%</w:t>
            </w:r>
          </w:p>
        </w:tc>
      </w:tr>
      <w:tr w:rsidR="00B14519" w:rsidRPr="00781112" w14:paraId="6A0B25C6" w14:textId="3CA923D5" w:rsidTr="00451D7E">
        <w:tc>
          <w:tcPr>
            <w:tcW w:w="427" w:type="pct"/>
            <w:shd w:val="clear" w:color="auto" w:fill="auto"/>
            <w:vAlign w:val="center"/>
          </w:tcPr>
          <w:p w14:paraId="7A201508" w14:textId="57E216E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3BD3C679" w14:textId="4834DDCE"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B &gt;=</w:t>
            </w:r>
          </w:p>
        </w:tc>
        <w:tc>
          <w:tcPr>
            <w:tcW w:w="912" w:type="pct"/>
            <w:shd w:val="clear" w:color="auto" w:fill="auto"/>
            <w:vAlign w:val="center"/>
          </w:tcPr>
          <w:p w14:paraId="75E8E6D8" w14:textId="7D040B60"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8</w:t>
            </w:r>
          </w:p>
        </w:tc>
        <w:tc>
          <w:tcPr>
            <w:tcW w:w="659" w:type="pct"/>
            <w:shd w:val="clear" w:color="auto" w:fill="auto"/>
            <w:vAlign w:val="center"/>
          </w:tcPr>
          <w:p w14:paraId="4671DF75" w14:textId="2CD78B1B" w:rsidR="00B14519" w:rsidRPr="00781112" w:rsidRDefault="00B14519" w:rsidP="00D13592">
            <w:pPr>
              <w:jc w:val="center"/>
              <w:rPr>
                <w:rFonts w:cs="Arial"/>
                <w:color w:val="000000" w:themeColor="text1"/>
                <w:szCs w:val="16"/>
              </w:rPr>
            </w:pPr>
            <w:r w:rsidRPr="00781112">
              <w:rPr>
                <w:rFonts w:cs="Arial"/>
                <w:color w:val="000000" w:themeColor="text1"/>
                <w:szCs w:val="16"/>
              </w:rPr>
              <w:t>65.43%</w:t>
            </w:r>
          </w:p>
        </w:tc>
        <w:tc>
          <w:tcPr>
            <w:tcW w:w="659" w:type="pct"/>
            <w:vAlign w:val="center"/>
          </w:tcPr>
          <w:p w14:paraId="0BF63C58" w14:textId="72F24C80" w:rsidR="00B14519" w:rsidRPr="00781112" w:rsidRDefault="00B14519" w:rsidP="00D13592">
            <w:pPr>
              <w:jc w:val="center"/>
              <w:rPr>
                <w:rFonts w:cs="Arial"/>
                <w:color w:val="000000" w:themeColor="text1"/>
                <w:szCs w:val="16"/>
              </w:rPr>
            </w:pPr>
            <w:r w:rsidRPr="00781112">
              <w:rPr>
                <w:rFonts w:cs="Arial"/>
                <w:color w:val="000000" w:themeColor="text1"/>
                <w:szCs w:val="16"/>
              </w:rPr>
              <w:t>65.69%</w:t>
            </w:r>
          </w:p>
        </w:tc>
        <w:tc>
          <w:tcPr>
            <w:tcW w:w="659" w:type="pct"/>
            <w:vAlign w:val="center"/>
          </w:tcPr>
          <w:p w14:paraId="0075BBBD" w14:textId="7AFABF25" w:rsidR="00B14519" w:rsidRPr="00781112" w:rsidRDefault="00B14519" w:rsidP="00D13592">
            <w:pPr>
              <w:jc w:val="center"/>
              <w:rPr>
                <w:rFonts w:cs="Arial"/>
                <w:color w:val="000000" w:themeColor="text1"/>
                <w:szCs w:val="16"/>
              </w:rPr>
            </w:pPr>
            <w:r w:rsidRPr="00781112">
              <w:rPr>
                <w:rFonts w:cs="Arial"/>
                <w:color w:val="000000" w:themeColor="text1"/>
                <w:szCs w:val="16"/>
              </w:rPr>
              <w:t>65.95%</w:t>
            </w:r>
          </w:p>
        </w:tc>
        <w:tc>
          <w:tcPr>
            <w:tcW w:w="659" w:type="pct"/>
            <w:vAlign w:val="center"/>
          </w:tcPr>
          <w:p w14:paraId="0162408E" w14:textId="763A5CFC" w:rsidR="00B14519" w:rsidRPr="00781112" w:rsidRDefault="00B14519" w:rsidP="00D13592">
            <w:pPr>
              <w:jc w:val="center"/>
              <w:rPr>
                <w:rFonts w:cs="Arial"/>
                <w:color w:val="000000" w:themeColor="text1"/>
                <w:szCs w:val="16"/>
              </w:rPr>
            </w:pPr>
            <w:r w:rsidRPr="00781112">
              <w:rPr>
                <w:rFonts w:cs="Arial"/>
                <w:color w:val="000000" w:themeColor="text1"/>
                <w:szCs w:val="16"/>
              </w:rPr>
              <w:t>66.47%</w:t>
            </w:r>
          </w:p>
        </w:tc>
        <w:tc>
          <w:tcPr>
            <w:tcW w:w="659" w:type="pct"/>
            <w:vAlign w:val="center"/>
          </w:tcPr>
          <w:p w14:paraId="31533AB0" w14:textId="168489BE" w:rsidR="00B14519" w:rsidRPr="00781112" w:rsidRDefault="00B14519" w:rsidP="00D13592">
            <w:pPr>
              <w:jc w:val="center"/>
              <w:rPr>
                <w:rFonts w:cs="Arial"/>
                <w:color w:val="000000" w:themeColor="text1"/>
                <w:szCs w:val="16"/>
              </w:rPr>
            </w:pPr>
            <w:r w:rsidRPr="00781112">
              <w:rPr>
                <w:rFonts w:cs="Arial"/>
                <w:color w:val="000000" w:themeColor="text1"/>
                <w:szCs w:val="16"/>
              </w:rPr>
              <w:t>67.50%</w:t>
            </w:r>
          </w:p>
        </w:tc>
      </w:tr>
      <w:tr w:rsidR="00B14519" w:rsidRPr="00781112" w14:paraId="72653908" w14:textId="04D938F0" w:rsidTr="00451D7E">
        <w:tc>
          <w:tcPr>
            <w:tcW w:w="427" w:type="pct"/>
            <w:shd w:val="clear" w:color="auto" w:fill="auto"/>
            <w:vAlign w:val="center"/>
          </w:tcPr>
          <w:p w14:paraId="48B507DA" w14:textId="179672F1"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Math</w:t>
            </w:r>
          </w:p>
        </w:tc>
        <w:tc>
          <w:tcPr>
            <w:tcW w:w="366" w:type="pct"/>
            <w:shd w:val="clear" w:color="auto" w:fill="auto"/>
            <w:vAlign w:val="center"/>
          </w:tcPr>
          <w:p w14:paraId="63FB17C0" w14:textId="2F2DF4DD" w:rsidR="00B14519" w:rsidRPr="00781112" w:rsidRDefault="00B14519" w:rsidP="00D13592">
            <w:pPr>
              <w:spacing w:before="0" w:after="0"/>
              <w:jc w:val="center"/>
              <w:rPr>
                <w:rFonts w:cs="Arial"/>
                <w:color w:val="000000" w:themeColor="text1"/>
                <w:szCs w:val="16"/>
              </w:rPr>
            </w:pPr>
            <w:r w:rsidRPr="00781112">
              <w:rPr>
                <w:rFonts w:cs="Arial"/>
                <w:color w:val="000000" w:themeColor="text1"/>
                <w:szCs w:val="16"/>
              </w:rPr>
              <w:t>C &gt;=</w:t>
            </w:r>
          </w:p>
        </w:tc>
        <w:tc>
          <w:tcPr>
            <w:tcW w:w="912" w:type="pct"/>
            <w:shd w:val="clear" w:color="auto" w:fill="auto"/>
            <w:vAlign w:val="center"/>
          </w:tcPr>
          <w:p w14:paraId="54F8A2F9" w14:textId="5C3A3F72" w:rsidR="00B14519" w:rsidRPr="00781112" w:rsidDel="00DE5045" w:rsidRDefault="00B14519" w:rsidP="00D13592">
            <w:pPr>
              <w:jc w:val="center"/>
              <w:rPr>
                <w:rFonts w:cs="Arial"/>
                <w:color w:val="000000" w:themeColor="text1"/>
                <w:szCs w:val="16"/>
              </w:rPr>
            </w:pPr>
            <w:r w:rsidRPr="00781112">
              <w:rPr>
                <w:rFonts w:cs="Arial"/>
                <w:color w:val="000000" w:themeColor="text1"/>
                <w:szCs w:val="16"/>
              </w:rPr>
              <w:t>Grade HS</w:t>
            </w:r>
          </w:p>
        </w:tc>
        <w:tc>
          <w:tcPr>
            <w:tcW w:w="659" w:type="pct"/>
            <w:shd w:val="clear" w:color="auto" w:fill="auto"/>
            <w:vAlign w:val="center"/>
          </w:tcPr>
          <w:p w14:paraId="32CB0D9F" w14:textId="65605481" w:rsidR="00B14519" w:rsidRPr="00781112" w:rsidRDefault="00B14519" w:rsidP="00D13592">
            <w:pPr>
              <w:jc w:val="center"/>
              <w:rPr>
                <w:rFonts w:cs="Arial"/>
                <w:color w:val="000000" w:themeColor="text1"/>
                <w:szCs w:val="16"/>
              </w:rPr>
            </w:pPr>
            <w:r w:rsidRPr="00781112">
              <w:rPr>
                <w:rFonts w:cs="Arial"/>
                <w:color w:val="000000" w:themeColor="text1"/>
                <w:szCs w:val="16"/>
              </w:rPr>
              <w:t>41.98%</w:t>
            </w:r>
          </w:p>
        </w:tc>
        <w:tc>
          <w:tcPr>
            <w:tcW w:w="659" w:type="pct"/>
            <w:vAlign w:val="center"/>
          </w:tcPr>
          <w:p w14:paraId="72012D7E" w14:textId="10B8E7BA" w:rsidR="00B14519" w:rsidRPr="00781112" w:rsidRDefault="00B14519" w:rsidP="00D13592">
            <w:pPr>
              <w:jc w:val="center"/>
              <w:rPr>
                <w:rFonts w:cs="Arial"/>
                <w:color w:val="000000" w:themeColor="text1"/>
                <w:szCs w:val="16"/>
              </w:rPr>
            </w:pPr>
            <w:r w:rsidRPr="00781112">
              <w:rPr>
                <w:rFonts w:cs="Arial"/>
                <w:color w:val="000000" w:themeColor="text1"/>
                <w:szCs w:val="16"/>
              </w:rPr>
              <w:t>42.24%</w:t>
            </w:r>
          </w:p>
        </w:tc>
        <w:tc>
          <w:tcPr>
            <w:tcW w:w="659" w:type="pct"/>
            <w:vAlign w:val="center"/>
          </w:tcPr>
          <w:p w14:paraId="323B3F79" w14:textId="5FA94A39" w:rsidR="00B14519" w:rsidRPr="00781112" w:rsidRDefault="00B14519" w:rsidP="00D13592">
            <w:pPr>
              <w:jc w:val="center"/>
              <w:rPr>
                <w:rFonts w:cs="Arial"/>
                <w:color w:val="000000" w:themeColor="text1"/>
                <w:szCs w:val="16"/>
              </w:rPr>
            </w:pPr>
            <w:r w:rsidRPr="00781112">
              <w:rPr>
                <w:rFonts w:cs="Arial"/>
                <w:color w:val="000000" w:themeColor="text1"/>
                <w:szCs w:val="16"/>
              </w:rPr>
              <w:t>42.49%</w:t>
            </w:r>
          </w:p>
        </w:tc>
        <w:tc>
          <w:tcPr>
            <w:tcW w:w="659" w:type="pct"/>
            <w:vAlign w:val="center"/>
          </w:tcPr>
          <w:p w14:paraId="4A1DD032" w14:textId="1316ECD4" w:rsidR="00B14519" w:rsidRPr="00781112" w:rsidRDefault="00B14519" w:rsidP="00D13592">
            <w:pPr>
              <w:jc w:val="center"/>
              <w:rPr>
                <w:rFonts w:cs="Arial"/>
                <w:color w:val="000000" w:themeColor="text1"/>
                <w:szCs w:val="16"/>
              </w:rPr>
            </w:pPr>
            <w:r w:rsidRPr="00781112">
              <w:rPr>
                <w:rFonts w:cs="Arial"/>
                <w:color w:val="000000" w:themeColor="text1"/>
                <w:szCs w:val="16"/>
              </w:rPr>
              <w:t>42.99%</w:t>
            </w:r>
          </w:p>
        </w:tc>
        <w:tc>
          <w:tcPr>
            <w:tcW w:w="659" w:type="pct"/>
            <w:vAlign w:val="center"/>
          </w:tcPr>
          <w:p w14:paraId="74C8F676" w14:textId="54D72167" w:rsidR="00B14519" w:rsidRPr="00781112" w:rsidRDefault="00B14519" w:rsidP="00D13592">
            <w:pPr>
              <w:jc w:val="center"/>
              <w:rPr>
                <w:rFonts w:cs="Arial"/>
                <w:color w:val="000000" w:themeColor="text1"/>
                <w:szCs w:val="16"/>
              </w:rPr>
            </w:pPr>
            <w:r w:rsidRPr="00781112">
              <w:rPr>
                <w:rFonts w:cs="Arial"/>
                <w:color w:val="000000" w:themeColor="text1"/>
                <w:szCs w:val="16"/>
              </w:rPr>
              <w:t>44.00%</w:t>
            </w:r>
          </w:p>
        </w:tc>
      </w:tr>
    </w:tbl>
    <w:p w14:paraId="1A1A5E4E" w14:textId="77777777" w:rsidR="0039251E" w:rsidRDefault="0039251E" w:rsidP="0039251E">
      <w:pPr>
        <w:spacing w:before="0" w:after="200" w:line="276" w:lineRule="auto"/>
        <w:rPr>
          <w:b/>
          <w:color w:val="000000" w:themeColor="text1"/>
        </w:rPr>
      </w:pPr>
    </w:p>
    <w:p w14:paraId="08B1A70A" w14:textId="2E0C919C" w:rsidR="002D145D" w:rsidRPr="0039251E" w:rsidRDefault="002D145D" w:rsidP="0039251E">
      <w:pPr>
        <w:spacing w:before="0" w:after="200" w:line="276" w:lineRule="auto"/>
        <w:rPr>
          <w:b/>
          <w:color w:val="000000" w:themeColor="text1"/>
        </w:rPr>
      </w:pPr>
      <w:r w:rsidRPr="00781112">
        <w:rPr>
          <w:b/>
          <w:color w:val="000000" w:themeColor="text1"/>
        </w:rPr>
        <w:t xml:space="preserve">Targets: Description of Stakeholder Input </w:t>
      </w:r>
      <w:r w:rsidR="0039251E">
        <w:rPr>
          <w:b/>
          <w:color w:val="000000" w:themeColor="text1"/>
        </w:rPr>
        <w:br/>
      </w:r>
      <w:r w:rsidR="002B7490" w:rsidRPr="00781112">
        <w:rPr>
          <w:rFonts w:cs="Arial"/>
          <w:color w:val="000000" w:themeColor="text1"/>
          <w:szCs w:val="16"/>
        </w:rPr>
        <w:t xml:space="preserve">For the SPP/APR FFY 2021, stakeholders </w:t>
      </w:r>
      <w:proofErr w:type="gramStart"/>
      <w:r w:rsidR="002B7490" w:rsidRPr="00781112">
        <w:rPr>
          <w:rFonts w:cs="Arial"/>
          <w:color w:val="000000" w:themeColor="text1"/>
          <w:szCs w:val="16"/>
        </w:rPr>
        <w:t>were again asked</w:t>
      </w:r>
      <w:proofErr w:type="gramEnd"/>
      <w:r w:rsidR="002B7490" w:rsidRPr="00781112">
        <w:rPr>
          <w:rFonts w:cs="Arial"/>
          <w:color w:val="000000" w:themeColor="text1"/>
          <w:szCs w:val="16"/>
        </w:rPr>
        <w:t xml:space="preserve"> to assist the WDE in setting targets for two indicators. </w:t>
      </w:r>
      <w:r w:rsidR="002B7490" w:rsidRPr="00781112">
        <w:rPr>
          <w:rFonts w:cs="Arial"/>
          <w:color w:val="000000" w:themeColor="text1"/>
          <w:szCs w:val="16"/>
        </w:rPr>
        <w:br/>
        <w:t xml:space="preserve">For indicator </w:t>
      </w:r>
      <w:proofErr w:type="gramStart"/>
      <w:r w:rsidR="002B7490" w:rsidRPr="00781112">
        <w:rPr>
          <w:rFonts w:cs="Arial"/>
          <w:color w:val="000000" w:themeColor="text1"/>
          <w:szCs w:val="16"/>
        </w:rPr>
        <w:t>8</w:t>
      </w:r>
      <w:proofErr w:type="gramEnd"/>
      <w:r w:rsidR="002B7490" w:rsidRPr="00781112">
        <w:rPr>
          <w:rFonts w:cs="Arial"/>
          <w:color w:val="000000" w:themeColor="text1"/>
          <w:szCs w:val="16"/>
        </w:rPr>
        <w:t xml:space="preserve"> [Parent Involvement] the State is setting </w:t>
      </w:r>
      <w:proofErr w:type="gramStart"/>
      <w:r w:rsidR="002B7490" w:rsidRPr="00781112">
        <w:rPr>
          <w:rFonts w:cs="Arial"/>
          <w:color w:val="000000" w:themeColor="text1"/>
          <w:szCs w:val="16"/>
        </w:rPr>
        <w:t>new</w:t>
      </w:r>
      <w:proofErr w:type="gramEnd"/>
      <w:r w:rsidR="002B7490"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002B7490" w:rsidRPr="00781112">
        <w:rPr>
          <w:rFonts w:cs="Arial"/>
          <w:color w:val="000000" w:themeColor="text1"/>
          <w:szCs w:val="16"/>
        </w:rPr>
        <w:t>is considered</w:t>
      </w:r>
      <w:proofErr w:type="gramEnd"/>
      <w:r w:rsidR="002B7490" w:rsidRPr="00781112">
        <w:rPr>
          <w:rFonts w:cs="Arial"/>
          <w:color w:val="000000" w:themeColor="text1"/>
          <w:szCs w:val="16"/>
        </w:rPr>
        <w:t xml:space="preserve"> a change in methodology. The original group of stakeholders utilized in FFY 2020 </w:t>
      </w:r>
      <w:proofErr w:type="gramStart"/>
      <w:r w:rsidR="002B7490" w:rsidRPr="00781112">
        <w:rPr>
          <w:rFonts w:cs="Arial"/>
          <w:color w:val="000000" w:themeColor="text1"/>
          <w:szCs w:val="16"/>
        </w:rPr>
        <w:t>was used</w:t>
      </w:r>
      <w:proofErr w:type="gramEnd"/>
      <w:r w:rsidR="002B7490" w:rsidRPr="00781112">
        <w:rPr>
          <w:rFonts w:cs="Arial"/>
          <w:color w:val="000000" w:themeColor="text1"/>
          <w:szCs w:val="16"/>
        </w:rPr>
        <w:t>, a stakeholder meeting was held, and input gathered.</w:t>
      </w:r>
      <w:r w:rsidR="002B7490"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002B7490" w:rsidRPr="00781112">
        <w:rPr>
          <w:rFonts w:cs="Arial"/>
          <w:color w:val="000000" w:themeColor="text1"/>
          <w:szCs w:val="16"/>
        </w:rPr>
        <w:t>10</w:t>
      </w:r>
      <w:proofErr w:type="gramEnd"/>
      <w:r w:rsidR="002B7490" w:rsidRPr="00781112">
        <w:rPr>
          <w:rFonts w:cs="Arial"/>
          <w:color w:val="000000" w:themeColor="text1"/>
          <w:szCs w:val="16"/>
        </w:rPr>
        <w:t xml:space="preserve"> medications held in one year for the past several years. This year there were </w:t>
      </w:r>
      <w:proofErr w:type="gramStart"/>
      <w:r w:rsidR="002B7490" w:rsidRPr="00781112">
        <w:rPr>
          <w:rFonts w:cs="Arial"/>
          <w:color w:val="000000" w:themeColor="text1"/>
          <w:szCs w:val="16"/>
        </w:rPr>
        <w:t>12</w:t>
      </w:r>
      <w:proofErr w:type="gramEnd"/>
      <w:r w:rsidR="002B7490"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002B7490"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w:t>
      </w:r>
      <w:r w:rsidR="002B7490" w:rsidRPr="00781112">
        <w:rPr>
          <w:rFonts w:cs="Arial"/>
          <w:color w:val="000000" w:themeColor="text1"/>
          <w:szCs w:val="16"/>
        </w:rPr>
        <w:lastRenderedPageBreak/>
        <w:t xml:space="preserve">strategies. To this end, the WDE contract with TAESE (Technical Assistance for Excellence in Special Education) from the University of Utah to provide a training to a group of stakeholders who do </w:t>
      </w:r>
      <w:proofErr w:type="gramStart"/>
      <w:r w:rsidR="002B7490" w:rsidRPr="00781112">
        <w:rPr>
          <w:rFonts w:cs="Arial"/>
          <w:color w:val="000000" w:themeColor="text1"/>
          <w:szCs w:val="16"/>
        </w:rPr>
        <w:t>work</w:t>
      </w:r>
      <w:proofErr w:type="gramEnd"/>
      <w:r w:rsidR="002B7490"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002B7490" w:rsidRPr="00781112">
        <w:rPr>
          <w:rFonts w:cs="Arial"/>
          <w:color w:val="000000" w:themeColor="text1"/>
          <w:szCs w:val="16"/>
        </w:rPr>
        <w:br/>
        <w:t xml:space="preserve">Also, for FFY 2021, stakeholders </w:t>
      </w:r>
      <w:proofErr w:type="gramStart"/>
      <w:r w:rsidR="002B7490" w:rsidRPr="00781112">
        <w:rPr>
          <w:rFonts w:cs="Arial"/>
          <w:color w:val="000000" w:themeColor="text1"/>
          <w:szCs w:val="16"/>
        </w:rPr>
        <w:t>were involved in</w:t>
      </w:r>
      <w:proofErr w:type="gramEnd"/>
      <w:r w:rsidR="002B7490"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002B7490" w:rsidRPr="00781112">
        <w:rPr>
          <w:rFonts w:cs="Arial"/>
          <w:color w:val="000000" w:themeColor="text1"/>
          <w:szCs w:val="16"/>
        </w:rPr>
        <w:t>17</w:t>
      </w:r>
      <w:proofErr w:type="gramEnd"/>
      <w:r w:rsidR="002B7490" w:rsidRPr="00781112">
        <w:rPr>
          <w:rFonts w:cs="Arial"/>
          <w:color w:val="000000" w:themeColor="text1"/>
          <w:szCs w:val="16"/>
        </w:rPr>
        <w:t xml:space="preserve"> indicators were explained, reviewed, and discussed. Data </w:t>
      </w:r>
      <w:proofErr w:type="gramStart"/>
      <w:r w:rsidR="002B7490" w:rsidRPr="00781112">
        <w:rPr>
          <w:rFonts w:cs="Arial"/>
          <w:color w:val="000000" w:themeColor="text1"/>
          <w:szCs w:val="16"/>
        </w:rPr>
        <w:t>was displayed</w:t>
      </w:r>
      <w:proofErr w:type="gramEnd"/>
      <w:r w:rsidR="002B7490" w:rsidRPr="00781112">
        <w:rPr>
          <w:rFonts w:cs="Arial"/>
          <w:color w:val="000000" w:themeColor="text1"/>
          <w:szCs w:val="16"/>
        </w:rPr>
        <w:t xml:space="preserve"> on how the State performed against the targets that were set the previous year. Targets were revisited to assess </w:t>
      </w:r>
      <w:proofErr w:type="gramStart"/>
      <w:r w:rsidR="002B7490" w:rsidRPr="00781112">
        <w:rPr>
          <w:rFonts w:cs="Arial"/>
          <w:color w:val="000000" w:themeColor="text1"/>
          <w:szCs w:val="16"/>
        </w:rPr>
        <w:t>whether or not</w:t>
      </w:r>
      <w:proofErr w:type="gramEnd"/>
      <w:r w:rsidR="002B7490"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002B7490" w:rsidRPr="00781112">
        <w:rPr>
          <w:rFonts w:cs="Arial"/>
          <w:color w:val="000000" w:themeColor="text1"/>
          <w:szCs w:val="16"/>
        </w:rPr>
        <w:t>was sought</w:t>
      </w:r>
      <w:proofErr w:type="gramEnd"/>
      <w:r w:rsidR="002B7490" w:rsidRPr="00781112">
        <w:rPr>
          <w:rFonts w:cs="Arial"/>
          <w:color w:val="000000" w:themeColor="text1"/>
          <w:szCs w:val="16"/>
        </w:rPr>
        <w:t xml:space="preserve">. Materials </w:t>
      </w:r>
      <w:proofErr w:type="gramStart"/>
      <w:r w:rsidR="002B7490" w:rsidRPr="00781112">
        <w:rPr>
          <w:rFonts w:cs="Arial"/>
          <w:color w:val="000000" w:themeColor="text1"/>
          <w:szCs w:val="16"/>
        </w:rPr>
        <w:t>were provided</w:t>
      </w:r>
      <w:proofErr w:type="gramEnd"/>
      <w:r w:rsidR="002B7490" w:rsidRPr="00781112">
        <w:rPr>
          <w:rFonts w:cs="Arial"/>
          <w:color w:val="000000" w:themeColor="text1"/>
          <w:szCs w:val="16"/>
        </w:rPr>
        <w:t xml:space="preserve"> ahead of time to be embossed to Braille to a blind participant.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7DACBE8A" w:rsidR="000A5A2E" w:rsidRPr="00781112" w:rsidRDefault="00FA33C9">
      <w:pPr>
        <w:rPr>
          <w:b/>
          <w:color w:val="000000" w:themeColor="text1"/>
        </w:rPr>
      </w:pPr>
      <w:r>
        <w:rPr>
          <w:b/>
          <w:color w:val="000000" w:themeColor="text1"/>
        </w:rPr>
        <w:t>FFY 2021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04/05/2023</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74</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87</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159</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45</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51</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82</w:t>
            </w:r>
          </w:p>
        </w:tc>
      </w:tr>
    </w:tbl>
    <w:p w14:paraId="73804467" w14:textId="77777777" w:rsidR="0039251E" w:rsidRDefault="0039251E" w:rsidP="00286BDF">
      <w:pPr>
        <w:rPr>
          <w:rFonts w:cs="Arial"/>
          <w:b/>
          <w:color w:val="000000" w:themeColor="text1"/>
          <w:szCs w:val="16"/>
        </w:rPr>
      </w:pPr>
    </w:p>
    <w:p w14:paraId="31899BDA" w14:textId="333AD814"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Default="002B7490" w:rsidP="00286BDF">
      <w:pPr>
        <w:rPr>
          <w:rFonts w:cs="Arial"/>
          <w:color w:val="000000" w:themeColor="text1"/>
          <w:szCs w:val="16"/>
        </w:rPr>
      </w:pPr>
      <w:r w:rsidRPr="00781112">
        <w:rPr>
          <w:rFonts w:cs="Arial"/>
          <w:color w:val="000000" w:themeColor="text1"/>
          <w:szCs w:val="16"/>
        </w:rPr>
        <w:t>04/05/2023</w:t>
      </w:r>
    </w:p>
    <w:p w14:paraId="47FB0DB8" w14:textId="77777777" w:rsidR="0039251E" w:rsidRPr="00781112" w:rsidRDefault="0039251E" w:rsidP="00286BDF">
      <w:pPr>
        <w:rPr>
          <w:rFonts w:cs="Arial"/>
          <w:color w:val="000000" w:themeColor="text1"/>
          <w:szCs w:val="16"/>
        </w:rPr>
      </w:pP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t>
            </w:r>
            <w:proofErr w:type="gramStart"/>
            <w:r w:rsidRPr="00781112">
              <w:rPr>
                <w:rFonts w:cs="Arial"/>
                <w:szCs w:val="16"/>
                <w:shd w:val="clear" w:color="auto" w:fill="FFFFFF"/>
              </w:rPr>
              <w:t>was assigned</w:t>
            </w:r>
            <w:proofErr w:type="gramEnd"/>
            <w:r w:rsidRPr="00781112">
              <w:rPr>
                <w:rFonts w:cs="Arial"/>
                <w:szCs w:val="16"/>
                <w:shd w:val="clear" w:color="auto" w:fill="FFFFFF"/>
              </w:rPr>
              <w:t xml:space="preserve">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74</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87</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157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45</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75</w:t>
            </w:r>
          </w:p>
        </w:tc>
      </w:tr>
    </w:tbl>
    <w:p w14:paraId="56C37F05" w14:textId="77777777" w:rsidR="00241BD0" w:rsidRPr="00781112" w:rsidRDefault="00241BD0" w:rsidP="004369B2">
      <w:pPr>
        <w:rPr>
          <w:color w:val="000000" w:themeColor="text1"/>
        </w:rPr>
      </w:pPr>
    </w:p>
    <w:p w14:paraId="0E0A129D" w14:textId="6716B156" w:rsidR="00BD7229" w:rsidRPr="00781112" w:rsidRDefault="0047313F" w:rsidP="004369B2">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FA33C9" w:rsidRPr="00781112" w14:paraId="73241F59" w14:textId="77777777" w:rsidTr="00140972">
        <w:trPr>
          <w:tblHeader/>
        </w:trPr>
        <w:tc>
          <w:tcPr>
            <w:tcW w:w="221" w:type="pct"/>
            <w:shd w:val="clear" w:color="auto" w:fill="auto"/>
            <w:vAlign w:val="bottom"/>
          </w:tcPr>
          <w:p w14:paraId="3378C689" w14:textId="77777777" w:rsidR="00FA33C9" w:rsidRPr="00781112" w:rsidRDefault="00FA33C9" w:rsidP="00FA33C9">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6C9E1E29" w:rsidR="00FA33C9" w:rsidRPr="00073BD7" w:rsidRDefault="00FA33C9" w:rsidP="00FA33C9">
            <w:pPr>
              <w:jc w:val="center"/>
              <w:rPr>
                <w:b/>
                <w:bCs/>
                <w:color w:val="000000" w:themeColor="text1"/>
              </w:rPr>
            </w:pPr>
            <w:r w:rsidRPr="00073BD7">
              <w:rPr>
                <w:b/>
                <w:bCs/>
              </w:rPr>
              <w:t>FFY 2020 Data</w:t>
            </w:r>
          </w:p>
        </w:tc>
        <w:tc>
          <w:tcPr>
            <w:tcW w:w="754" w:type="pct"/>
            <w:shd w:val="clear" w:color="auto" w:fill="auto"/>
            <w:vAlign w:val="bottom"/>
          </w:tcPr>
          <w:p w14:paraId="09D4299D" w14:textId="08F7F6A5"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2B4D24C2" w14:textId="2BBDD336"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4987ED35"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FA33C9" w:rsidRPr="00781112" w:rsidRDefault="00FA33C9" w:rsidP="00FA33C9">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45</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74</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53.52%</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60.81%</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lastRenderedPageBreak/>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51</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87</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r w:rsidRPr="00781112">
              <w:rPr>
                <w:rFonts w:cs="Arial"/>
                <w:color w:val="000000" w:themeColor="text1"/>
                <w:szCs w:val="16"/>
              </w:rPr>
              <w:t>68.75%</w:t>
            </w: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68.75%</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58.62%</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Slippage</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82</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159</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r w:rsidRPr="00781112">
              <w:rPr>
                <w:rFonts w:cs="Arial"/>
                <w:color w:val="000000" w:themeColor="text1"/>
                <w:szCs w:val="16"/>
              </w:rPr>
              <w:t>52.27%</w:t>
            </w: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52.27%</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51.57%</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No Slippage</w:t>
            </w:r>
          </w:p>
        </w:tc>
      </w:tr>
    </w:tbl>
    <w:p w14:paraId="42C05312" w14:textId="77777777" w:rsidR="00445640" w:rsidRPr="00781112" w:rsidRDefault="00445640" w:rsidP="00445640">
      <w:pPr>
        <w:rPr>
          <w:b/>
          <w:color w:val="000000" w:themeColor="text1"/>
        </w:rPr>
      </w:pPr>
      <w:r w:rsidRPr="00781112">
        <w:rPr>
          <w:b/>
          <w:color w:val="000000" w:themeColor="text1"/>
        </w:rPr>
        <w:t>Provide reasons for slippage for Group B, if applicable</w:t>
      </w:r>
    </w:p>
    <w:p w14:paraId="673FBA92" w14:textId="77777777" w:rsidR="00445640" w:rsidRPr="00781112" w:rsidRDefault="00445640" w:rsidP="00445640">
      <w:pPr>
        <w:rPr>
          <w:rFonts w:cs="Arial"/>
          <w:color w:val="000000" w:themeColor="text1"/>
          <w:szCs w:val="16"/>
        </w:rPr>
      </w:pPr>
      <w:r w:rsidRPr="00781112">
        <w:rPr>
          <w:rFonts w:cs="Arial"/>
          <w:color w:val="000000" w:themeColor="text1"/>
          <w:szCs w:val="16"/>
        </w:rPr>
        <w:t xml:space="preserve">The WDE has examined the proficiency rates by district to identify those districts that had a decrease from 2020-21 to 2021-22. Twelve of the twenty-two districts that had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ALT test-takers saw a decrease in their proficiency rates in Reading, so it was not particular to a few districts. The State implemented a process to determine a cause for decreases in proficiency data for students with disabilities as mentioned in indicator 3B, and data for students taking the Alternate Assessment </w:t>
      </w:r>
      <w:proofErr w:type="gramStart"/>
      <w:r w:rsidRPr="00781112">
        <w:rPr>
          <w:rFonts w:cs="Arial"/>
          <w:color w:val="000000" w:themeColor="text1"/>
          <w:szCs w:val="16"/>
        </w:rPr>
        <w:t>was included</w:t>
      </w:r>
      <w:proofErr w:type="gramEnd"/>
      <w:r w:rsidRPr="00781112">
        <w:rPr>
          <w:rFonts w:cs="Arial"/>
          <w:color w:val="000000" w:themeColor="text1"/>
          <w:szCs w:val="16"/>
        </w:rPr>
        <w:t xml:space="preserve">. Districts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look at the consistency of the administration of the ALT Assessment and use the new ALT Assessment checklist created to help identify those students who should be considered to take the ALT. The WDE provided training to all </w:t>
      </w:r>
      <w:proofErr w:type="gramStart"/>
      <w:r w:rsidRPr="00781112">
        <w:rPr>
          <w:rFonts w:cs="Arial"/>
          <w:color w:val="000000" w:themeColor="text1"/>
          <w:szCs w:val="16"/>
        </w:rPr>
        <w:t>48</w:t>
      </w:r>
      <w:proofErr w:type="gramEnd"/>
      <w:r w:rsidRPr="00781112">
        <w:rPr>
          <w:rFonts w:cs="Arial"/>
          <w:color w:val="000000" w:themeColor="text1"/>
          <w:szCs w:val="16"/>
        </w:rPr>
        <w:t xml:space="preserve"> districts on the administration of the ALT Assessment during this reporting period. Again, all LEAs </w:t>
      </w:r>
      <w:proofErr w:type="gramStart"/>
      <w:r w:rsidRPr="00781112">
        <w:rPr>
          <w:rFonts w:cs="Arial"/>
          <w:color w:val="000000" w:themeColor="text1"/>
          <w:szCs w:val="16"/>
        </w:rPr>
        <w:t>were led</w:t>
      </w:r>
      <w:proofErr w:type="gramEnd"/>
      <w:r w:rsidRPr="00781112">
        <w:rPr>
          <w:rFonts w:cs="Arial"/>
          <w:color w:val="000000" w:themeColor="text1"/>
          <w:szCs w:val="16"/>
        </w:rPr>
        <w:t xml:space="preserve"> through data share out sessions to guide district teams through a process of identifying a root cause and ways to improve assessment data, including the ALT Assessment data. </w:t>
      </w:r>
      <w:r w:rsidRPr="00781112">
        <w:rPr>
          <w:rFonts w:cs="Arial"/>
          <w:color w:val="000000" w:themeColor="text1"/>
          <w:szCs w:val="16"/>
        </w:rPr>
        <w:br/>
        <w:t xml:space="preserve"> </w:t>
      </w:r>
      <w:r w:rsidRPr="00781112">
        <w:rPr>
          <w:rFonts w:cs="Arial"/>
          <w:color w:val="000000" w:themeColor="text1"/>
          <w:szCs w:val="16"/>
        </w:rPr>
        <w:br/>
        <w:t xml:space="preserve">Even though the decrease in proficiency from FFY2020 to FFY2021 is not a statistically significant difference, 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data. No significant differences by race/ethnicity, virtual/not, environment, or primary disability </w:t>
      </w:r>
      <w:proofErr w:type="gramStart"/>
      <w:r w:rsidRPr="00781112">
        <w:rPr>
          <w:rFonts w:cs="Arial"/>
          <w:color w:val="000000" w:themeColor="text1"/>
          <w:szCs w:val="16"/>
        </w:rPr>
        <w:t>were noted</w:t>
      </w:r>
      <w:proofErr w:type="gramEnd"/>
      <w:r w:rsidRPr="00781112">
        <w:rPr>
          <w:rFonts w:cs="Arial"/>
          <w:color w:val="000000" w:themeColor="text1"/>
          <w:szCs w:val="16"/>
        </w:rPr>
        <w:t xml:space="preserve">. However, the overall number of Alternate Assessment test-takers at any given grade is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Given the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numbers of test-takers, it is not unusual to see volatility in the proficiency rates from one year to the next. </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w:t>
      </w:r>
      <w:proofErr w:type="gramStart"/>
      <w:r w:rsidRPr="00781112">
        <w:rPr>
          <w:rFonts w:cs="Arial"/>
          <w:color w:val="000000" w:themeColor="text1"/>
          <w:szCs w:val="16"/>
        </w:rPr>
        <w:t>is it</w:t>
      </w:r>
      <w:proofErr w:type="gramEnd"/>
      <w:r w:rsidRPr="00781112">
        <w:rPr>
          <w:rFonts w:cs="Arial"/>
          <w:color w:val="000000" w:themeColor="text1"/>
          <w:szCs w:val="16"/>
        </w:rPr>
        <w:t xml:space="preserve"> </w:t>
      </w:r>
      <w:proofErr w:type="gramStart"/>
      <w:r w:rsidRPr="00781112">
        <w:rPr>
          <w:rFonts w:cs="Arial"/>
          <w:color w:val="000000" w:themeColor="text1"/>
          <w:szCs w:val="16"/>
        </w:rPr>
        <w:t>virtually impossible</w:t>
      </w:r>
      <w:proofErr w:type="gramEnd"/>
      <w:r w:rsidRPr="00781112">
        <w:rPr>
          <w:rFonts w:cs="Arial"/>
          <w:color w:val="000000" w:themeColor="text1"/>
          <w:szCs w:val="16"/>
        </w:rPr>
        <w:t xml:space="preserve"> to do so.  If only </w:t>
      </w:r>
      <w:proofErr w:type="gramStart"/>
      <w:r w:rsidRPr="00781112">
        <w:rPr>
          <w:rFonts w:cs="Arial"/>
          <w:color w:val="000000" w:themeColor="text1"/>
          <w:szCs w:val="16"/>
        </w:rPr>
        <w:t>9</w:t>
      </w:r>
      <w:proofErr w:type="gramEnd"/>
      <w:r w:rsidRPr="00781112">
        <w:rPr>
          <w:rFonts w:cs="Arial"/>
          <w:color w:val="000000" w:themeColor="text1"/>
          <w:szCs w:val="16"/>
        </w:rPr>
        <w:t xml:space="preserve"> more students would have scored proficient on the grade 8 reading test, there would have been no slippage.  It is hard to determine where these </w:t>
      </w:r>
      <w:proofErr w:type="gramStart"/>
      <w:r w:rsidRPr="00781112">
        <w:rPr>
          <w:rFonts w:cs="Arial"/>
          <w:color w:val="000000" w:themeColor="text1"/>
          <w:szCs w:val="16"/>
        </w:rPr>
        <w:t>9</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w:t>
      </w:r>
      <w:proofErr w:type="gramStart"/>
      <w:r w:rsidRPr="00781112">
        <w:rPr>
          <w:rFonts w:cs="Arial"/>
          <w:color w:val="000000" w:themeColor="text1"/>
          <w:szCs w:val="16"/>
        </w:rPr>
        <w:t xml:space="preserve">.  </w:t>
      </w:r>
      <w:proofErr w:type="gramEnd"/>
      <w:r w:rsidRPr="00781112">
        <w:rPr>
          <w:rFonts w:cs="Arial"/>
          <w:color w:val="000000" w:themeColor="text1"/>
          <w:szCs w:val="16"/>
        </w:rPr>
        <w:t>By districts and WDE examining data for patterns, and then targeting select subgroups for increased performance, the proficiency rates should increase.</w:t>
      </w:r>
    </w:p>
    <w:p w14:paraId="493A373E" w14:textId="77777777" w:rsidR="00445640" w:rsidRPr="00781112" w:rsidRDefault="00445640" w:rsidP="000C3A20">
      <w:pPr>
        <w:rPr>
          <w:color w:val="000000" w:themeColor="text1"/>
        </w:rPr>
      </w:pPr>
    </w:p>
    <w:p w14:paraId="73E73F7F" w14:textId="2C5C8C18" w:rsidR="00BD7229" w:rsidRPr="00781112" w:rsidRDefault="0047313F" w:rsidP="004369B2">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FA33C9" w:rsidRPr="00781112" w14:paraId="2361B602" w14:textId="77777777" w:rsidTr="00140972">
        <w:trPr>
          <w:tblHeader/>
        </w:trPr>
        <w:tc>
          <w:tcPr>
            <w:tcW w:w="220" w:type="pct"/>
            <w:shd w:val="clear" w:color="auto" w:fill="auto"/>
            <w:vAlign w:val="bottom"/>
          </w:tcPr>
          <w:p w14:paraId="097BD4DD" w14:textId="77777777" w:rsidR="00FA33C9" w:rsidRPr="00781112" w:rsidRDefault="00FA33C9" w:rsidP="00FA33C9">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FA33C9" w:rsidRPr="00781112" w:rsidRDefault="00FA33C9" w:rsidP="00FA33C9">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FA33C9" w:rsidRPr="00781112" w:rsidRDefault="00FA33C9" w:rsidP="00FA33C9">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FA33C9" w:rsidRPr="00781112" w:rsidRDefault="00FA33C9" w:rsidP="00FA33C9">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75774783" w:rsidR="00FA33C9" w:rsidRPr="00073BD7" w:rsidRDefault="00FA33C9" w:rsidP="00FA33C9">
            <w:pPr>
              <w:jc w:val="center"/>
              <w:rPr>
                <w:b/>
                <w:bCs/>
                <w:color w:val="000000" w:themeColor="text1"/>
              </w:rPr>
            </w:pPr>
            <w:r w:rsidRPr="00073BD7">
              <w:rPr>
                <w:b/>
                <w:bCs/>
              </w:rPr>
              <w:t>FFY 2020 Data</w:t>
            </w:r>
          </w:p>
        </w:tc>
        <w:tc>
          <w:tcPr>
            <w:tcW w:w="752" w:type="pct"/>
            <w:shd w:val="clear" w:color="auto" w:fill="auto"/>
            <w:vAlign w:val="bottom"/>
          </w:tcPr>
          <w:p w14:paraId="37651EF9" w14:textId="7BFF61C6" w:rsidR="00FA33C9" w:rsidRPr="00073BD7" w:rsidRDefault="00FA33C9" w:rsidP="00FA33C9">
            <w:pPr>
              <w:jc w:val="center"/>
              <w:rPr>
                <w:b/>
                <w:bCs/>
                <w:color w:val="000000" w:themeColor="text1"/>
              </w:rPr>
            </w:pPr>
            <w:r w:rsidRPr="00073BD7">
              <w:rPr>
                <w:b/>
                <w:bCs/>
              </w:rPr>
              <w:t>FFY 2021 Target</w:t>
            </w:r>
          </w:p>
        </w:tc>
        <w:tc>
          <w:tcPr>
            <w:tcW w:w="499" w:type="pct"/>
            <w:shd w:val="clear" w:color="auto" w:fill="auto"/>
            <w:vAlign w:val="bottom"/>
          </w:tcPr>
          <w:p w14:paraId="3D61FBEB" w14:textId="0F56EC6F" w:rsidR="00FA33C9" w:rsidRPr="00073BD7" w:rsidRDefault="00FA33C9" w:rsidP="00FA33C9">
            <w:pPr>
              <w:jc w:val="center"/>
              <w:rPr>
                <w:b/>
                <w:bCs/>
                <w:color w:val="000000" w:themeColor="text1"/>
              </w:rPr>
            </w:pPr>
            <w:r w:rsidRPr="00073BD7">
              <w:rPr>
                <w:b/>
                <w:bCs/>
              </w:rPr>
              <w:t>FFY 2021 Data</w:t>
            </w:r>
          </w:p>
        </w:tc>
        <w:tc>
          <w:tcPr>
            <w:tcW w:w="601" w:type="pct"/>
            <w:shd w:val="clear" w:color="auto" w:fill="auto"/>
            <w:vAlign w:val="bottom"/>
          </w:tcPr>
          <w:p w14:paraId="730A2874" w14:textId="77777777" w:rsidR="00FA33C9" w:rsidRPr="00781112" w:rsidRDefault="00FA33C9" w:rsidP="00FA33C9">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FA33C9" w:rsidRPr="00781112" w:rsidRDefault="00FA33C9" w:rsidP="00FA33C9">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74</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r w:rsidRPr="00781112">
              <w:rPr>
                <w:rFonts w:cs="Arial"/>
                <w:color w:val="000000" w:themeColor="text1"/>
                <w:szCs w:val="16"/>
              </w:rPr>
              <w:t>43.66%</w:t>
            </w: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43.66%</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51.35%</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45</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87</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r w:rsidRPr="00781112">
              <w:rPr>
                <w:rFonts w:cs="Arial"/>
                <w:color w:val="000000" w:themeColor="text1"/>
                <w:szCs w:val="16"/>
              </w:rPr>
              <w:t>65.43%</w:t>
            </w: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65.43%</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51.72%</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Did not meet target</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Slippage</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75</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157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r w:rsidRPr="00781112">
              <w:rPr>
                <w:rFonts w:cs="Arial"/>
                <w:color w:val="000000" w:themeColor="text1"/>
                <w:szCs w:val="16"/>
              </w:rPr>
              <w:t>41.98%</w:t>
            </w: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41.98%</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47.77%</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Met target</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No Slippage</w:t>
            </w:r>
          </w:p>
        </w:tc>
      </w:tr>
    </w:tbl>
    <w:p w14:paraId="3EF6DDB5" w14:textId="77777777" w:rsidR="00BC545C" w:rsidRPr="00781112" w:rsidRDefault="00BC545C" w:rsidP="00BC545C">
      <w:pPr>
        <w:rPr>
          <w:b/>
          <w:color w:val="000000" w:themeColor="text1"/>
        </w:rPr>
      </w:pPr>
      <w:r w:rsidRPr="00781112">
        <w:rPr>
          <w:b/>
          <w:color w:val="000000" w:themeColor="text1"/>
        </w:rPr>
        <w:t>Provide reasons for slippage for Group B, if applicable</w:t>
      </w:r>
    </w:p>
    <w:p w14:paraId="1FA44525" w14:textId="1B1302EF" w:rsidR="00BC545C" w:rsidRPr="00781112" w:rsidRDefault="00BC545C" w:rsidP="00BC545C">
      <w:pPr>
        <w:rPr>
          <w:rFonts w:cs="Arial"/>
          <w:color w:val="000000" w:themeColor="text1"/>
          <w:szCs w:val="16"/>
        </w:rPr>
      </w:pPr>
      <w:r w:rsidRPr="00781112">
        <w:rPr>
          <w:rFonts w:cs="Arial"/>
          <w:color w:val="000000" w:themeColor="text1"/>
          <w:szCs w:val="16"/>
        </w:rPr>
        <w:t xml:space="preserve">The WDE has examined the proficiency rates by district to identify those districts that had a decrease from 2020-21 to 2021-22. Eleven of the twenty-two districts that had </w:t>
      </w:r>
      <w:proofErr w:type="gramStart"/>
      <w:r w:rsidRPr="00781112">
        <w:rPr>
          <w:rFonts w:cs="Arial"/>
          <w:color w:val="000000" w:themeColor="text1"/>
          <w:szCs w:val="16"/>
        </w:rPr>
        <w:t>8th</w:t>
      </w:r>
      <w:proofErr w:type="gramEnd"/>
      <w:r w:rsidRPr="00781112">
        <w:rPr>
          <w:rFonts w:cs="Arial"/>
          <w:color w:val="000000" w:themeColor="text1"/>
          <w:szCs w:val="16"/>
        </w:rPr>
        <w:t xml:space="preserve"> grade ALT test-takers saw a decrease in their proficiency rates in Math, so it was not particular to a few districts. The State implemented a process to determine a cause for decreases in proficiency data for students with disabilities as mentioned in indicator 3B, and data for students taking the Alternate Assessment </w:t>
      </w:r>
      <w:proofErr w:type="gramStart"/>
      <w:r w:rsidRPr="00781112">
        <w:rPr>
          <w:rFonts w:cs="Arial"/>
          <w:color w:val="000000" w:themeColor="text1"/>
          <w:szCs w:val="16"/>
        </w:rPr>
        <w:t>was included</w:t>
      </w:r>
      <w:proofErr w:type="gramEnd"/>
      <w:r w:rsidRPr="00781112">
        <w:rPr>
          <w:rFonts w:cs="Arial"/>
          <w:color w:val="000000" w:themeColor="text1"/>
          <w:szCs w:val="16"/>
        </w:rPr>
        <w:t xml:space="preserve">. Districts </w:t>
      </w:r>
      <w:proofErr w:type="gramStart"/>
      <w:r w:rsidRPr="00781112">
        <w:rPr>
          <w:rFonts w:cs="Arial"/>
          <w:color w:val="000000" w:themeColor="text1"/>
          <w:szCs w:val="16"/>
        </w:rPr>
        <w:t>are encouraged</w:t>
      </w:r>
      <w:proofErr w:type="gramEnd"/>
      <w:r w:rsidRPr="00781112">
        <w:rPr>
          <w:rFonts w:cs="Arial"/>
          <w:color w:val="000000" w:themeColor="text1"/>
          <w:szCs w:val="16"/>
        </w:rPr>
        <w:t xml:space="preserve"> to look at the consistency of the administration of the ALT Assessment and use the new ALT Assessment checklist created to help identify those students who should be considered to take the ALT. The WDE provided training to all </w:t>
      </w:r>
      <w:proofErr w:type="gramStart"/>
      <w:r w:rsidRPr="00781112">
        <w:rPr>
          <w:rFonts w:cs="Arial"/>
          <w:color w:val="000000" w:themeColor="text1"/>
          <w:szCs w:val="16"/>
        </w:rPr>
        <w:t>48</w:t>
      </w:r>
      <w:proofErr w:type="gramEnd"/>
      <w:r w:rsidRPr="00781112">
        <w:rPr>
          <w:rFonts w:cs="Arial"/>
          <w:color w:val="000000" w:themeColor="text1"/>
          <w:szCs w:val="16"/>
        </w:rPr>
        <w:t xml:space="preserve"> districts on the administration of the ALT Assessment during this reporting period. Again, all LEAs </w:t>
      </w:r>
      <w:proofErr w:type="gramStart"/>
      <w:r w:rsidRPr="00781112">
        <w:rPr>
          <w:rFonts w:cs="Arial"/>
          <w:color w:val="000000" w:themeColor="text1"/>
          <w:szCs w:val="16"/>
        </w:rPr>
        <w:t>were led</w:t>
      </w:r>
      <w:proofErr w:type="gramEnd"/>
      <w:r w:rsidRPr="00781112">
        <w:rPr>
          <w:rFonts w:cs="Arial"/>
          <w:color w:val="000000" w:themeColor="text1"/>
          <w:szCs w:val="16"/>
        </w:rPr>
        <w:t xml:space="preserve"> through data share out sessions to guide district teams through a process of identifying a root cause and ways to improve assessment data, including the ALT Assessment data. </w:t>
      </w:r>
      <w:r w:rsidRPr="00781112">
        <w:rPr>
          <w:rFonts w:cs="Arial"/>
          <w:color w:val="000000" w:themeColor="text1"/>
          <w:szCs w:val="16"/>
        </w:rPr>
        <w:br/>
      </w:r>
      <w:r w:rsidRPr="00781112">
        <w:rPr>
          <w:rFonts w:cs="Arial"/>
          <w:color w:val="000000" w:themeColor="text1"/>
          <w:szCs w:val="16"/>
        </w:rPr>
        <w:br/>
        <w:t xml:space="preserve">The WDE did </w:t>
      </w:r>
      <w:proofErr w:type="gramStart"/>
      <w:r w:rsidRPr="00781112">
        <w:rPr>
          <w:rFonts w:cs="Arial"/>
          <w:color w:val="000000" w:themeColor="text1"/>
          <w:szCs w:val="16"/>
        </w:rPr>
        <w:t>some</w:t>
      </w:r>
      <w:proofErr w:type="gramEnd"/>
      <w:r w:rsidRPr="00781112">
        <w:rPr>
          <w:rFonts w:cs="Arial"/>
          <w:color w:val="000000" w:themeColor="text1"/>
          <w:szCs w:val="16"/>
        </w:rPr>
        <w:t xml:space="preserve"> additional examination of the data to try to better understand the decrease in proficiency. No significant differences by race/ethnicity, virtual/not, environment, or primary disability </w:t>
      </w:r>
      <w:proofErr w:type="gramStart"/>
      <w:r w:rsidRPr="00781112">
        <w:rPr>
          <w:rFonts w:cs="Arial"/>
          <w:color w:val="000000" w:themeColor="text1"/>
          <w:szCs w:val="16"/>
        </w:rPr>
        <w:t>were noted</w:t>
      </w:r>
      <w:proofErr w:type="gramEnd"/>
      <w:r w:rsidRPr="00781112">
        <w:rPr>
          <w:rFonts w:cs="Arial"/>
          <w:color w:val="000000" w:themeColor="text1"/>
          <w:szCs w:val="16"/>
        </w:rPr>
        <w:t>. However, the overall number of Alternate Assessment test-takers at any given grade is very small</w:t>
      </w:r>
      <w:proofErr w:type="gramStart"/>
      <w:r w:rsidRPr="00781112">
        <w:rPr>
          <w:rFonts w:cs="Arial"/>
          <w:color w:val="000000" w:themeColor="text1"/>
          <w:szCs w:val="16"/>
        </w:rPr>
        <w:t xml:space="preserve">.  </w:t>
      </w:r>
      <w:proofErr w:type="gramEnd"/>
      <w:r w:rsidRPr="00781112">
        <w:rPr>
          <w:rFonts w:cs="Arial"/>
          <w:color w:val="000000" w:themeColor="text1"/>
          <w:szCs w:val="16"/>
        </w:rPr>
        <w:t>Given the very small numbers of test-takers, it is not unusual to see volatility in the proficiency rates from one year to the next.</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is it virtually impossible to do so. If only </w:t>
      </w:r>
      <w:proofErr w:type="gramStart"/>
      <w:r w:rsidRPr="00781112">
        <w:rPr>
          <w:rFonts w:cs="Arial"/>
          <w:color w:val="000000" w:themeColor="text1"/>
          <w:szCs w:val="16"/>
        </w:rPr>
        <w:t>12</w:t>
      </w:r>
      <w:proofErr w:type="gramEnd"/>
      <w:r w:rsidRPr="00781112">
        <w:rPr>
          <w:rFonts w:cs="Arial"/>
          <w:color w:val="000000" w:themeColor="text1"/>
          <w:szCs w:val="16"/>
        </w:rPr>
        <w:t xml:space="preserve"> more students would have scored proficient on the grade 8 reading test, there would have been no slippage. It is hard to determine where these </w:t>
      </w:r>
      <w:proofErr w:type="gramStart"/>
      <w:r w:rsidRPr="00781112">
        <w:rPr>
          <w:rFonts w:cs="Arial"/>
          <w:color w:val="000000" w:themeColor="text1"/>
          <w:szCs w:val="16"/>
        </w:rPr>
        <w:t>12</w:t>
      </w:r>
      <w:proofErr w:type="gramEnd"/>
      <w:r w:rsidRPr="00781112">
        <w:rPr>
          <w:rFonts w:cs="Arial"/>
          <w:color w:val="000000" w:themeColor="text1"/>
          <w:szCs w:val="16"/>
        </w:rPr>
        <w:t xml:space="preserve"> students should have come from. As such, this is the reason the WDE encourages each district to look at their trends over time as well as the reason the </w:t>
      </w:r>
      <w:r w:rsidRPr="00781112">
        <w:rPr>
          <w:rFonts w:cs="Arial"/>
          <w:color w:val="000000" w:themeColor="text1"/>
          <w:szCs w:val="16"/>
        </w:rPr>
        <w:lastRenderedPageBreak/>
        <w:t xml:space="preserve">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proficiency scores. By districts and WDE examining data for patterns, and then targeting select subgroups for increased performance, the proficiency rates should increase.</w:t>
      </w:r>
    </w:p>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https://edu.wyoming.gov/data/assessment-reports/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When looking the data for Wyoming's alternate assessment, keep in mind the impact a handful of students can have on the data when the numbers are so small.</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issue with Indicator 3C for WY is that the numbers of ALT test-takers is so small at any given grade level, it’s difficult to pinpoint for sure why scores decreased. For example, for grade 8 Reading, only two districts had an N-size of at least 10 ALT test-takers and there are an additional </w:t>
      </w:r>
      <w:proofErr w:type="gramStart"/>
      <w:r w:rsidRPr="00781112">
        <w:rPr>
          <w:rFonts w:cs="Arial"/>
          <w:color w:val="000000" w:themeColor="text1"/>
          <w:szCs w:val="16"/>
          <w:shd w:val="clear" w:color="auto" w:fill="FFFFFF"/>
        </w:rPr>
        <w:t>3</w:t>
      </w:r>
      <w:proofErr w:type="gramEnd"/>
      <w:r w:rsidRPr="00781112">
        <w:rPr>
          <w:rFonts w:cs="Arial"/>
          <w:color w:val="000000" w:themeColor="text1"/>
          <w:szCs w:val="16"/>
          <w:shd w:val="clear" w:color="auto" w:fill="FFFFFF"/>
        </w:rPr>
        <w:t xml:space="preserve"> districts added if the N-size is lowered to 5. This means the other </w:t>
      </w:r>
      <w:proofErr w:type="gramStart"/>
      <w:r w:rsidRPr="00781112">
        <w:rPr>
          <w:rFonts w:cs="Arial"/>
          <w:color w:val="000000" w:themeColor="text1"/>
          <w:szCs w:val="16"/>
          <w:shd w:val="clear" w:color="auto" w:fill="FFFFFF"/>
        </w:rPr>
        <w:t>43</w:t>
      </w:r>
      <w:proofErr w:type="gramEnd"/>
      <w:r w:rsidRPr="00781112">
        <w:rPr>
          <w:rFonts w:cs="Arial"/>
          <w:color w:val="000000" w:themeColor="text1"/>
          <w:szCs w:val="16"/>
          <w:shd w:val="clear" w:color="auto" w:fill="FFFFFF"/>
        </w:rPr>
        <w:t xml:space="preserve"> districts have 4 or fewer ALT test-takers. Of these </w:t>
      </w:r>
      <w:proofErr w:type="gramStart"/>
      <w:r w:rsidRPr="00781112">
        <w:rPr>
          <w:rFonts w:cs="Arial"/>
          <w:color w:val="000000" w:themeColor="text1"/>
          <w:szCs w:val="16"/>
          <w:shd w:val="clear" w:color="auto" w:fill="FFFFFF"/>
        </w:rPr>
        <w:t>5</w:t>
      </w:r>
      <w:proofErr w:type="gramEnd"/>
      <w:r w:rsidRPr="00781112">
        <w:rPr>
          <w:rFonts w:cs="Arial"/>
          <w:color w:val="000000" w:themeColor="text1"/>
          <w:szCs w:val="16"/>
          <w:shd w:val="clear" w:color="auto" w:fill="FFFFFF"/>
        </w:rPr>
        <w:t xml:space="preserve"> districts with an N-size of 5 or more, 4 had an increase in their ALT scores for grade 8 Reading. Only one district had a decrease. So, the decrease in grade 8 Reading is due to the small districts whose proficiency rates went down (in most cases by just </w:t>
      </w:r>
      <w:proofErr w:type="gramStart"/>
      <w:r w:rsidRPr="00781112">
        <w:rPr>
          <w:rFonts w:cs="Arial"/>
          <w:color w:val="000000" w:themeColor="text1"/>
          <w:szCs w:val="16"/>
          <w:shd w:val="clear" w:color="auto" w:fill="FFFFFF"/>
        </w:rPr>
        <w:t>1</w:t>
      </w:r>
      <w:proofErr w:type="gramEnd"/>
      <w:r w:rsidRPr="00781112">
        <w:rPr>
          <w:rFonts w:cs="Arial"/>
          <w:color w:val="000000" w:themeColor="text1"/>
          <w:szCs w:val="16"/>
          <w:shd w:val="clear" w:color="auto" w:fill="FFFFFF"/>
        </w:rPr>
        <w:t xml:space="preserve"> student).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A869E9" w:rsidP="001F692C">
      <w:pPr>
        <w:rPr>
          <w:rFonts w:cs="Arial"/>
          <w:color w:val="000000" w:themeColor="text1"/>
          <w:szCs w:val="16"/>
          <w:shd w:val="clear" w:color="auto" w:fill="FFFFFF"/>
        </w:rPr>
      </w:pP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476C8C14"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2021-2022 school year) subtracted from the (proficiency rate for all students scoring at or above proficient against grade level academic achievement standards for the 2021-2022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w:t>
      </w:r>
      <w:proofErr w:type="gramStart"/>
      <w:r w:rsidRPr="00781112">
        <w:rPr>
          <w:b w:val="0"/>
          <w:bCs/>
        </w:rPr>
        <w:t xml:space="preserve">.  </w:t>
      </w:r>
      <w:proofErr w:type="gramEnd"/>
      <w:r w:rsidRPr="00781112">
        <w:rPr>
          <w:b w:val="0"/>
          <w:bCs/>
        </w:rPr>
        <w:t>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xml:space="preserve">, a link to the Web site where these data </w:t>
      </w:r>
      <w:proofErr w:type="gramStart"/>
      <w:r w:rsidRPr="00781112">
        <w:rPr>
          <w:b w:val="0"/>
          <w:bCs/>
        </w:rPr>
        <w:t>are reported</w:t>
      </w:r>
      <w:proofErr w:type="gramEnd"/>
      <w:r w:rsidRPr="00781112">
        <w:rPr>
          <w:b w:val="0"/>
          <w:bCs/>
        </w:rPr>
        <w:t>.</w:t>
      </w:r>
    </w:p>
    <w:p w14:paraId="6D783CD1" w14:textId="735718BB"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2021-2022 school year compared to the proficiency rate for all students who were proficient against grade level academic achievement standards for the 2021-2022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28.92</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43.68</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39.61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28.21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38.96</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35.94</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43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6"/>
        <w:gridCol w:w="722"/>
        <w:gridCol w:w="1172"/>
        <w:gridCol w:w="1334"/>
        <w:gridCol w:w="1333"/>
        <w:gridCol w:w="1333"/>
        <w:gridCol w:w="1333"/>
        <w:gridCol w:w="1333"/>
      </w:tblGrid>
      <w:tr w:rsidR="00B14519" w:rsidRPr="00781112" w14:paraId="32AE1F59" w14:textId="77777777" w:rsidTr="00451D7E">
        <w:tc>
          <w:tcPr>
            <w:tcW w:w="473" w:type="pct"/>
            <w:tcBorders>
              <w:bottom w:val="single" w:sz="4" w:space="0" w:color="auto"/>
            </w:tcBorders>
            <w:shd w:val="clear" w:color="auto" w:fill="auto"/>
            <w:vAlign w:val="center"/>
          </w:tcPr>
          <w:p w14:paraId="6A9E2F19" w14:textId="77777777" w:rsidR="00B14519" w:rsidRPr="00781112" w:rsidRDefault="00B14519" w:rsidP="00827FF4">
            <w:pPr>
              <w:jc w:val="center"/>
              <w:rPr>
                <w:b/>
                <w:color w:val="000000" w:themeColor="text1"/>
              </w:rPr>
            </w:pPr>
            <w:r w:rsidRPr="00781112">
              <w:rPr>
                <w:b/>
                <w:color w:val="000000" w:themeColor="text1"/>
              </w:rPr>
              <w:t>Subject</w:t>
            </w:r>
          </w:p>
        </w:tc>
        <w:tc>
          <w:tcPr>
            <w:tcW w:w="381" w:type="pct"/>
            <w:tcBorders>
              <w:bottom w:val="single" w:sz="4" w:space="0" w:color="auto"/>
            </w:tcBorders>
            <w:shd w:val="clear" w:color="auto" w:fill="auto"/>
            <w:vAlign w:val="center"/>
          </w:tcPr>
          <w:p w14:paraId="5181D1E9" w14:textId="77777777" w:rsidR="00B14519" w:rsidRPr="00781112" w:rsidRDefault="00B14519" w:rsidP="00827FF4">
            <w:pPr>
              <w:jc w:val="center"/>
              <w:rPr>
                <w:b/>
                <w:color w:val="000000" w:themeColor="text1"/>
              </w:rPr>
            </w:pPr>
            <w:r w:rsidRPr="00781112">
              <w:rPr>
                <w:b/>
                <w:color w:val="000000" w:themeColor="text1"/>
              </w:rPr>
              <w:t>Group</w:t>
            </w:r>
          </w:p>
        </w:tc>
        <w:tc>
          <w:tcPr>
            <w:tcW w:w="619" w:type="pct"/>
            <w:shd w:val="clear" w:color="auto" w:fill="auto"/>
            <w:vAlign w:val="center"/>
          </w:tcPr>
          <w:p w14:paraId="7C5EACD6" w14:textId="77777777" w:rsidR="00B14519" w:rsidRPr="00781112" w:rsidDel="008E7B87" w:rsidRDefault="00B14519" w:rsidP="00827FF4">
            <w:pPr>
              <w:jc w:val="center"/>
              <w:rPr>
                <w:b/>
                <w:color w:val="000000" w:themeColor="text1"/>
              </w:rPr>
            </w:pPr>
            <w:r w:rsidRPr="00781112">
              <w:rPr>
                <w:b/>
                <w:color w:val="000000" w:themeColor="text1"/>
              </w:rPr>
              <w:t>Group Name</w:t>
            </w:r>
          </w:p>
        </w:tc>
        <w:tc>
          <w:tcPr>
            <w:tcW w:w="705" w:type="pct"/>
            <w:shd w:val="clear" w:color="auto" w:fill="auto"/>
            <w:vAlign w:val="center"/>
          </w:tcPr>
          <w:p w14:paraId="57197BBC" w14:textId="77777777" w:rsidR="00B14519" w:rsidRPr="00781112" w:rsidRDefault="00B14519" w:rsidP="00827FF4">
            <w:pPr>
              <w:jc w:val="center"/>
              <w:rPr>
                <w:b/>
                <w:color w:val="000000" w:themeColor="text1"/>
              </w:rPr>
            </w:pPr>
            <w:r w:rsidRPr="00781112">
              <w:rPr>
                <w:b/>
                <w:color w:val="000000" w:themeColor="text1"/>
              </w:rPr>
              <w:t>2021</w:t>
            </w:r>
          </w:p>
        </w:tc>
        <w:tc>
          <w:tcPr>
            <w:tcW w:w="705" w:type="pct"/>
            <w:vAlign w:val="center"/>
          </w:tcPr>
          <w:p w14:paraId="07ACCE04" w14:textId="77777777" w:rsidR="00B14519" w:rsidRPr="00781112" w:rsidRDefault="00B14519" w:rsidP="00827FF4">
            <w:pPr>
              <w:jc w:val="center"/>
              <w:rPr>
                <w:b/>
                <w:color w:val="000000" w:themeColor="text1"/>
              </w:rPr>
            </w:pPr>
            <w:r w:rsidRPr="00781112">
              <w:rPr>
                <w:rFonts w:cs="Arial"/>
                <w:b/>
                <w:color w:val="000000" w:themeColor="text1"/>
                <w:szCs w:val="16"/>
              </w:rPr>
              <w:t>2022</w:t>
            </w:r>
          </w:p>
        </w:tc>
        <w:tc>
          <w:tcPr>
            <w:tcW w:w="705" w:type="pct"/>
            <w:vAlign w:val="center"/>
          </w:tcPr>
          <w:p w14:paraId="0B682674" w14:textId="77777777" w:rsidR="00B14519" w:rsidRPr="00781112" w:rsidRDefault="00B14519" w:rsidP="00827FF4">
            <w:pPr>
              <w:jc w:val="center"/>
              <w:rPr>
                <w:b/>
                <w:color w:val="000000" w:themeColor="text1"/>
              </w:rPr>
            </w:pPr>
            <w:r w:rsidRPr="00781112">
              <w:rPr>
                <w:rFonts w:cs="Arial"/>
                <w:b/>
                <w:color w:val="000000" w:themeColor="text1"/>
                <w:szCs w:val="16"/>
              </w:rPr>
              <w:t>2023</w:t>
            </w:r>
          </w:p>
        </w:tc>
        <w:tc>
          <w:tcPr>
            <w:tcW w:w="705" w:type="pct"/>
            <w:vAlign w:val="center"/>
          </w:tcPr>
          <w:p w14:paraId="3597F00E" w14:textId="77777777" w:rsidR="00B14519" w:rsidRPr="00781112" w:rsidRDefault="00B14519" w:rsidP="00827FF4">
            <w:pPr>
              <w:jc w:val="center"/>
              <w:rPr>
                <w:b/>
                <w:color w:val="000000" w:themeColor="text1"/>
              </w:rPr>
            </w:pPr>
            <w:r w:rsidRPr="00781112">
              <w:rPr>
                <w:rFonts w:cs="Arial"/>
                <w:b/>
                <w:color w:val="000000" w:themeColor="text1"/>
                <w:szCs w:val="16"/>
              </w:rPr>
              <w:t>2024</w:t>
            </w:r>
          </w:p>
        </w:tc>
        <w:tc>
          <w:tcPr>
            <w:tcW w:w="705" w:type="pct"/>
            <w:vAlign w:val="center"/>
          </w:tcPr>
          <w:p w14:paraId="20E1209B" w14:textId="77777777" w:rsidR="00B14519" w:rsidRPr="00781112" w:rsidRDefault="00B14519" w:rsidP="00827FF4">
            <w:pPr>
              <w:jc w:val="center"/>
              <w:rPr>
                <w:b/>
                <w:color w:val="000000" w:themeColor="text1"/>
              </w:rPr>
            </w:pPr>
            <w:r w:rsidRPr="00781112">
              <w:rPr>
                <w:rFonts w:cs="Arial"/>
                <w:b/>
                <w:color w:val="000000" w:themeColor="text1"/>
                <w:szCs w:val="16"/>
              </w:rPr>
              <w:t>2025</w:t>
            </w:r>
          </w:p>
        </w:tc>
      </w:tr>
      <w:tr w:rsidR="00B14519" w:rsidRPr="00781112" w14:paraId="506F660C" w14:textId="77777777" w:rsidTr="00451D7E">
        <w:tc>
          <w:tcPr>
            <w:tcW w:w="473" w:type="pct"/>
            <w:shd w:val="clear" w:color="auto" w:fill="auto"/>
            <w:vAlign w:val="center"/>
          </w:tcPr>
          <w:p w14:paraId="5CF55C1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4BDAD87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25B01019" w14:textId="68614C3D"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6E665D01" w14:textId="380A2C73" w:rsidR="00B14519" w:rsidRPr="00781112" w:rsidRDefault="00B14519" w:rsidP="00827FF4">
            <w:pPr>
              <w:jc w:val="center"/>
              <w:rPr>
                <w:rFonts w:cs="Arial"/>
                <w:color w:val="000000" w:themeColor="text1"/>
                <w:szCs w:val="16"/>
              </w:rPr>
            </w:pPr>
            <w:r w:rsidRPr="00781112">
              <w:rPr>
                <w:rFonts w:cs="Arial"/>
                <w:color w:val="000000" w:themeColor="text1"/>
                <w:szCs w:val="16"/>
              </w:rPr>
              <w:t>28.92</w:t>
            </w:r>
          </w:p>
        </w:tc>
        <w:tc>
          <w:tcPr>
            <w:tcW w:w="705" w:type="pct"/>
            <w:vAlign w:val="center"/>
          </w:tcPr>
          <w:p w14:paraId="680AEBF8" w14:textId="435AE40D" w:rsidR="00B14519" w:rsidRPr="00781112" w:rsidRDefault="00B14519" w:rsidP="00827FF4">
            <w:pPr>
              <w:jc w:val="center"/>
              <w:rPr>
                <w:rFonts w:cs="Arial"/>
                <w:color w:val="000000" w:themeColor="text1"/>
                <w:szCs w:val="16"/>
              </w:rPr>
            </w:pPr>
            <w:r w:rsidRPr="00781112">
              <w:rPr>
                <w:rFonts w:cs="Arial"/>
                <w:color w:val="000000" w:themeColor="text1"/>
                <w:szCs w:val="16"/>
              </w:rPr>
              <w:t>28.80</w:t>
            </w:r>
            <w:r w:rsidRPr="00781112">
              <w:t xml:space="preserve"> </w:t>
            </w:r>
          </w:p>
        </w:tc>
        <w:tc>
          <w:tcPr>
            <w:tcW w:w="705" w:type="pct"/>
            <w:vAlign w:val="center"/>
          </w:tcPr>
          <w:p w14:paraId="060B65A2" w14:textId="3C5E7042" w:rsidR="00B14519" w:rsidRPr="00781112" w:rsidRDefault="00B14519" w:rsidP="00827FF4">
            <w:pPr>
              <w:jc w:val="center"/>
              <w:rPr>
                <w:rFonts w:cs="Arial"/>
                <w:color w:val="000000" w:themeColor="text1"/>
                <w:szCs w:val="16"/>
              </w:rPr>
            </w:pPr>
            <w:r w:rsidRPr="00781112">
              <w:rPr>
                <w:rFonts w:cs="Arial"/>
                <w:color w:val="000000" w:themeColor="text1"/>
                <w:szCs w:val="16"/>
              </w:rPr>
              <w:t>28.67</w:t>
            </w:r>
          </w:p>
        </w:tc>
        <w:tc>
          <w:tcPr>
            <w:tcW w:w="705" w:type="pct"/>
            <w:vAlign w:val="center"/>
          </w:tcPr>
          <w:p w14:paraId="7E46B7D6" w14:textId="00FC807B" w:rsidR="00B14519" w:rsidRPr="00781112" w:rsidRDefault="00B14519" w:rsidP="00827FF4">
            <w:pPr>
              <w:jc w:val="center"/>
              <w:rPr>
                <w:rFonts w:cs="Arial"/>
                <w:color w:val="000000" w:themeColor="text1"/>
                <w:szCs w:val="16"/>
              </w:rPr>
            </w:pPr>
            <w:r w:rsidRPr="00781112">
              <w:rPr>
                <w:rFonts w:cs="Arial"/>
                <w:color w:val="000000" w:themeColor="text1"/>
                <w:szCs w:val="16"/>
              </w:rPr>
              <w:t>28.42</w:t>
            </w:r>
          </w:p>
        </w:tc>
        <w:tc>
          <w:tcPr>
            <w:tcW w:w="705" w:type="pct"/>
            <w:vAlign w:val="center"/>
          </w:tcPr>
          <w:p w14:paraId="7A079196" w14:textId="4665429A" w:rsidR="00B14519" w:rsidRPr="00781112" w:rsidRDefault="00B14519" w:rsidP="00827FF4">
            <w:pPr>
              <w:jc w:val="center"/>
              <w:rPr>
                <w:rFonts w:cs="Arial"/>
                <w:color w:val="000000" w:themeColor="text1"/>
                <w:szCs w:val="16"/>
              </w:rPr>
            </w:pPr>
            <w:r w:rsidRPr="00781112">
              <w:rPr>
                <w:rFonts w:cs="Arial"/>
                <w:color w:val="000000" w:themeColor="text1"/>
                <w:szCs w:val="16"/>
              </w:rPr>
              <w:t>27.92</w:t>
            </w:r>
          </w:p>
        </w:tc>
      </w:tr>
      <w:tr w:rsidR="00B14519" w:rsidRPr="00781112" w14:paraId="109FA148" w14:textId="77777777" w:rsidTr="00451D7E">
        <w:tc>
          <w:tcPr>
            <w:tcW w:w="473" w:type="pct"/>
            <w:shd w:val="clear" w:color="auto" w:fill="auto"/>
            <w:vAlign w:val="center"/>
          </w:tcPr>
          <w:p w14:paraId="5CAAC2A8"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1DFAA13E"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330884D1" w14:textId="3ED7AA1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68DC0FBA" w14:textId="3776550F" w:rsidR="00B14519" w:rsidRPr="00781112" w:rsidRDefault="00B14519" w:rsidP="00827FF4">
            <w:pPr>
              <w:jc w:val="center"/>
              <w:rPr>
                <w:rFonts w:cs="Arial"/>
                <w:color w:val="000000" w:themeColor="text1"/>
                <w:szCs w:val="16"/>
              </w:rPr>
            </w:pPr>
            <w:r w:rsidRPr="00781112">
              <w:rPr>
                <w:rFonts w:cs="Arial"/>
                <w:color w:val="000000" w:themeColor="text1"/>
                <w:szCs w:val="16"/>
              </w:rPr>
              <w:t>43.68</w:t>
            </w:r>
          </w:p>
        </w:tc>
        <w:tc>
          <w:tcPr>
            <w:tcW w:w="705" w:type="pct"/>
            <w:vAlign w:val="center"/>
          </w:tcPr>
          <w:p w14:paraId="5D544F8D" w14:textId="7D5BE3EF" w:rsidR="00B14519" w:rsidRPr="00781112" w:rsidRDefault="00B14519" w:rsidP="00827FF4">
            <w:pPr>
              <w:jc w:val="center"/>
              <w:rPr>
                <w:rFonts w:cs="Arial"/>
                <w:color w:val="000000" w:themeColor="text1"/>
                <w:szCs w:val="16"/>
              </w:rPr>
            </w:pPr>
            <w:r w:rsidRPr="00781112">
              <w:rPr>
                <w:rFonts w:cs="Arial"/>
                <w:color w:val="000000" w:themeColor="text1"/>
                <w:szCs w:val="16"/>
              </w:rPr>
              <w:t>43.56</w:t>
            </w:r>
          </w:p>
        </w:tc>
        <w:tc>
          <w:tcPr>
            <w:tcW w:w="705" w:type="pct"/>
            <w:vAlign w:val="center"/>
          </w:tcPr>
          <w:p w14:paraId="067CAD2B" w14:textId="5DA2AE3C" w:rsidR="00B14519" w:rsidRPr="00781112" w:rsidRDefault="00B14519" w:rsidP="00827FF4">
            <w:pPr>
              <w:jc w:val="center"/>
              <w:rPr>
                <w:rFonts w:cs="Arial"/>
                <w:color w:val="000000" w:themeColor="text1"/>
                <w:szCs w:val="16"/>
              </w:rPr>
            </w:pPr>
            <w:r w:rsidRPr="00781112">
              <w:rPr>
                <w:rFonts w:cs="Arial"/>
                <w:color w:val="000000" w:themeColor="text1"/>
                <w:szCs w:val="16"/>
              </w:rPr>
              <w:t>43.43</w:t>
            </w:r>
          </w:p>
        </w:tc>
        <w:tc>
          <w:tcPr>
            <w:tcW w:w="705" w:type="pct"/>
            <w:vAlign w:val="center"/>
          </w:tcPr>
          <w:p w14:paraId="780BEF08" w14:textId="2245CB58" w:rsidR="00B14519" w:rsidRPr="00781112" w:rsidRDefault="00B14519" w:rsidP="00827FF4">
            <w:pPr>
              <w:jc w:val="center"/>
              <w:rPr>
                <w:rFonts w:cs="Arial"/>
                <w:color w:val="000000" w:themeColor="text1"/>
                <w:szCs w:val="16"/>
              </w:rPr>
            </w:pPr>
            <w:r w:rsidRPr="00781112">
              <w:rPr>
                <w:rFonts w:cs="Arial"/>
                <w:color w:val="000000" w:themeColor="text1"/>
                <w:szCs w:val="16"/>
              </w:rPr>
              <w:t>43.18</w:t>
            </w:r>
          </w:p>
        </w:tc>
        <w:tc>
          <w:tcPr>
            <w:tcW w:w="705" w:type="pct"/>
            <w:vAlign w:val="center"/>
          </w:tcPr>
          <w:p w14:paraId="7CDE10BF" w14:textId="33273B74" w:rsidR="00B14519" w:rsidRPr="00781112" w:rsidRDefault="00B14519" w:rsidP="00827FF4">
            <w:pPr>
              <w:jc w:val="center"/>
              <w:rPr>
                <w:rFonts w:cs="Arial"/>
                <w:color w:val="000000" w:themeColor="text1"/>
                <w:szCs w:val="16"/>
              </w:rPr>
            </w:pPr>
            <w:r w:rsidRPr="00781112">
              <w:rPr>
                <w:rFonts w:cs="Arial"/>
                <w:color w:val="000000" w:themeColor="text1"/>
                <w:szCs w:val="16"/>
              </w:rPr>
              <w:t>42.68</w:t>
            </w:r>
          </w:p>
        </w:tc>
      </w:tr>
      <w:tr w:rsidR="00B14519" w:rsidRPr="00781112" w14:paraId="736D24EA" w14:textId="77777777" w:rsidTr="00451D7E">
        <w:tc>
          <w:tcPr>
            <w:tcW w:w="473" w:type="pct"/>
            <w:shd w:val="clear" w:color="auto" w:fill="auto"/>
            <w:vAlign w:val="center"/>
          </w:tcPr>
          <w:p w14:paraId="56FB00C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Reading</w:t>
            </w:r>
          </w:p>
        </w:tc>
        <w:tc>
          <w:tcPr>
            <w:tcW w:w="381" w:type="pct"/>
            <w:shd w:val="clear" w:color="auto" w:fill="auto"/>
            <w:vAlign w:val="center"/>
          </w:tcPr>
          <w:p w14:paraId="76599FEA"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6758DB1A" w14:textId="51D63552"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56DA6177" w14:textId="20AF4748" w:rsidR="00B14519" w:rsidRPr="00781112" w:rsidRDefault="00B14519" w:rsidP="00827FF4">
            <w:pPr>
              <w:jc w:val="center"/>
              <w:rPr>
                <w:rFonts w:cs="Arial"/>
                <w:color w:val="000000" w:themeColor="text1"/>
                <w:szCs w:val="16"/>
              </w:rPr>
            </w:pPr>
            <w:r w:rsidRPr="00781112">
              <w:rPr>
                <w:rFonts w:cs="Arial"/>
                <w:color w:val="000000" w:themeColor="text1"/>
                <w:szCs w:val="16"/>
              </w:rPr>
              <w:t>39.61</w:t>
            </w:r>
          </w:p>
        </w:tc>
        <w:tc>
          <w:tcPr>
            <w:tcW w:w="705" w:type="pct"/>
            <w:vAlign w:val="center"/>
          </w:tcPr>
          <w:p w14:paraId="12D9F716" w14:textId="7A56543C" w:rsidR="00B14519" w:rsidRPr="00781112" w:rsidRDefault="00B14519" w:rsidP="00827FF4">
            <w:pPr>
              <w:jc w:val="center"/>
              <w:rPr>
                <w:rFonts w:cs="Arial"/>
                <w:color w:val="000000" w:themeColor="text1"/>
                <w:szCs w:val="16"/>
              </w:rPr>
            </w:pPr>
            <w:r w:rsidRPr="00781112">
              <w:rPr>
                <w:rFonts w:cs="Arial"/>
                <w:color w:val="000000" w:themeColor="text1"/>
                <w:szCs w:val="16"/>
              </w:rPr>
              <w:t>39.49</w:t>
            </w:r>
          </w:p>
        </w:tc>
        <w:tc>
          <w:tcPr>
            <w:tcW w:w="705" w:type="pct"/>
            <w:vAlign w:val="center"/>
          </w:tcPr>
          <w:p w14:paraId="4EE8CD33" w14:textId="2A4DD9F9" w:rsidR="00B14519" w:rsidRPr="00781112" w:rsidRDefault="00B14519" w:rsidP="00827FF4">
            <w:pPr>
              <w:jc w:val="center"/>
              <w:rPr>
                <w:rFonts w:cs="Arial"/>
                <w:color w:val="000000" w:themeColor="text1"/>
                <w:szCs w:val="16"/>
              </w:rPr>
            </w:pPr>
            <w:r w:rsidRPr="00781112">
              <w:rPr>
                <w:rFonts w:cs="Arial"/>
                <w:color w:val="000000" w:themeColor="text1"/>
                <w:szCs w:val="16"/>
              </w:rPr>
              <w:t>39.36</w:t>
            </w:r>
          </w:p>
        </w:tc>
        <w:tc>
          <w:tcPr>
            <w:tcW w:w="705" w:type="pct"/>
            <w:vAlign w:val="center"/>
          </w:tcPr>
          <w:p w14:paraId="5414FEEF" w14:textId="05CDB931" w:rsidR="00B14519" w:rsidRPr="00781112" w:rsidRDefault="00B14519" w:rsidP="00827FF4">
            <w:pPr>
              <w:jc w:val="center"/>
              <w:rPr>
                <w:rFonts w:cs="Arial"/>
                <w:color w:val="000000" w:themeColor="text1"/>
                <w:szCs w:val="16"/>
              </w:rPr>
            </w:pPr>
            <w:r w:rsidRPr="00781112">
              <w:rPr>
                <w:rFonts w:cs="Arial"/>
                <w:color w:val="000000" w:themeColor="text1"/>
                <w:szCs w:val="16"/>
              </w:rPr>
              <w:t>39.11</w:t>
            </w:r>
          </w:p>
        </w:tc>
        <w:tc>
          <w:tcPr>
            <w:tcW w:w="705" w:type="pct"/>
            <w:vAlign w:val="center"/>
          </w:tcPr>
          <w:p w14:paraId="4484F5C2" w14:textId="609E66AA" w:rsidR="00B14519" w:rsidRPr="00781112" w:rsidRDefault="00B14519" w:rsidP="00827FF4">
            <w:pPr>
              <w:jc w:val="center"/>
              <w:rPr>
                <w:rFonts w:cs="Arial"/>
                <w:color w:val="000000" w:themeColor="text1"/>
                <w:szCs w:val="16"/>
              </w:rPr>
            </w:pPr>
            <w:r w:rsidRPr="00781112">
              <w:rPr>
                <w:rFonts w:cs="Arial"/>
                <w:color w:val="000000" w:themeColor="text1"/>
                <w:szCs w:val="16"/>
              </w:rPr>
              <w:t>38.61</w:t>
            </w:r>
          </w:p>
        </w:tc>
      </w:tr>
      <w:tr w:rsidR="00B14519" w:rsidRPr="00781112" w14:paraId="311AB0DD" w14:textId="77777777" w:rsidTr="00451D7E">
        <w:tc>
          <w:tcPr>
            <w:tcW w:w="473" w:type="pct"/>
            <w:shd w:val="clear" w:color="auto" w:fill="auto"/>
            <w:vAlign w:val="center"/>
          </w:tcPr>
          <w:p w14:paraId="3D2E0CB6"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2AAA6495"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A &lt;=</w:t>
            </w:r>
          </w:p>
        </w:tc>
        <w:tc>
          <w:tcPr>
            <w:tcW w:w="619" w:type="pct"/>
            <w:shd w:val="clear" w:color="auto" w:fill="auto"/>
            <w:vAlign w:val="center"/>
          </w:tcPr>
          <w:p w14:paraId="65E16006" w14:textId="0FBAD82F"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4</w:t>
            </w:r>
          </w:p>
        </w:tc>
        <w:tc>
          <w:tcPr>
            <w:tcW w:w="705" w:type="pct"/>
            <w:shd w:val="clear" w:color="auto" w:fill="auto"/>
            <w:vAlign w:val="center"/>
          </w:tcPr>
          <w:p w14:paraId="122DB35A" w14:textId="50E48575" w:rsidR="00B14519" w:rsidRPr="00781112" w:rsidRDefault="00B14519" w:rsidP="00827FF4">
            <w:pPr>
              <w:jc w:val="center"/>
              <w:rPr>
                <w:rFonts w:cs="Arial"/>
                <w:color w:val="000000" w:themeColor="text1"/>
                <w:szCs w:val="16"/>
              </w:rPr>
            </w:pPr>
            <w:r w:rsidRPr="00781112">
              <w:rPr>
                <w:rFonts w:cs="Arial"/>
                <w:color w:val="000000" w:themeColor="text1"/>
                <w:szCs w:val="16"/>
              </w:rPr>
              <w:t>28.21</w:t>
            </w:r>
          </w:p>
        </w:tc>
        <w:tc>
          <w:tcPr>
            <w:tcW w:w="705" w:type="pct"/>
            <w:vAlign w:val="center"/>
          </w:tcPr>
          <w:p w14:paraId="7E46501E" w14:textId="6CB1A41D" w:rsidR="00B14519" w:rsidRPr="00781112" w:rsidRDefault="00B14519" w:rsidP="00827FF4">
            <w:pPr>
              <w:jc w:val="center"/>
              <w:rPr>
                <w:rFonts w:cs="Arial"/>
                <w:color w:val="000000" w:themeColor="text1"/>
                <w:szCs w:val="16"/>
              </w:rPr>
            </w:pPr>
            <w:r w:rsidRPr="00781112">
              <w:rPr>
                <w:rFonts w:cs="Arial"/>
                <w:color w:val="000000" w:themeColor="text1"/>
                <w:szCs w:val="16"/>
              </w:rPr>
              <w:t>28.08</w:t>
            </w:r>
          </w:p>
        </w:tc>
        <w:tc>
          <w:tcPr>
            <w:tcW w:w="705" w:type="pct"/>
            <w:vAlign w:val="center"/>
          </w:tcPr>
          <w:p w14:paraId="6A7C9997" w14:textId="58A4736A" w:rsidR="00B14519" w:rsidRPr="00781112" w:rsidRDefault="00B14519" w:rsidP="00827FF4">
            <w:pPr>
              <w:jc w:val="center"/>
              <w:rPr>
                <w:rFonts w:cs="Arial"/>
                <w:color w:val="000000" w:themeColor="text1"/>
                <w:szCs w:val="16"/>
              </w:rPr>
            </w:pPr>
            <w:r w:rsidRPr="00781112">
              <w:rPr>
                <w:rFonts w:cs="Arial"/>
                <w:color w:val="000000" w:themeColor="text1"/>
                <w:szCs w:val="16"/>
              </w:rPr>
              <w:t>27.96</w:t>
            </w:r>
          </w:p>
        </w:tc>
        <w:tc>
          <w:tcPr>
            <w:tcW w:w="705" w:type="pct"/>
            <w:vAlign w:val="center"/>
          </w:tcPr>
          <w:p w14:paraId="491D1816" w14:textId="09E4A313" w:rsidR="00B14519" w:rsidRPr="00781112" w:rsidRDefault="00B14519" w:rsidP="00827FF4">
            <w:pPr>
              <w:jc w:val="center"/>
              <w:rPr>
                <w:rFonts w:cs="Arial"/>
                <w:color w:val="000000" w:themeColor="text1"/>
                <w:szCs w:val="16"/>
              </w:rPr>
            </w:pPr>
            <w:r w:rsidRPr="00781112">
              <w:rPr>
                <w:rFonts w:cs="Arial"/>
                <w:color w:val="000000" w:themeColor="text1"/>
                <w:szCs w:val="16"/>
              </w:rPr>
              <w:t>27.71</w:t>
            </w:r>
          </w:p>
        </w:tc>
        <w:tc>
          <w:tcPr>
            <w:tcW w:w="705" w:type="pct"/>
            <w:vAlign w:val="center"/>
          </w:tcPr>
          <w:p w14:paraId="7C31E2D9" w14:textId="6B280022" w:rsidR="00B14519" w:rsidRPr="00781112" w:rsidRDefault="00B14519" w:rsidP="00827FF4">
            <w:pPr>
              <w:jc w:val="center"/>
              <w:rPr>
                <w:rFonts w:cs="Arial"/>
                <w:color w:val="000000" w:themeColor="text1"/>
                <w:szCs w:val="16"/>
              </w:rPr>
            </w:pPr>
            <w:r w:rsidRPr="00781112">
              <w:rPr>
                <w:rFonts w:cs="Arial"/>
                <w:color w:val="000000" w:themeColor="text1"/>
                <w:szCs w:val="16"/>
              </w:rPr>
              <w:t>27.21</w:t>
            </w:r>
          </w:p>
        </w:tc>
      </w:tr>
      <w:tr w:rsidR="00B14519" w:rsidRPr="00781112" w14:paraId="1F14A6A0" w14:textId="77777777" w:rsidTr="00451D7E">
        <w:tc>
          <w:tcPr>
            <w:tcW w:w="473" w:type="pct"/>
            <w:shd w:val="clear" w:color="auto" w:fill="auto"/>
            <w:vAlign w:val="center"/>
          </w:tcPr>
          <w:p w14:paraId="67FFD637"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5CC9E434"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B &lt;=</w:t>
            </w:r>
          </w:p>
        </w:tc>
        <w:tc>
          <w:tcPr>
            <w:tcW w:w="619" w:type="pct"/>
            <w:shd w:val="clear" w:color="auto" w:fill="auto"/>
            <w:vAlign w:val="center"/>
          </w:tcPr>
          <w:p w14:paraId="48449221" w14:textId="1DE29BDC"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8</w:t>
            </w:r>
          </w:p>
        </w:tc>
        <w:tc>
          <w:tcPr>
            <w:tcW w:w="705" w:type="pct"/>
            <w:shd w:val="clear" w:color="auto" w:fill="auto"/>
            <w:vAlign w:val="center"/>
          </w:tcPr>
          <w:p w14:paraId="09A6E3C5" w14:textId="2E8BFD65" w:rsidR="00B14519" w:rsidRPr="00781112" w:rsidRDefault="00B14519" w:rsidP="00827FF4">
            <w:pPr>
              <w:jc w:val="center"/>
              <w:rPr>
                <w:rFonts w:cs="Arial"/>
                <w:color w:val="000000" w:themeColor="text1"/>
                <w:szCs w:val="16"/>
              </w:rPr>
            </w:pPr>
            <w:r w:rsidRPr="00781112">
              <w:rPr>
                <w:rFonts w:cs="Arial"/>
                <w:color w:val="000000" w:themeColor="text1"/>
                <w:szCs w:val="16"/>
              </w:rPr>
              <w:t>38.96</w:t>
            </w:r>
          </w:p>
        </w:tc>
        <w:tc>
          <w:tcPr>
            <w:tcW w:w="705" w:type="pct"/>
            <w:vAlign w:val="center"/>
          </w:tcPr>
          <w:p w14:paraId="627C9FA2" w14:textId="428379CE" w:rsidR="00B14519" w:rsidRPr="00781112" w:rsidRDefault="00B14519" w:rsidP="00827FF4">
            <w:pPr>
              <w:jc w:val="center"/>
              <w:rPr>
                <w:rFonts w:cs="Arial"/>
                <w:color w:val="000000" w:themeColor="text1"/>
                <w:szCs w:val="16"/>
              </w:rPr>
            </w:pPr>
            <w:r w:rsidRPr="00781112">
              <w:rPr>
                <w:rFonts w:cs="Arial"/>
                <w:color w:val="000000" w:themeColor="text1"/>
                <w:szCs w:val="16"/>
              </w:rPr>
              <w:t>38.84</w:t>
            </w:r>
          </w:p>
        </w:tc>
        <w:tc>
          <w:tcPr>
            <w:tcW w:w="705" w:type="pct"/>
            <w:vAlign w:val="center"/>
          </w:tcPr>
          <w:p w14:paraId="6204E3FD" w14:textId="081B5532" w:rsidR="00B14519" w:rsidRPr="00781112" w:rsidRDefault="00B14519" w:rsidP="00827FF4">
            <w:pPr>
              <w:jc w:val="center"/>
              <w:rPr>
                <w:rFonts w:cs="Arial"/>
                <w:color w:val="000000" w:themeColor="text1"/>
                <w:szCs w:val="16"/>
              </w:rPr>
            </w:pPr>
            <w:r w:rsidRPr="00781112">
              <w:rPr>
                <w:rFonts w:cs="Arial"/>
                <w:color w:val="000000" w:themeColor="text1"/>
                <w:szCs w:val="16"/>
              </w:rPr>
              <w:t>38.71</w:t>
            </w:r>
          </w:p>
        </w:tc>
        <w:tc>
          <w:tcPr>
            <w:tcW w:w="705" w:type="pct"/>
            <w:vAlign w:val="center"/>
          </w:tcPr>
          <w:p w14:paraId="70AB4E74" w14:textId="67486BA0" w:rsidR="00B14519" w:rsidRPr="00781112" w:rsidRDefault="00B14519" w:rsidP="00827FF4">
            <w:pPr>
              <w:jc w:val="center"/>
              <w:rPr>
                <w:rFonts w:cs="Arial"/>
                <w:color w:val="000000" w:themeColor="text1"/>
                <w:szCs w:val="16"/>
              </w:rPr>
            </w:pPr>
            <w:r w:rsidRPr="00781112">
              <w:rPr>
                <w:rFonts w:cs="Arial"/>
                <w:color w:val="000000" w:themeColor="text1"/>
                <w:szCs w:val="16"/>
              </w:rPr>
              <w:t>38.46</w:t>
            </w:r>
          </w:p>
        </w:tc>
        <w:tc>
          <w:tcPr>
            <w:tcW w:w="705" w:type="pct"/>
            <w:vAlign w:val="center"/>
          </w:tcPr>
          <w:p w14:paraId="76EDA768" w14:textId="58627E7B" w:rsidR="00B14519" w:rsidRPr="00781112" w:rsidRDefault="00B14519" w:rsidP="00827FF4">
            <w:pPr>
              <w:jc w:val="center"/>
              <w:rPr>
                <w:rFonts w:cs="Arial"/>
                <w:color w:val="000000" w:themeColor="text1"/>
                <w:szCs w:val="16"/>
              </w:rPr>
            </w:pPr>
            <w:r w:rsidRPr="00781112">
              <w:rPr>
                <w:rFonts w:cs="Arial"/>
                <w:color w:val="000000" w:themeColor="text1"/>
                <w:szCs w:val="16"/>
              </w:rPr>
              <w:t>37.96</w:t>
            </w:r>
          </w:p>
        </w:tc>
      </w:tr>
      <w:tr w:rsidR="00B14519" w:rsidRPr="00781112" w14:paraId="60CD7006" w14:textId="77777777" w:rsidTr="00451D7E">
        <w:tc>
          <w:tcPr>
            <w:tcW w:w="473" w:type="pct"/>
            <w:shd w:val="clear" w:color="auto" w:fill="auto"/>
            <w:vAlign w:val="center"/>
          </w:tcPr>
          <w:p w14:paraId="76491141"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Math</w:t>
            </w:r>
          </w:p>
        </w:tc>
        <w:tc>
          <w:tcPr>
            <w:tcW w:w="381" w:type="pct"/>
            <w:shd w:val="clear" w:color="auto" w:fill="auto"/>
            <w:vAlign w:val="center"/>
          </w:tcPr>
          <w:p w14:paraId="6C27CF3D" w14:textId="77777777" w:rsidR="00B14519" w:rsidRPr="00781112" w:rsidRDefault="00B14519" w:rsidP="00827FF4">
            <w:pPr>
              <w:spacing w:before="0" w:after="0"/>
              <w:jc w:val="center"/>
              <w:rPr>
                <w:rFonts w:cs="Arial"/>
                <w:color w:val="000000" w:themeColor="text1"/>
                <w:szCs w:val="16"/>
              </w:rPr>
            </w:pPr>
            <w:r w:rsidRPr="00781112">
              <w:rPr>
                <w:rFonts w:cs="Arial"/>
                <w:color w:val="000000" w:themeColor="text1"/>
                <w:szCs w:val="16"/>
              </w:rPr>
              <w:t>C &lt;=</w:t>
            </w:r>
          </w:p>
        </w:tc>
        <w:tc>
          <w:tcPr>
            <w:tcW w:w="619" w:type="pct"/>
            <w:shd w:val="clear" w:color="auto" w:fill="auto"/>
            <w:vAlign w:val="center"/>
          </w:tcPr>
          <w:p w14:paraId="4E465544" w14:textId="4F893AB5" w:rsidR="00B14519" w:rsidRPr="00781112" w:rsidDel="00DB0A73" w:rsidRDefault="00B14519" w:rsidP="00827FF4">
            <w:pPr>
              <w:jc w:val="center"/>
              <w:rPr>
                <w:rFonts w:cs="Arial"/>
                <w:color w:val="000000" w:themeColor="text1"/>
                <w:szCs w:val="16"/>
              </w:rPr>
            </w:pPr>
            <w:r w:rsidRPr="00781112">
              <w:rPr>
                <w:rFonts w:cs="Arial"/>
                <w:color w:val="000000" w:themeColor="text1"/>
                <w:szCs w:val="16"/>
              </w:rPr>
              <w:t>Grade HS</w:t>
            </w:r>
          </w:p>
        </w:tc>
        <w:tc>
          <w:tcPr>
            <w:tcW w:w="705" w:type="pct"/>
            <w:shd w:val="clear" w:color="auto" w:fill="auto"/>
            <w:vAlign w:val="center"/>
          </w:tcPr>
          <w:p w14:paraId="7B41E026" w14:textId="6E6F2C10" w:rsidR="00B14519" w:rsidRPr="00781112" w:rsidRDefault="00B14519" w:rsidP="00827FF4">
            <w:pPr>
              <w:jc w:val="center"/>
              <w:rPr>
                <w:rFonts w:cs="Arial"/>
                <w:color w:val="000000" w:themeColor="text1"/>
                <w:szCs w:val="16"/>
              </w:rPr>
            </w:pPr>
            <w:r w:rsidRPr="00781112">
              <w:rPr>
                <w:rFonts w:cs="Arial"/>
                <w:color w:val="000000" w:themeColor="text1"/>
                <w:szCs w:val="16"/>
              </w:rPr>
              <w:t>35.94</w:t>
            </w:r>
          </w:p>
        </w:tc>
        <w:tc>
          <w:tcPr>
            <w:tcW w:w="705" w:type="pct"/>
            <w:vAlign w:val="center"/>
          </w:tcPr>
          <w:p w14:paraId="294118D4" w14:textId="54195603" w:rsidR="00B14519" w:rsidRPr="00781112" w:rsidRDefault="00B14519" w:rsidP="00827FF4">
            <w:pPr>
              <w:jc w:val="center"/>
              <w:rPr>
                <w:rFonts w:cs="Arial"/>
                <w:color w:val="000000" w:themeColor="text1"/>
                <w:szCs w:val="16"/>
              </w:rPr>
            </w:pPr>
            <w:r w:rsidRPr="00781112">
              <w:rPr>
                <w:rFonts w:cs="Arial"/>
                <w:color w:val="000000" w:themeColor="text1"/>
                <w:szCs w:val="16"/>
              </w:rPr>
              <w:t>35.82</w:t>
            </w:r>
          </w:p>
        </w:tc>
        <w:tc>
          <w:tcPr>
            <w:tcW w:w="705" w:type="pct"/>
            <w:vAlign w:val="center"/>
          </w:tcPr>
          <w:p w14:paraId="41623CC8" w14:textId="4F75F535" w:rsidR="00B14519" w:rsidRPr="00781112" w:rsidRDefault="00B14519" w:rsidP="00827FF4">
            <w:pPr>
              <w:jc w:val="center"/>
              <w:rPr>
                <w:rFonts w:cs="Arial"/>
                <w:color w:val="000000" w:themeColor="text1"/>
                <w:szCs w:val="16"/>
              </w:rPr>
            </w:pPr>
            <w:r w:rsidRPr="00781112">
              <w:rPr>
                <w:rFonts w:cs="Arial"/>
                <w:color w:val="000000" w:themeColor="text1"/>
                <w:szCs w:val="16"/>
              </w:rPr>
              <w:t>35.69</w:t>
            </w:r>
          </w:p>
        </w:tc>
        <w:tc>
          <w:tcPr>
            <w:tcW w:w="705" w:type="pct"/>
            <w:vAlign w:val="center"/>
          </w:tcPr>
          <w:p w14:paraId="70C28E3C" w14:textId="4F91601C" w:rsidR="00B14519" w:rsidRPr="00781112" w:rsidRDefault="00B14519" w:rsidP="00827FF4">
            <w:pPr>
              <w:jc w:val="center"/>
              <w:rPr>
                <w:rFonts w:cs="Arial"/>
                <w:color w:val="000000" w:themeColor="text1"/>
                <w:szCs w:val="16"/>
              </w:rPr>
            </w:pPr>
            <w:r w:rsidRPr="00781112">
              <w:rPr>
                <w:rFonts w:cs="Arial"/>
                <w:color w:val="000000" w:themeColor="text1"/>
                <w:szCs w:val="16"/>
              </w:rPr>
              <w:t>35.44</w:t>
            </w:r>
          </w:p>
        </w:tc>
        <w:tc>
          <w:tcPr>
            <w:tcW w:w="705" w:type="pct"/>
            <w:vAlign w:val="center"/>
          </w:tcPr>
          <w:p w14:paraId="72D77BDF" w14:textId="662A73D4" w:rsidR="00B14519" w:rsidRPr="00781112" w:rsidRDefault="00B14519" w:rsidP="00827FF4">
            <w:pPr>
              <w:jc w:val="center"/>
              <w:rPr>
                <w:rFonts w:cs="Arial"/>
                <w:color w:val="000000" w:themeColor="text1"/>
                <w:szCs w:val="16"/>
              </w:rPr>
            </w:pPr>
            <w:r w:rsidRPr="00781112">
              <w:rPr>
                <w:rFonts w:cs="Arial"/>
                <w:color w:val="000000" w:themeColor="text1"/>
                <w:szCs w:val="16"/>
              </w:rPr>
              <w:t>34.94</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1A8E431E" w14:textId="2E551A11" w:rsidR="00DD5B7A" w:rsidRPr="00781112" w:rsidRDefault="00DD5B7A" w:rsidP="00DD5B7A">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w:t>
      </w:r>
      <w:r w:rsidRPr="00781112">
        <w:rPr>
          <w:rFonts w:cs="Arial"/>
          <w:color w:val="000000" w:themeColor="text1"/>
          <w:szCs w:val="16"/>
        </w:rPr>
        <w:lastRenderedPageBreak/>
        <w:t>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5EB19DE7" w14:textId="77777777" w:rsidR="00DD5B7A" w:rsidRPr="00781112" w:rsidRDefault="00DD5B7A" w:rsidP="00DD5B7A">
      <w:pPr>
        <w:spacing w:before="0" w:after="200" w:line="276" w:lineRule="auto"/>
        <w:rPr>
          <w:b/>
          <w:color w:val="000000" w:themeColor="text1"/>
        </w:rPr>
      </w:pPr>
    </w:p>
    <w:p w14:paraId="5F03961C" w14:textId="6F5CB644" w:rsidR="00DD5B7A" w:rsidRPr="00781112" w:rsidRDefault="00FA33C9" w:rsidP="00DD5B7A">
      <w:pPr>
        <w:rPr>
          <w:b/>
          <w:color w:val="000000" w:themeColor="text1"/>
        </w:rPr>
      </w:pPr>
      <w:r>
        <w:rPr>
          <w:b/>
          <w:color w:val="000000" w:themeColor="text1"/>
        </w:rPr>
        <w:t>FFY 2021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6,777</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7,308</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14,335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1,042</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847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1,569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3,131</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4,186</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7,153</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78</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83</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131</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75</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119</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63</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63</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57</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2021-22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04/05/2023</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 xml:space="preserve">a. All Students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6,783</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7,314</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14,376</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t>
            </w:r>
            <w:proofErr w:type="gramStart"/>
            <w:r w:rsidRPr="00781112">
              <w:rPr>
                <w:rFonts w:cs="Arial"/>
                <w:color w:val="000000" w:themeColor="text1"/>
                <w:szCs w:val="16"/>
              </w:rPr>
              <w:t>was assigned</w:t>
            </w:r>
            <w:proofErr w:type="gramEnd"/>
            <w:r w:rsidRPr="00781112">
              <w:rPr>
                <w:rFonts w:cs="Arial"/>
                <w:color w:val="000000" w:themeColor="text1"/>
                <w:szCs w:val="16"/>
              </w:rPr>
              <w:t xml:space="preserve">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1,042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845</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1,580</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3,466</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3,510</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5,922</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82</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41</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46</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lastRenderedPageBreak/>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175</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52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76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49</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30</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26</w:t>
            </w:r>
          </w:p>
        </w:tc>
      </w:tr>
    </w:tbl>
    <w:p w14:paraId="1EA160DB" w14:textId="77777777" w:rsidR="00DD5B7A" w:rsidRPr="00781112" w:rsidRDefault="00DD5B7A" w:rsidP="00DD5B7A">
      <w:pPr>
        <w:rPr>
          <w:color w:val="000000" w:themeColor="text1"/>
        </w:rPr>
      </w:pPr>
    </w:p>
    <w:p w14:paraId="300D6CD4" w14:textId="52C9441D" w:rsidR="00DD5B7A" w:rsidRPr="00781112" w:rsidRDefault="0047313F" w:rsidP="00DD5B7A">
      <w:pPr>
        <w:rPr>
          <w:b/>
          <w:color w:val="000000" w:themeColor="text1"/>
        </w:rPr>
      </w:pPr>
      <w:r>
        <w:rPr>
          <w:b/>
          <w:color w:val="000000" w:themeColor="text1"/>
        </w:rPr>
        <w:t>FFY 2021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FA33C9" w:rsidRPr="00781112" w14:paraId="2F7F1DE8" w14:textId="77777777" w:rsidTr="00360DD6">
        <w:trPr>
          <w:tblHeader/>
        </w:trPr>
        <w:tc>
          <w:tcPr>
            <w:tcW w:w="331" w:type="pct"/>
            <w:shd w:val="clear" w:color="auto" w:fill="auto"/>
            <w:vAlign w:val="bottom"/>
          </w:tcPr>
          <w:p w14:paraId="0E14CE7F"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FA33C9" w:rsidRPr="00781112" w:rsidRDefault="00FA33C9" w:rsidP="00FA33C9">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0E46FEA8" w:rsidR="00FA33C9" w:rsidRPr="00073BD7" w:rsidRDefault="00FA33C9" w:rsidP="00FA33C9">
            <w:pPr>
              <w:jc w:val="center"/>
              <w:rPr>
                <w:b/>
                <w:bCs/>
                <w:color w:val="000000" w:themeColor="text1"/>
              </w:rPr>
            </w:pPr>
            <w:r w:rsidRPr="00073BD7">
              <w:rPr>
                <w:b/>
                <w:bCs/>
              </w:rPr>
              <w:t>FFY 2020 Data</w:t>
            </w:r>
          </w:p>
        </w:tc>
        <w:tc>
          <w:tcPr>
            <w:tcW w:w="517" w:type="pct"/>
            <w:shd w:val="clear" w:color="auto" w:fill="auto"/>
            <w:vAlign w:val="bottom"/>
          </w:tcPr>
          <w:p w14:paraId="69544656" w14:textId="54A418A5" w:rsidR="00FA33C9" w:rsidRPr="00073BD7" w:rsidRDefault="00FA33C9" w:rsidP="00FA33C9">
            <w:pPr>
              <w:jc w:val="center"/>
              <w:rPr>
                <w:b/>
                <w:bCs/>
                <w:color w:val="000000" w:themeColor="text1"/>
              </w:rPr>
            </w:pPr>
            <w:r w:rsidRPr="00073BD7">
              <w:rPr>
                <w:b/>
                <w:bCs/>
              </w:rPr>
              <w:t>FFY 2021 Target</w:t>
            </w:r>
          </w:p>
        </w:tc>
        <w:tc>
          <w:tcPr>
            <w:tcW w:w="517" w:type="pct"/>
            <w:shd w:val="clear" w:color="auto" w:fill="auto"/>
            <w:vAlign w:val="bottom"/>
          </w:tcPr>
          <w:p w14:paraId="611B3DE3" w14:textId="365252D3" w:rsidR="00FA33C9" w:rsidRPr="00073BD7" w:rsidRDefault="00FA33C9" w:rsidP="00FA33C9">
            <w:pPr>
              <w:jc w:val="center"/>
              <w:rPr>
                <w:b/>
                <w:bCs/>
                <w:color w:val="000000" w:themeColor="text1"/>
              </w:rPr>
            </w:pPr>
            <w:r w:rsidRPr="00073BD7">
              <w:rPr>
                <w:b/>
                <w:bCs/>
              </w:rPr>
              <w:t>FFY 2021 Data</w:t>
            </w:r>
          </w:p>
        </w:tc>
        <w:tc>
          <w:tcPr>
            <w:tcW w:w="517" w:type="pct"/>
            <w:shd w:val="clear" w:color="auto" w:fill="auto"/>
            <w:vAlign w:val="bottom"/>
          </w:tcPr>
          <w:p w14:paraId="6D2215D6" w14:textId="77777777" w:rsidR="00FA33C9" w:rsidRPr="00781112" w:rsidRDefault="00FA33C9" w:rsidP="00FA33C9">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FA33C9" w:rsidRPr="00781112" w:rsidRDefault="00FA33C9" w:rsidP="00FA33C9">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18.62%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47.28%</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r w:rsidRPr="00781112">
              <w:rPr>
                <w:rFonts w:cs="Arial"/>
                <w:color w:val="000000" w:themeColor="text1"/>
                <w:szCs w:val="16"/>
              </w:rPr>
              <w:t>28.92</w:t>
            </w: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28.92</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28.66</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16.29%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58.35%</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r w:rsidRPr="00781112">
              <w:rPr>
                <w:rFonts w:cs="Arial"/>
                <w:color w:val="000000" w:themeColor="text1"/>
                <w:szCs w:val="16"/>
              </w:rPr>
              <w:t>43.68</w:t>
            </w: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43.68</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42.05</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11.22%</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50.48%</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r w:rsidRPr="00781112">
              <w:rPr>
                <w:rFonts w:cs="Arial"/>
                <w:color w:val="000000" w:themeColor="text1"/>
                <w:szCs w:val="16"/>
              </w:rPr>
              <w:t>39.61</w:t>
            </w: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39.61</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39.26</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Met target</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No Slippage</w:t>
            </w:r>
          </w:p>
        </w:tc>
      </w:tr>
    </w:tbl>
    <w:p w14:paraId="006E999D" w14:textId="77777777" w:rsidR="00DD5B7A" w:rsidRPr="00781112" w:rsidRDefault="00DD5B7A" w:rsidP="00DD5B7A">
      <w:pPr>
        <w:spacing w:before="0" w:after="200" w:line="276" w:lineRule="auto"/>
        <w:rPr>
          <w:b/>
          <w:color w:val="000000" w:themeColor="text1"/>
        </w:rPr>
      </w:pPr>
    </w:p>
    <w:p w14:paraId="2E07CCBD" w14:textId="0F403D2D" w:rsidR="00DD5B7A" w:rsidRPr="00781112" w:rsidRDefault="0047313F" w:rsidP="00DD5B7A">
      <w:pPr>
        <w:rPr>
          <w:b/>
          <w:color w:val="000000" w:themeColor="text1"/>
        </w:rPr>
      </w:pPr>
      <w:r>
        <w:rPr>
          <w:b/>
          <w:color w:val="000000" w:themeColor="text1"/>
        </w:rPr>
        <w:t>FFY 2021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FA33C9" w:rsidRPr="00781112" w14:paraId="6355AB57" w14:textId="77777777" w:rsidTr="001B7E95">
        <w:trPr>
          <w:tblHeader/>
        </w:trPr>
        <w:tc>
          <w:tcPr>
            <w:tcW w:w="331" w:type="pct"/>
            <w:shd w:val="clear" w:color="auto" w:fill="auto"/>
            <w:vAlign w:val="bottom"/>
          </w:tcPr>
          <w:p w14:paraId="7C464B0B" w14:textId="77777777" w:rsidR="00FA33C9" w:rsidRPr="00781112" w:rsidRDefault="00FA33C9" w:rsidP="00FA33C9">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FA33C9" w:rsidRPr="00781112" w:rsidRDefault="00FA33C9" w:rsidP="00FA33C9">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FA33C9" w:rsidRPr="00781112" w:rsidRDefault="00FA33C9" w:rsidP="00FA33C9">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FA33C9" w:rsidRPr="00781112" w:rsidRDefault="00FA33C9" w:rsidP="00FA33C9">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2E7796A1" w:rsidR="00FA33C9" w:rsidRPr="00073BD7" w:rsidRDefault="00FA33C9" w:rsidP="00FA33C9">
            <w:pPr>
              <w:jc w:val="center"/>
              <w:rPr>
                <w:b/>
                <w:bCs/>
                <w:color w:val="000000" w:themeColor="text1"/>
              </w:rPr>
            </w:pPr>
            <w:r w:rsidRPr="00073BD7">
              <w:rPr>
                <w:b/>
                <w:bCs/>
              </w:rPr>
              <w:t>FFY 2020 Data</w:t>
            </w:r>
          </w:p>
        </w:tc>
        <w:tc>
          <w:tcPr>
            <w:tcW w:w="508" w:type="pct"/>
            <w:shd w:val="clear" w:color="auto" w:fill="auto"/>
            <w:vAlign w:val="bottom"/>
          </w:tcPr>
          <w:p w14:paraId="275741A5" w14:textId="3CDA6991" w:rsidR="00FA33C9" w:rsidRPr="00073BD7" w:rsidRDefault="00FA33C9" w:rsidP="00FA33C9">
            <w:pPr>
              <w:jc w:val="center"/>
              <w:rPr>
                <w:b/>
                <w:bCs/>
                <w:color w:val="000000" w:themeColor="text1"/>
              </w:rPr>
            </w:pPr>
            <w:r w:rsidRPr="00073BD7">
              <w:rPr>
                <w:b/>
                <w:bCs/>
              </w:rPr>
              <w:t>FFY 2021 Target</w:t>
            </w:r>
          </w:p>
        </w:tc>
        <w:tc>
          <w:tcPr>
            <w:tcW w:w="508" w:type="pct"/>
            <w:shd w:val="clear" w:color="auto" w:fill="auto"/>
            <w:vAlign w:val="bottom"/>
          </w:tcPr>
          <w:p w14:paraId="597E0BC4" w14:textId="2210B9AB" w:rsidR="00FA33C9" w:rsidRPr="00073BD7" w:rsidRDefault="00FA33C9" w:rsidP="00FA33C9">
            <w:pPr>
              <w:jc w:val="center"/>
              <w:rPr>
                <w:b/>
                <w:bCs/>
                <w:color w:val="000000" w:themeColor="text1"/>
              </w:rPr>
            </w:pPr>
            <w:r w:rsidRPr="00073BD7">
              <w:rPr>
                <w:b/>
                <w:bCs/>
              </w:rPr>
              <w:t>FFY 2021 Data</w:t>
            </w:r>
          </w:p>
        </w:tc>
        <w:tc>
          <w:tcPr>
            <w:tcW w:w="508" w:type="pct"/>
            <w:shd w:val="clear" w:color="auto" w:fill="auto"/>
            <w:vAlign w:val="bottom"/>
          </w:tcPr>
          <w:p w14:paraId="53963A37" w14:textId="77777777" w:rsidR="00FA33C9" w:rsidRPr="00781112" w:rsidRDefault="00FA33C9" w:rsidP="00FA33C9">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FA33C9" w:rsidRPr="00781112" w:rsidRDefault="00FA33C9" w:rsidP="00FA33C9">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21.50%</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52.31%</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r w:rsidRPr="00781112">
              <w:rPr>
                <w:rFonts w:cs="Arial"/>
                <w:color w:val="000000" w:themeColor="text1"/>
                <w:szCs w:val="16"/>
              </w:rPr>
              <w:t>28.21</w:t>
            </w: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28.21</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30.81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Did not meet target</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Slippage</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9.70%</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48.55%</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r w:rsidRPr="00781112">
              <w:rPr>
                <w:rFonts w:cs="Arial"/>
                <w:color w:val="000000" w:themeColor="text1"/>
                <w:szCs w:val="16"/>
              </w:rPr>
              <w:t>38.96</w:t>
            </w: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38.96</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38.85</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6.46%</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41.51%</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r w:rsidRPr="00781112">
              <w:rPr>
                <w:rFonts w:cs="Arial"/>
                <w:color w:val="000000" w:themeColor="text1"/>
                <w:szCs w:val="16"/>
              </w:rPr>
              <w:t>35.94</w:t>
            </w: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35.94</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35.06</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Met target</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No Slippage</w:t>
            </w:r>
          </w:p>
        </w:tc>
      </w:tr>
    </w:tbl>
    <w:p w14:paraId="128BD33F" w14:textId="79412CBF" w:rsidR="00DD5B7A" w:rsidRPr="00781112" w:rsidRDefault="00DD5B7A" w:rsidP="00DD5B7A">
      <w:pPr>
        <w:rPr>
          <w:b/>
          <w:color w:val="000000" w:themeColor="text1"/>
        </w:rPr>
      </w:pPr>
      <w:r w:rsidRPr="00781112">
        <w:rPr>
          <w:b/>
          <w:color w:val="000000" w:themeColor="text1"/>
        </w:rPr>
        <w:t>Provide reasons for slippage for Group A, if applicable</w:t>
      </w:r>
    </w:p>
    <w:p w14:paraId="67B1DC74" w14:textId="19186582" w:rsidR="00DD5B7A" w:rsidRPr="0039251E" w:rsidRDefault="00DD5B7A" w:rsidP="0039251E">
      <w:pPr>
        <w:rPr>
          <w:rFonts w:cs="Arial"/>
          <w:color w:val="000000" w:themeColor="text1"/>
          <w:szCs w:val="16"/>
        </w:rPr>
      </w:pPr>
      <w:r w:rsidRPr="00781112">
        <w:rPr>
          <w:rFonts w:cs="Arial"/>
          <w:color w:val="000000" w:themeColor="text1"/>
          <w:szCs w:val="16"/>
        </w:rPr>
        <w:t xml:space="preserve">The WDE has examined the gap in the proficiency rates of all students and of students with disabilities by district to identify those districts that had an increase in their gap from 2020-21 to 2021-22. Twenty-three of the forty-eight districts had an increase in their </w:t>
      </w:r>
      <w:proofErr w:type="gramStart"/>
      <w:r w:rsidRPr="00781112">
        <w:rPr>
          <w:rFonts w:cs="Arial"/>
          <w:color w:val="000000" w:themeColor="text1"/>
          <w:szCs w:val="16"/>
        </w:rPr>
        <w:t>4th</w:t>
      </w:r>
      <w:proofErr w:type="gramEnd"/>
      <w:r w:rsidRPr="00781112">
        <w:rPr>
          <w:rFonts w:cs="Arial"/>
          <w:color w:val="000000" w:themeColor="text1"/>
          <w:szCs w:val="16"/>
        </w:rPr>
        <w:t xml:space="preserve"> grade gap for Math. The State included, in its data share out sessions explained in indicator 3B, an in-depth analysis of the gap in proficiency rates between students with disabilities and students without disabilities. Districts </w:t>
      </w:r>
      <w:proofErr w:type="gramStart"/>
      <w:r w:rsidRPr="00781112">
        <w:rPr>
          <w:rFonts w:cs="Arial"/>
          <w:color w:val="000000" w:themeColor="text1"/>
          <w:szCs w:val="16"/>
        </w:rPr>
        <w:t>were led</w:t>
      </w:r>
      <w:proofErr w:type="gramEnd"/>
      <w:r w:rsidRPr="00781112">
        <w:rPr>
          <w:rFonts w:cs="Arial"/>
          <w:color w:val="000000" w:themeColor="text1"/>
          <w:szCs w:val="16"/>
        </w:rPr>
        <w:t xml:space="preserve"> through a process to identify a root cause and ways to improve assessment data for all students with disabilities. </w:t>
      </w:r>
      <w:r w:rsidRPr="00781112">
        <w:rPr>
          <w:rFonts w:cs="Arial"/>
          <w:color w:val="000000" w:themeColor="text1"/>
          <w:szCs w:val="16"/>
        </w:rPr>
        <w:br/>
      </w:r>
      <w:r w:rsidRPr="00781112">
        <w:rPr>
          <w:rFonts w:cs="Arial"/>
          <w:color w:val="000000" w:themeColor="text1"/>
          <w:szCs w:val="16"/>
        </w:rPr>
        <w:br/>
        <w:t xml:space="preserve">The proficiency rates of all students and of students with disabilities </w:t>
      </w:r>
      <w:proofErr w:type="gramStart"/>
      <w:r w:rsidRPr="00781112">
        <w:rPr>
          <w:rFonts w:cs="Arial"/>
          <w:color w:val="000000" w:themeColor="text1"/>
          <w:szCs w:val="16"/>
        </w:rPr>
        <w:t>were examined</w:t>
      </w:r>
      <w:proofErr w:type="gramEnd"/>
      <w:r w:rsidRPr="00781112">
        <w:rPr>
          <w:rFonts w:cs="Arial"/>
          <w:color w:val="000000" w:themeColor="text1"/>
          <w:szCs w:val="16"/>
        </w:rPr>
        <w:t xml:space="preserve"> to try to better understand the pattern. Of the </w:t>
      </w:r>
      <w:proofErr w:type="gramStart"/>
      <w:r w:rsidRPr="00781112">
        <w:rPr>
          <w:rFonts w:cs="Arial"/>
          <w:color w:val="000000" w:themeColor="text1"/>
          <w:szCs w:val="16"/>
        </w:rPr>
        <w:t>23</w:t>
      </w:r>
      <w:proofErr w:type="gramEnd"/>
      <w:r w:rsidRPr="00781112">
        <w:rPr>
          <w:rFonts w:cs="Arial"/>
          <w:color w:val="000000" w:themeColor="text1"/>
          <w:szCs w:val="16"/>
        </w:rPr>
        <w:t xml:space="preserve"> districts that had an increase in their gap, 12 (52%) had an increase from 2020-21 to 2021-22 in both their all-student rate and their student with disability rate; so clearly, their all-student rate had a larger increase than their student with disability rate given their gap increase. Eight (35%) districts had a decrease in their student with disability proficiency rate but an increase in their all-student proficiency rate. Three districts (13%) had a decrease in both their all-student rate and their student with disability rate but their student with disability decrease was greater than that of all their students. </w:t>
      </w:r>
      <w:r w:rsidRPr="00781112">
        <w:rPr>
          <w:rFonts w:cs="Arial"/>
          <w:color w:val="000000" w:themeColor="text1"/>
          <w:szCs w:val="16"/>
        </w:rPr>
        <w:br/>
      </w:r>
      <w:r w:rsidRPr="00781112">
        <w:rPr>
          <w:rFonts w:cs="Arial"/>
          <w:color w:val="000000" w:themeColor="text1"/>
          <w:szCs w:val="16"/>
        </w:rPr>
        <w:br/>
        <w:t xml:space="preserve">During an in-depth analysis of proficiency rates for students with disabilities, the WDE noted that students in virtual settings and students in settings outside of the regular classroom are the lowest performers. Therefore, the State provided training by a national expert to all districts about identifying the appropriateness (or lack thereof) of students on IEPs </w:t>
      </w:r>
      <w:proofErr w:type="gramStart"/>
      <w:r w:rsidRPr="00781112">
        <w:rPr>
          <w:rFonts w:cs="Arial"/>
          <w:color w:val="000000" w:themeColor="text1"/>
          <w:szCs w:val="16"/>
        </w:rPr>
        <w:t>being educated</w:t>
      </w:r>
      <w:proofErr w:type="gramEnd"/>
      <w:r w:rsidRPr="00781112">
        <w:rPr>
          <w:rFonts w:cs="Arial"/>
          <w:color w:val="000000" w:themeColor="text1"/>
          <w:szCs w:val="16"/>
        </w:rPr>
        <w:t xml:space="preserve"> in a virtual setting and pitfalls of allowing students to linger in that setting while performance is decreasing. In addition, the WDE will require districts who do not meet the target for this indicator (3D -achievement gap) to require staff to attend TA sessions on inclusion, supplementary aids and services, and accommodations. These trainings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by the WDE. According to our data, the best chance to increase the proficiencies of our students with disabilities is to educate them in the general education setting with the appropriate </w:t>
      </w:r>
      <w:proofErr w:type="gramStart"/>
      <w:r w:rsidRPr="00781112">
        <w:rPr>
          <w:rFonts w:cs="Arial"/>
          <w:color w:val="000000" w:themeColor="text1"/>
          <w:szCs w:val="16"/>
        </w:rPr>
        <w:t>supports</w:t>
      </w:r>
      <w:proofErr w:type="gramEnd"/>
      <w:r w:rsidRPr="00781112">
        <w:rPr>
          <w:rFonts w:cs="Arial"/>
          <w:color w:val="000000" w:themeColor="text1"/>
          <w:szCs w:val="16"/>
        </w:rPr>
        <w:t xml:space="preserve"> and services. </w:t>
      </w:r>
    </w:p>
    <w:p w14:paraId="2ABFD82D" w14:textId="57FAD849" w:rsidR="00764DDE" w:rsidRDefault="0039251E" w:rsidP="0039251E">
      <w:pPr>
        <w:rPr>
          <w:b/>
          <w:color w:val="000000" w:themeColor="text1"/>
        </w:rPr>
      </w:pPr>
      <w:r>
        <w:rPr>
          <w:b/>
          <w:color w:val="000000" w:themeColor="text1"/>
        </w:rPr>
        <w:br/>
      </w:r>
      <w:r w:rsidR="00DD5B7A" w:rsidRPr="00781112">
        <w:rPr>
          <w:b/>
          <w:color w:val="000000" w:themeColor="text1"/>
        </w:rPr>
        <w:t>Provide additional information about this indicator (optional)</w:t>
      </w:r>
    </w:p>
    <w:p w14:paraId="56ABD508" w14:textId="77777777" w:rsidR="0039251E" w:rsidRPr="0039251E" w:rsidRDefault="0039251E" w:rsidP="0039251E">
      <w:pPr>
        <w:rPr>
          <w:b/>
          <w:color w:val="000000" w:themeColor="text1"/>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6F9D8957" w14:textId="4D483ADE" w:rsidR="00764DDE" w:rsidRPr="0039251E" w:rsidRDefault="00764DDE" w:rsidP="0039251E">
      <w:pPr>
        <w:pStyle w:val="Heading2"/>
      </w:pPr>
      <w:r w:rsidRPr="00781112">
        <w:t>3D - OSEP Response</w:t>
      </w:r>
    </w:p>
    <w:p w14:paraId="77AA7102" w14:textId="67072206" w:rsidR="00764DDE" w:rsidRPr="0039251E" w:rsidRDefault="00764DDE" w:rsidP="0039251E">
      <w:pPr>
        <w:pStyle w:val="Heading2"/>
      </w:pPr>
      <w:r w:rsidRPr="00781112">
        <w:t>3D - Required Actions</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8"/>
      <w:bookmarkEnd w:id="19"/>
    </w:p>
    <w:p w14:paraId="6B24B370" w14:textId="77777777" w:rsidR="006E5AE4" w:rsidRPr="00781112" w:rsidRDefault="006E5AE4" w:rsidP="00A018D4">
      <w:pPr>
        <w:rPr>
          <w:color w:val="000000" w:themeColor="text1"/>
          <w:szCs w:val="20"/>
        </w:rPr>
      </w:pPr>
      <w:bookmarkStart w:id="21" w:name="_Toc384383331"/>
      <w:bookmarkStart w:id="22"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3AD8FD7E" w14:textId="47F57D4C"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2021 SPP/APR, use data from 2020-2021),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22C5D4B" w14:textId="269C53BA" w:rsidR="004F019B" w:rsidRPr="00781112" w:rsidRDefault="004F019B" w:rsidP="004F019B">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2021-2022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406A7CC3" w14:textId="5644C489"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23" w:name="_Toc384383332"/>
      <w:bookmarkStart w:id="24" w:name="_Toc392159284"/>
      <w:bookmarkEnd w:id="21"/>
      <w:bookmarkEnd w:id="22"/>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2020</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1"/>
        <w:gridCol w:w="1696"/>
        <w:gridCol w:w="1696"/>
        <w:gridCol w:w="1696"/>
        <w:gridCol w:w="1697"/>
      </w:tblGrid>
      <w:tr w:rsidR="00B14519" w:rsidRPr="00781112" w14:paraId="00255703" w14:textId="57B86D35" w:rsidTr="00451D7E">
        <w:trPr>
          <w:trHeight w:val="350"/>
        </w:trPr>
        <w:tc>
          <w:tcPr>
            <w:tcW w:w="271" w:type="pct"/>
            <w:tcBorders>
              <w:bottom w:val="single" w:sz="4" w:space="0" w:color="auto"/>
            </w:tcBorders>
            <w:shd w:val="clear" w:color="auto" w:fill="auto"/>
          </w:tcPr>
          <w:p w14:paraId="12833EEC" w14:textId="77777777" w:rsidR="00B14519" w:rsidRPr="00781112" w:rsidRDefault="00B14519" w:rsidP="00373F78">
            <w:pPr>
              <w:jc w:val="center"/>
              <w:rPr>
                <w:b/>
                <w:color w:val="000000" w:themeColor="text1"/>
              </w:rPr>
            </w:pPr>
            <w:r w:rsidRPr="00781112">
              <w:rPr>
                <w:b/>
                <w:color w:val="000000" w:themeColor="text1"/>
              </w:rPr>
              <w:t>FFY</w:t>
            </w:r>
          </w:p>
        </w:tc>
        <w:tc>
          <w:tcPr>
            <w:tcW w:w="899" w:type="pct"/>
            <w:shd w:val="clear" w:color="auto" w:fill="auto"/>
          </w:tcPr>
          <w:p w14:paraId="50119DBA" w14:textId="04DC2A77" w:rsidR="00B14519" w:rsidRPr="00781112" w:rsidRDefault="00B14519" w:rsidP="00373F78">
            <w:pPr>
              <w:jc w:val="center"/>
              <w:rPr>
                <w:b/>
                <w:color w:val="000000" w:themeColor="text1"/>
              </w:rPr>
            </w:pPr>
            <w:r w:rsidRPr="00781112">
              <w:rPr>
                <w:b/>
                <w:color w:val="000000" w:themeColor="text1"/>
              </w:rPr>
              <w:t>2021</w:t>
            </w:r>
          </w:p>
        </w:tc>
        <w:tc>
          <w:tcPr>
            <w:tcW w:w="957" w:type="pct"/>
          </w:tcPr>
          <w:p w14:paraId="59425E52" w14:textId="30A73A95" w:rsidR="00B14519" w:rsidRPr="00781112" w:rsidRDefault="00B14519" w:rsidP="00373F78">
            <w:pPr>
              <w:jc w:val="center"/>
              <w:rPr>
                <w:b/>
                <w:color w:val="000000" w:themeColor="text1"/>
              </w:rPr>
            </w:pPr>
            <w:r w:rsidRPr="00781112">
              <w:rPr>
                <w:rFonts w:cs="Arial"/>
                <w:b/>
                <w:color w:val="000000" w:themeColor="text1"/>
                <w:szCs w:val="16"/>
              </w:rPr>
              <w:t>2022</w:t>
            </w:r>
          </w:p>
        </w:tc>
        <w:tc>
          <w:tcPr>
            <w:tcW w:w="957" w:type="pct"/>
          </w:tcPr>
          <w:p w14:paraId="62296859" w14:textId="1A7F3D46" w:rsidR="00B14519" w:rsidRPr="00781112" w:rsidRDefault="00B14519" w:rsidP="00373F78">
            <w:pPr>
              <w:jc w:val="center"/>
              <w:rPr>
                <w:b/>
                <w:color w:val="000000" w:themeColor="text1"/>
              </w:rPr>
            </w:pPr>
            <w:r w:rsidRPr="00781112">
              <w:rPr>
                <w:rFonts w:cs="Arial"/>
                <w:b/>
                <w:color w:val="000000" w:themeColor="text1"/>
                <w:szCs w:val="16"/>
              </w:rPr>
              <w:t>2023</w:t>
            </w:r>
          </w:p>
        </w:tc>
        <w:tc>
          <w:tcPr>
            <w:tcW w:w="957" w:type="pct"/>
          </w:tcPr>
          <w:p w14:paraId="69950222" w14:textId="1E5E636C" w:rsidR="00B14519" w:rsidRPr="00781112" w:rsidRDefault="00B14519" w:rsidP="00373F78">
            <w:pPr>
              <w:jc w:val="center"/>
              <w:rPr>
                <w:b/>
                <w:color w:val="000000" w:themeColor="text1"/>
              </w:rPr>
            </w:pPr>
            <w:r w:rsidRPr="00781112">
              <w:rPr>
                <w:rFonts w:cs="Arial"/>
                <w:b/>
                <w:color w:val="000000" w:themeColor="text1"/>
                <w:szCs w:val="16"/>
              </w:rPr>
              <w:t>2024</w:t>
            </w:r>
          </w:p>
        </w:tc>
        <w:tc>
          <w:tcPr>
            <w:tcW w:w="957" w:type="pct"/>
          </w:tcPr>
          <w:p w14:paraId="147FD075" w14:textId="2618FA88" w:rsidR="00B14519" w:rsidRPr="00781112" w:rsidRDefault="00B14519" w:rsidP="00373F78">
            <w:pPr>
              <w:jc w:val="center"/>
              <w:rPr>
                <w:b/>
                <w:color w:val="000000" w:themeColor="text1"/>
              </w:rPr>
            </w:pPr>
            <w:r w:rsidRPr="00781112">
              <w:rPr>
                <w:rFonts w:cs="Arial"/>
                <w:b/>
                <w:color w:val="000000" w:themeColor="text1"/>
                <w:szCs w:val="16"/>
              </w:rPr>
              <w:t>2025</w:t>
            </w:r>
          </w:p>
        </w:tc>
      </w:tr>
      <w:tr w:rsidR="00B14519" w:rsidRPr="00781112" w14:paraId="1ACE760A" w14:textId="1AE21F6E" w:rsidTr="00451D7E">
        <w:trPr>
          <w:trHeight w:val="357"/>
        </w:trPr>
        <w:tc>
          <w:tcPr>
            <w:tcW w:w="271" w:type="pct"/>
            <w:shd w:val="clear" w:color="auto" w:fill="auto"/>
            <w:vAlign w:val="center"/>
          </w:tcPr>
          <w:p w14:paraId="3387B9B3" w14:textId="0ED5756F" w:rsidR="00B14519" w:rsidRPr="00781112" w:rsidRDefault="00B14519"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899" w:type="pct"/>
            <w:shd w:val="clear" w:color="auto" w:fill="auto"/>
            <w:vAlign w:val="center"/>
          </w:tcPr>
          <w:p w14:paraId="78EBD6ED" w14:textId="4FA09BBD" w:rsidR="00B14519" w:rsidRPr="00781112" w:rsidRDefault="00B14519" w:rsidP="00373F78">
            <w:pPr>
              <w:jc w:val="center"/>
              <w:rPr>
                <w:rFonts w:cs="Arial"/>
                <w:color w:val="000000" w:themeColor="text1"/>
                <w:szCs w:val="16"/>
              </w:rPr>
            </w:pPr>
            <w:r w:rsidRPr="00781112">
              <w:rPr>
                <w:rFonts w:cs="Arial"/>
                <w:color w:val="000000" w:themeColor="text1"/>
                <w:szCs w:val="16"/>
              </w:rPr>
              <w:t>0.00%</w:t>
            </w:r>
          </w:p>
        </w:tc>
        <w:tc>
          <w:tcPr>
            <w:tcW w:w="957" w:type="pct"/>
          </w:tcPr>
          <w:p w14:paraId="6FDC82B2" w14:textId="0C85D60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98EC84B" w14:textId="0E47DBF4"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75A6D928" w14:textId="791A7001" w:rsidR="00B14519" w:rsidRPr="00781112" w:rsidRDefault="00B14519" w:rsidP="00373F78">
            <w:pPr>
              <w:jc w:val="center"/>
              <w:rPr>
                <w:rFonts w:cs="Arial"/>
                <w:color w:val="000000" w:themeColor="text1"/>
                <w:szCs w:val="16"/>
              </w:rPr>
            </w:pPr>
            <w:r w:rsidRPr="00781112">
              <w:rPr>
                <w:color w:val="000000" w:themeColor="text1"/>
                <w:szCs w:val="16"/>
              </w:rPr>
              <w:t>0.00%</w:t>
            </w:r>
          </w:p>
        </w:tc>
        <w:tc>
          <w:tcPr>
            <w:tcW w:w="957" w:type="pct"/>
          </w:tcPr>
          <w:p w14:paraId="1CE5D3BC" w14:textId="661D574C" w:rsidR="00B14519" w:rsidRPr="00781112" w:rsidRDefault="00B14519"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3FD5337B" w14:textId="54E74935" w:rsidR="002D145D" w:rsidRPr="00781112" w:rsidRDefault="002D145D" w:rsidP="002D145D">
      <w:pPr>
        <w:rPr>
          <w:rFonts w:cs="Arial"/>
          <w:color w:val="000000" w:themeColor="text1"/>
          <w:szCs w:val="16"/>
        </w:rPr>
      </w:pPr>
    </w:p>
    <w:p w14:paraId="2AE297AB" w14:textId="77777777" w:rsidR="007E6F97" w:rsidRPr="00781112" w:rsidRDefault="007E6F97" w:rsidP="004369B2">
      <w:pPr>
        <w:rPr>
          <w:color w:val="000000" w:themeColor="text1"/>
        </w:rPr>
      </w:pPr>
    </w:p>
    <w:bookmarkEnd w:id="23"/>
    <w:bookmarkEnd w:id="24"/>
    <w:p w14:paraId="2E616696" w14:textId="27349DED" w:rsidR="00D03701" w:rsidRPr="00781112" w:rsidRDefault="0047313F">
      <w:pPr>
        <w:rPr>
          <w:b/>
          <w:color w:val="000000" w:themeColor="text1"/>
        </w:rPr>
      </w:pPr>
      <w:r>
        <w:rPr>
          <w:b/>
          <w:color w:val="000000" w:themeColor="text1"/>
        </w:rPr>
        <w:t>FFY 2021 SPP/APR Data</w:t>
      </w:r>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3</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450F98" w:rsidRPr="00781112" w14:paraId="25961F2E" w14:textId="5D241BED" w:rsidTr="00E95FBF">
        <w:trPr>
          <w:trHeight w:val="994"/>
          <w:jc w:val="center"/>
        </w:trPr>
        <w:tc>
          <w:tcPr>
            <w:tcW w:w="653" w:type="pct"/>
            <w:shd w:val="clear" w:color="auto" w:fill="auto"/>
            <w:vAlign w:val="bottom"/>
          </w:tcPr>
          <w:p w14:paraId="1D711F21" w14:textId="471FE8E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450F98" w:rsidRPr="00781112" w:rsidRDefault="00450F98" w:rsidP="00450F98">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289B64FE" w:rsidR="00450F98" w:rsidRPr="00073BD7" w:rsidRDefault="00450F98" w:rsidP="00450F98">
            <w:pPr>
              <w:jc w:val="center"/>
              <w:rPr>
                <w:rFonts w:cs="Arial"/>
                <w:b/>
                <w:bCs/>
                <w:color w:val="000000" w:themeColor="text1"/>
                <w:szCs w:val="16"/>
              </w:rPr>
            </w:pPr>
            <w:r w:rsidRPr="00073BD7">
              <w:rPr>
                <w:b/>
                <w:bCs/>
              </w:rPr>
              <w:t>FFY 2020 Data</w:t>
            </w:r>
          </w:p>
        </w:tc>
        <w:tc>
          <w:tcPr>
            <w:tcW w:w="876" w:type="pct"/>
            <w:shd w:val="clear" w:color="auto" w:fill="auto"/>
            <w:vAlign w:val="bottom"/>
          </w:tcPr>
          <w:p w14:paraId="2298BC2C" w14:textId="6C7E1A38" w:rsidR="00450F98" w:rsidRPr="00073BD7" w:rsidRDefault="00450F98" w:rsidP="00450F98">
            <w:pPr>
              <w:jc w:val="center"/>
              <w:rPr>
                <w:rFonts w:cs="Arial"/>
                <w:b/>
                <w:bCs/>
                <w:color w:val="000000" w:themeColor="text1"/>
                <w:szCs w:val="16"/>
              </w:rPr>
            </w:pPr>
            <w:r w:rsidRPr="00073BD7">
              <w:rPr>
                <w:b/>
                <w:bCs/>
              </w:rPr>
              <w:t>FFY 2021 Target</w:t>
            </w:r>
          </w:p>
        </w:tc>
        <w:tc>
          <w:tcPr>
            <w:tcW w:w="584" w:type="pct"/>
            <w:shd w:val="clear" w:color="auto" w:fill="auto"/>
            <w:vAlign w:val="bottom"/>
          </w:tcPr>
          <w:p w14:paraId="3E9B682A" w14:textId="3CC0CE28" w:rsidR="00450F98" w:rsidRPr="00073BD7" w:rsidRDefault="00450F98" w:rsidP="00450F98">
            <w:pPr>
              <w:jc w:val="center"/>
              <w:rPr>
                <w:rFonts w:cs="Arial"/>
                <w:b/>
                <w:bCs/>
                <w:color w:val="000000" w:themeColor="text1"/>
                <w:szCs w:val="16"/>
              </w:rPr>
            </w:pPr>
            <w:r w:rsidRPr="00073BD7">
              <w:rPr>
                <w:b/>
                <w:bCs/>
              </w:rPr>
              <w:t>FFY 2021 Data</w:t>
            </w:r>
          </w:p>
        </w:tc>
        <w:tc>
          <w:tcPr>
            <w:tcW w:w="667" w:type="pct"/>
            <w:shd w:val="clear" w:color="auto" w:fill="auto"/>
            <w:vAlign w:val="bottom"/>
          </w:tcPr>
          <w:p w14:paraId="7B5A071B" w14:textId="6C45C0BB" w:rsidR="00450F98" w:rsidRPr="00781112" w:rsidRDefault="00450F98" w:rsidP="00450F98">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450F98" w:rsidRPr="00781112" w:rsidRDefault="00450F98" w:rsidP="00450F98">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46</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The WDE uses the “state bar” method for defining significant discrepancy. We are comparing the rates of suspensions and expulsions of greater than 10 days in a school year for children with IEPs among LEAs in the State. The FFY2021 state rate (based on 2020-21 data) for suspending/expelling students with disabilities for more than ten days is 0.69%. The WDE is setting the state bar as five percentage points higher than the state rate. Thus, any district that suspends or expels 5.69% or more of its students with disabilities for more than ten days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significant discrepancy. There must be at least </w:t>
      </w:r>
      <w:proofErr w:type="gramStart"/>
      <w:r w:rsidRPr="00781112">
        <w:rPr>
          <w:rFonts w:cs="Arial"/>
          <w:color w:val="000000" w:themeColor="text1"/>
          <w:szCs w:val="16"/>
        </w:rPr>
        <w:t>25</w:t>
      </w:r>
      <w:proofErr w:type="gramEnd"/>
      <w:r w:rsidRPr="00781112">
        <w:rPr>
          <w:rFonts w:cs="Arial"/>
          <w:color w:val="000000" w:themeColor="text1"/>
          <w:szCs w:val="16"/>
        </w:rPr>
        <w:t xml:space="preserve"> students in the denominator (i.e., this is the minimum n size) and 3 students in the numerator (i.e., this is the minimum cell size) of a suspension rate for it to be flagged.  The minimum n size of </w:t>
      </w:r>
      <w:proofErr w:type="gramStart"/>
      <w:r w:rsidRPr="00781112">
        <w:rPr>
          <w:rFonts w:cs="Arial"/>
          <w:color w:val="000000" w:themeColor="text1"/>
          <w:szCs w:val="16"/>
        </w:rPr>
        <w:t>25</w:t>
      </w:r>
      <w:proofErr w:type="gramEnd"/>
      <w:r w:rsidRPr="00781112">
        <w:rPr>
          <w:rFonts w:cs="Arial"/>
          <w:color w:val="000000" w:themeColor="text1"/>
          <w:szCs w:val="16"/>
        </w:rPr>
        <w:t xml:space="preserve"> refers to the number of students with disabilities in the particular district must be at least 25 for a rate to be considered.  The minimum n size of </w:t>
      </w:r>
      <w:proofErr w:type="gramStart"/>
      <w:r w:rsidRPr="00781112">
        <w:rPr>
          <w:rFonts w:cs="Arial"/>
          <w:color w:val="000000" w:themeColor="text1"/>
          <w:szCs w:val="16"/>
        </w:rPr>
        <w:t>3</w:t>
      </w:r>
      <w:proofErr w:type="gramEnd"/>
      <w:r w:rsidRPr="00781112">
        <w:rPr>
          <w:rFonts w:cs="Arial"/>
          <w:color w:val="000000" w:themeColor="text1"/>
          <w:szCs w:val="16"/>
        </w:rPr>
        <w:t xml:space="preserve"> refers to needing at least three students with disabilities suspended for greater than 10 days at a given district for a rate to be considered. Note that WDE does not use a rate ratio; WDE uses the “state bar” methodology. </w:t>
      </w:r>
    </w:p>
    <w:p w14:paraId="47F07052" w14:textId="77777777" w:rsidR="00BB504D" w:rsidRPr="00781112" w:rsidRDefault="00BB504D" w:rsidP="004369B2">
      <w:pPr>
        <w:rPr>
          <w:b/>
          <w:color w:val="000000" w:themeColor="text1"/>
        </w:rPr>
      </w:pPr>
      <w:bookmarkStart w:id="25" w:name="_Toc384383334"/>
      <w:bookmarkStart w:id="26"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 xml:space="preserve">Of the 49 LEAs in Wyoming, none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having significant discrepancy in FFY2021 for Indicator 4A. In the entire state of Wyoming, only 114 students with disabilities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or expelled for </w:t>
      </w:r>
      <w:proofErr w:type="gramStart"/>
      <w:r w:rsidRPr="00781112">
        <w:rPr>
          <w:rFonts w:cs="Arial"/>
          <w:color w:val="000000" w:themeColor="text1"/>
          <w:szCs w:val="16"/>
        </w:rPr>
        <w:t>greater</w:t>
      </w:r>
      <w:proofErr w:type="gramEnd"/>
      <w:r w:rsidRPr="00781112">
        <w:rPr>
          <w:rFonts w:cs="Arial"/>
          <w:color w:val="000000" w:themeColor="text1"/>
          <w:szCs w:val="16"/>
        </w:rPr>
        <w:t xml:space="preserve"> than ten days in FFY2021. Only 11 LEAs had a suspension rate greater than 0%; none had a suspension rate greater than 5.69%. Of the </w:t>
      </w:r>
      <w:proofErr w:type="gramStart"/>
      <w:r w:rsidRPr="00781112">
        <w:rPr>
          <w:rFonts w:cs="Arial"/>
          <w:color w:val="000000" w:themeColor="text1"/>
          <w:szCs w:val="16"/>
        </w:rPr>
        <w:t>11</w:t>
      </w:r>
      <w:proofErr w:type="gramEnd"/>
      <w:r w:rsidRPr="00781112">
        <w:rPr>
          <w:rFonts w:cs="Arial"/>
          <w:color w:val="000000" w:themeColor="text1"/>
          <w:szCs w:val="16"/>
        </w:rPr>
        <w:t xml:space="preserve"> with a suspension rate greater than 0%, nine of them suspended only 2-4 SWD; all but one of their suspension rates was below 1.75%.  Thus, while it may seem that WDE is not doing its due diligence in identifying significant discrepancy, the numbers of SWD suspended at any given districts is very small</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 Note that three LEAs were excluded from the Indicator 4A analyses due to not having at least </w:t>
      </w:r>
      <w:proofErr w:type="gramStart"/>
      <w:r w:rsidRPr="00781112">
        <w:rPr>
          <w:rFonts w:cs="Arial"/>
          <w:color w:val="000000" w:themeColor="text1"/>
          <w:szCs w:val="16"/>
        </w:rPr>
        <w:t>25</w:t>
      </w:r>
      <w:proofErr w:type="gramEnd"/>
      <w:r w:rsidRPr="00781112">
        <w:rPr>
          <w:rFonts w:cs="Arial"/>
          <w:color w:val="000000" w:themeColor="text1"/>
          <w:szCs w:val="16"/>
        </w:rPr>
        <w:t xml:space="preserve"> students with disabilities enrolled </w:t>
      </w:r>
      <w:proofErr w:type="gramStart"/>
      <w:r w:rsidRPr="00781112">
        <w:rPr>
          <w:rFonts w:cs="Arial"/>
          <w:color w:val="000000" w:themeColor="text1"/>
          <w:szCs w:val="16"/>
        </w:rPr>
        <w:t>at</w:t>
      </w:r>
      <w:proofErr w:type="gramEnd"/>
      <w:r w:rsidRPr="00781112">
        <w:rPr>
          <w:rFonts w:cs="Arial"/>
          <w:color w:val="000000" w:themeColor="text1"/>
          <w:szCs w:val="16"/>
        </w:rPr>
        <w:t xml:space="preserve"> the district; however, all three of these LEAs had a 0% suspension rate.</w:t>
      </w:r>
    </w:p>
    <w:bookmarkEnd w:id="25"/>
    <w:bookmarkEnd w:id="26"/>
    <w:p w14:paraId="227CCB46" w14:textId="77777777" w:rsidR="007E6F97" w:rsidRPr="00781112" w:rsidRDefault="007E6F97" w:rsidP="004369B2">
      <w:pPr>
        <w:rPr>
          <w:color w:val="000000" w:themeColor="text1"/>
        </w:rPr>
      </w:pPr>
    </w:p>
    <w:p w14:paraId="3F63E777" w14:textId="4BB19917" w:rsidR="00082667" w:rsidRPr="00781112" w:rsidRDefault="00082667" w:rsidP="004369B2">
      <w:pPr>
        <w:rPr>
          <w:color w:val="000000" w:themeColor="text1"/>
        </w:rPr>
      </w:pPr>
      <w:r w:rsidRPr="00781112">
        <w:rPr>
          <w:b/>
          <w:color w:val="000000" w:themeColor="text1"/>
        </w:rPr>
        <w:t>Review of Policies, Procedures, and Practices (completed in FFY 2021 using 2020-2021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D57DA" w:rsidP="00082667">
      <w:pPr>
        <w:rPr>
          <w:rFonts w:cs="Arial"/>
          <w:color w:val="000000" w:themeColor="text1"/>
          <w:szCs w:val="16"/>
        </w:rPr>
      </w:pP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1295BAEB" w14:textId="77777777" w:rsidR="007E6F97" w:rsidRPr="00781112" w:rsidRDefault="007E6F97" w:rsidP="004369B2">
      <w:pPr>
        <w:rPr>
          <w:color w:val="000000" w:themeColor="text1"/>
        </w:rPr>
      </w:pPr>
      <w:bookmarkStart w:id="27" w:name="_Toc381956335"/>
      <w:bookmarkStart w:id="28" w:name="_Toc384383336"/>
      <w:bookmarkStart w:id="29" w:name="_Toc392159288"/>
    </w:p>
    <w:p w14:paraId="0496594E" w14:textId="774AE8E9" w:rsidR="00B9048A"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04731320" w14:textId="77777777" w:rsidR="0039251E" w:rsidRDefault="0039251E" w:rsidP="004369B2">
      <w:pPr>
        <w:rPr>
          <w:b/>
          <w:color w:val="000000" w:themeColor="text1"/>
        </w:rPr>
      </w:pPr>
    </w:p>
    <w:p w14:paraId="6809AF49" w14:textId="17B1360B" w:rsidR="00B9048A"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54" w:type="pct"/>
            <w:shd w:val="clear" w:color="auto" w:fill="auto"/>
            <w:vAlign w:val="bottom"/>
          </w:tcPr>
          <w:p w14:paraId="1C2EE691" w14:textId="0C12AD48" w:rsidR="00B9048A" w:rsidRPr="00781112" w:rsidRDefault="00450F98" w:rsidP="001F692C">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State’s chosen methodology results in a threshold for measuring significant discrepancy in the rate of long-term suspensions and expulsions of children with IEPs that falls above the median of thresholds used by all States.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are occurring in the rate of suspensions and expulsions of greater than 10 days in a school year for children with IEPs, including how the State’s threshold for measuring significant discrepancy in the rate of long-term suspensions and expulsions is reasonably designed. </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7"/>
      <w:bookmarkEnd w:id="28"/>
      <w:bookmarkEnd w:id="29"/>
    </w:p>
    <w:p w14:paraId="1BA30D93" w14:textId="77777777" w:rsidR="008637F8" w:rsidRPr="00781112" w:rsidRDefault="008637F8" w:rsidP="00A018D4">
      <w:pPr>
        <w:rPr>
          <w:color w:val="000000" w:themeColor="text1"/>
          <w:szCs w:val="20"/>
        </w:rPr>
      </w:pPr>
      <w:bookmarkStart w:id="30" w:name="_Toc384383338"/>
      <w:bookmarkStart w:id="31"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 xml:space="preserve">discipline data, including State’s analysis of State’s Discipline data collected under IDEA Section 618, where applicable. Discrepancy can </w:t>
      </w:r>
      <w:proofErr w:type="gramStart"/>
      <w:r w:rsidRPr="00781112">
        <w:rPr>
          <w:rFonts w:cs="Arial"/>
          <w:color w:val="000000" w:themeColor="text1"/>
          <w:szCs w:val="16"/>
          <w:shd w:val="clear" w:color="auto" w:fill="FFFFFF"/>
        </w:rPr>
        <w:t>be computed</w:t>
      </w:r>
      <w:proofErr w:type="gramEnd"/>
      <w:r w:rsidRPr="00781112">
        <w:rPr>
          <w:rFonts w:cs="Arial"/>
          <w:color w:val="000000" w:themeColor="text1"/>
          <w:szCs w:val="16"/>
          <w:shd w:val="clear" w:color="auto" w:fill="FFFFFF"/>
        </w:rPr>
        <w:t xml:space="preserve">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w:t>
      </w:r>
    </w:p>
    <w:p w14:paraId="7D3F6556" w14:textId="5729C359"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2021 SPP/APR, use data from 2020-2021),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 xml:space="preserve">In the description, specify which method the State used to determine </w:t>
      </w:r>
      <w:proofErr w:type="gramStart"/>
      <w:r w:rsidRPr="00781112">
        <w:rPr>
          <w:rFonts w:cs="Arial"/>
          <w:color w:val="000000" w:themeColor="text1"/>
          <w:szCs w:val="16"/>
        </w:rPr>
        <w:t>possible discrepancies</w:t>
      </w:r>
      <w:proofErr w:type="gramEnd"/>
      <w:r w:rsidRPr="00781112">
        <w:rPr>
          <w:rFonts w:cs="Arial"/>
          <w:color w:val="000000" w:themeColor="text1"/>
          <w:szCs w:val="16"/>
        </w:rPr>
        <w:t xml:space="preserve"> and explain what constitutes those discrepancies.</w:t>
      </w:r>
    </w:p>
    <w:p w14:paraId="2537B541" w14:textId="1CD26E02" w:rsidR="00474DB4" w:rsidRPr="00781112" w:rsidRDefault="00474DB4" w:rsidP="00474DB4">
      <w:pPr>
        <w:rPr>
          <w:rFonts w:cs="Arial"/>
          <w:szCs w:val="16"/>
        </w:rPr>
      </w:pPr>
      <w:r w:rsidRPr="00781112">
        <w:rPr>
          <w:rFonts w:cs="Arial"/>
          <w:szCs w:val="16"/>
        </w:rPr>
        <w:t xml:space="preserve">Because the measurement table requires that the data examined for this indicator are lag year data, States should examine the 618 data that </w:t>
      </w:r>
      <w:proofErr w:type="gramStart"/>
      <w:r w:rsidRPr="00781112">
        <w:rPr>
          <w:rFonts w:cs="Arial"/>
          <w:szCs w:val="16"/>
        </w:rPr>
        <w:t>was submitted</w:t>
      </w:r>
      <w:proofErr w:type="gramEnd"/>
      <w:r w:rsidRPr="00781112">
        <w:rPr>
          <w:rFonts w:cs="Arial"/>
          <w:szCs w:val="16"/>
        </w:rPr>
        <w:t xml:space="preserve"> by LEAs that were in operation during the school year before the reporting year. For example, if a State has 100 LEAs operating in the 2020-2021 school year, those 100 LEAs would have reported 618 data in 2020-2021 on the number of children suspended/expelled. If the State then opens </w:t>
      </w:r>
      <w:proofErr w:type="gramStart"/>
      <w:r w:rsidRPr="00781112">
        <w:rPr>
          <w:rFonts w:cs="Arial"/>
          <w:szCs w:val="16"/>
        </w:rPr>
        <w:t>15</w:t>
      </w:r>
      <w:proofErr w:type="gramEnd"/>
      <w:r w:rsidRPr="00781112">
        <w:rPr>
          <w:rFonts w:cs="Arial"/>
          <w:szCs w:val="16"/>
        </w:rPr>
        <w:t xml:space="preserve"> new LEAs in 2021-2022, suspension/expulsion data from those 15 new LEAs would not be in the 2020-2021 618 data set, and therefore, those 15 new LEAs should not be included in the denominator of the calculation. States must use the number of LEAs from the year before the reporting year in </w:t>
      </w:r>
      <w:proofErr w:type="gramStart"/>
      <w:r w:rsidRPr="00781112">
        <w:rPr>
          <w:rFonts w:cs="Arial"/>
          <w:szCs w:val="16"/>
        </w:rPr>
        <w:t>its</w:t>
      </w:r>
      <w:proofErr w:type="gramEnd"/>
      <w:r w:rsidRPr="00781112">
        <w:rPr>
          <w:rFonts w:cs="Arial"/>
          <w:szCs w:val="16"/>
        </w:rPr>
        <w:t xml:space="preserve"> calculation for this indicator. For the FFY 2021 SPP/APR submission, States must use the number of LEAs reported in 2020-2021 (which can </w:t>
      </w:r>
      <w:proofErr w:type="gramStart"/>
      <w:r w:rsidRPr="00781112">
        <w:rPr>
          <w:rFonts w:cs="Arial"/>
          <w:szCs w:val="16"/>
        </w:rPr>
        <w:t>be found</w:t>
      </w:r>
      <w:proofErr w:type="gramEnd"/>
      <w:r w:rsidRPr="00781112">
        <w:rPr>
          <w:rFonts w:cs="Arial"/>
          <w:szCs w:val="16"/>
        </w:rPr>
        <w:t xml:space="preserve"> in the FFY 2020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2A4C3F88" w14:textId="6B69F87E"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A2E05BE" w14:textId="77777777" w:rsidR="00413366" w:rsidRDefault="00413366" w:rsidP="00BB7BC9">
      <w:pPr>
        <w:rPr>
          <w:rFonts w:cs="Arial"/>
          <w:color w:val="000000" w:themeColor="text1"/>
          <w:szCs w:val="16"/>
        </w:rPr>
      </w:pPr>
      <w:r w:rsidRPr="00781112">
        <w:rPr>
          <w:rFonts w:cs="Arial"/>
          <w:color w:val="000000" w:themeColor="text1"/>
          <w:szCs w:val="16"/>
        </w:rPr>
        <w:t>Targets must be 0% for 4B.</w:t>
      </w:r>
    </w:p>
    <w:p w14:paraId="2892D189" w14:textId="77777777" w:rsidR="0039251E" w:rsidRPr="00781112" w:rsidRDefault="0039251E" w:rsidP="00BB7BC9">
      <w:pPr>
        <w:rPr>
          <w:rFonts w:cs="Arial"/>
          <w:color w:val="000000" w:themeColor="text1"/>
          <w:szCs w:val="16"/>
        </w:rPr>
      </w:pP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322C5C8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Default="00F85593" w:rsidP="004369B2">
      <w:pPr>
        <w:rPr>
          <w:rFonts w:cs="Arial"/>
          <w:color w:val="000000" w:themeColor="text1"/>
          <w:szCs w:val="16"/>
        </w:rPr>
      </w:pPr>
      <w:r w:rsidRPr="00781112">
        <w:rPr>
          <w:rFonts w:cs="Arial"/>
          <w:color w:val="000000" w:themeColor="text1"/>
          <w:szCs w:val="16"/>
        </w:rPr>
        <w:t>NO</w:t>
      </w:r>
    </w:p>
    <w:p w14:paraId="00D511F6" w14:textId="77777777" w:rsidR="0039251E" w:rsidRPr="00781112" w:rsidRDefault="0039251E" w:rsidP="004369B2">
      <w:pPr>
        <w:rPr>
          <w:rFonts w:cs="Arial"/>
          <w:color w:val="000000" w:themeColor="text1"/>
          <w:szCs w:val="16"/>
        </w:rPr>
      </w:pP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lastRenderedPageBreak/>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2018</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2019</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2020</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89"/>
        <w:gridCol w:w="1696"/>
        <w:gridCol w:w="1697"/>
        <w:gridCol w:w="1697"/>
        <w:gridCol w:w="1697"/>
      </w:tblGrid>
      <w:tr w:rsidR="00B14519" w:rsidRPr="00781112" w14:paraId="1019C6DC" w14:textId="17898954" w:rsidTr="00451D7E">
        <w:trPr>
          <w:trHeight w:val="325"/>
        </w:trPr>
        <w:tc>
          <w:tcPr>
            <w:tcW w:w="272" w:type="pct"/>
            <w:tcBorders>
              <w:bottom w:val="single" w:sz="4" w:space="0" w:color="auto"/>
            </w:tcBorders>
            <w:shd w:val="clear" w:color="auto" w:fill="auto"/>
          </w:tcPr>
          <w:p w14:paraId="049B323A" w14:textId="77777777" w:rsidR="00B14519" w:rsidRPr="00781112" w:rsidRDefault="00B14519" w:rsidP="00D62058">
            <w:pPr>
              <w:jc w:val="center"/>
              <w:rPr>
                <w:b/>
                <w:color w:val="000000" w:themeColor="text1"/>
              </w:rPr>
            </w:pPr>
            <w:r w:rsidRPr="00781112">
              <w:rPr>
                <w:b/>
                <w:color w:val="000000" w:themeColor="text1"/>
              </w:rPr>
              <w:t>FFY</w:t>
            </w:r>
          </w:p>
        </w:tc>
        <w:tc>
          <w:tcPr>
            <w:tcW w:w="898" w:type="pct"/>
            <w:shd w:val="clear" w:color="auto" w:fill="auto"/>
          </w:tcPr>
          <w:p w14:paraId="50E287A7" w14:textId="77777777" w:rsidR="00B14519" w:rsidRPr="00781112" w:rsidRDefault="00B14519" w:rsidP="00D62058">
            <w:pPr>
              <w:jc w:val="center"/>
              <w:rPr>
                <w:b/>
                <w:color w:val="000000" w:themeColor="text1"/>
              </w:rPr>
            </w:pPr>
            <w:r w:rsidRPr="00781112">
              <w:rPr>
                <w:b/>
                <w:color w:val="000000" w:themeColor="text1"/>
              </w:rPr>
              <w:t>2021</w:t>
            </w:r>
          </w:p>
        </w:tc>
        <w:tc>
          <w:tcPr>
            <w:tcW w:w="957" w:type="pct"/>
          </w:tcPr>
          <w:p w14:paraId="126623D3" w14:textId="402F1C62" w:rsidR="00B14519" w:rsidRPr="00781112" w:rsidRDefault="00B14519" w:rsidP="00D62058">
            <w:pPr>
              <w:jc w:val="center"/>
              <w:rPr>
                <w:b/>
                <w:color w:val="000000" w:themeColor="text1"/>
              </w:rPr>
            </w:pPr>
            <w:r w:rsidRPr="00781112">
              <w:rPr>
                <w:rFonts w:cs="Arial"/>
                <w:b/>
                <w:color w:val="000000" w:themeColor="text1"/>
                <w:szCs w:val="16"/>
              </w:rPr>
              <w:t>2022</w:t>
            </w:r>
          </w:p>
        </w:tc>
        <w:tc>
          <w:tcPr>
            <w:tcW w:w="957" w:type="pct"/>
          </w:tcPr>
          <w:p w14:paraId="737913FD" w14:textId="6A609FDC" w:rsidR="00B14519" w:rsidRPr="00781112" w:rsidRDefault="00B14519" w:rsidP="00D62058">
            <w:pPr>
              <w:jc w:val="center"/>
              <w:rPr>
                <w:b/>
                <w:color w:val="000000" w:themeColor="text1"/>
              </w:rPr>
            </w:pPr>
            <w:r w:rsidRPr="00781112">
              <w:rPr>
                <w:rFonts w:cs="Arial"/>
                <w:b/>
                <w:color w:val="000000" w:themeColor="text1"/>
                <w:szCs w:val="16"/>
              </w:rPr>
              <w:t>2023</w:t>
            </w:r>
          </w:p>
        </w:tc>
        <w:tc>
          <w:tcPr>
            <w:tcW w:w="957" w:type="pct"/>
          </w:tcPr>
          <w:p w14:paraId="0700D5E9" w14:textId="17E1A6F9" w:rsidR="00B14519" w:rsidRPr="00781112" w:rsidRDefault="00B14519" w:rsidP="00D62058">
            <w:pPr>
              <w:jc w:val="center"/>
              <w:rPr>
                <w:b/>
                <w:color w:val="000000" w:themeColor="text1"/>
              </w:rPr>
            </w:pPr>
            <w:r w:rsidRPr="00781112">
              <w:rPr>
                <w:rFonts w:cs="Arial"/>
                <w:b/>
                <w:color w:val="000000" w:themeColor="text1"/>
                <w:szCs w:val="16"/>
              </w:rPr>
              <w:t>2024</w:t>
            </w:r>
          </w:p>
        </w:tc>
        <w:tc>
          <w:tcPr>
            <w:tcW w:w="957" w:type="pct"/>
          </w:tcPr>
          <w:p w14:paraId="461B0F01" w14:textId="46CF4F16"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90BA5B6" w14:textId="14D1700A" w:rsidTr="00451D7E">
        <w:trPr>
          <w:trHeight w:val="332"/>
        </w:trPr>
        <w:tc>
          <w:tcPr>
            <w:tcW w:w="272" w:type="pct"/>
            <w:shd w:val="clear" w:color="auto" w:fill="auto"/>
            <w:vAlign w:val="center"/>
          </w:tcPr>
          <w:p w14:paraId="47EE91AE" w14:textId="1203380B" w:rsidR="00B14519" w:rsidRPr="00781112" w:rsidRDefault="00B14519" w:rsidP="00D62058">
            <w:pPr>
              <w:rPr>
                <w:rFonts w:cs="Arial"/>
                <w:color w:val="000000" w:themeColor="text1"/>
                <w:szCs w:val="16"/>
              </w:rPr>
            </w:pPr>
            <w:r w:rsidRPr="00781112">
              <w:rPr>
                <w:rFonts w:cs="Arial"/>
                <w:color w:val="000000" w:themeColor="text1"/>
                <w:szCs w:val="16"/>
              </w:rPr>
              <w:t xml:space="preserve">Target </w:t>
            </w:r>
          </w:p>
        </w:tc>
        <w:tc>
          <w:tcPr>
            <w:tcW w:w="898" w:type="pct"/>
            <w:shd w:val="clear" w:color="auto" w:fill="auto"/>
            <w:vAlign w:val="center"/>
          </w:tcPr>
          <w:p w14:paraId="26579D0D" w14:textId="55868DD1" w:rsidR="00B14519" w:rsidRPr="00781112" w:rsidRDefault="00B14519" w:rsidP="00D62058">
            <w:pPr>
              <w:jc w:val="center"/>
              <w:rPr>
                <w:rFonts w:cs="Arial"/>
                <w:color w:val="000000" w:themeColor="text1"/>
                <w:szCs w:val="16"/>
              </w:rPr>
            </w:pPr>
            <w:r w:rsidRPr="00781112">
              <w:rPr>
                <w:rFonts w:cs="Arial"/>
                <w:color w:val="000000" w:themeColor="text1"/>
                <w:szCs w:val="16"/>
              </w:rPr>
              <w:t>0%</w:t>
            </w:r>
          </w:p>
        </w:tc>
        <w:tc>
          <w:tcPr>
            <w:tcW w:w="957" w:type="pct"/>
          </w:tcPr>
          <w:p w14:paraId="41C3DA31" w14:textId="175676CA"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11966A3D" w14:textId="65AB7EFF"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527650DE" w14:textId="33C5B6E9" w:rsidR="00B14519" w:rsidRPr="00781112" w:rsidRDefault="00B14519" w:rsidP="00D62058">
            <w:pPr>
              <w:jc w:val="center"/>
              <w:rPr>
                <w:rFonts w:cs="Arial"/>
                <w:color w:val="000000" w:themeColor="text1"/>
                <w:szCs w:val="16"/>
              </w:rPr>
            </w:pPr>
            <w:r w:rsidRPr="00781112">
              <w:rPr>
                <w:color w:val="000000" w:themeColor="text1"/>
                <w:szCs w:val="16"/>
              </w:rPr>
              <w:t>0%</w:t>
            </w:r>
          </w:p>
        </w:tc>
        <w:tc>
          <w:tcPr>
            <w:tcW w:w="957" w:type="pct"/>
          </w:tcPr>
          <w:p w14:paraId="20094305" w14:textId="5B15EE13" w:rsidR="00B14519" w:rsidRPr="00781112" w:rsidRDefault="00B14519"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bookmarkEnd w:id="30"/>
    <w:bookmarkEnd w:id="31"/>
    <w:p w14:paraId="6C217ADA" w14:textId="5B6EDDF4" w:rsidR="00D03701" w:rsidRPr="00781112" w:rsidRDefault="0047313F">
      <w:pPr>
        <w:rPr>
          <w:b/>
          <w:color w:val="000000" w:themeColor="text1"/>
        </w:rPr>
      </w:pPr>
      <w:r>
        <w:rPr>
          <w:b/>
          <w:color w:val="000000" w:themeColor="text1"/>
        </w:rPr>
        <w:t>FFY 2021 SPP/APR Data</w:t>
      </w:r>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LEAs that met the State-established n/cell size. Report the number of LEAs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4</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740CBC" w:rsidRPr="00781112" w14:paraId="38B0A91A" w14:textId="77777777" w:rsidTr="00EC0EDB">
        <w:trPr>
          <w:trHeight w:val="994"/>
          <w:jc w:val="center"/>
        </w:trPr>
        <w:tc>
          <w:tcPr>
            <w:tcW w:w="615" w:type="pct"/>
            <w:shd w:val="clear" w:color="auto" w:fill="auto"/>
            <w:vAlign w:val="bottom"/>
          </w:tcPr>
          <w:p w14:paraId="7B29D1BD" w14:textId="32EC5502"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740CBC" w:rsidRPr="00781112" w:rsidRDefault="00740CBC" w:rsidP="00740CBC">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4745ADEF" w:rsidR="00740CBC" w:rsidRPr="00CC1061" w:rsidRDefault="00740CBC" w:rsidP="00740CBC">
            <w:pPr>
              <w:jc w:val="center"/>
              <w:rPr>
                <w:rFonts w:cs="Arial"/>
                <w:b/>
                <w:bCs/>
                <w:color w:val="000000" w:themeColor="text1"/>
                <w:szCs w:val="16"/>
              </w:rPr>
            </w:pPr>
            <w:r w:rsidRPr="00CC1061">
              <w:rPr>
                <w:b/>
                <w:bCs/>
              </w:rPr>
              <w:t>FFY 2020 Data</w:t>
            </w:r>
          </w:p>
        </w:tc>
        <w:tc>
          <w:tcPr>
            <w:tcW w:w="776" w:type="pct"/>
            <w:shd w:val="clear" w:color="auto" w:fill="auto"/>
            <w:vAlign w:val="bottom"/>
          </w:tcPr>
          <w:p w14:paraId="1BAB59B0" w14:textId="572E90ED" w:rsidR="00740CBC" w:rsidRPr="00CC1061" w:rsidRDefault="00740CBC" w:rsidP="00740CBC">
            <w:pPr>
              <w:jc w:val="center"/>
              <w:rPr>
                <w:rFonts w:cs="Arial"/>
                <w:b/>
                <w:bCs/>
                <w:color w:val="000000" w:themeColor="text1"/>
                <w:szCs w:val="16"/>
              </w:rPr>
            </w:pPr>
            <w:r w:rsidRPr="00CC1061">
              <w:rPr>
                <w:b/>
                <w:bCs/>
              </w:rPr>
              <w:t>FFY 2021 Target</w:t>
            </w:r>
          </w:p>
        </w:tc>
        <w:tc>
          <w:tcPr>
            <w:tcW w:w="485" w:type="pct"/>
            <w:shd w:val="clear" w:color="auto" w:fill="auto"/>
            <w:vAlign w:val="bottom"/>
          </w:tcPr>
          <w:p w14:paraId="179C63C5" w14:textId="307AAB8A" w:rsidR="00740CBC" w:rsidRPr="00CC1061" w:rsidRDefault="00740CBC" w:rsidP="00740CBC">
            <w:pPr>
              <w:jc w:val="center"/>
              <w:rPr>
                <w:rFonts w:cs="Arial"/>
                <w:b/>
                <w:bCs/>
                <w:color w:val="000000" w:themeColor="text1"/>
                <w:szCs w:val="16"/>
              </w:rPr>
            </w:pPr>
            <w:r w:rsidRPr="00CC1061">
              <w:rPr>
                <w:b/>
                <w:bCs/>
              </w:rPr>
              <w:t>FFY 2021 Data</w:t>
            </w:r>
          </w:p>
        </w:tc>
        <w:tc>
          <w:tcPr>
            <w:tcW w:w="602" w:type="pct"/>
            <w:shd w:val="clear" w:color="auto" w:fill="auto"/>
            <w:vAlign w:val="bottom"/>
          </w:tcPr>
          <w:p w14:paraId="65AC443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740CBC" w:rsidRPr="00781112" w:rsidRDefault="00740CBC" w:rsidP="00740CBC">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45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32"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The WDE uses the “state bar” method for defining significant discrepancy. We are comparing the rates of suspensions and expulsions of greater than 10 days in a school year for children with IEPs among LEAs in the State. The FFY2021 state rate (based on 2020-21 data) for suspending/expelling students with disabilities for more than ten days is 0.69%. The WDE is setting the state bar as five percentage points higher than the state rate. Thus, any district that suspends or expels 5.69% or more of its students with disabilities for more than ten days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significant discrepancy. There must be at least </w:t>
      </w:r>
      <w:proofErr w:type="gramStart"/>
      <w:r w:rsidRPr="00781112">
        <w:rPr>
          <w:rFonts w:cs="Arial"/>
          <w:color w:val="000000" w:themeColor="text1"/>
          <w:szCs w:val="16"/>
        </w:rPr>
        <w:t>25</w:t>
      </w:r>
      <w:proofErr w:type="gramEnd"/>
      <w:r w:rsidRPr="00781112">
        <w:rPr>
          <w:rFonts w:cs="Arial"/>
          <w:color w:val="000000" w:themeColor="text1"/>
          <w:szCs w:val="16"/>
        </w:rPr>
        <w:t xml:space="preserve"> students in the denominator (i.e., this is the minimum n size) and 3 students in the numerator (i.e., this is the minimum cell size) of a suspension rate for it to be flagged. The minimum n size of </w:t>
      </w:r>
      <w:proofErr w:type="gramStart"/>
      <w:r w:rsidRPr="00781112">
        <w:rPr>
          <w:rFonts w:cs="Arial"/>
          <w:color w:val="000000" w:themeColor="text1"/>
          <w:szCs w:val="16"/>
        </w:rPr>
        <w:t>25</w:t>
      </w:r>
      <w:proofErr w:type="gramEnd"/>
      <w:r w:rsidRPr="00781112">
        <w:rPr>
          <w:rFonts w:cs="Arial"/>
          <w:color w:val="000000" w:themeColor="text1"/>
          <w:szCs w:val="16"/>
        </w:rPr>
        <w:t xml:space="preserve"> refers to the number of students with disabilities in the particular district must be at least 25 for a rate to be considered. The minimum n size of </w:t>
      </w:r>
      <w:proofErr w:type="gramStart"/>
      <w:r w:rsidRPr="00781112">
        <w:rPr>
          <w:rFonts w:cs="Arial"/>
          <w:color w:val="000000" w:themeColor="text1"/>
          <w:szCs w:val="16"/>
        </w:rPr>
        <w:t>3</w:t>
      </w:r>
      <w:proofErr w:type="gramEnd"/>
      <w:r w:rsidRPr="00781112">
        <w:rPr>
          <w:rFonts w:cs="Arial"/>
          <w:color w:val="000000" w:themeColor="text1"/>
          <w:szCs w:val="16"/>
        </w:rPr>
        <w:t xml:space="preserve"> refers to needing at least three students with disabilities suspended for greater than 10 days at a given district for a rate to be considered. All seven race and ethnicity reporting categories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this analysis. Note that WDE does NOT use a rate ratio; WDE uses the “state bar” methodology. Also note that WDE examines significant discrepancy by race and ethnicity. Every district has a suspension rate calculated for each of the seven race/ethnicity categories. Some districts </w:t>
      </w:r>
      <w:proofErr w:type="gramStart"/>
      <w:r w:rsidRPr="00781112">
        <w:rPr>
          <w:rFonts w:cs="Arial"/>
          <w:color w:val="000000" w:themeColor="text1"/>
          <w:szCs w:val="16"/>
        </w:rPr>
        <w:t>don’t</w:t>
      </w:r>
      <w:proofErr w:type="gramEnd"/>
      <w:r w:rsidRPr="00781112">
        <w:rPr>
          <w:rFonts w:cs="Arial"/>
          <w:color w:val="000000" w:themeColor="text1"/>
          <w:szCs w:val="16"/>
        </w:rPr>
        <w:t xml:space="preserve"> have any students with disabilities of a given race/ethnicity, but WDE calculates it for every racial/ethnic category that is present at a given district.  The state bar that WDE uses for each racial/ethnic group is the same state bar that was used for 4A (i.e., the 5.69%); in other words, WDE applies the same state bar to </w:t>
      </w:r>
      <w:proofErr w:type="gramStart"/>
      <w:r w:rsidRPr="00781112">
        <w:rPr>
          <w:rFonts w:cs="Arial"/>
          <w:color w:val="000000" w:themeColor="text1"/>
          <w:szCs w:val="16"/>
        </w:rPr>
        <w:t>each and every</w:t>
      </w:r>
      <w:proofErr w:type="gramEnd"/>
      <w:r w:rsidRPr="00781112">
        <w:rPr>
          <w:rFonts w:cs="Arial"/>
          <w:color w:val="000000" w:themeColor="text1"/>
          <w:szCs w:val="16"/>
        </w:rPr>
        <w:t xml:space="preserve"> racial/ethnic group. A district has significant discrepancy when its suspension/expulsion rate for children with disabilities from any racial/ethnic group is 5.69% or higher. </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Of the 49 LEAs in Wyoming, none </w:t>
      </w:r>
      <w:proofErr w:type="gramStart"/>
      <w:r w:rsidRPr="00781112">
        <w:rPr>
          <w:rFonts w:cs="Arial"/>
          <w:color w:val="000000" w:themeColor="text1"/>
          <w:szCs w:val="16"/>
        </w:rPr>
        <w:t>were identified</w:t>
      </w:r>
      <w:proofErr w:type="gramEnd"/>
      <w:r w:rsidRPr="00781112">
        <w:rPr>
          <w:rFonts w:cs="Arial"/>
          <w:color w:val="000000" w:themeColor="text1"/>
          <w:szCs w:val="16"/>
        </w:rPr>
        <w:t xml:space="preserve"> as having significant discrepancy in FFY2021 for Indicator 4B. In the entire state of Wyoming, only 114 students with disabilities </w:t>
      </w:r>
      <w:proofErr w:type="gramStart"/>
      <w:r w:rsidRPr="00781112">
        <w:rPr>
          <w:rFonts w:cs="Arial"/>
          <w:color w:val="000000" w:themeColor="text1"/>
          <w:szCs w:val="16"/>
        </w:rPr>
        <w:t>were suspended</w:t>
      </w:r>
      <w:proofErr w:type="gramEnd"/>
      <w:r w:rsidRPr="00781112">
        <w:rPr>
          <w:rFonts w:cs="Arial"/>
          <w:color w:val="000000" w:themeColor="text1"/>
          <w:szCs w:val="16"/>
        </w:rPr>
        <w:t xml:space="preserve"> or expelled for </w:t>
      </w:r>
      <w:proofErr w:type="gramStart"/>
      <w:r w:rsidRPr="00781112">
        <w:rPr>
          <w:rFonts w:cs="Arial"/>
          <w:color w:val="000000" w:themeColor="text1"/>
          <w:szCs w:val="16"/>
        </w:rPr>
        <w:t>greater</w:t>
      </w:r>
      <w:proofErr w:type="gramEnd"/>
      <w:r w:rsidRPr="00781112">
        <w:rPr>
          <w:rFonts w:cs="Arial"/>
          <w:color w:val="000000" w:themeColor="text1"/>
          <w:szCs w:val="16"/>
        </w:rPr>
        <w:t xml:space="preserve"> than ten days in FFY2021. For each of Wyoming’s 49 LEAs, the WDE calculates a suspension and expulsion rate for each of the seven race and ethnicity reporting categories. (Note: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LEAs do not have members of every race and ethnicity reporting category enrolled in the LEA.) There were </w:t>
      </w:r>
      <w:proofErr w:type="gramStart"/>
      <w:r w:rsidRPr="00781112">
        <w:rPr>
          <w:rFonts w:cs="Arial"/>
          <w:color w:val="000000" w:themeColor="text1"/>
          <w:szCs w:val="16"/>
        </w:rPr>
        <w:t>20</w:t>
      </w:r>
      <w:proofErr w:type="gramEnd"/>
      <w:r w:rsidRPr="00781112">
        <w:rPr>
          <w:rFonts w:cs="Arial"/>
          <w:color w:val="000000" w:themeColor="text1"/>
          <w:szCs w:val="16"/>
        </w:rPr>
        <w:t xml:space="preserve"> rates that had at least one SWD suspended. These </w:t>
      </w:r>
      <w:proofErr w:type="gramStart"/>
      <w:r w:rsidRPr="00781112">
        <w:rPr>
          <w:rFonts w:cs="Arial"/>
          <w:color w:val="000000" w:themeColor="text1"/>
          <w:szCs w:val="16"/>
        </w:rPr>
        <w:t>20</w:t>
      </w:r>
      <w:proofErr w:type="gramEnd"/>
      <w:r w:rsidRPr="00781112">
        <w:rPr>
          <w:rFonts w:cs="Arial"/>
          <w:color w:val="000000" w:themeColor="text1"/>
          <w:szCs w:val="16"/>
        </w:rPr>
        <w:t xml:space="preserve"> rates were from 11 LEAs.  Three of the twenty rates were excluded because they were not based on at least 25 SWD of a given race/ethnicity in the denominator (for these three LEAs, only one student at the LEA was suspended)</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Of the other 17 rates, seven were based on only one SWD being </w:t>
      </w:r>
      <w:proofErr w:type="gramStart"/>
      <w:r w:rsidRPr="00781112">
        <w:rPr>
          <w:rFonts w:cs="Arial"/>
          <w:color w:val="000000" w:themeColor="text1"/>
          <w:szCs w:val="16"/>
        </w:rPr>
        <w:t>suspended</w:t>
      </w:r>
      <w:proofErr w:type="gramEnd"/>
      <w:r w:rsidRPr="00781112">
        <w:rPr>
          <w:rFonts w:cs="Arial"/>
          <w:color w:val="000000" w:themeColor="text1"/>
          <w:szCs w:val="16"/>
        </w:rPr>
        <w:t xml:space="preserve"> and the majority of these rates were below 2%.  Five of the seventeen were based on only 2-4 SWD and none of these had a rate above the 5.69% threshold (and most of these rates were below 2.00%)</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An additional five rates were based on 7 or more SWD but none of these rates were above the 5.69% threshold (and </w:t>
      </w:r>
      <w:proofErr w:type="gramStart"/>
      <w:r w:rsidRPr="00781112">
        <w:rPr>
          <w:rFonts w:cs="Arial"/>
          <w:color w:val="000000" w:themeColor="text1"/>
          <w:szCs w:val="16"/>
        </w:rPr>
        <w:t>most of</w:t>
      </w:r>
      <w:proofErr w:type="gramEnd"/>
      <w:r w:rsidRPr="00781112">
        <w:rPr>
          <w:rFonts w:cs="Arial"/>
          <w:color w:val="000000" w:themeColor="text1"/>
          <w:szCs w:val="16"/>
        </w:rPr>
        <w:t xml:space="preserve"> these rates were below 3.00%). Thus, while it may seem that WDE is not doing its due diligence in identifying significant discrepancy, the numbers of SWD suspended at any given districts is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especially when suspensions are disaggregated by race/ethnicity.   Of the 49 LEAs, </w:t>
      </w:r>
      <w:proofErr w:type="gramStart"/>
      <w:r w:rsidRPr="00781112">
        <w:rPr>
          <w:rFonts w:cs="Arial"/>
          <w:color w:val="000000" w:themeColor="text1"/>
          <w:szCs w:val="16"/>
        </w:rPr>
        <w:t>45</w:t>
      </w:r>
      <w:proofErr w:type="gramEnd"/>
      <w:r w:rsidRPr="00781112">
        <w:rPr>
          <w:rFonts w:cs="Arial"/>
          <w:color w:val="000000" w:themeColor="text1"/>
          <w:szCs w:val="16"/>
        </w:rPr>
        <w:t xml:space="preserve"> had at least one rate calculated for Indicator 4B that was based on at least 25 students.</w:t>
      </w:r>
    </w:p>
    <w:p w14:paraId="4B905245" w14:textId="77777777" w:rsidR="005E2440" w:rsidRPr="00781112" w:rsidRDefault="005E2440" w:rsidP="004369B2">
      <w:pPr>
        <w:rPr>
          <w:color w:val="000000" w:themeColor="text1"/>
        </w:rPr>
      </w:pPr>
    </w:p>
    <w:p w14:paraId="248087F7" w14:textId="6D13A5FF" w:rsidR="001F6A28" w:rsidRPr="00781112" w:rsidRDefault="001F6A28" w:rsidP="004369B2">
      <w:pPr>
        <w:rPr>
          <w:color w:val="000000" w:themeColor="text1"/>
        </w:rPr>
      </w:pPr>
      <w:r w:rsidRPr="00781112">
        <w:rPr>
          <w:b/>
          <w:color w:val="000000" w:themeColor="text1"/>
        </w:rPr>
        <w:t>Review of Policies, Procedures, and Practices (completed in FFY 2021 using 2020-2021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616510" w:rsidP="009C613A">
      <w:pPr>
        <w:rPr>
          <w:rFonts w:cs="Arial"/>
          <w:color w:val="000000" w:themeColor="text1"/>
          <w:szCs w:val="16"/>
        </w:rPr>
      </w:pP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 xml:space="preserve">The State DID NOT identify noncompliance with Part B requirements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the review required by 34 CFR §300.170(b)</w:t>
      </w:r>
    </w:p>
    <w:p w14:paraId="3A779219" w14:textId="77777777" w:rsidR="00F9524E" w:rsidRPr="00781112" w:rsidRDefault="00F9524E">
      <w:pPr>
        <w:rPr>
          <w:b/>
          <w:color w:val="000000" w:themeColor="text1"/>
        </w:rPr>
      </w:pPr>
    </w:p>
    <w:p w14:paraId="54A274E0" w14:textId="53BC1AE0"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9A755E" w:rsidP="00A018D4">
            <w:pPr>
              <w:jc w:val="center"/>
              <w:rPr>
                <w:rFonts w:cs="Arial"/>
                <w:color w:val="000000" w:themeColor="text1"/>
                <w:szCs w:val="16"/>
              </w:rPr>
            </w:pPr>
          </w:p>
        </w:tc>
        <w:tc>
          <w:tcPr>
            <w:tcW w:w="1214" w:type="pct"/>
            <w:shd w:val="clear" w:color="auto" w:fill="auto"/>
          </w:tcPr>
          <w:p w14:paraId="745E0498" w14:textId="77F90D3F" w:rsidR="009A755E" w:rsidRPr="00781112" w:rsidRDefault="009A755E" w:rsidP="00A018D4">
            <w:pPr>
              <w:jc w:val="center"/>
              <w:rPr>
                <w:rFonts w:cs="Arial"/>
                <w:color w:val="000000" w:themeColor="text1"/>
                <w:szCs w:val="16"/>
              </w:rPr>
            </w:pP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3C5B9BCB"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89" w:type="pct"/>
            <w:shd w:val="clear" w:color="auto" w:fill="auto"/>
            <w:vAlign w:val="bottom"/>
          </w:tcPr>
          <w:p w14:paraId="10CE444D" w14:textId="11834403"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State’s chosen methodology results in a threshold for measuring significant discrepancy, by race or ethnicity, in the rate of long-term suspensions and expulsions of children with IEPs that falls above the </w:t>
      </w:r>
      <w:proofErr w:type="gramStart"/>
      <w:r w:rsidRPr="00781112">
        <w:rPr>
          <w:rFonts w:cs="Arial"/>
          <w:color w:val="000000" w:themeColor="text1"/>
          <w:szCs w:val="16"/>
        </w:rPr>
        <w:t>median of</w:t>
      </w:r>
      <w:proofErr w:type="gramEnd"/>
      <w:r w:rsidRPr="00781112">
        <w:rPr>
          <w:rFonts w:cs="Arial"/>
          <w:color w:val="000000" w:themeColor="text1"/>
          <w:szCs w:val="16"/>
        </w:rPr>
        <w:t xml:space="preserve"> thresholds used by all States.</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 xml:space="preserve">In the FFY 2022 SPP/APR, the State must explain how its methodology is reasonably designed to determine if significant discrepancies, by race or ethnicity, are occurring in the rate of suspensions and expulsions of greater than 10 days in a school year for children with IEPs, including how the State’s threshold for measuring significant discrepancy, by race or ethnicity, in the rate of long-term suspensions and expulsions is reasonably designed. </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267D7207"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13"/>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20"/>
      <w:bookmarkEnd w:id="32"/>
    </w:p>
    <w:p w14:paraId="52AD89A1" w14:textId="77777777" w:rsidR="00775845" w:rsidRPr="00781112" w:rsidRDefault="00775845" w:rsidP="00A018D4">
      <w:pPr>
        <w:rPr>
          <w:color w:val="000000" w:themeColor="text1"/>
          <w:szCs w:val="20"/>
        </w:rPr>
      </w:pPr>
      <w:bookmarkStart w:id="33"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proofErr w:type="gramStart"/>
      <w:r w:rsidR="001E6A41" w:rsidRPr="00781112">
        <w:rPr>
          <w:rFonts w:cs="Arial"/>
          <w:szCs w:val="16"/>
        </w:rPr>
        <w:t>5</w:t>
      </w:r>
      <w:proofErr w:type="gramEnd"/>
      <w:r w:rsidR="001E6A41" w:rsidRPr="00781112">
        <w:rPr>
          <w:rFonts w:cs="Arial"/>
          <w:szCs w:val="16"/>
        </w:rPr>
        <w:t xml:space="preserve">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w:t>
      </w:r>
      <w:proofErr w:type="gramStart"/>
      <w:r w:rsidR="00E97CD6" w:rsidRPr="00781112">
        <w:rPr>
          <w:rFonts w:cs="Arial"/>
          <w:szCs w:val="16"/>
        </w:rPr>
        <w:t>are enrolled</w:t>
      </w:r>
      <w:proofErr w:type="gramEnd"/>
      <w:r w:rsidR="00E97CD6" w:rsidRPr="00781112">
        <w:rPr>
          <w:rFonts w:cs="Arial"/>
          <w:szCs w:val="16"/>
        </w:rPr>
        <w:t xml:space="preserve">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07ABAC1" w14:textId="68EE8BDF" w:rsidR="001F6A28" w:rsidRPr="00781112" w:rsidRDefault="007072DC" w:rsidP="00BB7BC9">
      <w:pPr>
        <w:rPr>
          <w:rFonts w:cs="Arial"/>
          <w:color w:val="000000" w:themeColor="text1"/>
          <w:szCs w:val="16"/>
        </w:rPr>
      </w:pPr>
      <w:r w:rsidRPr="00781112">
        <w:rPr>
          <w:rFonts w:cs="Arial"/>
          <w:szCs w:val="16"/>
        </w:rPr>
        <w:t xml:space="preserve">States must report five-year-old children with disabilities who </w:t>
      </w:r>
      <w:proofErr w:type="gramStart"/>
      <w:r w:rsidRPr="00781112">
        <w:rPr>
          <w:rFonts w:cs="Arial"/>
          <w:szCs w:val="16"/>
        </w:rPr>
        <w:t>are enrolled</w:t>
      </w:r>
      <w:proofErr w:type="gramEnd"/>
      <w:r w:rsidRPr="00781112">
        <w:rPr>
          <w:rFonts w:cs="Arial"/>
          <w:szCs w:val="16"/>
        </w:rPr>
        <w:t xml:space="preserve"> in kindergarten in this indicator. Five-year-old children with disabilities who </w:t>
      </w:r>
      <w:proofErr w:type="gramStart"/>
      <w:r w:rsidRPr="00781112">
        <w:rPr>
          <w:rFonts w:cs="Arial"/>
          <w:szCs w:val="16"/>
        </w:rPr>
        <w:t>are enrolled</w:t>
      </w:r>
      <w:proofErr w:type="gramEnd"/>
      <w:r w:rsidRPr="00781112">
        <w:rPr>
          <w:rFonts w:cs="Arial"/>
          <w:szCs w:val="16"/>
        </w:rPr>
        <w:t xml:space="preserve">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33"/>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62.59%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62.84%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63.09%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65.09%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73.93%</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66.86%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68.59%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70.71%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73.93%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75.48%</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7.00%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6.75%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6.50%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5.42%</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6.10%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6.23%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5.77%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5.42%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4.90%</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1.34%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1.33%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1.68%</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1.81%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1.68%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1.51%</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4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3"/>
        <w:gridCol w:w="1691"/>
        <w:gridCol w:w="1691"/>
        <w:gridCol w:w="1691"/>
        <w:gridCol w:w="1691"/>
        <w:gridCol w:w="1691"/>
      </w:tblGrid>
      <w:tr w:rsidR="00B14519" w:rsidRPr="00781112" w14:paraId="67121B7A" w14:textId="6B1EA8E0" w:rsidTr="00451D7E">
        <w:trPr>
          <w:trHeight w:val="264"/>
        </w:trPr>
        <w:tc>
          <w:tcPr>
            <w:tcW w:w="369" w:type="pct"/>
            <w:tcBorders>
              <w:bottom w:val="single" w:sz="4" w:space="0" w:color="auto"/>
            </w:tcBorders>
            <w:shd w:val="clear" w:color="auto" w:fill="auto"/>
          </w:tcPr>
          <w:p w14:paraId="417BC1C4" w14:textId="77777777" w:rsidR="00B14519" w:rsidRPr="00781112" w:rsidRDefault="00B14519" w:rsidP="00D62058">
            <w:pPr>
              <w:jc w:val="center"/>
              <w:rPr>
                <w:b/>
                <w:color w:val="000000" w:themeColor="text1"/>
              </w:rPr>
            </w:pPr>
            <w:r w:rsidRPr="00781112">
              <w:rPr>
                <w:b/>
                <w:color w:val="000000" w:themeColor="text1"/>
              </w:rPr>
              <w:t>FFY</w:t>
            </w:r>
          </w:p>
        </w:tc>
        <w:tc>
          <w:tcPr>
            <w:tcW w:w="926" w:type="pct"/>
            <w:shd w:val="clear" w:color="auto" w:fill="auto"/>
          </w:tcPr>
          <w:p w14:paraId="43C546D5" w14:textId="7A1B1AB1" w:rsidR="00B14519" w:rsidRPr="00781112" w:rsidRDefault="00B14519" w:rsidP="00D62058">
            <w:pPr>
              <w:jc w:val="center"/>
              <w:rPr>
                <w:b/>
                <w:color w:val="000000" w:themeColor="text1"/>
              </w:rPr>
            </w:pPr>
            <w:r w:rsidRPr="00781112">
              <w:rPr>
                <w:b/>
                <w:color w:val="000000" w:themeColor="text1"/>
              </w:rPr>
              <w:t>2021</w:t>
            </w:r>
          </w:p>
        </w:tc>
        <w:tc>
          <w:tcPr>
            <w:tcW w:w="926" w:type="pct"/>
          </w:tcPr>
          <w:p w14:paraId="12417F21" w14:textId="04859FD1" w:rsidR="00B14519" w:rsidRPr="00781112" w:rsidRDefault="00B14519" w:rsidP="00D62058">
            <w:pPr>
              <w:jc w:val="center"/>
              <w:rPr>
                <w:b/>
                <w:color w:val="000000" w:themeColor="text1"/>
              </w:rPr>
            </w:pPr>
            <w:r w:rsidRPr="00781112">
              <w:rPr>
                <w:rFonts w:cs="Arial"/>
                <w:b/>
                <w:color w:val="000000" w:themeColor="text1"/>
                <w:szCs w:val="16"/>
              </w:rPr>
              <w:t>2022</w:t>
            </w:r>
          </w:p>
        </w:tc>
        <w:tc>
          <w:tcPr>
            <w:tcW w:w="926" w:type="pct"/>
          </w:tcPr>
          <w:p w14:paraId="75B6E23D" w14:textId="1550C183" w:rsidR="00B14519" w:rsidRPr="00781112" w:rsidRDefault="00B14519" w:rsidP="00D62058">
            <w:pPr>
              <w:jc w:val="center"/>
              <w:rPr>
                <w:b/>
                <w:color w:val="000000" w:themeColor="text1"/>
              </w:rPr>
            </w:pPr>
            <w:r w:rsidRPr="00781112">
              <w:rPr>
                <w:rFonts w:cs="Arial"/>
                <w:b/>
                <w:color w:val="000000" w:themeColor="text1"/>
                <w:szCs w:val="16"/>
              </w:rPr>
              <w:t>2023</w:t>
            </w:r>
          </w:p>
        </w:tc>
        <w:tc>
          <w:tcPr>
            <w:tcW w:w="926" w:type="pct"/>
          </w:tcPr>
          <w:p w14:paraId="0412226B" w14:textId="561C74FD" w:rsidR="00B14519" w:rsidRPr="00781112" w:rsidRDefault="00B14519" w:rsidP="00D62058">
            <w:pPr>
              <w:jc w:val="center"/>
              <w:rPr>
                <w:b/>
                <w:color w:val="000000" w:themeColor="text1"/>
              </w:rPr>
            </w:pPr>
            <w:r w:rsidRPr="00781112">
              <w:rPr>
                <w:rFonts w:cs="Arial"/>
                <w:b/>
                <w:color w:val="000000" w:themeColor="text1"/>
                <w:szCs w:val="16"/>
              </w:rPr>
              <w:t>2024</w:t>
            </w:r>
          </w:p>
        </w:tc>
        <w:tc>
          <w:tcPr>
            <w:tcW w:w="926" w:type="pct"/>
          </w:tcPr>
          <w:p w14:paraId="46BF17D8" w14:textId="1CC0E2CE"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0E725BBE" w14:textId="7C441390" w:rsidTr="00451D7E">
        <w:trPr>
          <w:trHeight w:val="270"/>
        </w:trPr>
        <w:tc>
          <w:tcPr>
            <w:tcW w:w="369" w:type="pct"/>
            <w:shd w:val="clear" w:color="auto" w:fill="auto"/>
            <w:vAlign w:val="center"/>
          </w:tcPr>
          <w:p w14:paraId="3CB4FC66" w14:textId="21A33A6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926" w:type="pct"/>
            <w:shd w:val="clear" w:color="auto" w:fill="auto"/>
            <w:vAlign w:val="center"/>
          </w:tcPr>
          <w:p w14:paraId="0643B02C" w14:textId="7613B373" w:rsidR="00B14519" w:rsidRPr="00781112" w:rsidRDefault="00B14519" w:rsidP="00D62058">
            <w:pPr>
              <w:jc w:val="center"/>
              <w:rPr>
                <w:rFonts w:cs="Arial"/>
                <w:color w:val="000000" w:themeColor="text1"/>
                <w:szCs w:val="16"/>
              </w:rPr>
            </w:pPr>
            <w:r w:rsidRPr="00781112">
              <w:rPr>
                <w:rFonts w:cs="Arial"/>
                <w:color w:val="000000" w:themeColor="text1"/>
                <w:szCs w:val="16"/>
              </w:rPr>
              <w:t>73.93%</w:t>
            </w:r>
          </w:p>
        </w:tc>
        <w:tc>
          <w:tcPr>
            <w:tcW w:w="926" w:type="pct"/>
          </w:tcPr>
          <w:p w14:paraId="5AAF7764" w14:textId="6CE24C23" w:rsidR="00B14519" w:rsidRPr="00781112" w:rsidRDefault="00B14519" w:rsidP="00D62058">
            <w:pPr>
              <w:jc w:val="center"/>
              <w:rPr>
                <w:rFonts w:cs="Arial"/>
                <w:color w:val="000000" w:themeColor="text1"/>
                <w:szCs w:val="16"/>
              </w:rPr>
            </w:pPr>
            <w:r w:rsidRPr="00781112">
              <w:rPr>
                <w:color w:val="000000" w:themeColor="text1"/>
                <w:szCs w:val="16"/>
              </w:rPr>
              <w:t>74.00%</w:t>
            </w:r>
          </w:p>
        </w:tc>
        <w:tc>
          <w:tcPr>
            <w:tcW w:w="926" w:type="pct"/>
          </w:tcPr>
          <w:p w14:paraId="18842FBE" w14:textId="34C8AABC" w:rsidR="00B14519" w:rsidRPr="00781112" w:rsidRDefault="00B14519" w:rsidP="00D62058">
            <w:pPr>
              <w:jc w:val="center"/>
              <w:rPr>
                <w:rFonts w:cs="Arial"/>
                <w:color w:val="000000" w:themeColor="text1"/>
                <w:szCs w:val="16"/>
              </w:rPr>
            </w:pPr>
            <w:r w:rsidRPr="00781112">
              <w:rPr>
                <w:color w:val="000000" w:themeColor="text1"/>
                <w:szCs w:val="16"/>
              </w:rPr>
              <w:t>74.06%</w:t>
            </w:r>
          </w:p>
        </w:tc>
        <w:tc>
          <w:tcPr>
            <w:tcW w:w="926" w:type="pct"/>
          </w:tcPr>
          <w:p w14:paraId="22283B88" w14:textId="78C8081B" w:rsidR="00B14519" w:rsidRPr="00781112" w:rsidRDefault="00B14519" w:rsidP="00D62058">
            <w:pPr>
              <w:jc w:val="center"/>
              <w:rPr>
                <w:rFonts w:cs="Arial"/>
                <w:color w:val="000000" w:themeColor="text1"/>
                <w:szCs w:val="16"/>
              </w:rPr>
            </w:pPr>
            <w:r w:rsidRPr="00781112">
              <w:rPr>
                <w:color w:val="000000" w:themeColor="text1"/>
                <w:szCs w:val="16"/>
              </w:rPr>
              <w:t>75.74%</w:t>
            </w:r>
          </w:p>
        </w:tc>
        <w:tc>
          <w:tcPr>
            <w:tcW w:w="926" w:type="pct"/>
          </w:tcPr>
          <w:p w14:paraId="7C808A06" w14:textId="70D7E176" w:rsidR="00B14519" w:rsidRPr="00781112" w:rsidRDefault="00B14519" w:rsidP="00D62058">
            <w:pPr>
              <w:jc w:val="center"/>
              <w:rPr>
                <w:rFonts w:cs="Arial"/>
                <w:color w:val="000000" w:themeColor="text1"/>
                <w:szCs w:val="16"/>
              </w:rPr>
            </w:pPr>
            <w:r w:rsidRPr="00781112">
              <w:rPr>
                <w:color w:val="000000" w:themeColor="text1"/>
                <w:szCs w:val="16"/>
              </w:rPr>
              <w:t>76.00%</w:t>
            </w:r>
          </w:p>
        </w:tc>
      </w:tr>
      <w:tr w:rsidR="00B14519" w:rsidRPr="00781112" w14:paraId="17C12050" w14:textId="1A45DE5B" w:rsidTr="00451D7E">
        <w:trPr>
          <w:trHeight w:val="270"/>
        </w:trPr>
        <w:tc>
          <w:tcPr>
            <w:tcW w:w="369" w:type="pct"/>
            <w:shd w:val="clear" w:color="auto" w:fill="auto"/>
            <w:vAlign w:val="center"/>
          </w:tcPr>
          <w:p w14:paraId="5FF4BE45" w14:textId="3D057CF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926" w:type="pct"/>
            <w:shd w:val="clear" w:color="auto" w:fill="auto"/>
            <w:vAlign w:val="center"/>
          </w:tcPr>
          <w:p w14:paraId="4B344C1C" w14:textId="2108066A" w:rsidR="00B14519" w:rsidRPr="00781112" w:rsidRDefault="00B14519" w:rsidP="00D62058">
            <w:pPr>
              <w:jc w:val="center"/>
              <w:rPr>
                <w:rFonts w:cs="Arial"/>
                <w:color w:val="000000" w:themeColor="text1"/>
                <w:szCs w:val="16"/>
              </w:rPr>
            </w:pPr>
            <w:r w:rsidRPr="00781112">
              <w:rPr>
                <w:rFonts w:cs="Arial"/>
                <w:color w:val="000000" w:themeColor="text1"/>
                <w:szCs w:val="16"/>
              </w:rPr>
              <w:t>5.42%</w:t>
            </w:r>
          </w:p>
        </w:tc>
        <w:tc>
          <w:tcPr>
            <w:tcW w:w="926" w:type="pct"/>
          </w:tcPr>
          <w:p w14:paraId="05700FA5" w14:textId="5CCD345F" w:rsidR="00B14519" w:rsidRPr="00781112" w:rsidRDefault="00B14519" w:rsidP="00D62058">
            <w:pPr>
              <w:jc w:val="center"/>
              <w:rPr>
                <w:rFonts w:cs="Arial"/>
                <w:color w:val="000000" w:themeColor="text1"/>
                <w:szCs w:val="16"/>
              </w:rPr>
            </w:pPr>
            <w:r w:rsidRPr="00781112">
              <w:rPr>
                <w:color w:val="000000" w:themeColor="text1"/>
                <w:szCs w:val="16"/>
              </w:rPr>
              <w:t>5.37%</w:t>
            </w:r>
          </w:p>
        </w:tc>
        <w:tc>
          <w:tcPr>
            <w:tcW w:w="926" w:type="pct"/>
          </w:tcPr>
          <w:p w14:paraId="3714E477" w14:textId="7A435890" w:rsidR="00B14519" w:rsidRPr="00781112" w:rsidRDefault="00B14519" w:rsidP="00D62058">
            <w:pPr>
              <w:jc w:val="center"/>
              <w:rPr>
                <w:rFonts w:cs="Arial"/>
                <w:color w:val="000000" w:themeColor="text1"/>
                <w:szCs w:val="16"/>
              </w:rPr>
            </w:pPr>
            <w:r w:rsidRPr="00781112">
              <w:rPr>
                <w:color w:val="000000" w:themeColor="text1"/>
                <w:szCs w:val="16"/>
              </w:rPr>
              <w:t>5.32%</w:t>
            </w:r>
          </w:p>
        </w:tc>
        <w:tc>
          <w:tcPr>
            <w:tcW w:w="926" w:type="pct"/>
          </w:tcPr>
          <w:p w14:paraId="378D738F" w14:textId="779494DE" w:rsidR="00B14519" w:rsidRPr="00781112" w:rsidRDefault="00B14519" w:rsidP="00D62058">
            <w:pPr>
              <w:jc w:val="center"/>
              <w:rPr>
                <w:rFonts w:cs="Arial"/>
                <w:color w:val="000000" w:themeColor="text1"/>
                <w:szCs w:val="16"/>
              </w:rPr>
            </w:pPr>
            <w:r w:rsidRPr="00781112">
              <w:rPr>
                <w:color w:val="000000" w:themeColor="text1"/>
                <w:szCs w:val="16"/>
              </w:rPr>
              <w:t>4.70%</w:t>
            </w:r>
          </w:p>
        </w:tc>
        <w:tc>
          <w:tcPr>
            <w:tcW w:w="926" w:type="pct"/>
          </w:tcPr>
          <w:p w14:paraId="489715FB" w14:textId="57B31F87" w:rsidR="00B14519" w:rsidRPr="00781112" w:rsidRDefault="00B14519" w:rsidP="00D62058">
            <w:pPr>
              <w:jc w:val="center"/>
              <w:rPr>
                <w:rFonts w:cs="Arial"/>
                <w:color w:val="000000" w:themeColor="text1"/>
                <w:szCs w:val="16"/>
              </w:rPr>
            </w:pPr>
            <w:r w:rsidRPr="00781112">
              <w:rPr>
                <w:color w:val="000000" w:themeColor="text1"/>
                <w:szCs w:val="16"/>
              </w:rPr>
              <w:t>4.50%</w:t>
            </w:r>
          </w:p>
        </w:tc>
      </w:tr>
      <w:tr w:rsidR="00B14519" w:rsidRPr="00781112" w14:paraId="1C671552" w14:textId="2F7800FB" w:rsidTr="00451D7E">
        <w:trPr>
          <w:trHeight w:val="270"/>
        </w:trPr>
        <w:tc>
          <w:tcPr>
            <w:tcW w:w="369" w:type="pct"/>
            <w:shd w:val="clear" w:color="auto" w:fill="auto"/>
            <w:vAlign w:val="center"/>
          </w:tcPr>
          <w:p w14:paraId="5D979A7F" w14:textId="57DEB4C1" w:rsidR="00B14519" w:rsidRPr="00781112" w:rsidRDefault="00B14519" w:rsidP="00D62058">
            <w:pPr>
              <w:rPr>
                <w:rFonts w:cs="Arial"/>
                <w:color w:val="000000" w:themeColor="text1"/>
                <w:szCs w:val="16"/>
              </w:rPr>
            </w:pPr>
            <w:r w:rsidRPr="00781112">
              <w:rPr>
                <w:rFonts w:cs="Arial"/>
                <w:color w:val="000000" w:themeColor="text1"/>
                <w:szCs w:val="16"/>
              </w:rPr>
              <w:t>Target C &lt;=</w:t>
            </w:r>
          </w:p>
        </w:tc>
        <w:tc>
          <w:tcPr>
            <w:tcW w:w="926" w:type="pct"/>
            <w:shd w:val="clear" w:color="auto" w:fill="auto"/>
            <w:vAlign w:val="center"/>
          </w:tcPr>
          <w:p w14:paraId="1C0EF441" w14:textId="373B29D8" w:rsidR="00B14519" w:rsidRPr="00781112" w:rsidRDefault="00B14519" w:rsidP="00D62058">
            <w:pPr>
              <w:jc w:val="center"/>
              <w:rPr>
                <w:rFonts w:cs="Arial"/>
                <w:color w:val="000000" w:themeColor="text1"/>
                <w:szCs w:val="16"/>
              </w:rPr>
            </w:pPr>
            <w:r w:rsidRPr="00781112">
              <w:rPr>
                <w:rFonts w:cs="Arial"/>
                <w:color w:val="000000" w:themeColor="text1"/>
                <w:szCs w:val="16"/>
              </w:rPr>
              <w:t>1.68%</w:t>
            </w:r>
          </w:p>
        </w:tc>
        <w:tc>
          <w:tcPr>
            <w:tcW w:w="926" w:type="pct"/>
          </w:tcPr>
          <w:p w14:paraId="29CA6903" w14:textId="7D992541" w:rsidR="00B14519" w:rsidRPr="00781112" w:rsidRDefault="00B14519" w:rsidP="00D62058">
            <w:pPr>
              <w:jc w:val="center"/>
              <w:rPr>
                <w:rFonts w:cs="Arial"/>
                <w:color w:val="000000" w:themeColor="text1"/>
                <w:szCs w:val="16"/>
              </w:rPr>
            </w:pPr>
            <w:r w:rsidRPr="00781112">
              <w:rPr>
                <w:color w:val="000000" w:themeColor="text1"/>
                <w:szCs w:val="16"/>
              </w:rPr>
              <w:t>1.61%</w:t>
            </w:r>
          </w:p>
        </w:tc>
        <w:tc>
          <w:tcPr>
            <w:tcW w:w="926" w:type="pct"/>
          </w:tcPr>
          <w:p w14:paraId="552B6B09" w14:textId="511FB8CF" w:rsidR="00B14519" w:rsidRPr="00781112" w:rsidRDefault="00B14519" w:rsidP="00D62058">
            <w:pPr>
              <w:jc w:val="center"/>
              <w:rPr>
                <w:rFonts w:cs="Arial"/>
                <w:color w:val="000000" w:themeColor="text1"/>
                <w:szCs w:val="16"/>
              </w:rPr>
            </w:pPr>
            <w:r w:rsidRPr="00781112">
              <w:rPr>
                <w:color w:val="000000" w:themeColor="text1"/>
                <w:szCs w:val="16"/>
              </w:rPr>
              <w:t>1.55%</w:t>
            </w:r>
          </w:p>
        </w:tc>
        <w:tc>
          <w:tcPr>
            <w:tcW w:w="926" w:type="pct"/>
          </w:tcPr>
          <w:p w14:paraId="7DB61507" w14:textId="60C3D8B8" w:rsidR="00B14519" w:rsidRPr="00781112" w:rsidRDefault="00B14519" w:rsidP="00D62058">
            <w:pPr>
              <w:jc w:val="center"/>
              <w:rPr>
                <w:rFonts w:cs="Arial"/>
                <w:color w:val="000000" w:themeColor="text1"/>
                <w:szCs w:val="16"/>
              </w:rPr>
            </w:pPr>
            <w:r w:rsidRPr="00781112">
              <w:rPr>
                <w:color w:val="000000" w:themeColor="text1"/>
                <w:szCs w:val="16"/>
              </w:rPr>
              <w:t>1.24%</w:t>
            </w:r>
          </w:p>
        </w:tc>
        <w:tc>
          <w:tcPr>
            <w:tcW w:w="926" w:type="pct"/>
          </w:tcPr>
          <w:p w14:paraId="4D51A8CD" w14:textId="32D58B55" w:rsidR="00B14519" w:rsidRPr="00781112" w:rsidRDefault="00B14519" w:rsidP="00D62058">
            <w:pPr>
              <w:jc w:val="center"/>
              <w:rPr>
                <w:rFonts w:cs="Arial"/>
                <w:color w:val="000000" w:themeColor="text1"/>
                <w:szCs w:val="16"/>
              </w:rPr>
            </w:pPr>
            <w:r w:rsidRPr="00781112">
              <w:rPr>
                <w:color w:val="000000" w:themeColor="text1"/>
                <w:szCs w:val="16"/>
              </w:rPr>
              <w:t>0.97%</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w:t>
      </w:r>
      <w:r w:rsidRPr="00781112">
        <w:rPr>
          <w:rFonts w:cs="Arial"/>
          <w:color w:val="000000" w:themeColor="text1"/>
          <w:szCs w:val="16"/>
        </w:rPr>
        <w:lastRenderedPageBreak/>
        <w:t xml:space="preserve">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13,701</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10,511</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633</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78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 xml:space="preserve">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73</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2021-22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07/06/2022</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w:t>
            </w:r>
            <w:proofErr w:type="gramStart"/>
            <w:r w:rsidRPr="00781112">
              <w:rPr>
                <w:rFonts w:cs="Arial"/>
                <w:color w:val="000000" w:themeColor="text1"/>
                <w:szCs w:val="16"/>
              </w:rPr>
              <w:t>21</w:t>
            </w:r>
            <w:proofErr w:type="gramEnd"/>
            <w:r w:rsidRPr="00781112">
              <w:rPr>
                <w:rFonts w:cs="Arial"/>
                <w:color w:val="000000" w:themeColor="text1"/>
                <w:szCs w:val="16"/>
              </w:rPr>
              <w:t xml:space="preserve">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32</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051974A1" w:rsidR="00805DD3"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740CBC" w:rsidRPr="00781112" w14:paraId="0324DF77" w14:textId="01438934" w:rsidTr="00360DD6">
        <w:trPr>
          <w:trHeight w:val="440"/>
          <w:tblHeader/>
        </w:trPr>
        <w:tc>
          <w:tcPr>
            <w:tcW w:w="1040" w:type="pct"/>
            <w:shd w:val="clear" w:color="auto" w:fill="auto"/>
            <w:vAlign w:val="bottom"/>
          </w:tcPr>
          <w:p w14:paraId="0D668D1B" w14:textId="6BB38C6B" w:rsidR="00740CBC" w:rsidRPr="00781112" w:rsidRDefault="00740CBC" w:rsidP="00740CBC">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740CBC" w:rsidRPr="00781112" w:rsidRDefault="00740CBC" w:rsidP="00740CBC">
            <w:pPr>
              <w:jc w:val="center"/>
              <w:rPr>
                <w:b/>
                <w:color w:val="000000" w:themeColor="text1"/>
              </w:rPr>
            </w:pPr>
            <w:r w:rsidRPr="00781112">
              <w:rPr>
                <w:b/>
                <w:color w:val="000000" w:themeColor="text1"/>
              </w:rPr>
              <w:t xml:space="preserve">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r w:rsidRPr="00781112">
              <w:rPr>
                <w:b/>
                <w:color w:val="000000" w:themeColor="text1"/>
              </w:rPr>
              <w:t xml:space="preserve"> served</w:t>
            </w:r>
          </w:p>
        </w:tc>
        <w:tc>
          <w:tcPr>
            <w:tcW w:w="647" w:type="pct"/>
            <w:shd w:val="clear" w:color="auto" w:fill="auto"/>
            <w:vAlign w:val="bottom"/>
          </w:tcPr>
          <w:p w14:paraId="5B4758A3" w14:textId="799168FB" w:rsidR="00740CBC" w:rsidRPr="00781112" w:rsidRDefault="00740CBC" w:rsidP="00740CBC">
            <w:pPr>
              <w:jc w:val="center"/>
              <w:rPr>
                <w:b/>
                <w:color w:val="000000" w:themeColor="text1"/>
              </w:rPr>
            </w:pPr>
            <w:r w:rsidRPr="00781112">
              <w:rPr>
                <w:b/>
                <w:color w:val="000000" w:themeColor="text1"/>
              </w:rPr>
              <w:t xml:space="preserve">Total number of children with IEPs aged </w:t>
            </w:r>
            <w:r w:rsidRPr="00781112">
              <w:rPr>
                <w:rFonts w:cs="Arial"/>
                <w:b/>
                <w:bCs/>
                <w:szCs w:val="16"/>
              </w:rPr>
              <w:t>5 (kindergarten)</w:t>
            </w:r>
            <w:r w:rsidRPr="00781112">
              <w:rPr>
                <w:b/>
                <w:color w:val="000000" w:themeColor="text1"/>
              </w:rPr>
              <w:t xml:space="preserve"> through </w:t>
            </w:r>
            <w:proofErr w:type="gramStart"/>
            <w:r w:rsidRPr="00781112">
              <w:rPr>
                <w:b/>
                <w:color w:val="000000" w:themeColor="text1"/>
              </w:rPr>
              <w:t>21</w:t>
            </w:r>
            <w:proofErr w:type="gramEnd"/>
          </w:p>
        </w:tc>
        <w:tc>
          <w:tcPr>
            <w:tcW w:w="533" w:type="pct"/>
            <w:shd w:val="clear" w:color="auto" w:fill="auto"/>
            <w:vAlign w:val="bottom"/>
          </w:tcPr>
          <w:p w14:paraId="5B2059E0" w14:textId="3C9C0574" w:rsidR="00740CBC" w:rsidRPr="00CC1061" w:rsidRDefault="00740CBC" w:rsidP="00740CBC">
            <w:pPr>
              <w:jc w:val="center"/>
              <w:rPr>
                <w:b/>
                <w:bCs/>
                <w:color w:val="000000" w:themeColor="text1"/>
              </w:rPr>
            </w:pPr>
            <w:r w:rsidRPr="00CC1061">
              <w:rPr>
                <w:b/>
                <w:bCs/>
              </w:rPr>
              <w:t>FFY 2020 Data</w:t>
            </w:r>
          </w:p>
        </w:tc>
        <w:tc>
          <w:tcPr>
            <w:tcW w:w="533" w:type="pct"/>
            <w:shd w:val="clear" w:color="auto" w:fill="auto"/>
            <w:vAlign w:val="bottom"/>
          </w:tcPr>
          <w:p w14:paraId="320127EA" w14:textId="4889F920" w:rsidR="00740CBC" w:rsidRPr="00CC1061" w:rsidRDefault="00740CBC" w:rsidP="00740CBC">
            <w:pPr>
              <w:jc w:val="center"/>
              <w:rPr>
                <w:b/>
                <w:bCs/>
                <w:color w:val="000000" w:themeColor="text1"/>
              </w:rPr>
            </w:pPr>
            <w:r w:rsidRPr="00CC1061">
              <w:rPr>
                <w:b/>
                <w:bCs/>
              </w:rPr>
              <w:t>FFY 2021 Target</w:t>
            </w:r>
          </w:p>
        </w:tc>
        <w:tc>
          <w:tcPr>
            <w:tcW w:w="533" w:type="pct"/>
            <w:shd w:val="clear" w:color="auto" w:fill="auto"/>
            <w:vAlign w:val="bottom"/>
          </w:tcPr>
          <w:p w14:paraId="150C2675" w14:textId="70270D20" w:rsidR="00740CBC" w:rsidRPr="00CC1061" w:rsidRDefault="00740CBC" w:rsidP="00740CBC">
            <w:pPr>
              <w:jc w:val="center"/>
              <w:rPr>
                <w:b/>
                <w:bCs/>
                <w:color w:val="000000" w:themeColor="text1"/>
              </w:rPr>
            </w:pPr>
            <w:r w:rsidRPr="00CC1061">
              <w:rPr>
                <w:b/>
                <w:bCs/>
              </w:rPr>
              <w:t>FFY 2021 Data</w:t>
            </w:r>
          </w:p>
        </w:tc>
        <w:tc>
          <w:tcPr>
            <w:tcW w:w="533" w:type="pct"/>
            <w:shd w:val="clear" w:color="auto" w:fill="auto"/>
            <w:vAlign w:val="bottom"/>
          </w:tcPr>
          <w:p w14:paraId="08F715E4" w14:textId="7BB096AF" w:rsidR="00740CBC" w:rsidRPr="00781112" w:rsidRDefault="00740CBC" w:rsidP="00740CBC">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740CBC" w:rsidRPr="00781112" w:rsidRDefault="00740CBC" w:rsidP="00740CBC">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10,511</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13,701</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75.48%</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73.93%</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76.72%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w:t>
            </w:r>
            <w:proofErr w:type="gramStart"/>
            <w:r w:rsidRPr="00781112">
              <w:rPr>
                <w:rFonts w:cs="Arial"/>
                <w:color w:val="000000" w:themeColor="text1"/>
                <w:szCs w:val="16"/>
                <w:shd w:val="clear" w:color="auto" w:fill="FFFFFF"/>
              </w:rPr>
              <w:t>21</w:t>
            </w:r>
            <w:proofErr w:type="gramEnd"/>
            <w:r w:rsidRPr="00781112">
              <w:rPr>
                <w:rFonts w:cs="Arial"/>
                <w:color w:val="000000" w:themeColor="text1"/>
                <w:szCs w:val="16"/>
                <w:shd w:val="clear" w:color="auto" w:fill="FFFFFF"/>
              </w:rPr>
              <w:t xml:space="preserve">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633</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13,701</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4.90%</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5.42%</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4.62%</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183</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13,701</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1.51%</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1.68%</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1.34%</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3C308E" w:rsidP="007D435F">
      <w:pPr>
        <w:rPr>
          <w:rFonts w:cs="Arial"/>
          <w:color w:val="000000" w:themeColor="text1"/>
          <w:szCs w:val="16"/>
        </w:rPr>
      </w:pP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3C308E" w:rsidP="001F692C">
      <w:pPr>
        <w:rPr>
          <w:rFonts w:cs="Arial"/>
          <w:color w:val="000000" w:themeColor="text1"/>
          <w:szCs w:val="16"/>
        </w:rPr>
      </w:pP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1CCE2F0D"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4"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w:t>
      </w:r>
      <w:proofErr w:type="gramStart"/>
      <w:r w:rsidR="000B1A1B" w:rsidRPr="00781112">
        <w:rPr>
          <w:rFonts w:cs="Arial"/>
          <w:color w:val="000000" w:themeColor="text1"/>
          <w:szCs w:val="16"/>
        </w:rPr>
        <w:t>5</w:t>
      </w:r>
      <w:proofErr w:type="gramEnd"/>
      <w:r w:rsidR="000B1A1B" w:rsidRPr="00781112">
        <w:rPr>
          <w:rFonts w:cs="Arial"/>
          <w:color w:val="000000" w:themeColor="text1"/>
          <w:szCs w:val="16"/>
        </w:rPr>
        <w:t xml:space="preserve">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 xml:space="preserve">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 xml:space="preserve">B. Separate special education class, separate </w:t>
      </w:r>
      <w:proofErr w:type="gramStart"/>
      <w:r w:rsidRPr="00781112">
        <w:rPr>
          <w:rFonts w:cs="Arial"/>
          <w:color w:val="000000" w:themeColor="text1"/>
          <w:szCs w:val="16"/>
        </w:rPr>
        <w:t>school</w:t>
      </w:r>
      <w:proofErr w:type="gramEnd"/>
      <w:r w:rsidRPr="00781112">
        <w:rPr>
          <w:rFonts w:cs="Arial"/>
          <w:color w:val="000000" w:themeColor="text1"/>
          <w:szCs w:val="16"/>
        </w:rPr>
        <w:t xml:space="preserve">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w:t>
      </w:r>
      <w:proofErr w:type="gramStart"/>
      <w:r w:rsidR="005322B8" w:rsidRPr="00781112">
        <w:rPr>
          <w:rFonts w:cs="Arial"/>
          <w:color w:val="000000" w:themeColor="text1"/>
          <w:szCs w:val="16"/>
          <w:shd w:val="clear" w:color="auto" w:fill="FFFFFF"/>
        </w:rPr>
        <w:t>the majority of</w:t>
      </w:r>
      <w:proofErr w:type="gramEnd"/>
      <w:r w:rsidR="005322B8" w:rsidRPr="00781112">
        <w:rPr>
          <w:rFonts w:cs="Arial"/>
          <w:color w:val="000000" w:themeColor="text1"/>
          <w:szCs w:val="16"/>
          <w:shd w:val="clear" w:color="auto" w:fill="FFFFFF"/>
        </w:rPr>
        <w:t xml:space="preserve">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w:t>
      </w:r>
      <w:proofErr w:type="gramStart"/>
      <w:r w:rsidR="005322B8" w:rsidRPr="00781112">
        <w:rPr>
          <w:rFonts w:cs="Arial"/>
          <w:color w:val="000000" w:themeColor="text1"/>
          <w:szCs w:val="16"/>
          <w:shd w:val="clear" w:color="auto" w:fill="FFFFFF"/>
        </w:rPr>
        <w:t>school</w:t>
      </w:r>
      <w:proofErr w:type="gramEnd"/>
      <w:r w:rsidR="005322B8" w:rsidRPr="00781112">
        <w:rPr>
          <w:rFonts w:cs="Arial"/>
          <w:color w:val="000000" w:themeColor="text1"/>
          <w:szCs w:val="16"/>
          <w:shd w:val="clear" w:color="auto" w:fill="FFFFFF"/>
        </w:rPr>
        <w:t xml:space="preserve">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 xml:space="preserve">Sampling from the State’s 618 data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4451A4DB" w14:textId="77777777" w:rsidR="00426EC6" w:rsidRPr="00781112" w:rsidRDefault="00426EC6" w:rsidP="00426EC6">
      <w:pPr>
        <w:rPr>
          <w:rFonts w:cs="Arial"/>
          <w:szCs w:val="16"/>
        </w:rPr>
      </w:pPr>
      <w:r w:rsidRPr="00781112">
        <w:rPr>
          <w:rFonts w:cs="Arial"/>
          <w:szCs w:val="16"/>
        </w:rPr>
        <w:t xml:space="preserve">States must report </w:t>
      </w:r>
      <w:proofErr w:type="gramStart"/>
      <w:r w:rsidRPr="00781112">
        <w:rPr>
          <w:rFonts w:cs="Arial"/>
          <w:szCs w:val="16"/>
        </w:rPr>
        <w:t>five</w:t>
      </w:r>
      <w:proofErr w:type="gramEnd"/>
      <w:r w:rsidRPr="00781112">
        <w:rPr>
          <w:rFonts w:cs="Arial"/>
          <w:szCs w:val="16"/>
        </w:rPr>
        <w:t xml:space="preserve">-year-old children with disabilities who </w:t>
      </w:r>
      <w:proofErr w:type="gramStart"/>
      <w:r w:rsidRPr="00781112">
        <w:rPr>
          <w:rFonts w:cs="Arial"/>
          <w:szCs w:val="16"/>
        </w:rPr>
        <w:t>are enrolled</w:t>
      </w:r>
      <w:proofErr w:type="gramEnd"/>
      <w:r w:rsidRPr="00781112">
        <w:rPr>
          <w:rFonts w:cs="Arial"/>
          <w:szCs w:val="16"/>
        </w:rPr>
        <w:t xml:space="preserve"> in preschool programs in this indicator. Five-year-old children with disabilities who </w:t>
      </w:r>
      <w:proofErr w:type="gramStart"/>
      <w:r w:rsidRPr="00781112">
        <w:rPr>
          <w:rFonts w:cs="Arial"/>
          <w:szCs w:val="16"/>
        </w:rPr>
        <w:t>are enrolled</w:t>
      </w:r>
      <w:proofErr w:type="gramEnd"/>
      <w:r w:rsidRPr="00781112">
        <w:rPr>
          <w:rFonts w:cs="Arial"/>
          <w:szCs w:val="16"/>
        </w:rPr>
        <w:t xml:space="preserve">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 xml:space="preserve">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w:t>
      </w:r>
      <w:proofErr w:type="gramStart"/>
      <w:r w:rsidRPr="00781112">
        <w:rPr>
          <w:rFonts w:cs="Arial"/>
          <w:szCs w:val="16"/>
        </w:rPr>
        <w:t>10</w:t>
      </w:r>
      <w:proofErr w:type="gramEnd"/>
      <w:r w:rsidRPr="00781112">
        <w:rPr>
          <w:rFonts w:cs="Arial"/>
          <w:szCs w:val="16"/>
        </w:rPr>
        <w:t xml:space="preserve"> or greater, States are required to develop </w:t>
      </w:r>
      <w:proofErr w:type="gramStart"/>
      <w:r w:rsidRPr="00781112">
        <w:rPr>
          <w:rFonts w:cs="Arial"/>
          <w:szCs w:val="16"/>
        </w:rPr>
        <w:t>baseline</w:t>
      </w:r>
      <w:proofErr w:type="gramEnd"/>
      <w:r w:rsidRPr="00781112">
        <w:rPr>
          <w:rFonts w:cs="Arial"/>
          <w:szCs w:val="16"/>
        </w:rPr>
        <w:t xml:space="preserv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reported under IDEA section 618, explain.</w:t>
      </w:r>
    </w:p>
    <w:bookmarkEnd w:id="34"/>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2020</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62.23%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62.48%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62.73%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67.50%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71.25%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59.90%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69.26%</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76.04%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72.57%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71.25%</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28.26%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28.01%</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27.76%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22.50%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17.99%</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30.85%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23.95%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18.25%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20.55%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17.99%</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w:t>
      </w:r>
      <w:r w:rsidRPr="00781112">
        <w:rPr>
          <w:rFonts w:cs="Arial"/>
          <w:color w:val="000000" w:themeColor="text1"/>
          <w:szCs w:val="16"/>
        </w:rPr>
        <w:lastRenderedPageBreak/>
        <w:t xml:space="preserve">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137AAC0F" w14:textId="77777777" w:rsidR="0059735F" w:rsidRPr="00781112" w:rsidRDefault="0059735F" w:rsidP="0059735F">
      <w:pPr>
        <w:rPr>
          <w:rFonts w:cs="Arial"/>
          <w:color w:val="000000" w:themeColor="text1"/>
          <w:szCs w:val="16"/>
        </w:rPr>
      </w:pP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w:t>
      </w:r>
      <w:proofErr w:type="gramStart"/>
      <w:r w:rsidRPr="001C443D">
        <w:rPr>
          <w:b/>
          <w:bCs/>
        </w:rPr>
        <w:t>baseline</w:t>
      </w:r>
      <w:proofErr w:type="gramEnd"/>
      <w:r w:rsidRPr="001C443D">
        <w:rPr>
          <w:b/>
          <w:bCs/>
        </w:rPr>
        <w:t xml:space="preserv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71.25%</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17.99%</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1.16%</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6"/>
        <w:gridCol w:w="1617"/>
        <w:gridCol w:w="1617"/>
        <w:gridCol w:w="1621"/>
        <w:gridCol w:w="1619"/>
        <w:gridCol w:w="1619"/>
      </w:tblGrid>
      <w:tr w:rsidR="00B14519" w:rsidRPr="00781112" w14:paraId="502A05CF" w14:textId="31F34C5E" w:rsidTr="00451D7E">
        <w:trPr>
          <w:trHeight w:val="297"/>
        </w:trPr>
        <w:tc>
          <w:tcPr>
            <w:tcW w:w="586" w:type="pct"/>
            <w:tcBorders>
              <w:bottom w:val="single" w:sz="4" w:space="0" w:color="auto"/>
            </w:tcBorders>
            <w:shd w:val="clear" w:color="auto" w:fill="auto"/>
          </w:tcPr>
          <w:p w14:paraId="24938C30" w14:textId="77777777" w:rsidR="00B14519" w:rsidRPr="00781112" w:rsidRDefault="00B14519" w:rsidP="00D62058">
            <w:pPr>
              <w:jc w:val="center"/>
              <w:rPr>
                <w:b/>
                <w:color w:val="000000" w:themeColor="text1"/>
              </w:rPr>
            </w:pPr>
            <w:r w:rsidRPr="00781112">
              <w:rPr>
                <w:b/>
                <w:color w:val="000000" w:themeColor="text1"/>
              </w:rPr>
              <w:t>FFY</w:t>
            </w:r>
          </w:p>
        </w:tc>
        <w:tc>
          <w:tcPr>
            <w:tcW w:w="882" w:type="pct"/>
            <w:shd w:val="clear" w:color="auto" w:fill="auto"/>
          </w:tcPr>
          <w:p w14:paraId="4B75D90A" w14:textId="04FBCB48" w:rsidR="00B14519" w:rsidRPr="00781112" w:rsidRDefault="00B14519" w:rsidP="00D62058">
            <w:pPr>
              <w:jc w:val="center"/>
              <w:rPr>
                <w:b/>
                <w:color w:val="000000" w:themeColor="text1"/>
              </w:rPr>
            </w:pPr>
            <w:r w:rsidRPr="00781112">
              <w:rPr>
                <w:b/>
                <w:color w:val="000000" w:themeColor="text1"/>
              </w:rPr>
              <w:t>2021</w:t>
            </w:r>
          </w:p>
        </w:tc>
        <w:tc>
          <w:tcPr>
            <w:tcW w:w="882" w:type="pct"/>
          </w:tcPr>
          <w:p w14:paraId="5DC58FF5" w14:textId="7CBB0832" w:rsidR="00B14519" w:rsidRPr="00781112" w:rsidRDefault="00B14519" w:rsidP="00360DD6">
            <w:pPr>
              <w:jc w:val="center"/>
              <w:rPr>
                <w:b/>
                <w:color w:val="000000" w:themeColor="text1"/>
              </w:rPr>
            </w:pPr>
            <w:r w:rsidRPr="00781112">
              <w:rPr>
                <w:b/>
                <w:color w:val="000000" w:themeColor="text1"/>
              </w:rPr>
              <w:t>2022</w:t>
            </w:r>
          </w:p>
        </w:tc>
        <w:tc>
          <w:tcPr>
            <w:tcW w:w="884" w:type="pct"/>
          </w:tcPr>
          <w:p w14:paraId="7F3093B9" w14:textId="2E366C4A" w:rsidR="00B14519" w:rsidRPr="00781112" w:rsidRDefault="00B14519" w:rsidP="00360DD6">
            <w:pPr>
              <w:jc w:val="center"/>
              <w:rPr>
                <w:b/>
                <w:color w:val="000000" w:themeColor="text1"/>
              </w:rPr>
            </w:pPr>
            <w:r w:rsidRPr="00781112">
              <w:rPr>
                <w:b/>
                <w:color w:val="000000" w:themeColor="text1"/>
              </w:rPr>
              <w:t>2023</w:t>
            </w:r>
          </w:p>
        </w:tc>
        <w:tc>
          <w:tcPr>
            <w:tcW w:w="883" w:type="pct"/>
          </w:tcPr>
          <w:p w14:paraId="05A02BBA" w14:textId="78E50BC0" w:rsidR="00B14519" w:rsidRPr="00781112" w:rsidRDefault="00B14519" w:rsidP="00360DD6">
            <w:pPr>
              <w:jc w:val="center"/>
              <w:rPr>
                <w:b/>
                <w:color w:val="000000" w:themeColor="text1"/>
              </w:rPr>
            </w:pPr>
            <w:r w:rsidRPr="00781112">
              <w:rPr>
                <w:b/>
                <w:color w:val="000000" w:themeColor="text1"/>
              </w:rPr>
              <w:t>2024</w:t>
            </w:r>
          </w:p>
        </w:tc>
        <w:tc>
          <w:tcPr>
            <w:tcW w:w="883" w:type="pct"/>
          </w:tcPr>
          <w:p w14:paraId="6CBA3A70" w14:textId="0600BFC9" w:rsidR="00B14519" w:rsidRPr="00781112" w:rsidRDefault="00B14519" w:rsidP="00360DD6">
            <w:pPr>
              <w:jc w:val="center"/>
              <w:rPr>
                <w:b/>
                <w:color w:val="000000" w:themeColor="text1"/>
              </w:rPr>
            </w:pPr>
            <w:r w:rsidRPr="00781112">
              <w:rPr>
                <w:b/>
                <w:color w:val="000000" w:themeColor="text1"/>
              </w:rPr>
              <w:t>2025</w:t>
            </w:r>
          </w:p>
        </w:tc>
      </w:tr>
      <w:tr w:rsidR="00B14519" w:rsidRPr="00781112" w14:paraId="19DCE246" w14:textId="1AEE89BD" w:rsidTr="00451D7E">
        <w:trPr>
          <w:trHeight w:val="303"/>
        </w:trPr>
        <w:tc>
          <w:tcPr>
            <w:tcW w:w="586" w:type="pct"/>
            <w:shd w:val="clear" w:color="auto" w:fill="auto"/>
            <w:vAlign w:val="center"/>
          </w:tcPr>
          <w:p w14:paraId="772DAD56" w14:textId="1540F97B" w:rsidR="00B14519" w:rsidRPr="00781112" w:rsidRDefault="00B14519" w:rsidP="00D62058">
            <w:pPr>
              <w:rPr>
                <w:rFonts w:cs="Arial"/>
                <w:color w:val="000000" w:themeColor="text1"/>
                <w:szCs w:val="16"/>
              </w:rPr>
            </w:pPr>
            <w:r w:rsidRPr="00781112">
              <w:rPr>
                <w:rFonts w:cs="Arial"/>
                <w:color w:val="000000" w:themeColor="text1"/>
                <w:szCs w:val="16"/>
              </w:rPr>
              <w:t>Target A &gt;=</w:t>
            </w:r>
          </w:p>
        </w:tc>
        <w:tc>
          <w:tcPr>
            <w:tcW w:w="882" w:type="pct"/>
            <w:shd w:val="clear" w:color="auto" w:fill="auto"/>
            <w:vAlign w:val="center"/>
          </w:tcPr>
          <w:p w14:paraId="2E5FC5F6" w14:textId="4C6B8E64" w:rsidR="00B14519" w:rsidRPr="00781112" w:rsidRDefault="00B14519" w:rsidP="00D62058">
            <w:pPr>
              <w:jc w:val="center"/>
              <w:rPr>
                <w:rFonts w:cs="Arial"/>
                <w:color w:val="000000" w:themeColor="text1"/>
                <w:szCs w:val="16"/>
              </w:rPr>
            </w:pPr>
            <w:r w:rsidRPr="00781112">
              <w:rPr>
                <w:rFonts w:cs="Arial"/>
                <w:color w:val="000000" w:themeColor="text1"/>
                <w:szCs w:val="16"/>
              </w:rPr>
              <w:t>71.25%</w:t>
            </w:r>
          </w:p>
        </w:tc>
        <w:tc>
          <w:tcPr>
            <w:tcW w:w="882" w:type="pct"/>
          </w:tcPr>
          <w:p w14:paraId="4C26EA28" w14:textId="691A218F" w:rsidR="00B14519" w:rsidRPr="00781112" w:rsidRDefault="00B14519" w:rsidP="00360DD6">
            <w:pPr>
              <w:jc w:val="center"/>
              <w:rPr>
                <w:rFonts w:cs="Arial"/>
                <w:color w:val="000000" w:themeColor="text1"/>
                <w:szCs w:val="16"/>
              </w:rPr>
            </w:pPr>
            <w:r w:rsidRPr="00781112">
              <w:rPr>
                <w:rFonts w:cs="Arial"/>
                <w:color w:val="000000" w:themeColor="text1"/>
                <w:szCs w:val="16"/>
              </w:rPr>
              <w:t>71.47%</w:t>
            </w:r>
          </w:p>
        </w:tc>
        <w:tc>
          <w:tcPr>
            <w:tcW w:w="884" w:type="pct"/>
          </w:tcPr>
          <w:p w14:paraId="0BF1D9D9" w14:textId="482D9F05" w:rsidR="00B14519" w:rsidRPr="00781112" w:rsidRDefault="00B14519" w:rsidP="00360DD6">
            <w:pPr>
              <w:jc w:val="center"/>
              <w:rPr>
                <w:rFonts w:cs="Arial"/>
                <w:color w:val="000000" w:themeColor="text1"/>
                <w:szCs w:val="16"/>
              </w:rPr>
            </w:pPr>
            <w:r w:rsidRPr="00781112">
              <w:rPr>
                <w:rFonts w:cs="Arial"/>
                <w:color w:val="000000" w:themeColor="text1"/>
                <w:szCs w:val="16"/>
              </w:rPr>
              <w:t>71.69%</w:t>
            </w:r>
          </w:p>
        </w:tc>
        <w:tc>
          <w:tcPr>
            <w:tcW w:w="883" w:type="pct"/>
          </w:tcPr>
          <w:p w14:paraId="583F2116" w14:textId="7106D36C" w:rsidR="00B14519" w:rsidRPr="00781112" w:rsidRDefault="00B14519" w:rsidP="00360DD6">
            <w:pPr>
              <w:jc w:val="center"/>
              <w:rPr>
                <w:rFonts w:cs="Arial"/>
                <w:color w:val="000000" w:themeColor="text1"/>
                <w:szCs w:val="16"/>
              </w:rPr>
            </w:pPr>
            <w:r w:rsidRPr="00781112">
              <w:rPr>
                <w:rFonts w:cs="Arial"/>
                <w:color w:val="000000" w:themeColor="text1"/>
                <w:szCs w:val="16"/>
              </w:rPr>
              <w:t>72.13%</w:t>
            </w:r>
          </w:p>
        </w:tc>
        <w:tc>
          <w:tcPr>
            <w:tcW w:w="883" w:type="pct"/>
          </w:tcPr>
          <w:p w14:paraId="08E53F3C" w14:textId="7CD4AF73" w:rsidR="00B14519" w:rsidRPr="00781112" w:rsidRDefault="00B14519" w:rsidP="00360DD6">
            <w:pPr>
              <w:jc w:val="center"/>
              <w:rPr>
                <w:rFonts w:cs="Arial"/>
                <w:color w:val="000000" w:themeColor="text1"/>
                <w:szCs w:val="16"/>
              </w:rPr>
            </w:pPr>
            <w:r w:rsidRPr="00781112">
              <w:rPr>
                <w:rFonts w:cs="Arial"/>
                <w:color w:val="000000" w:themeColor="text1"/>
                <w:szCs w:val="16"/>
              </w:rPr>
              <w:t>73.25%</w:t>
            </w:r>
          </w:p>
        </w:tc>
      </w:tr>
      <w:tr w:rsidR="00B14519" w:rsidRPr="00781112" w14:paraId="3AA5E8F7" w14:textId="085D0F95" w:rsidTr="00451D7E">
        <w:trPr>
          <w:trHeight w:val="303"/>
        </w:trPr>
        <w:tc>
          <w:tcPr>
            <w:tcW w:w="586" w:type="pct"/>
            <w:shd w:val="clear" w:color="auto" w:fill="auto"/>
            <w:vAlign w:val="center"/>
          </w:tcPr>
          <w:p w14:paraId="49E152B3" w14:textId="4DC08CD2" w:rsidR="00B14519" w:rsidRPr="00781112" w:rsidRDefault="00B14519" w:rsidP="00D62058">
            <w:pPr>
              <w:rPr>
                <w:rFonts w:cs="Arial"/>
                <w:color w:val="000000" w:themeColor="text1"/>
                <w:szCs w:val="16"/>
              </w:rPr>
            </w:pPr>
            <w:r w:rsidRPr="00781112">
              <w:rPr>
                <w:rFonts w:cs="Arial"/>
                <w:color w:val="000000" w:themeColor="text1"/>
                <w:szCs w:val="16"/>
              </w:rPr>
              <w:t>Target B &lt;=</w:t>
            </w:r>
          </w:p>
        </w:tc>
        <w:tc>
          <w:tcPr>
            <w:tcW w:w="882" w:type="pct"/>
            <w:shd w:val="clear" w:color="auto" w:fill="auto"/>
            <w:vAlign w:val="center"/>
          </w:tcPr>
          <w:p w14:paraId="642E6A80" w14:textId="7A6AF652" w:rsidR="00B14519" w:rsidRPr="00781112" w:rsidRDefault="00B14519" w:rsidP="00D62058">
            <w:pPr>
              <w:jc w:val="center"/>
              <w:rPr>
                <w:rFonts w:cs="Arial"/>
                <w:color w:val="000000" w:themeColor="text1"/>
                <w:szCs w:val="16"/>
              </w:rPr>
            </w:pPr>
            <w:r w:rsidRPr="00781112">
              <w:rPr>
                <w:rFonts w:cs="Arial"/>
                <w:color w:val="000000" w:themeColor="text1"/>
                <w:szCs w:val="16"/>
              </w:rPr>
              <w:t>17.99%</w:t>
            </w:r>
          </w:p>
        </w:tc>
        <w:tc>
          <w:tcPr>
            <w:tcW w:w="882" w:type="pct"/>
          </w:tcPr>
          <w:p w14:paraId="752B6B9E" w14:textId="3979D870" w:rsidR="00B14519" w:rsidRPr="00781112" w:rsidRDefault="00B14519" w:rsidP="00360DD6">
            <w:pPr>
              <w:jc w:val="center"/>
              <w:rPr>
                <w:rFonts w:cs="Arial"/>
                <w:color w:val="000000" w:themeColor="text1"/>
                <w:szCs w:val="16"/>
              </w:rPr>
            </w:pPr>
            <w:r w:rsidRPr="00781112">
              <w:rPr>
                <w:rFonts w:cs="Arial"/>
                <w:color w:val="000000" w:themeColor="text1"/>
                <w:szCs w:val="16"/>
              </w:rPr>
              <w:t>17.74%</w:t>
            </w:r>
          </w:p>
        </w:tc>
        <w:tc>
          <w:tcPr>
            <w:tcW w:w="884" w:type="pct"/>
          </w:tcPr>
          <w:p w14:paraId="1DCC77D9" w14:textId="4B30FDBE" w:rsidR="00B14519" w:rsidRPr="00781112" w:rsidRDefault="00B14519" w:rsidP="00360DD6">
            <w:pPr>
              <w:jc w:val="center"/>
              <w:rPr>
                <w:rFonts w:cs="Arial"/>
                <w:color w:val="000000" w:themeColor="text1"/>
                <w:szCs w:val="16"/>
              </w:rPr>
            </w:pPr>
            <w:r w:rsidRPr="00781112">
              <w:rPr>
                <w:rFonts w:cs="Arial"/>
                <w:color w:val="000000" w:themeColor="text1"/>
                <w:szCs w:val="16"/>
              </w:rPr>
              <w:t>17.49%</w:t>
            </w:r>
          </w:p>
        </w:tc>
        <w:tc>
          <w:tcPr>
            <w:tcW w:w="883" w:type="pct"/>
          </w:tcPr>
          <w:p w14:paraId="481E8597" w14:textId="10A83577" w:rsidR="00B14519" w:rsidRPr="00781112" w:rsidRDefault="00B14519" w:rsidP="00360DD6">
            <w:pPr>
              <w:jc w:val="center"/>
              <w:rPr>
                <w:rFonts w:cs="Arial"/>
                <w:color w:val="000000" w:themeColor="text1"/>
                <w:szCs w:val="16"/>
              </w:rPr>
            </w:pPr>
            <w:r w:rsidRPr="00781112">
              <w:rPr>
                <w:rFonts w:cs="Arial"/>
                <w:color w:val="000000" w:themeColor="text1"/>
                <w:szCs w:val="16"/>
              </w:rPr>
              <w:t>17.00%</w:t>
            </w:r>
          </w:p>
        </w:tc>
        <w:tc>
          <w:tcPr>
            <w:tcW w:w="883" w:type="pct"/>
          </w:tcPr>
          <w:p w14:paraId="55F7CFD1" w14:textId="49CA8BA3" w:rsidR="00B14519" w:rsidRPr="00781112" w:rsidRDefault="00B14519" w:rsidP="00360DD6">
            <w:pPr>
              <w:jc w:val="center"/>
              <w:rPr>
                <w:rFonts w:cs="Arial"/>
                <w:color w:val="000000" w:themeColor="text1"/>
                <w:szCs w:val="16"/>
              </w:rPr>
            </w:pPr>
            <w:r w:rsidRPr="00781112">
              <w:rPr>
                <w:rFonts w:cs="Arial"/>
                <w:color w:val="000000" w:themeColor="text1"/>
                <w:szCs w:val="16"/>
              </w:rPr>
              <w:t>16.00%</w:t>
            </w:r>
          </w:p>
        </w:tc>
      </w:tr>
    </w:tbl>
    <w:p w14:paraId="27170CED" w14:textId="772C81FC" w:rsidR="00E428BD" w:rsidRDefault="00E428BD" w:rsidP="004369B2">
      <w:pPr>
        <w:rPr>
          <w:color w:val="000000" w:themeColor="text1"/>
        </w:rPr>
      </w:pPr>
      <w:bookmarkStart w:id="35" w:name="_Toc382082378"/>
      <w:bookmarkStart w:id="36"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42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6"/>
        <w:gridCol w:w="1617"/>
        <w:gridCol w:w="1617"/>
        <w:gridCol w:w="1621"/>
        <w:gridCol w:w="1619"/>
        <w:gridCol w:w="1619"/>
      </w:tblGrid>
      <w:tr w:rsidR="00B14519" w:rsidRPr="00781112" w14:paraId="6B43903F" w14:textId="77777777" w:rsidTr="00451D7E">
        <w:trPr>
          <w:trHeight w:val="297"/>
        </w:trPr>
        <w:tc>
          <w:tcPr>
            <w:tcW w:w="586" w:type="pct"/>
            <w:tcBorders>
              <w:bottom w:val="single" w:sz="4" w:space="0" w:color="auto"/>
            </w:tcBorders>
            <w:shd w:val="clear" w:color="auto" w:fill="auto"/>
          </w:tcPr>
          <w:p w14:paraId="454FDD0F" w14:textId="77777777" w:rsidR="00B14519" w:rsidRPr="00781112" w:rsidRDefault="00B14519" w:rsidP="00992ACE">
            <w:pPr>
              <w:jc w:val="center"/>
              <w:rPr>
                <w:b/>
                <w:color w:val="000000" w:themeColor="text1"/>
              </w:rPr>
            </w:pPr>
            <w:r w:rsidRPr="00781112">
              <w:rPr>
                <w:b/>
                <w:color w:val="000000" w:themeColor="text1"/>
              </w:rPr>
              <w:t>FFY</w:t>
            </w:r>
          </w:p>
        </w:tc>
        <w:tc>
          <w:tcPr>
            <w:tcW w:w="882" w:type="pct"/>
            <w:shd w:val="clear" w:color="auto" w:fill="auto"/>
          </w:tcPr>
          <w:p w14:paraId="23E06477" w14:textId="77777777" w:rsidR="00B14519" w:rsidRPr="00781112" w:rsidRDefault="00B14519" w:rsidP="00992ACE">
            <w:pPr>
              <w:jc w:val="center"/>
              <w:rPr>
                <w:b/>
                <w:color w:val="000000" w:themeColor="text1"/>
              </w:rPr>
            </w:pPr>
            <w:r w:rsidRPr="00781112">
              <w:rPr>
                <w:b/>
                <w:color w:val="000000" w:themeColor="text1"/>
              </w:rPr>
              <w:t>2021</w:t>
            </w:r>
          </w:p>
        </w:tc>
        <w:tc>
          <w:tcPr>
            <w:tcW w:w="882" w:type="pct"/>
          </w:tcPr>
          <w:p w14:paraId="727ADECD" w14:textId="77777777" w:rsidR="00B14519" w:rsidRPr="00781112" w:rsidRDefault="00B14519" w:rsidP="00992ACE">
            <w:pPr>
              <w:jc w:val="center"/>
              <w:rPr>
                <w:b/>
                <w:color w:val="000000" w:themeColor="text1"/>
              </w:rPr>
            </w:pPr>
            <w:r w:rsidRPr="00781112">
              <w:rPr>
                <w:b/>
                <w:color w:val="000000" w:themeColor="text1"/>
              </w:rPr>
              <w:t>2022</w:t>
            </w:r>
          </w:p>
        </w:tc>
        <w:tc>
          <w:tcPr>
            <w:tcW w:w="884" w:type="pct"/>
          </w:tcPr>
          <w:p w14:paraId="6EC259CD" w14:textId="77777777" w:rsidR="00B14519" w:rsidRPr="00781112" w:rsidRDefault="00B14519" w:rsidP="00992ACE">
            <w:pPr>
              <w:jc w:val="center"/>
              <w:rPr>
                <w:b/>
                <w:color w:val="000000" w:themeColor="text1"/>
              </w:rPr>
            </w:pPr>
            <w:r w:rsidRPr="00781112">
              <w:rPr>
                <w:b/>
                <w:color w:val="000000" w:themeColor="text1"/>
              </w:rPr>
              <w:t>2023</w:t>
            </w:r>
          </w:p>
        </w:tc>
        <w:tc>
          <w:tcPr>
            <w:tcW w:w="883" w:type="pct"/>
          </w:tcPr>
          <w:p w14:paraId="30FC0D14" w14:textId="77777777" w:rsidR="00B14519" w:rsidRPr="00781112" w:rsidRDefault="00B14519" w:rsidP="00992ACE">
            <w:pPr>
              <w:jc w:val="center"/>
              <w:rPr>
                <w:b/>
                <w:color w:val="000000" w:themeColor="text1"/>
              </w:rPr>
            </w:pPr>
            <w:r w:rsidRPr="00781112">
              <w:rPr>
                <w:b/>
                <w:color w:val="000000" w:themeColor="text1"/>
              </w:rPr>
              <w:t>2024</w:t>
            </w:r>
          </w:p>
        </w:tc>
        <w:tc>
          <w:tcPr>
            <w:tcW w:w="883" w:type="pct"/>
          </w:tcPr>
          <w:p w14:paraId="508E78A1" w14:textId="77777777" w:rsidR="00B14519" w:rsidRPr="00781112" w:rsidRDefault="00B14519" w:rsidP="00992ACE">
            <w:pPr>
              <w:jc w:val="center"/>
              <w:rPr>
                <w:b/>
                <w:color w:val="000000" w:themeColor="text1"/>
              </w:rPr>
            </w:pPr>
            <w:r w:rsidRPr="00781112">
              <w:rPr>
                <w:b/>
                <w:color w:val="000000" w:themeColor="text1"/>
              </w:rPr>
              <w:t>2025</w:t>
            </w:r>
          </w:p>
        </w:tc>
      </w:tr>
      <w:tr w:rsidR="00B14519" w:rsidRPr="00781112" w14:paraId="38A2A2D3" w14:textId="77777777" w:rsidTr="00451D7E">
        <w:trPr>
          <w:trHeight w:val="303"/>
        </w:trPr>
        <w:tc>
          <w:tcPr>
            <w:tcW w:w="586" w:type="pct"/>
            <w:shd w:val="clear" w:color="auto" w:fill="auto"/>
            <w:vAlign w:val="center"/>
          </w:tcPr>
          <w:p w14:paraId="1A01A931" w14:textId="77777777" w:rsidR="00B14519" w:rsidRPr="00781112" w:rsidRDefault="00B14519" w:rsidP="00992ACE">
            <w:pPr>
              <w:rPr>
                <w:rFonts w:cs="Arial"/>
                <w:color w:val="000000" w:themeColor="text1"/>
                <w:szCs w:val="16"/>
              </w:rPr>
            </w:pPr>
            <w:r w:rsidRPr="00781112">
              <w:rPr>
                <w:rFonts w:cs="Arial"/>
                <w:color w:val="000000" w:themeColor="text1"/>
                <w:szCs w:val="16"/>
              </w:rPr>
              <w:t>Target C &lt;=</w:t>
            </w:r>
          </w:p>
        </w:tc>
        <w:tc>
          <w:tcPr>
            <w:tcW w:w="882" w:type="pct"/>
            <w:shd w:val="clear" w:color="auto" w:fill="auto"/>
            <w:vAlign w:val="center"/>
          </w:tcPr>
          <w:p w14:paraId="4CC46A48"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1.16%</w:t>
            </w:r>
          </w:p>
        </w:tc>
        <w:tc>
          <w:tcPr>
            <w:tcW w:w="882" w:type="pct"/>
          </w:tcPr>
          <w:p w14:paraId="262E2FD0"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1.15%</w:t>
            </w:r>
          </w:p>
        </w:tc>
        <w:tc>
          <w:tcPr>
            <w:tcW w:w="884" w:type="pct"/>
          </w:tcPr>
          <w:p w14:paraId="54ED085E"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1.15%</w:t>
            </w:r>
          </w:p>
        </w:tc>
        <w:tc>
          <w:tcPr>
            <w:tcW w:w="883" w:type="pct"/>
          </w:tcPr>
          <w:p w14:paraId="2466D4C4"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1.13%</w:t>
            </w:r>
          </w:p>
        </w:tc>
        <w:tc>
          <w:tcPr>
            <w:tcW w:w="883" w:type="pct"/>
          </w:tcPr>
          <w:p w14:paraId="17FD3C25" w14:textId="77777777" w:rsidR="00B14519" w:rsidRPr="00781112" w:rsidRDefault="00B14519" w:rsidP="00992ACE">
            <w:pPr>
              <w:jc w:val="center"/>
              <w:rPr>
                <w:rFonts w:cs="Arial"/>
                <w:color w:val="000000" w:themeColor="text1"/>
                <w:szCs w:val="16"/>
              </w:rPr>
            </w:pPr>
            <w:r w:rsidRPr="00781112">
              <w:rPr>
                <w:rFonts w:cs="Arial"/>
                <w:color w:val="000000" w:themeColor="text1"/>
                <w:szCs w:val="16"/>
              </w:rPr>
              <w:t>1.10%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2021-22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07/06/2022</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866</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1,114</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243</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2,223</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 xml:space="preserve">a1. Number of children attending a regular early childhood program and receiving </w:t>
            </w: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653</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866</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182</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1,701</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143</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133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33</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309</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4</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lastRenderedPageBreak/>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0384E1C7" w:rsidR="00E60622" w:rsidRPr="00781112" w:rsidRDefault="0047313F" w:rsidP="004369B2">
      <w:pPr>
        <w:rPr>
          <w:b/>
          <w:bCs/>
          <w:color w:val="000000" w:themeColor="text1"/>
        </w:rPr>
      </w:pPr>
      <w:r>
        <w:rPr>
          <w:b/>
          <w:bCs/>
          <w:color w:val="000000" w:themeColor="text1"/>
        </w:rPr>
        <w:t xml:space="preserve">FFY 2021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CC1061" w:rsidRPr="00781112" w14:paraId="38300B51" w14:textId="77777777" w:rsidTr="007239EC">
        <w:trPr>
          <w:trHeight w:val="354"/>
          <w:tblHeader/>
        </w:trPr>
        <w:tc>
          <w:tcPr>
            <w:tcW w:w="1373" w:type="pct"/>
            <w:shd w:val="clear" w:color="auto" w:fill="auto"/>
            <w:vAlign w:val="bottom"/>
          </w:tcPr>
          <w:p w14:paraId="0F38A3C5" w14:textId="3D46820E" w:rsidR="00CC1061" w:rsidRPr="00781112" w:rsidRDefault="00CC1061" w:rsidP="00CC1061">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CC1061" w:rsidRPr="00781112" w:rsidRDefault="00CC1061" w:rsidP="00CC1061">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CC1061" w:rsidRPr="00781112" w:rsidRDefault="00CC1061" w:rsidP="00CC1061">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1BD6525B" w:rsidR="00CC1061" w:rsidRPr="00781112" w:rsidRDefault="00CC1061" w:rsidP="00CC1061">
            <w:pPr>
              <w:jc w:val="center"/>
              <w:rPr>
                <w:rFonts w:cs="Arial"/>
                <w:b/>
                <w:color w:val="000000" w:themeColor="text1"/>
                <w:szCs w:val="16"/>
              </w:rPr>
            </w:pPr>
            <w:r w:rsidRPr="00073BD7">
              <w:rPr>
                <w:b/>
                <w:bCs/>
              </w:rPr>
              <w:t>FFY 2020 Data</w:t>
            </w:r>
          </w:p>
        </w:tc>
        <w:tc>
          <w:tcPr>
            <w:tcW w:w="518" w:type="pct"/>
            <w:shd w:val="clear" w:color="auto" w:fill="auto"/>
            <w:vAlign w:val="bottom"/>
          </w:tcPr>
          <w:p w14:paraId="525540A0" w14:textId="08223658" w:rsidR="00CC1061" w:rsidRPr="00781112" w:rsidRDefault="00CC1061" w:rsidP="00CC1061">
            <w:pPr>
              <w:jc w:val="center"/>
              <w:rPr>
                <w:rFonts w:cs="Arial"/>
                <w:b/>
                <w:color w:val="000000" w:themeColor="text1"/>
                <w:szCs w:val="16"/>
              </w:rPr>
            </w:pPr>
            <w:r w:rsidRPr="00073BD7">
              <w:rPr>
                <w:b/>
                <w:bCs/>
              </w:rPr>
              <w:t>FFY 2021 Target</w:t>
            </w:r>
          </w:p>
        </w:tc>
        <w:tc>
          <w:tcPr>
            <w:tcW w:w="518" w:type="pct"/>
            <w:shd w:val="clear" w:color="auto" w:fill="auto"/>
            <w:vAlign w:val="bottom"/>
          </w:tcPr>
          <w:p w14:paraId="2B9D213A" w14:textId="238B73CF" w:rsidR="00CC1061" w:rsidRPr="00781112" w:rsidRDefault="00CC1061" w:rsidP="00CC1061">
            <w:pPr>
              <w:jc w:val="center"/>
              <w:rPr>
                <w:rFonts w:cs="Arial"/>
                <w:b/>
                <w:color w:val="000000" w:themeColor="text1"/>
                <w:szCs w:val="16"/>
              </w:rPr>
            </w:pPr>
            <w:r w:rsidRPr="00073BD7">
              <w:rPr>
                <w:b/>
                <w:bCs/>
              </w:rPr>
              <w:t>FFY 2021 Data</w:t>
            </w:r>
          </w:p>
        </w:tc>
        <w:tc>
          <w:tcPr>
            <w:tcW w:w="518" w:type="pct"/>
            <w:shd w:val="clear" w:color="auto" w:fill="auto"/>
            <w:vAlign w:val="bottom"/>
          </w:tcPr>
          <w:p w14:paraId="46108583"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CC1061" w:rsidRPr="00781112" w:rsidRDefault="00CC1061" w:rsidP="00CC1061">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A. A regular early childhood program and receiving </w:t>
            </w:r>
            <w:proofErr w:type="gramStart"/>
            <w:r w:rsidRPr="00781112">
              <w:rPr>
                <w:rFonts w:cs="Arial"/>
                <w:color w:val="000000" w:themeColor="text1"/>
                <w:szCs w:val="16"/>
                <w:shd w:val="clear" w:color="auto" w:fill="FFFFFF"/>
              </w:rPr>
              <w:t>the majority of</w:t>
            </w:r>
            <w:proofErr w:type="gramEnd"/>
            <w:r w:rsidRPr="00781112">
              <w:rPr>
                <w:rFonts w:cs="Arial"/>
                <w:color w:val="000000" w:themeColor="text1"/>
                <w:szCs w:val="16"/>
                <w:shd w:val="clear" w:color="auto" w:fill="FFFFFF"/>
              </w:rPr>
              <w:t xml:space="preserve">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1,701</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2,223</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76.52%</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 xml:space="preserve">B. Separate special education class, separate </w:t>
            </w:r>
            <w:proofErr w:type="gramStart"/>
            <w:r w:rsidRPr="00781112">
              <w:rPr>
                <w:rFonts w:cs="Arial"/>
                <w:color w:val="000000" w:themeColor="text1"/>
                <w:szCs w:val="16"/>
                <w:shd w:val="clear" w:color="auto" w:fill="FFFFFF"/>
              </w:rPr>
              <w:t>school</w:t>
            </w:r>
            <w:proofErr w:type="gramEnd"/>
            <w:r w:rsidRPr="00781112">
              <w:rPr>
                <w:rFonts w:cs="Arial"/>
                <w:color w:val="000000" w:themeColor="text1"/>
                <w:szCs w:val="16"/>
                <w:shd w:val="clear" w:color="auto" w:fill="FFFFFF"/>
              </w:rPr>
              <w:t xml:space="preserve">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316</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2,223</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17.99%</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14.22%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2,223</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r w:rsidRPr="00781112">
              <w:rPr>
                <w:rFonts w:cs="Arial"/>
                <w:color w:val="000000" w:themeColor="text1"/>
                <w:szCs w:val="16"/>
              </w:rPr>
              <w:t>1.16%</w:t>
            </w: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1.16%</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0.31%</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No Slippage</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3C308E" w:rsidP="007D435F">
      <w:pPr>
        <w:rPr>
          <w:rFonts w:cs="Arial"/>
          <w:color w:val="000000" w:themeColor="text1"/>
          <w:szCs w:val="16"/>
        </w:rPr>
      </w:pP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3C308E" w:rsidP="001F692C">
      <w:pPr>
        <w:rPr>
          <w:rFonts w:cs="Arial"/>
          <w:color w:val="000000" w:themeColor="text1"/>
          <w:szCs w:val="16"/>
        </w:rPr>
      </w:pP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88D5BD8"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5"/>
      <w:bookmarkEnd w:id="36"/>
    </w:p>
    <w:p w14:paraId="1404DCF9" w14:textId="77777777" w:rsidR="00531E54" w:rsidRPr="00781112" w:rsidRDefault="00531E54" w:rsidP="00A018D4">
      <w:pPr>
        <w:rPr>
          <w:color w:val="000000" w:themeColor="text1"/>
          <w:szCs w:val="20"/>
        </w:rPr>
      </w:pPr>
      <w:bookmarkStart w:id="37"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xml:space="preserve"> Of those preschool children who entered the preschool program below age expectations in each Outcome,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w:t>
      </w:r>
      <w:proofErr w:type="gramStart"/>
      <w:r w:rsidRPr="00781112">
        <w:rPr>
          <w:rFonts w:cs="Arial"/>
          <w:color w:val="000000" w:themeColor="text1"/>
          <w:szCs w:val="16"/>
        </w:rPr>
        <w:t>is allowed</w:t>
      </w:r>
      <w:proofErr w:type="gramEnd"/>
      <w:r w:rsidRPr="00781112">
        <w:rPr>
          <w:rFonts w:cs="Arial"/>
          <w:color w:val="000000" w:themeColor="text1"/>
          <w:szCs w:val="16"/>
        </w:rPr>
        <w:t xml:space="preserve">. When sampling </w:t>
      </w:r>
      <w:proofErr w:type="gramStart"/>
      <w:r w:rsidRPr="00781112">
        <w:rPr>
          <w:rFonts w:cs="Arial"/>
          <w:color w:val="000000" w:themeColor="text1"/>
          <w:szCs w:val="16"/>
        </w:rPr>
        <w:t>is used</w:t>
      </w:r>
      <w:proofErr w:type="gramEnd"/>
      <w:r w:rsidRPr="00781112">
        <w:rPr>
          <w:rFonts w:cs="Arial"/>
          <w:color w:val="000000" w:themeColor="text1"/>
          <w:szCs w:val="16"/>
        </w:rPr>
        <w:t>,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Describe the results of the calculations and compare the results to the targets. States will use the progress categories for each of the three Outcomes to calculate and </w:t>
      </w:r>
      <w:proofErr w:type="gramStart"/>
      <w:r w:rsidRPr="00781112">
        <w:rPr>
          <w:rFonts w:cs="Arial"/>
          <w:color w:val="000000" w:themeColor="text1"/>
          <w:szCs w:val="16"/>
        </w:rPr>
        <w:t>report</w:t>
      </w:r>
      <w:proofErr w:type="gramEnd"/>
      <w:r w:rsidRPr="00781112">
        <w:rPr>
          <w:rFonts w:cs="Arial"/>
          <w:color w:val="000000" w:themeColor="text1"/>
          <w:szCs w:val="16"/>
        </w:rPr>
        <w:t xml:space="preserve">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 xml:space="preserve">In presenting results, provide the criteria for defining “comparable to same-aged peers.” If a State is using the Early Childhood Outcomes Center (ECO) Child Outcomes Summary (COS), then the criteria for defining “comparable to same-aged peers” has </w:t>
      </w:r>
      <w:proofErr w:type="gramStart"/>
      <w:r w:rsidRPr="00781112">
        <w:rPr>
          <w:rFonts w:cs="Arial"/>
          <w:color w:val="000000" w:themeColor="text1"/>
          <w:szCs w:val="16"/>
        </w:rPr>
        <w:t>been defined</w:t>
      </w:r>
      <w:proofErr w:type="gramEnd"/>
      <w:r w:rsidRPr="00781112">
        <w:rPr>
          <w:rFonts w:cs="Arial"/>
          <w:color w:val="000000" w:themeColor="text1"/>
          <w:szCs w:val="16"/>
        </w:rPr>
        <w:t xml:space="preserve">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7"/>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2020</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87.70%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87.90%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78.33%</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78.33%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88.33%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87.79%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78.78%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63.91%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78.33%</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57.53%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57.53%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59.13%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82.73%</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82.73%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76.05%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81.67%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73.64%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82.73%</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89.47%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89.67%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91.27%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61.15%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79.88%</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84.71%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70.34%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59.25%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47.19%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79.88%</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53.92%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54.12%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55.72%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57.50%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54.87%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54.53%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57.26%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55.65%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58.22%</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89.38%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89.58%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91.18%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64.00%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83.44%</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86.30%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61.25%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42.19%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83.44%</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68.75%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68.95%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70.55%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70.25%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71.15%</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70.84%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72.47%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69.99%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65.69%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71.15%</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2"/>
        <w:gridCol w:w="1696"/>
        <w:gridCol w:w="1696"/>
        <w:gridCol w:w="1696"/>
        <w:gridCol w:w="1696"/>
      </w:tblGrid>
      <w:tr w:rsidR="00B14519" w:rsidRPr="00781112" w14:paraId="7154778B" w14:textId="326343BD" w:rsidTr="00451D7E">
        <w:trPr>
          <w:trHeight w:val="333"/>
        </w:trPr>
        <w:tc>
          <w:tcPr>
            <w:tcW w:w="267" w:type="pct"/>
            <w:tcBorders>
              <w:bottom w:val="single" w:sz="4" w:space="0" w:color="auto"/>
            </w:tcBorders>
            <w:shd w:val="clear" w:color="auto" w:fill="auto"/>
            <w:vAlign w:val="center"/>
          </w:tcPr>
          <w:p w14:paraId="4C772A88" w14:textId="77777777" w:rsidR="00B14519" w:rsidRPr="00781112" w:rsidRDefault="00B14519" w:rsidP="00D62058">
            <w:pPr>
              <w:jc w:val="center"/>
              <w:rPr>
                <w:b/>
                <w:color w:val="000000" w:themeColor="text1"/>
              </w:rPr>
            </w:pPr>
            <w:r w:rsidRPr="00781112">
              <w:rPr>
                <w:b/>
                <w:color w:val="000000" w:themeColor="text1"/>
              </w:rPr>
              <w:t>FFY</w:t>
            </w:r>
          </w:p>
        </w:tc>
        <w:tc>
          <w:tcPr>
            <w:tcW w:w="901" w:type="pct"/>
            <w:shd w:val="clear" w:color="auto" w:fill="auto"/>
            <w:vAlign w:val="center"/>
          </w:tcPr>
          <w:p w14:paraId="12A78916" w14:textId="4FE79E21" w:rsidR="00B14519" w:rsidRPr="00781112" w:rsidRDefault="00B14519" w:rsidP="00D62058">
            <w:pPr>
              <w:jc w:val="center"/>
              <w:rPr>
                <w:b/>
                <w:color w:val="000000" w:themeColor="text1"/>
              </w:rPr>
            </w:pPr>
            <w:r w:rsidRPr="00781112">
              <w:rPr>
                <w:b/>
                <w:color w:val="000000" w:themeColor="text1"/>
              </w:rPr>
              <w:t>2021</w:t>
            </w:r>
          </w:p>
        </w:tc>
        <w:tc>
          <w:tcPr>
            <w:tcW w:w="958" w:type="pct"/>
            <w:vAlign w:val="center"/>
          </w:tcPr>
          <w:p w14:paraId="252A750A" w14:textId="25138A81" w:rsidR="00B14519" w:rsidRPr="00781112" w:rsidRDefault="00B14519" w:rsidP="00D62058">
            <w:pPr>
              <w:jc w:val="center"/>
              <w:rPr>
                <w:b/>
                <w:color w:val="000000" w:themeColor="text1"/>
              </w:rPr>
            </w:pPr>
            <w:r w:rsidRPr="00781112">
              <w:rPr>
                <w:rFonts w:cs="Arial"/>
                <w:b/>
                <w:color w:val="000000" w:themeColor="text1"/>
                <w:szCs w:val="16"/>
              </w:rPr>
              <w:t>2022</w:t>
            </w:r>
          </w:p>
        </w:tc>
        <w:tc>
          <w:tcPr>
            <w:tcW w:w="958" w:type="pct"/>
            <w:vAlign w:val="center"/>
          </w:tcPr>
          <w:p w14:paraId="68D8D021" w14:textId="79B543D0" w:rsidR="00B14519" w:rsidRPr="00781112" w:rsidRDefault="00B14519" w:rsidP="00D62058">
            <w:pPr>
              <w:jc w:val="center"/>
              <w:rPr>
                <w:b/>
                <w:color w:val="000000" w:themeColor="text1"/>
              </w:rPr>
            </w:pPr>
            <w:r w:rsidRPr="00781112">
              <w:rPr>
                <w:rFonts w:cs="Arial"/>
                <w:b/>
                <w:color w:val="000000" w:themeColor="text1"/>
                <w:szCs w:val="16"/>
              </w:rPr>
              <w:t>2023</w:t>
            </w:r>
          </w:p>
        </w:tc>
        <w:tc>
          <w:tcPr>
            <w:tcW w:w="958" w:type="pct"/>
            <w:vAlign w:val="center"/>
          </w:tcPr>
          <w:p w14:paraId="60B57779" w14:textId="39F7714F" w:rsidR="00B14519" w:rsidRPr="00781112" w:rsidRDefault="00B14519" w:rsidP="00D62058">
            <w:pPr>
              <w:jc w:val="center"/>
              <w:rPr>
                <w:b/>
                <w:color w:val="000000" w:themeColor="text1"/>
              </w:rPr>
            </w:pPr>
            <w:r w:rsidRPr="00781112">
              <w:rPr>
                <w:rFonts w:cs="Arial"/>
                <w:b/>
                <w:color w:val="000000" w:themeColor="text1"/>
                <w:szCs w:val="16"/>
              </w:rPr>
              <w:t>2024</w:t>
            </w:r>
          </w:p>
        </w:tc>
        <w:tc>
          <w:tcPr>
            <w:tcW w:w="958" w:type="pct"/>
            <w:vAlign w:val="center"/>
          </w:tcPr>
          <w:p w14:paraId="2CB555F8" w14:textId="64C2A928" w:rsidR="00B14519" w:rsidRPr="00781112" w:rsidRDefault="00B14519" w:rsidP="00D62058">
            <w:pPr>
              <w:jc w:val="center"/>
              <w:rPr>
                <w:b/>
                <w:color w:val="000000" w:themeColor="text1"/>
              </w:rPr>
            </w:pPr>
            <w:r w:rsidRPr="00781112">
              <w:rPr>
                <w:rFonts w:cs="Arial"/>
                <w:b/>
                <w:color w:val="000000" w:themeColor="text1"/>
                <w:szCs w:val="16"/>
              </w:rPr>
              <w:t>2025</w:t>
            </w:r>
          </w:p>
        </w:tc>
      </w:tr>
      <w:tr w:rsidR="00B14519" w:rsidRPr="00781112" w14:paraId="18C73B9A" w14:textId="4A314190" w:rsidTr="00451D7E">
        <w:trPr>
          <w:trHeight w:val="340"/>
        </w:trPr>
        <w:tc>
          <w:tcPr>
            <w:tcW w:w="267" w:type="pct"/>
            <w:shd w:val="clear" w:color="auto" w:fill="auto"/>
            <w:vAlign w:val="center"/>
          </w:tcPr>
          <w:p w14:paraId="507B0BCD" w14:textId="415A5723" w:rsidR="00B14519" w:rsidRPr="00781112" w:rsidRDefault="00B14519" w:rsidP="00D62058">
            <w:pPr>
              <w:rPr>
                <w:rFonts w:cs="Arial"/>
                <w:color w:val="000000" w:themeColor="text1"/>
                <w:szCs w:val="16"/>
              </w:rPr>
            </w:pPr>
            <w:r w:rsidRPr="00781112">
              <w:rPr>
                <w:rFonts w:cs="Arial"/>
                <w:color w:val="000000" w:themeColor="text1"/>
                <w:szCs w:val="16"/>
              </w:rPr>
              <w:t>Target A1 &gt;=</w:t>
            </w:r>
          </w:p>
        </w:tc>
        <w:tc>
          <w:tcPr>
            <w:tcW w:w="901" w:type="pct"/>
            <w:shd w:val="clear" w:color="auto" w:fill="auto"/>
            <w:vAlign w:val="center"/>
          </w:tcPr>
          <w:p w14:paraId="1B809E80" w14:textId="23651174" w:rsidR="00B14519" w:rsidRPr="00781112" w:rsidRDefault="00B14519" w:rsidP="00D62058">
            <w:pPr>
              <w:jc w:val="center"/>
              <w:rPr>
                <w:color w:val="000000" w:themeColor="text1"/>
              </w:rPr>
            </w:pPr>
            <w:r w:rsidRPr="00781112">
              <w:rPr>
                <w:color w:val="000000" w:themeColor="text1"/>
              </w:rPr>
              <w:t>78.33%</w:t>
            </w:r>
          </w:p>
        </w:tc>
        <w:tc>
          <w:tcPr>
            <w:tcW w:w="958" w:type="pct"/>
            <w:vAlign w:val="center"/>
          </w:tcPr>
          <w:p w14:paraId="5EAD01EF" w14:textId="12066A13" w:rsidR="00B14519" w:rsidRPr="00781112" w:rsidRDefault="00B14519" w:rsidP="00D62058">
            <w:pPr>
              <w:jc w:val="center"/>
              <w:rPr>
                <w:color w:val="000000" w:themeColor="text1"/>
              </w:rPr>
            </w:pPr>
            <w:r w:rsidRPr="00781112">
              <w:rPr>
                <w:color w:val="000000" w:themeColor="text1"/>
                <w:szCs w:val="16"/>
              </w:rPr>
              <w:t>78.54%</w:t>
            </w:r>
          </w:p>
        </w:tc>
        <w:tc>
          <w:tcPr>
            <w:tcW w:w="958" w:type="pct"/>
            <w:vAlign w:val="center"/>
          </w:tcPr>
          <w:p w14:paraId="2E3018C0" w14:textId="3758E6A1" w:rsidR="00B14519" w:rsidRPr="00781112" w:rsidRDefault="00B14519" w:rsidP="00D62058">
            <w:pPr>
              <w:jc w:val="center"/>
              <w:rPr>
                <w:color w:val="000000" w:themeColor="text1"/>
              </w:rPr>
            </w:pPr>
            <w:r w:rsidRPr="00781112">
              <w:rPr>
                <w:color w:val="000000" w:themeColor="text1"/>
                <w:szCs w:val="16"/>
              </w:rPr>
              <w:t>78.75%</w:t>
            </w:r>
          </w:p>
        </w:tc>
        <w:tc>
          <w:tcPr>
            <w:tcW w:w="958" w:type="pct"/>
            <w:vAlign w:val="center"/>
          </w:tcPr>
          <w:p w14:paraId="063238F2" w14:textId="239B2312" w:rsidR="00B14519" w:rsidRPr="00781112" w:rsidRDefault="00B14519" w:rsidP="00D62058">
            <w:pPr>
              <w:jc w:val="center"/>
              <w:rPr>
                <w:color w:val="000000" w:themeColor="text1"/>
              </w:rPr>
            </w:pPr>
            <w:r w:rsidRPr="00781112">
              <w:rPr>
                <w:color w:val="000000" w:themeColor="text1"/>
                <w:szCs w:val="16"/>
              </w:rPr>
              <w:t>79.17%</w:t>
            </w:r>
          </w:p>
        </w:tc>
        <w:tc>
          <w:tcPr>
            <w:tcW w:w="958" w:type="pct"/>
            <w:vAlign w:val="center"/>
          </w:tcPr>
          <w:p w14:paraId="4FBF626C" w14:textId="574BC7A3" w:rsidR="00B14519" w:rsidRPr="00781112" w:rsidRDefault="00B14519" w:rsidP="00D62058">
            <w:pPr>
              <w:jc w:val="center"/>
              <w:rPr>
                <w:color w:val="000000" w:themeColor="text1"/>
              </w:rPr>
            </w:pPr>
            <w:r w:rsidRPr="00781112">
              <w:rPr>
                <w:color w:val="000000" w:themeColor="text1"/>
                <w:szCs w:val="16"/>
              </w:rPr>
              <w:t>80.00%</w:t>
            </w:r>
          </w:p>
        </w:tc>
      </w:tr>
      <w:tr w:rsidR="00B14519" w:rsidRPr="00781112" w14:paraId="7C704220" w14:textId="4A1FC69E" w:rsidTr="00451D7E">
        <w:trPr>
          <w:trHeight w:val="340"/>
        </w:trPr>
        <w:tc>
          <w:tcPr>
            <w:tcW w:w="267" w:type="pct"/>
            <w:shd w:val="clear" w:color="auto" w:fill="auto"/>
            <w:vAlign w:val="center"/>
          </w:tcPr>
          <w:p w14:paraId="253AADF0" w14:textId="721E9C65" w:rsidR="00B14519" w:rsidRPr="00781112" w:rsidRDefault="00B14519" w:rsidP="00D62058">
            <w:pPr>
              <w:rPr>
                <w:rFonts w:cs="Arial"/>
                <w:color w:val="000000" w:themeColor="text1"/>
                <w:szCs w:val="16"/>
              </w:rPr>
            </w:pPr>
            <w:r w:rsidRPr="00781112">
              <w:rPr>
                <w:rFonts w:cs="Arial"/>
                <w:color w:val="000000" w:themeColor="text1"/>
                <w:szCs w:val="16"/>
              </w:rPr>
              <w:t>Target A2 &gt;=</w:t>
            </w:r>
          </w:p>
        </w:tc>
        <w:tc>
          <w:tcPr>
            <w:tcW w:w="901" w:type="pct"/>
            <w:shd w:val="clear" w:color="auto" w:fill="auto"/>
            <w:vAlign w:val="center"/>
          </w:tcPr>
          <w:p w14:paraId="572F97E5" w14:textId="71E20118" w:rsidR="00B14519" w:rsidRPr="00781112" w:rsidRDefault="00B14519" w:rsidP="00D62058">
            <w:pPr>
              <w:jc w:val="center"/>
              <w:rPr>
                <w:rFonts w:cs="Arial"/>
                <w:color w:val="000000" w:themeColor="text1"/>
                <w:szCs w:val="16"/>
              </w:rPr>
            </w:pPr>
            <w:r w:rsidRPr="00781112">
              <w:rPr>
                <w:rFonts w:cs="Arial"/>
                <w:color w:val="000000" w:themeColor="text1"/>
                <w:szCs w:val="16"/>
              </w:rPr>
              <w:t>82.73%</w:t>
            </w:r>
          </w:p>
        </w:tc>
        <w:tc>
          <w:tcPr>
            <w:tcW w:w="958" w:type="pct"/>
            <w:vAlign w:val="center"/>
          </w:tcPr>
          <w:p w14:paraId="40137C22" w14:textId="775C9D4C" w:rsidR="00B14519" w:rsidRPr="00781112" w:rsidRDefault="00B14519" w:rsidP="00D62058">
            <w:pPr>
              <w:jc w:val="center"/>
              <w:rPr>
                <w:rFonts w:cs="Arial"/>
                <w:color w:val="000000" w:themeColor="text1"/>
                <w:szCs w:val="16"/>
              </w:rPr>
            </w:pPr>
            <w:r w:rsidRPr="00781112">
              <w:rPr>
                <w:color w:val="000000" w:themeColor="text1"/>
                <w:szCs w:val="16"/>
              </w:rPr>
              <w:t>82.89%</w:t>
            </w:r>
          </w:p>
        </w:tc>
        <w:tc>
          <w:tcPr>
            <w:tcW w:w="958" w:type="pct"/>
            <w:vAlign w:val="center"/>
          </w:tcPr>
          <w:p w14:paraId="468DEAEF" w14:textId="0B21BE62" w:rsidR="00B14519" w:rsidRPr="00781112" w:rsidRDefault="00B14519" w:rsidP="00D62058">
            <w:pPr>
              <w:jc w:val="center"/>
              <w:rPr>
                <w:rFonts w:cs="Arial"/>
                <w:color w:val="000000" w:themeColor="text1"/>
                <w:szCs w:val="16"/>
              </w:rPr>
            </w:pPr>
            <w:r w:rsidRPr="00781112">
              <w:rPr>
                <w:color w:val="000000" w:themeColor="text1"/>
                <w:szCs w:val="16"/>
              </w:rPr>
              <w:t>83.05%</w:t>
            </w:r>
          </w:p>
        </w:tc>
        <w:tc>
          <w:tcPr>
            <w:tcW w:w="958" w:type="pct"/>
            <w:vAlign w:val="center"/>
          </w:tcPr>
          <w:p w14:paraId="4D7AB0B5" w14:textId="5F153351" w:rsidR="00B14519" w:rsidRPr="00781112" w:rsidRDefault="00B14519" w:rsidP="00D62058">
            <w:pPr>
              <w:jc w:val="center"/>
              <w:rPr>
                <w:rFonts w:cs="Arial"/>
                <w:color w:val="000000" w:themeColor="text1"/>
                <w:szCs w:val="16"/>
              </w:rPr>
            </w:pPr>
            <w:r w:rsidRPr="00781112">
              <w:rPr>
                <w:color w:val="000000" w:themeColor="text1"/>
                <w:szCs w:val="16"/>
              </w:rPr>
              <w:t>83.37%</w:t>
            </w:r>
          </w:p>
        </w:tc>
        <w:tc>
          <w:tcPr>
            <w:tcW w:w="958" w:type="pct"/>
            <w:vAlign w:val="center"/>
          </w:tcPr>
          <w:p w14:paraId="76DA0071" w14:textId="5377DF32" w:rsidR="00B14519" w:rsidRPr="00781112" w:rsidRDefault="00B14519" w:rsidP="00D62058">
            <w:pPr>
              <w:jc w:val="center"/>
              <w:rPr>
                <w:rFonts w:cs="Arial"/>
                <w:color w:val="000000" w:themeColor="text1"/>
                <w:szCs w:val="16"/>
              </w:rPr>
            </w:pPr>
            <w:r w:rsidRPr="00781112">
              <w:rPr>
                <w:color w:val="000000" w:themeColor="text1"/>
                <w:szCs w:val="16"/>
              </w:rPr>
              <w:t>84.00%</w:t>
            </w:r>
          </w:p>
        </w:tc>
      </w:tr>
      <w:tr w:rsidR="00B14519" w:rsidRPr="00781112" w14:paraId="6D44D644" w14:textId="2AAE55F2" w:rsidTr="00451D7E">
        <w:trPr>
          <w:trHeight w:val="340"/>
        </w:trPr>
        <w:tc>
          <w:tcPr>
            <w:tcW w:w="267" w:type="pct"/>
            <w:shd w:val="clear" w:color="auto" w:fill="auto"/>
            <w:vAlign w:val="center"/>
          </w:tcPr>
          <w:p w14:paraId="2E46543E" w14:textId="484E799D" w:rsidR="00B14519" w:rsidRPr="00781112" w:rsidRDefault="00B14519" w:rsidP="00D62058">
            <w:pPr>
              <w:rPr>
                <w:rFonts w:cs="Arial"/>
                <w:color w:val="000000" w:themeColor="text1"/>
                <w:szCs w:val="16"/>
              </w:rPr>
            </w:pPr>
            <w:r w:rsidRPr="00781112">
              <w:rPr>
                <w:rFonts w:cs="Arial"/>
                <w:color w:val="000000" w:themeColor="text1"/>
                <w:szCs w:val="16"/>
              </w:rPr>
              <w:t>Target B1 &gt;=</w:t>
            </w:r>
          </w:p>
        </w:tc>
        <w:tc>
          <w:tcPr>
            <w:tcW w:w="901" w:type="pct"/>
            <w:shd w:val="clear" w:color="auto" w:fill="auto"/>
            <w:vAlign w:val="center"/>
          </w:tcPr>
          <w:p w14:paraId="5B1AAB6F" w14:textId="09987858" w:rsidR="00B14519" w:rsidRPr="00781112" w:rsidRDefault="00B14519" w:rsidP="00D62058">
            <w:pPr>
              <w:jc w:val="center"/>
              <w:rPr>
                <w:rFonts w:cs="Arial"/>
                <w:color w:val="000000" w:themeColor="text1"/>
                <w:szCs w:val="16"/>
              </w:rPr>
            </w:pPr>
            <w:r w:rsidRPr="00781112">
              <w:rPr>
                <w:rFonts w:cs="Arial"/>
                <w:color w:val="000000" w:themeColor="text1"/>
                <w:szCs w:val="16"/>
              </w:rPr>
              <w:t>79.88%</w:t>
            </w:r>
          </w:p>
        </w:tc>
        <w:tc>
          <w:tcPr>
            <w:tcW w:w="958" w:type="pct"/>
            <w:vAlign w:val="center"/>
          </w:tcPr>
          <w:p w14:paraId="7D23F948" w14:textId="1533C8CE" w:rsidR="00B14519" w:rsidRPr="00781112" w:rsidRDefault="00B14519" w:rsidP="00D62058">
            <w:pPr>
              <w:jc w:val="center"/>
              <w:rPr>
                <w:rFonts w:cs="Arial"/>
                <w:color w:val="000000" w:themeColor="text1"/>
                <w:szCs w:val="16"/>
              </w:rPr>
            </w:pPr>
            <w:r w:rsidRPr="00781112">
              <w:rPr>
                <w:color w:val="000000" w:themeColor="text1"/>
                <w:szCs w:val="16"/>
              </w:rPr>
              <w:t>80.15%</w:t>
            </w:r>
          </w:p>
        </w:tc>
        <w:tc>
          <w:tcPr>
            <w:tcW w:w="958" w:type="pct"/>
            <w:vAlign w:val="center"/>
          </w:tcPr>
          <w:p w14:paraId="681F2D39" w14:textId="3BA1761B" w:rsidR="00B14519" w:rsidRPr="00781112" w:rsidRDefault="00B14519" w:rsidP="00D62058">
            <w:pPr>
              <w:jc w:val="center"/>
              <w:rPr>
                <w:rFonts w:cs="Arial"/>
                <w:color w:val="000000" w:themeColor="text1"/>
                <w:szCs w:val="16"/>
              </w:rPr>
            </w:pPr>
            <w:r w:rsidRPr="00781112">
              <w:rPr>
                <w:color w:val="000000" w:themeColor="text1"/>
                <w:szCs w:val="16"/>
              </w:rPr>
              <w:t>80.41%</w:t>
            </w:r>
          </w:p>
        </w:tc>
        <w:tc>
          <w:tcPr>
            <w:tcW w:w="958" w:type="pct"/>
            <w:vAlign w:val="center"/>
          </w:tcPr>
          <w:p w14:paraId="0F16DD78" w14:textId="0278257D" w:rsidR="00B14519" w:rsidRPr="00781112" w:rsidRDefault="00B14519" w:rsidP="00D62058">
            <w:pPr>
              <w:jc w:val="center"/>
              <w:rPr>
                <w:rFonts w:cs="Arial"/>
                <w:color w:val="000000" w:themeColor="text1"/>
                <w:szCs w:val="16"/>
              </w:rPr>
            </w:pPr>
            <w:r w:rsidRPr="00781112">
              <w:rPr>
                <w:color w:val="000000" w:themeColor="text1"/>
                <w:szCs w:val="16"/>
              </w:rPr>
              <w:t>80.94%</w:t>
            </w:r>
          </w:p>
        </w:tc>
        <w:tc>
          <w:tcPr>
            <w:tcW w:w="958" w:type="pct"/>
            <w:vAlign w:val="center"/>
          </w:tcPr>
          <w:p w14:paraId="7B3AFE6F" w14:textId="6724BF4D" w:rsidR="00B14519" w:rsidRPr="00781112" w:rsidRDefault="00B14519" w:rsidP="00D62058">
            <w:pPr>
              <w:jc w:val="center"/>
              <w:rPr>
                <w:rFonts w:cs="Arial"/>
                <w:color w:val="000000" w:themeColor="text1"/>
                <w:szCs w:val="16"/>
              </w:rPr>
            </w:pPr>
            <w:r w:rsidRPr="00781112">
              <w:rPr>
                <w:color w:val="000000" w:themeColor="text1"/>
                <w:szCs w:val="16"/>
              </w:rPr>
              <w:t>82.00%</w:t>
            </w:r>
          </w:p>
        </w:tc>
      </w:tr>
      <w:tr w:rsidR="00B14519" w:rsidRPr="00781112" w14:paraId="23425CD0" w14:textId="2D15C5CA" w:rsidTr="00451D7E">
        <w:trPr>
          <w:trHeight w:val="340"/>
        </w:trPr>
        <w:tc>
          <w:tcPr>
            <w:tcW w:w="267" w:type="pct"/>
            <w:shd w:val="clear" w:color="auto" w:fill="auto"/>
            <w:vAlign w:val="center"/>
          </w:tcPr>
          <w:p w14:paraId="7DAA620C" w14:textId="6D6F79FD" w:rsidR="00B14519" w:rsidRPr="00781112" w:rsidRDefault="00B14519" w:rsidP="00D62058">
            <w:pPr>
              <w:rPr>
                <w:rFonts w:cs="Arial"/>
                <w:color w:val="000000" w:themeColor="text1"/>
                <w:szCs w:val="16"/>
              </w:rPr>
            </w:pPr>
            <w:r w:rsidRPr="00781112">
              <w:rPr>
                <w:rFonts w:cs="Arial"/>
                <w:color w:val="000000" w:themeColor="text1"/>
                <w:szCs w:val="16"/>
              </w:rPr>
              <w:t>Target B2 &gt;=</w:t>
            </w:r>
          </w:p>
        </w:tc>
        <w:tc>
          <w:tcPr>
            <w:tcW w:w="901" w:type="pct"/>
            <w:shd w:val="clear" w:color="auto" w:fill="auto"/>
            <w:vAlign w:val="center"/>
          </w:tcPr>
          <w:p w14:paraId="0C8065AA" w14:textId="2AC4B20C" w:rsidR="00B14519" w:rsidRPr="00781112" w:rsidRDefault="00B14519" w:rsidP="00D62058">
            <w:pPr>
              <w:jc w:val="center"/>
              <w:rPr>
                <w:rFonts w:cs="Arial"/>
                <w:color w:val="000000" w:themeColor="text1"/>
                <w:szCs w:val="16"/>
              </w:rPr>
            </w:pPr>
            <w:r w:rsidRPr="00781112">
              <w:rPr>
                <w:rFonts w:cs="Arial"/>
                <w:color w:val="000000" w:themeColor="text1"/>
                <w:szCs w:val="16"/>
              </w:rPr>
              <w:t>58.22%</w:t>
            </w:r>
          </w:p>
        </w:tc>
        <w:tc>
          <w:tcPr>
            <w:tcW w:w="958" w:type="pct"/>
            <w:vAlign w:val="center"/>
          </w:tcPr>
          <w:p w14:paraId="3751A50F" w14:textId="3383D4A8" w:rsidR="00B14519" w:rsidRPr="00781112" w:rsidRDefault="00B14519" w:rsidP="00D62058">
            <w:pPr>
              <w:jc w:val="center"/>
              <w:rPr>
                <w:rFonts w:cs="Arial"/>
                <w:color w:val="000000" w:themeColor="text1"/>
                <w:szCs w:val="16"/>
              </w:rPr>
            </w:pPr>
            <w:r w:rsidRPr="00781112">
              <w:rPr>
                <w:color w:val="000000" w:themeColor="text1"/>
                <w:szCs w:val="16"/>
              </w:rPr>
              <w:t>58.44%</w:t>
            </w:r>
          </w:p>
        </w:tc>
        <w:tc>
          <w:tcPr>
            <w:tcW w:w="958" w:type="pct"/>
            <w:vAlign w:val="center"/>
          </w:tcPr>
          <w:p w14:paraId="5235FFA6" w14:textId="4138DEB0" w:rsidR="00B14519" w:rsidRPr="00781112" w:rsidRDefault="00B14519" w:rsidP="00D62058">
            <w:pPr>
              <w:jc w:val="center"/>
              <w:rPr>
                <w:rFonts w:cs="Arial"/>
                <w:color w:val="000000" w:themeColor="text1"/>
                <w:szCs w:val="16"/>
              </w:rPr>
            </w:pPr>
            <w:r w:rsidRPr="00781112">
              <w:rPr>
                <w:color w:val="000000" w:themeColor="text1"/>
                <w:szCs w:val="16"/>
              </w:rPr>
              <w:t>58.67%</w:t>
            </w:r>
          </w:p>
        </w:tc>
        <w:tc>
          <w:tcPr>
            <w:tcW w:w="958" w:type="pct"/>
            <w:vAlign w:val="center"/>
          </w:tcPr>
          <w:p w14:paraId="7C9D5CEA" w14:textId="1B842876" w:rsidR="00B14519" w:rsidRPr="00781112" w:rsidRDefault="00B14519" w:rsidP="00D62058">
            <w:pPr>
              <w:jc w:val="center"/>
              <w:rPr>
                <w:rFonts w:cs="Arial"/>
                <w:color w:val="000000" w:themeColor="text1"/>
                <w:szCs w:val="16"/>
              </w:rPr>
            </w:pPr>
            <w:r w:rsidRPr="00781112">
              <w:rPr>
                <w:color w:val="000000" w:themeColor="text1"/>
                <w:szCs w:val="16"/>
              </w:rPr>
              <w:t>59.11%</w:t>
            </w:r>
          </w:p>
        </w:tc>
        <w:tc>
          <w:tcPr>
            <w:tcW w:w="958" w:type="pct"/>
            <w:vAlign w:val="center"/>
          </w:tcPr>
          <w:p w14:paraId="3C028680" w14:textId="00A3EDF9" w:rsidR="00B14519" w:rsidRPr="00781112" w:rsidRDefault="00B14519" w:rsidP="00D62058">
            <w:pPr>
              <w:jc w:val="center"/>
              <w:rPr>
                <w:rFonts w:cs="Arial"/>
                <w:color w:val="000000" w:themeColor="text1"/>
                <w:szCs w:val="16"/>
              </w:rPr>
            </w:pPr>
            <w:r w:rsidRPr="00781112">
              <w:rPr>
                <w:color w:val="000000" w:themeColor="text1"/>
                <w:szCs w:val="16"/>
              </w:rPr>
              <w:t>60.00%</w:t>
            </w:r>
          </w:p>
        </w:tc>
      </w:tr>
      <w:tr w:rsidR="00B14519" w:rsidRPr="00781112" w14:paraId="3A0A624F" w14:textId="2DA1E496" w:rsidTr="00451D7E">
        <w:trPr>
          <w:trHeight w:val="340"/>
        </w:trPr>
        <w:tc>
          <w:tcPr>
            <w:tcW w:w="267" w:type="pct"/>
            <w:shd w:val="clear" w:color="auto" w:fill="auto"/>
            <w:vAlign w:val="center"/>
          </w:tcPr>
          <w:p w14:paraId="04DCCFAA" w14:textId="5591B965" w:rsidR="00B14519" w:rsidRPr="00781112" w:rsidRDefault="00B14519" w:rsidP="00D62058">
            <w:pPr>
              <w:rPr>
                <w:rFonts w:cs="Arial"/>
                <w:color w:val="000000" w:themeColor="text1"/>
                <w:szCs w:val="16"/>
              </w:rPr>
            </w:pPr>
            <w:r w:rsidRPr="00781112">
              <w:rPr>
                <w:rFonts w:cs="Arial"/>
                <w:color w:val="000000" w:themeColor="text1"/>
                <w:szCs w:val="16"/>
              </w:rPr>
              <w:t>Target C1 &gt;=</w:t>
            </w:r>
          </w:p>
        </w:tc>
        <w:tc>
          <w:tcPr>
            <w:tcW w:w="901" w:type="pct"/>
            <w:shd w:val="clear" w:color="auto" w:fill="auto"/>
            <w:vAlign w:val="center"/>
          </w:tcPr>
          <w:p w14:paraId="26176209" w14:textId="03FEA13C" w:rsidR="00B14519" w:rsidRPr="00781112" w:rsidRDefault="00B14519" w:rsidP="00D62058">
            <w:pPr>
              <w:jc w:val="center"/>
              <w:rPr>
                <w:rFonts w:cs="Arial"/>
                <w:color w:val="000000" w:themeColor="text1"/>
                <w:szCs w:val="16"/>
              </w:rPr>
            </w:pPr>
            <w:r w:rsidRPr="00781112">
              <w:rPr>
                <w:rFonts w:cs="Arial"/>
                <w:color w:val="000000" w:themeColor="text1"/>
                <w:szCs w:val="16"/>
              </w:rPr>
              <w:t>83.44%</w:t>
            </w:r>
          </w:p>
        </w:tc>
        <w:tc>
          <w:tcPr>
            <w:tcW w:w="958" w:type="pct"/>
            <w:vAlign w:val="center"/>
          </w:tcPr>
          <w:p w14:paraId="36CB20B0" w14:textId="212CC3E5" w:rsidR="00B14519" w:rsidRPr="00781112" w:rsidRDefault="00B14519" w:rsidP="00D62058">
            <w:pPr>
              <w:jc w:val="center"/>
              <w:rPr>
                <w:rFonts w:cs="Arial"/>
                <w:color w:val="000000" w:themeColor="text1"/>
                <w:szCs w:val="16"/>
              </w:rPr>
            </w:pPr>
            <w:r w:rsidRPr="00781112">
              <w:rPr>
                <w:color w:val="000000" w:themeColor="text1"/>
                <w:szCs w:val="16"/>
              </w:rPr>
              <w:t>83.70%</w:t>
            </w:r>
          </w:p>
        </w:tc>
        <w:tc>
          <w:tcPr>
            <w:tcW w:w="958" w:type="pct"/>
            <w:vAlign w:val="center"/>
          </w:tcPr>
          <w:p w14:paraId="29B1E3BE" w14:textId="0FFFD561" w:rsidR="00B14519" w:rsidRPr="00781112" w:rsidRDefault="00B14519" w:rsidP="00D62058">
            <w:pPr>
              <w:jc w:val="center"/>
              <w:rPr>
                <w:rFonts w:cs="Arial"/>
                <w:color w:val="000000" w:themeColor="text1"/>
                <w:szCs w:val="16"/>
              </w:rPr>
            </w:pPr>
            <w:r w:rsidRPr="00781112">
              <w:rPr>
                <w:color w:val="000000" w:themeColor="text1"/>
                <w:szCs w:val="16"/>
              </w:rPr>
              <w:t>83.96%</w:t>
            </w:r>
          </w:p>
        </w:tc>
        <w:tc>
          <w:tcPr>
            <w:tcW w:w="958" w:type="pct"/>
            <w:vAlign w:val="center"/>
          </w:tcPr>
          <w:p w14:paraId="287AC7C4" w14:textId="5C0E3064" w:rsidR="00B14519" w:rsidRPr="00781112" w:rsidRDefault="00B14519" w:rsidP="00D62058">
            <w:pPr>
              <w:jc w:val="center"/>
              <w:rPr>
                <w:rFonts w:cs="Arial"/>
                <w:color w:val="000000" w:themeColor="text1"/>
                <w:szCs w:val="16"/>
              </w:rPr>
            </w:pPr>
            <w:r w:rsidRPr="00781112">
              <w:rPr>
                <w:color w:val="000000" w:themeColor="text1"/>
                <w:szCs w:val="16"/>
              </w:rPr>
              <w:t>84.47%</w:t>
            </w:r>
          </w:p>
        </w:tc>
        <w:tc>
          <w:tcPr>
            <w:tcW w:w="958" w:type="pct"/>
            <w:vAlign w:val="center"/>
          </w:tcPr>
          <w:p w14:paraId="094E7895" w14:textId="27006BDD" w:rsidR="00B14519" w:rsidRPr="00781112" w:rsidRDefault="00B14519" w:rsidP="00D62058">
            <w:pPr>
              <w:jc w:val="center"/>
              <w:rPr>
                <w:rFonts w:cs="Arial"/>
                <w:color w:val="000000" w:themeColor="text1"/>
                <w:szCs w:val="16"/>
              </w:rPr>
            </w:pPr>
            <w:r w:rsidRPr="00781112">
              <w:rPr>
                <w:color w:val="000000" w:themeColor="text1"/>
                <w:szCs w:val="16"/>
              </w:rPr>
              <w:t>85.50%</w:t>
            </w:r>
          </w:p>
        </w:tc>
      </w:tr>
      <w:tr w:rsidR="00B14519" w:rsidRPr="00781112" w14:paraId="7FD0F8D0" w14:textId="6F160F3D" w:rsidTr="00451D7E">
        <w:trPr>
          <w:trHeight w:val="340"/>
        </w:trPr>
        <w:tc>
          <w:tcPr>
            <w:tcW w:w="267" w:type="pct"/>
            <w:shd w:val="clear" w:color="auto" w:fill="auto"/>
            <w:vAlign w:val="center"/>
          </w:tcPr>
          <w:p w14:paraId="16DEC104" w14:textId="6A28B34F" w:rsidR="00B14519" w:rsidRPr="00781112" w:rsidRDefault="00B14519" w:rsidP="00AD5583">
            <w:pPr>
              <w:rPr>
                <w:rFonts w:cs="Arial"/>
                <w:color w:val="000000" w:themeColor="text1"/>
                <w:szCs w:val="16"/>
              </w:rPr>
            </w:pPr>
            <w:r w:rsidRPr="00781112">
              <w:rPr>
                <w:rFonts w:cs="Arial"/>
                <w:color w:val="000000" w:themeColor="text1"/>
                <w:szCs w:val="16"/>
              </w:rPr>
              <w:t>Target C2 &gt;=</w:t>
            </w:r>
          </w:p>
        </w:tc>
        <w:tc>
          <w:tcPr>
            <w:tcW w:w="901" w:type="pct"/>
            <w:shd w:val="clear" w:color="auto" w:fill="auto"/>
            <w:vAlign w:val="center"/>
          </w:tcPr>
          <w:p w14:paraId="7A9F674E" w14:textId="54CCEACA" w:rsidR="00B14519" w:rsidRPr="00781112" w:rsidRDefault="00B14519" w:rsidP="00AD5583">
            <w:pPr>
              <w:jc w:val="center"/>
              <w:rPr>
                <w:rFonts w:cs="Arial"/>
                <w:color w:val="000000" w:themeColor="text1"/>
                <w:szCs w:val="16"/>
              </w:rPr>
            </w:pPr>
            <w:r w:rsidRPr="00781112">
              <w:rPr>
                <w:rFonts w:cs="Arial"/>
                <w:color w:val="000000" w:themeColor="text1"/>
                <w:szCs w:val="16"/>
              </w:rPr>
              <w:t>71.15%</w:t>
            </w:r>
          </w:p>
        </w:tc>
        <w:tc>
          <w:tcPr>
            <w:tcW w:w="958" w:type="pct"/>
            <w:vAlign w:val="center"/>
          </w:tcPr>
          <w:p w14:paraId="1A528F77" w14:textId="13F14B9B" w:rsidR="00B14519" w:rsidRPr="00781112" w:rsidRDefault="00B14519" w:rsidP="00AD5583">
            <w:pPr>
              <w:jc w:val="center"/>
              <w:rPr>
                <w:rFonts w:cs="Arial"/>
                <w:color w:val="000000" w:themeColor="text1"/>
                <w:szCs w:val="16"/>
              </w:rPr>
            </w:pPr>
            <w:r w:rsidRPr="00781112">
              <w:rPr>
                <w:color w:val="000000" w:themeColor="text1"/>
                <w:szCs w:val="16"/>
              </w:rPr>
              <w:t>71.38%</w:t>
            </w:r>
          </w:p>
          <w:p w14:paraId="3C5378CB" w14:textId="5A59E833" w:rsidR="00B14519" w:rsidRPr="00781112" w:rsidRDefault="00B14519" w:rsidP="00AD5583">
            <w:pPr>
              <w:jc w:val="center"/>
              <w:rPr>
                <w:rFonts w:cs="Arial"/>
                <w:color w:val="000000" w:themeColor="text1"/>
                <w:szCs w:val="16"/>
              </w:rPr>
            </w:pPr>
          </w:p>
        </w:tc>
        <w:tc>
          <w:tcPr>
            <w:tcW w:w="958" w:type="pct"/>
            <w:vAlign w:val="center"/>
          </w:tcPr>
          <w:p w14:paraId="694DD14B" w14:textId="0FC2BAFA" w:rsidR="00B14519" w:rsidRPr="00781112" w:rsidRDefault="00B14519" w:rsidP="00AD5583">
            <w:pPr>
              <w:jc w:val="center"/>
              <w:rPr>
                <w:rFonts w:cs="Arial"/>
                <w:color w:val="000000" w:themeColor="text1"/>
                <w:szCs w:val="16"/>
              </w:rPr>
            </w:pPr>
            <w:r w:rsidRPr="00781112">
              <w:rPr>
                <w:color w:val="000000" w:themeColor="text1"/>
                <w:szCs w:val="16"/>
              </w:rPr>
              <w:t>71.61%</w:t>
            </w:r>
          </w:p>
        </w:tc>
        <w:tc>
          <w:tcPr>
            <w:tcW w:w="958" w:type="pct"/>
            <w:vAlign w:val="center"/>
          </w:tcPr>
          <w:p w14:paraId="69632A5F" w14:textId="59530F4E" w:rsidR="00B14519" w:rsidRPr="00781112" w:rsidRDefault="00B14519" w:rsidP="00AD5583">
            <w:pPr>
              <w:jc w:val="center"/>
              <w:rPr>
                <w:rFonts w:cs="Arial"/>
                <w:color w:val="000000" w:themeColor="text1"/>
                <w:szCs w:val="16"/>
              </w:rPr>
            </w:pPr>
            <w:r w:rsidRPr="00781112">
              <w:rPr>
                <w:color w:val="000000" w:themeColor="text1"/>
                <w:szCs w:val="16"/>
              </w:rPr>
              <w:t>72.08%</w:t>
            </w:r>
          </w:p>
        </w:tc>
        <w:tc>
          <w:tcPr>
            <w:tcW w:w="958" w:type="pct"/>
            <w:vAlign w:val="center"/>
          </w:tcPr>
          <w:p w14:paraId="1C5D6F95" w14:textId="3D16D545" w:rsidR="00B14519" w:rsidRPr="00781112" w:rsidRDefault="00B14519" w:rsidP="00AD5583">
            <w:pPr>
              <w:jc w:val="center"/>
              <w:rPr>
                <w:rFonts w:cs="Arial"/>
                <w:color w:val="000000" w:themeColor="text1"/>
                <w:szCs w:val="16"/>
              </w:rPr>
            </w:pPr>
            <w:r w:rsidRPr="00781112">
              <w:rPr>
                <w:color w:val="000000" w:themeColor="text1"/>
                <w:szCs w:val="16"/>
              </w:rPr>
              <w:t>73.00%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6276C0F6" w14:textId="56252E01" w:rsidR="002D145D" w:rsidRPr="00781112" w:rsidRDefault="002D145D" w:rsidP="002D145D">
      <w:pPr>
        <w:rPr>
          <w:rFonts w:cs="Arial"/>
          <w:color w:val="000000" w:themeColor="text1"/>
          <w:szCs w:val="16"/>
        </w:rPr>
      </w:pPr>
    </w:p>
    <w:p w14:paraId="1512BEE4" w14:textId="77777777" w:rsidR="007870F8" w:rsidRPr="00781112" w:rsidRDefault="007870F8" w:rsidP="004369B2">
      <w:pPr>
        <w:rPr>
          <w:color w:val="000000" w:themeColor="text1"/>
        </w:rPr>
      </w:pPr>
    </w:p>
    <w:p w14:paraId="4D0201C3" w14:textId="58BCD703" w:rsidR="008751D3" w:rsidRPr="00781112" w:rsidRDefault="0047313F">
      <w:pPr>
        <w:rPr>
          <w:b/>
          <w:color w:val="000000" w:themeColor="text1"/>
        </w:rPr>
      </w:pPr>
      <w:r>
        <w:rPr>
          <w:b/>
          <w:color w:val="000000" w:themeColor="text1"/>
        </w:rPr>
        <w:t>FFY 2021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740</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lastRenderedPageBreak/>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34</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4.59%</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64</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8.65%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151</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20.41%</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491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66.35%</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9"/>
        <w:gridCol w:w="1234"/>
        <w:gridCol w:w="1232"/>
        <w:gridCol w:w="1234"/>
        <w:gridCol w:w="1232"/>
        <w:gridCol w:w="1234"/>
        <w:gridCol w:w="1230"/>
      </w:tblGrid>
      <w:tr w:rsidR="00AA4F85" w:rsidRPr="00781112" w14:paraId="3D9EEDAD" w14:textId="30B2445F" w:rsidTr="00AA4F85">
        <w:trPr>
          <w:trHeight w:val="354"/>
          <w:tblHeader/>
        </w:trPr>
        <w:tc>
          <w:tcPr>
            <w:tcW w:w="1040" w:type="pct"/>
            <w:shd w:val="clear" w:color="auto" w:fill="auto"/>
            <w:vAlign w:val="bottom"/>
          </w:tcPr>
          <w:p w14:paraId="12D11B46" w14:textId="1FAAAC6F" w:rsidR="00AA4F85" w:rsidRPr="00781112" w:rsidRDefault="00AA4F85" w:rsidP="00AA4F85">
            <w:pPr>
              <w:rPr>
                <w:rFonts w:cs="Arial"/>
                <w:color w:val="000000" w:themeColor="text1"/>
                <w:szCs w:val="16"/>
              </w:rPr>
            </w:pPr>
            <w:r w:rsidRPr="00781112">
              <w:rPr>
                <w:rFonts w:cs="Arial"/>
                <w:b/>
                <w:color w:val="000000" w:themeColor="text1"/>
                <w:szCs w:val="16"/>
              </w:rPr>
              <w:t>Outcome A</w:t>
            </w:r>
          </w:p>
        </w:tc>
        <w:tc>
          <w:tcPr>
            <w:tcW w:w="532" w:type="pct"/>
            <w:shd w:val="clear" w:color="auto" w:fill="auto"/>
            <w:vAlign w:val="bottom"/>
          </w:tcPr>
          <w:p w14:paraId="7B100CB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5F91720B" w:rsidR="00AA4F85" w:rsidRPr="00CC1061" w:rsidRDefault="00AA4F85" w:rsidP="00AA4F85">
            <w:pPr>
              <w:jc w:val="center"/>
              <w:rPr>
                <w:rFonts w:cs="Arial"/>
                <w:b/>
                <w:bCs/>
                <w:color w:val="000000" w:themeColor="text1"/>
                <w:szCs w:val="16"/>
              </w:rPr>
            </w:pPr>
            <w:r w:rsidRPr="00CC1061">
              <w:rPr>
                <w:b/>
                <w:bCs/>
              </w:rPr>
              <w:t>FFY 2020 Data</w:t>
            </w:r>
          </w:p>
        </w:tc>
        <w:tc>
          <w:tcPr>
            <w:tcW w:w="572" w:type="pct"/>
            <w:shd w:val="clear" w:color="auto" w:fill="auto"/>
            <w:vAlign w:val="bottom"/>
          </w:tcPr>
          <w:p w14:paraId="41DCEE89" w14:textId="69D0F5AC" w:rsidR="00AA4F85" w:rsidRPr="00CC1061" w:rsidRDefault="00AA4F85" w:rsidP="00AA4F85">
            <w:pPr>
              <w:jc w:val="center"/>
              <w:rPr>
                <w:rFonts w:cs="Arial"/>
                <w:b/>
                <w:bCs/>
                <w:color w:val="000000" w:themeColor="text1"/>
                <w:szCs w:val="16"/>
              </w:rPr>
            </w:pPr>
            <w:r w:rsidRPr="00CC1061">
              <w:rPr>
                <w:b/>
                <w:bCs/>
              </w:rPr>
              <w:t>FFY 2021 Target</w:t>
            </w:r>
          </w:p>
        </w:tc>
        <w:tc>
          <w:tcPr>
            <w:tcW w:w="571" w:type="pct"/>
            <w:shd w:val="clear" w:color="auto" w:fill="auto"/>
            <w:vAlign w:val="bottom"/>
          </w:tcPr>
          <w:p w14:paraId="64737D68" w14:textId="106DB3FC" w:rsidR="00AA4F85" w:rsidRPr="00CC1061" w:rsidRDefault="00AA4F85" w:rsidP="00AA4F85">
            <w:pPr>
              <w:jc w:val="center"/>
              <w:rPr>
                <w:rFonts w:cs="Arial"/>
                <w:b/>
                <w:bCs/>
                <w:color w:val="000000" w:themeColor="text1"/>
                <w:szCs w:val="16"/>
              </w:rPr>
            </w:pPr>
            <w:r w:rsidRPr="00CC1061">
              <w:rPr>
                <w:b/>
                <w:bCs/>
              </w:rPr>
              <w:t>FFY 2021 Data</w:t>
            </w:r>
          </w:p>
        </w:tc>
        <w:tc>
          <w:tcPr>
            <w:tcW w:w="572" w:type="pct"/>
            <w:shd w:val="clear" w:color="auto" w:fill="auto"/>
            <w:vAlign w:val="bottom"/>
          </w:tcPr>
          <w:p w14:paraId="4592E227" w14:textId="424684DB"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571" w:type="pct"/>
            <w:shd w:val="clear" w:color="auto" w:fill="auto"/>
            <w:vAlign w:val="bottom"/>
          </w:tcPr>
          <w:p w14:paraId="41F5B2E6" w14:textId="7085A5D7"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A4F85">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Calculation:(c+d)/(a+b+c+d)</w:t>
            </w:r>
          </w:p>
        </w:tc>
        <w:tc>
          <w:tcPr>
            <w:tcW w:w="532"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215</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249</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78.33%</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78.33%</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86.35%</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A4F85">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2"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642</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740</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82.73%</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82.73%</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86.76%</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Met target</w:t>
            </w:r>
          </w:p>
        </w:tc>
        <w:tc>
          <w:tcPr>
            <w:tcW w:w="571"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70</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9.46%</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188</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25.41%</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191</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25.81%</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291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39.32%</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AA4F85" w:rsidRPr="00781112" w14:paraId="29447607" w14:textId="4B3B706C" w:rsidTr="00AA4F85">
        <w:trPr>
          <w:tblHeader/>
        </w:trPr>
        <w:tc>
          <w:tcPr>
            <w:tcW w:w="1000" w:type="pct"/>
            <w:shd w:val="clear" w:color="auto" w:fill="auto"/>
            <w:vAlign w:val="bottom"/>
          </w:tcPr>
          <w:p w14:paraId="58D567A9" w14:textId="7BD30860" w:rsidR="00AA4F85" w:rsidRPr="00781112" w:rsidRDefault="00AA4F85" w:rsidP="00AA4F85">
            <w:pPr>
              <w:rPr>
                <w:b/>
                <w:color w:val="000000" w:themeColor="text1"/>
              </w:rPr>
            </w:pPr>
            <w:r w:rsidRPr="00781112">
              <w:rPr>
                <w:b/>
                <w:color w:val="000000" w:themeColor="text1"/>
              </w:rPr>
              <w:t>Outcome B</w:t>
            </w:r>
          </w:p>
        </w:tc>
        <w:tc>
          <w:tcPr>
            <w:tcW w:w="585" w:type="pct"/>
            <w:shd w:val="clear" w:color="auto" w:fill="auto"/>
            <w:vAlign w:val="bottom"/>
          </w:tcPr>
          <w:p w14:paraId="0DF6A486" w14:textId="77777777" w:rsidR="00AA4F85" w:rsidRPr="00781112" w:rsidRDefault="00AA4F85" w:rsidP="00AA4F85">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AA4F85" w:rsidRPr="00781112" w:rsidRDefault="00AA4F85" w:rsidP="00AA4F85">
            <w:pPr>
              <w:rPr>
                <w:b/>
                <w:color w:val="000000" w:themeColor="text1"/>
              </w:rPr>
            </w:pPr>
            <w:r w:rsidRPr="00781112">
              <w:rPr>
                <w:b/>
                <w:color w:val="000000" w:themeColor="text1"/>
              </w:rPr>
              <w:t>Denominator</w:t>
            </w:r>
          </w:p>
        </w:tc>
        <w:tc>
          <w:tcPr>
            <w:tcW w:w="543" w:type="pct"/>
            <w:shd w:val="clear" w:color="auto" w:fill="auto"/>
            <w:vAlign w:val="bottom"/>
          </w:tcPr>
          <w:p w14:paraId="03649132" w14:textId="5B9E7E9F" w:rsidR="00AA4F85" w:rsidRPr="00CC1061" w:rsidRDefault="00AA4F85" w:rsidP="00CC1061">
            <w:pPr>
              <w:jc w:val="center"/>
              <w:rPr>
                <w:b/>
                <w:bCs/>
                <w:color w:val="000000" w:themeColor="text1"/>
              </w:rPr>
            </w:pPr>
            <w:r w:rsidRPr="00CC1061">
              <w:rPr>
                <w:b/>
                <w:bCs/>
              </w:rPr>
              <w:t>FFY 2020 Data</w:t>
            </w:r>
          </w:p>
        </w:tc>
        <w:tc>
          <w:tcPr>
            <w:tcW w:w="584" w:type="pct"/>
            <w:shd w:val="clear" w:color="auto" w:fill="auto"/>
            <w:vAlign w:val="bottom"/>
          </w:tcPr>
          <w:p w14:paraId="3AFAEBC5" w14:textId="5EFD3CB5" w:rsidR="00AA4F85" w:rsidRPr="00CC1061" w:rsidRDefault="00AA4F85" w:rsidP="00CC1061">
            <w:pPr>
              <w:jc w:val="center"/>
              <w:rPr>
                <w:b/>
                <w:bCs/>
                <w:color w:val="000000" w:themeColor="text1"/>
              </w:rPr>
            </w:pPr>
            <w:r w:rsidRPr="00CC1061">
              <w:rPr>
                <w:b/>
                <w:bCs/>
              </w:rPr>
              <w:t>FFY 2021 Target</w:t>
            </w:r>
          </w:p>
        </w:tc>
        <w:tc>
          <w:tcPr>
            <w:tcW w:w="584" w:type="pct"/>
            <w:shd w:val="clear" w:color="auto" w:fill="auto"/>
            <w:vAlign w:val="bottom"/>
          </w:tcPr>
          <w:p w14:paraId="40B6360D" w14:textId="340EE357" w:rsidR="00AA4F85" w:rsidRPr="00CC1061" w:rsidRDefault="00AA4F85" w:rsidP="00CC1061">
            <w:pPr>
              <w:jc w:val="center"/>
              <w:rPr>
                <w:b/>
                <w:bCs/>
                <w:color w:val="000000" w:themeColor="text1"/>
              </w:rPr>
            </w:pPr>
            <w:r w:rsidRPr="00CC1061">
              <w:rPr>
                <w:b/>
                <w:bCs/>
              </w:rPr>
              <w:t>FFY 2021 Data</w:t>
            </w:r>
          </w:p>
        </w:tc>
        <w:tc>
          <w:tcPr>
            <w:tcW w:w="486" w:type="pct"/>
            <w:shd w:val="clear" w:color="auto" w:fill="auto"/>
            <w:vAlign w:val="bottom"/>
          </w:tcPr>
          <w:p w14:paraId="17C85F8A" w14:textId="625B06E9" w:rsidR="00AA4F85" w:rsidRPr="00781112" w:rsidRDefault="00AA4F85" w:rsidP="00AA4F85">
            <w:pPr>
              <w:rPr>
                <w:b/>
                <w:color w:val="000000" w:themeColor="text1"/>
              </w:rPr>
            </w:pPr>
            <w:r w:rsidRPr="00781112">
              <w:rPr>
                <w:b/>
                <w:color w:val="000000" w:themeColor="text1"/>
              </w:rPr>
              <w:t>Status</w:t>
            </w:r>
          </w:p>
        </w:tc>
        <w:tc>
          <w:tcPr>
            <w:tcW w:w="633" w:type="pct"/>
            <w:shd w:val="clear" w:color="auto" w:fill="auto"/>
            <w:vAlign w:val="bottom"/>
          </w:tcPr>
          <w:p w14:paraId="4254BB19" w14:textId="15C403FF" w:rsidR="00AA4F85" w:rsidRPr="00781112" w:rsidRDefault="00AA4F85" w:rsidP="00AA4F85">
            <w:pPr>
              <w:rPr>
                <w:b/>
                <w:color w:val="000000" w:themeColor="text1"/>
              </w:rPr>
            </w:pPr>
            <w:r w:rsidRPr="00781112">
              <w:rPr>
                <w:b/>
                <w:color w:val="000000" w:themeColor="text1"/>
              </w:rPr>
              <w:t>Slippage</w:t>
            </w:r>
          </w:p>
        </w:tc>
      </w:tr>
      <w:tr w:rsidR="005C29F8" w:rsidRPr="00781112" w14:paraId="6493B1D4" w14:textId="479A7C15" w:rsidTr="00AA4F85">
        <w:tc>
          <w:tcPr>
            <w:tcW w:w="1000"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379</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449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79.88%</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84.41%</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1A2A4C8" w14:textId="1A212673" w:rsidTr="00AA4F85">
        <w:tc>
          <w:tcPr>
            <w:tcW w:w="1000"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482</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740</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58.22%</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65.14%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33"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2AAE7F9" w14:textId="77777777" w:rsidR="00A80FEB" w:rsidRPr="00781112" w:rsidRDefault="00A80FEB" w:rsidP="004369B2">
      <w:pPr>
        <w:rPr>
          <w:color w:val="000000" w:themeColor="text1"/>
        </w:rPr>
      </w:pPr>
      <w:r w:rsidRPr="00781112">
        <w:rPr>
          <w:b/>
          <w:color w:val="000000" w:themeColor="text1"/>
        </w:rPr>
        <w:lastRenderedPageBreak/>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55</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7.43%</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87</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11.76%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113</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15.27%</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485</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65.54%</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AA4F85" w:rsidRPr="00781112" w14:paraId="6D854191" w14:textId="189CF04C" w:rsidTr="00AB0D6A">
        <w:trPr>
          <w:trHeight w:val="354"/>
          <w:tblHeader/>
        </w:trPr>
        <w:tc>
          <w:tcPr>
            <w:tcW w:w="999" w:type="pct"/>
            <w:shd w:val="clear" w:color="auto" w:fill="auto"/>
            <w:vAlign w:val="bottom"/>
          </w:tcPr>
          <w:p w14:paraId="2713B90C" w14:textId="70596E6D" w:rsidR="00AA4F85" w:rsidRPr="00781112" w:rsidRDefault="00AA4F85" w:rsidP="00AA4F85">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AA4F85" w:rsidRPr="00781112" w:rsidRDefault="00AA4F85" w:rsidP="00AA4F85">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3A34568D" w:rsidR="00AA4F85" w:rsidRPr="00CC1061" w:rsidRDefault="00AA4F85" w:rsidP="00AA4F85">
            <w:pPr>
              <w:jc w:val="center"/>
              <w:rPr>
                <w:rFonts w:cs="Arial"/>
                <w:b/>
                <w:bCs/>
                <w:color w:val="000000" w:themeColor="text1"/>
                <w:szCs w:val="16"/>
              </w:rPr>
            </w:pPr>
            <w:r w:rsidRPr="00CC1061">
              <w:rPr>
                <w:b/>
                <w:bCs/>
              </w:rPr>
              <w:t>FFY 2020 Data</w:t>
            </w:r>
          </w:p>
        </w:tc>
        <w:tc>
          <w:tcPr>
            <w:tcW w:w="584" w:type="pct"/>
            <w:shd w:val="clear" w:color="auto" w:fill="auto"/>
            <w:vAlign w:val="bottom"/>
          </w:tcPr>
          <w:p w14:paraId="7E59D447" w14:textId="7E763810" w:rsidR="00AA4F85" w:rsidRPr="00CC1061" w:rsidRDefault="00AA4F85" w:rsidP="00AA4F85">
            <w:pPr>
              <w:jc w:val="center"/>
              <w:rPr>
                <w:rFonts w:cs="Arial"/>
                <w:b/>
                <w:bCs/>
                <w:color w:val="000000" w:themeColor="text1"/>
                <w:szCs w:val="16"/>
              </w:rPr>
            </w:pPr>
            <w:r w:rsidRPr="00CC1061">
              <w:rPr>
                <w:b/>
                <w:bCs/>
              </w:rPr>
              <w:t>FFY 2021 Target</w:t>
            </w:r>
          </w:p>
        </w:tc>
        <w:tc>
          <w:tcPr>
            <w:tcW w:w="625" w:type="pct"/>
            <w:shd w:val="clear" w:color="auto" w:fill="auto"/>
            <w:vAlign w:val="bottom"/>
          </w:tcPr>
          <w:p w14:paraId="48E0A776" w14:textId="1851C549" w:rsidR="00AA4F85" w:rsidRPr="00CC1061" w:rsidRDefault="00AA4F85" w:rsidP="00AA4F85">
            <w:pPr>
              <w:jc w:val="center"/>
              <w:rPr>
                <w:rFonts w:cs="Arial"/>
                <w:b/>
                <w:bCs/>
                <w:color w:val="000000" w:themeColor="text1"/>
                <w:szCs w:val="16"/>
              </w:rPr>
            </w:pPr>
            <w:r w:rsidRPr="00CC1061">
              <w:rPr>
                <w:b/>
                <w:bCs/>
              </w:rPr>
              <w:t>FFY 2021 Data</w:t>
            </w:r>
          </w:p>
        </w:tc>
        <w:tc>
          <w:tcPr>
            <w:tcW w:w="459" w:type="pct"/>
            <w:shd w:val="clear" w:color="auto" w:fill="auto"/>
            <w:vAlign w:val="bottom"/>
          </w:tcPr>
          <w:p w14:paraId="1271E5C2" w14:textId="7C29A2B3" w:rsidR="00AA4F85" w:rsidRPr="00781112" w:rsidRDefault="00AA4F85" w:rsidP="00AA4F85">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AA4F85" w:rsidRPr="00781112" w:rsidRDefault="00AA4F85" w:rsidP="00AA4F85">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 xml:space="preserve">C1. Of those children who entered or exited the program below age expectations in Outcome C, the percent who </w:t>
            </w:r>
            <w:proofErr w:type="gramStart"/>
            <w:r w:rsidRPr="00781112">
              <w:rPr>
                <w:rFonts w:cs="Arial"/>
                <w:color w:val="000000" w:themeColor="text1"/>
                <w:szCs w:val="16"/>
              </w:rPr>
              <w:t>substantially increased</w:t>
            </w:r>
            <w:proofErr w:type="gramEnd"/>
            <w:r w:rsidRPr="00781112">
              <w:rPr>
                <w:rFonts w:cs="Arial"/>
                <w:color w:val="000000" w:themeColor="text1"/>
                <w:szCs w:val="16"/>
              </w:rPr>
              <w:t xml:space="preserve">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255</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83.44%</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78.43%</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w:t>
            </w:r>
            <w:proofErr w:type="gramStart"/>
            <w:r w:rsidRPr="0075451F">
              <w:rPr>
                <w:rFonts w:cs="Arial"/>
                <w:i/>
                <w:iCs/>
                <w:color w:val="C00000"/>
                <w:szCs w:val="16"/>
                <w:lang w:val="es-ES"/>
              </w:rPr>
              <w:t>e)/</w:t>
            </w:r>
            <w:proofErr w:type="gramEnd"/>
            <w:r w:rsidRPr="0075451F">
              <w:rPr>
                <w:rFonts w:cs="Arial"/>
                <w:i/>
                <w:iCs/>
                <w:color w:val="C00000"/>
                <w:szCs w:val="16"/>
                <w:lang w:val="es-ES"/>
              </w:rPr>
              <w:t>(a+b+c+d+e)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598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740</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71.15%</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80.81%</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To determine why there is slippage in C1, the WDE examined results by the </w:t>
            </w:r>
            <w:proofErr w:type="gramStart"/>
            <w:r w:rsidRPr="00781112">
              <w:rPr>
                <w:rFonts w:cs="Arial"/>
                <w:color w:val="000000" w:themeColor="text1"/>
                <w:szCs w:val="16"/>
              </w:rPr>
              <w:t>14</w:t>
            </w:r>
            <w:proofErr w:type="gramEnd"/>
            <w:r w:rsidRPr="00781112">
              <w:rPr>
                <w:rFonts w:cs="Arial"/>
                <w:color w:val="000000" w:themeColor="text1"/>
                <w:szCs w:val="16"/>
              </w:rPr>
              <w:t xml:space="preserve"> regions to determine if this slippage was present in all 14 regions or if it was particular to just certain regions. Data indicated that </w:t>
            </w:r>
            <w:proofErr w:type="gramStart"/>
            <w:r w:rsidRPr="00781112">
              <w:rPr>
                <w:rFonts w:cs="Arial"/>
                <w:color w:val="000000" w:themeColor="text1"/>
                <w:szCs w:val="16"/>
              </w:rPr>
              <w:t>7</w:t>
            </w:r>
            <w:proofErr w:type="gramEnd"/>
            <w:r w:rsidRPr="00781112">
              <w:rPr>
                <w:rFonts w:cs="Arial"/>
                <w:color w:val="000000" w:themeColor="text1"/>
                <w:szCs w:val="16"/>
              </w:rPr>
              <w:t xml:space="preserve"> of the 14 regions saw a decrease in their C1 score. </w:t>
            </w:r>
            <w:r w:rsidRPr="00781112">
              <w:rPr>
                <w:rFonts w:cs="Arial"/>
                <w:color w:val="000000" w:themeColor="text1"/>
                <w:szCs w:val="16"/>
              </w:rPr>
              <w:br/>
            </w:r>
            <w:r w:rsidRPr="00781112">
              <w:rPr>
                <w:rFonts w:cs="Arial"/>
                <w:color w:val="000000" w:themeColor="text1"/>
                <w:szCs w:val="16"/>
              </w:rPr>
              <w:br/>
              <w:t xml:space="preserve">Because this was not specific to a few regions, the State implemented a process to determine </w:t>
            </w:r>
            <w:proofErr w:type="gramStart"/>
            <w:r w:rsidRPr="00781112">
              <w:rPr>
                <w:rFonts w:cs="Arial"/>
                <w:color w:val="000000" w:themeColor="text1"/>
                <w:szCs w:val="16"/>
              </w:rPr>
              <w:t>a cause</w:t>
            </w:r>
            <w:proofErr w:type="gramEnd"/>
            <w:r w:rsidRPr="00781112">
              <w:rPr>
                <w:rFonts w:cs="Arial"/>
                <w:color w:val="000000" w:themeColor="text1"/>
                <w:szCs w:val="16"/>
              </w:rPr>
              <w:t xml:space="preserve"> for slippage</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At the state level, significance testing </w:t>
            </w:r>
            <w:proofErr w:type="gramStart"/>
            <w:r w:rsidRPr="00781112">
              <w:rPr>
                <w:rFonts w:cs="Arial"/>
                <w:color w:val="000000" w:themeColor="text1"/>
                <w:szCs w:val="16"/>
              </w:rPr>
              <w:t>was done</w:t>
            </w:r>
            <w:proofErr w:type="gramEnd"/>
            <w:r w:rsidRPr="00781112">
              <w:rPr>
                <w:rFonts w:cs="Arial"/>
                <w:color w:val="000000" w:themeColor="text1"/>
                <w:szCs w:val="16"/>
              </w:rPr>
              <w:t xml:space="preserve"> to determine which groups were least likely to show growth. The purpose of this was to determine if any changes in instructional practices needed to occur for certain groups of students. This analysis showed that students with a disability of speech language impairment or developmental delay were more likely to show growth than students with other disabilities. Each region is provided with detailed reports of their Indicator 7 data which includes disaggregations of the scores over time and by gender, race/ethnicity, disability, months in the program, etc. so that they can begin to determine which students show growth and which do not.</w:t>
            </w:r>
            <w:r w:rsidRPr="00781112">
              <w:rPr>
                <w:rFonts w:cs="Arial"/>
                <w:color w:val="000000" w:themeColor="text1"/>
                <w:szCs w:val="16"/>
              </w:rPr>
              <w:br/>
            </w:r>
            <w:r w:rsidRPr="00781112">
              <w:rPr>
                <w:rFonts w:cs="Arial"/>
                <w:color w:val="000000" w:themeColor="text1"/>
                <w:szCs w:val="16"/>
              </w:rPr>
              <w:br/>
              <w:t xml:space="preserve">Note that while the WDE would like to be able to pinpoint the reasons for slippage, the slippage is so small that is it virtually impossible to do so.  If only </w:t>
            </w:r>
            <w:proofErr w:type="gramStart"/>
            <w:r w:rsidRPr="00781112">
              <w:rPr>
                <w:rFonts w:cs="Arial"/>
                <w:color w:val="000000" w:themeColor="text1"/>
                <w:szCs w:val="16"/>
              </w:rPr>
              <w:t>13</w:t>
            </w:r>
            <w:proofErr w:type="gramEnd"/>
            <w:r w:rsidRPr="00781112">
              <w:rPr>
                <w:rFonts w:cs="Arial"/>
                <w:color w:val="000000" w:themeColor="text1"/>
                <w:szCs w:val="16"/>
              </w:rPr>
              <w:t xml:space="preserve"> more students </w:t>
            </w:r>
            <w:proofErr w:type="gramStart"/>
            <w:r w:rsidRPr="00781112">
              <w:rPr>
                <w:rFonts w:cs="Arial"/>
                <w:color w:val="000000" w:themeColor="text1"/>
                <w:szCs w:val="16"/>
              </w:rPr>
              <w:t>would have</w:t>
            </w:r>
            <w:proofErr w:type="gramEnd"/>
            <w:r w:rsidRPr="00781112">
              <w:rPr>
                <w:rFonts w:cs="Arial"/>
                <w:color w:val="000000" w:themeColor="text1"/>
                <w:szCs w:val="16"/>
              </w:rPr>
              <w:t xml:space="preserve"> shown growth, there would have been no slippage.  It is hard to determine where these </w:t>
            </w:r>
            <w:proofErr w:type="gramStart"/>
            <w:r w:rsidRPr="00781112">
              <w:rPr>
                <w:rFonts w:cs="Arial"/>
                <w:color w:val="000000" w:themeColor="text1"/>
                <w:szCs w:val="16"/>
              </w:rPr>
              <w:t>13</w:t>
            </w:r>
            <w:proofErr w:type="gramEnd"/>
            <w:r w:rsidRPr="00781112">
              <w:rPr>
                <w:rFonts w:cs="Arial"/>
                <w:color w:val="000000" w:themeColor="text1"/>
                <w:szCs w:val="16"/>
              </w:rPr>
              <w:t xml:space="preserve"> students should have come from.  As such, this is the reason the WDE encourages each region to look at their trends over time as well as the reason the WDE </w:t>
            </w:r>
            <w:proofErr w:type="gramStart"/>
            <w:r w:rsidRPr="00781112">
              <w:rPr>
                <w:rFonts w:cs="Arial"/>
                <w:color w:val="000000" w:themeColor="text1"/>
                <w:szCs w:val="16"/>
              </w:rPr>
              <w:t>examine</w:t>
            </w:r>
            <w:proofErr w:type="gramEnd"/>
            <w:r w:rsidRPr="00781112">
              <w:rPr>
                <w:rFonts w:cs="Arial"/>
                <w:color w:val="000000" w:themeColor="text1"/>
                <w:szCs w:val="16"/>
              </w:rPr>
              <w:t xml:space="preserve"> statewide data to determine what subgroups have the lowest/highest rates</w:t>
            </w:r>
            <w:proofErr w:type="gramStart"/>
            <w:r w:rsidRPr="00781112">
              <w:rPr>
                <w:rFonts w:cs="Arial"/>
                <w:color w:val="000000" w:themeColor="text1"/>
                <w:szCs w:val="16"/>
              </w:rPr>
              <w:t xml:space="preserve">.  </w:t>
            </w:r>
            <w:proofErr w:type="gramEnd"/>
            <w:r w:rsidRPr="00781112">
              <w:rPr>
                <w:rFonts w:cs="Arial"/>
                <w:color w:val="000000" w:themeColor="text1"/>
                <w:szCs w:val="16"/>
              </w:rPr>
              <w:t>By regions and the WDE examining data for patterns, and then targeting select subgroups for increased performance, the growth rates should increase.</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"Comparable to same-aged peers" </w:t>
      </w:r>
      <w:proofErr w:type="gramStart"/>
      <w:r w:rsidRPr="00781112">
        <w:rPr>
          <w:rFonts w:cs="Arial"/>
          <w:color w:val="000000" w:themeColor="text1"/>
          <w:szCs w:val="16"/>
        </w:rPr>
        <w:t>is defined</w:t>
      </w:r>
      <w:proofErr w:type="gramEnd"/>
      <w:r w:rsidRPr="00781112">
        <w:rPr>
          <w:rFonts w:cs="Arial"/>
          <w:color w:val="000000" w:themeColor="text1"/>
          <w:szCs w:val="16"/>
        </w:rPr>
        <w:t xml:space="preserve"> as a z-score on the Battelle Developmental Inventory-Second Edition (BDI-II ) of -1.30 or higher.</w:t>
      </w:r>
    </w:p>
    <w:p w14:paraId="015A471A" w14:textId="77777777" w:rsidR="004611C1" w:rsidRPr="00781112" w:rsidRDefault="004611C1" w:rsidP="00401663">
      <w:pPr>
        <w:rPr>
          <w:rFonts w:cs="Arial"/>
          <w:b/>
          <w:color w:val="000000" w:themeColor="text1"/>
          <w:szCs w:val="16"/>
        </w:rPr>
      </w:pPr>
      <w:bookmarkStart w:id="38" w:name="_Toc382082381"/>
      <w:bookmarkStart w:id="39"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 xml:space="preserve">In FFY 2016-17 the state began implementing a new process for reporting performance for this indicator by using the Battelle Developmental Inventory-Second Edition (BDI-II ). Wyoming Department of Health (WDH), Early Intervention and Education Program (EIEP) implemented this change over the </w:t>
      </w:r>
      <w:r w:rsidRPr="00781112">
        <w:rPr>
          <w:rFonts w:cs="Arial"/>
          <w:color w:val="000000" w:themeColor="text1"/>
          <w:szCs w:val="16"/>
        </w:rPr>
        <w:lastRenderedPageBreak/>
        <w:t>course of three (3) reporting years with specific child development centers changing to the new reporting process each of the three (3) years. The change to the new process was fully implemented for all newly enrolled infants/toddlers as of June 30, 2019, with all child development centers using the BDI-II for both entry and exiting child outcome reporting on skill levels in all five domains.</w:t>
      </w:r>
      <w:r w:rsidRPr="00781112">
        <w:rPr>
          <w:rFonts w:cs="Arial"/>
          <w:color w:val="000000" w:themeColor="text1"/>
          <w:szCs w:val="16"/>
        </w:rPr>
        <w:br/>
      </w:r>
      <w:r w:rsidRPr="00781112">
        <w:rPr>
          <w:rFonts w:cs="Arial"/>
          <w:color w:val="000000" w:themeColor="text1"/>
          <w:szCs w:val="16"/>
        </w:rPr>
        <w:br/>
        <w:t xml:space="preserve">In 2018-19, all child development centers had transitioned to this new process for gathering data on the three outcomes areas. The scoring process for the BDI-II entails converting the z-score on a given domain area to the 7-point Child Outcome Rating scale. Exit scores on the 7-point rating scale are then compared to entry scores on the 7-point rating scale to determine which of the five OSEP progress categories (a, b, c, d, or e) in which a given student falls, using the same calculation method as that used for the ECO Child Outcomes Summary process. In addition, in 2020-21, the EIEP also (in addition to changes in z-scores) used the Battelle's Change Sensitive Scores (CSS) to measure growth whereas a child who made at least a 20 point gain in CSS (which corresponds to significant growth based on the 90% confidence intervals) from entry to exit was said to have made growth. </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9B37A2" w:rsidP="007D435F">
      <w:pPr>
        <w:rPr>
          <w:rFonts w:cs="Arial"/>
          <w:color w:val="000000" w:themeColor="text1"/>
          <w:szCs w:val="16"/>
        </w:rPr>
      </w:pP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9B37A2" w:rsidP="001F692C">
      <w:pPr>
        <w:rPr>
          <w:rFonts w:cs="Arial"/>
          <w:color w:val="000000" w:themeColor="text1"/>
          <w:szCs w:val="16"/>
        </w:rPr>
      </w:pPr>
    </w:p>
    <w:p w14:paraId="50C7CF43" w14:textId="32A5B19E" w:rsidR="00221EC9" w:rsidRPr="00781112" w:rsidRDefault="00C96236" w:rsidP="008645AD">
      <w:pPr>
        <w:pStyle w:val="Heading2"/>
      </w:pPr>
      <w:r w:rsidRPr="00781112">
        <w:t>7 - Required Actions</w:t>
      </w:r>
    </w:p>
    <w:p w14:paraId="4FFE0FC1" w14:textId="3673A3A2" w:rsidR="00415684" w:rsidRDefault="00415684" w:rsidP="006D5DC4">
      <w:pPr>
        <w:rPr>
          <w:rFonts w:cs="Arial"/>
          <w:color w:val="000000" w:themeColor="text1"/>
          <w:szCs w:val="16"/>
        </w:rPr>
      </w:pPr>
    </w:p>
    <w:p w14:paraId="0D594D0E" w14:textId="77777777" w:rsidR="00415684" w:rsidRDefault="00415684">
      <w:pPr>
        <w:spacing w:before="0" w:after="200" w:line="276" w:lineRule="auto"/>
        <w:rPr>
          <w:rFonts w:cs="Arial"/>
          <w:color w:val="000000" w:themeColor="text1"/>
          <w:szCs w:val="16"/>
        </w:rPr>
      </w:pPr>
      <w:r>
        <w:rPr>
          <w:rFonts w:cs="Arial"/>
          <w:color w:val="000000" w:themeColor="text1"/>
          <w:szCs w:val="16"/>
        </w:rPr>
        <w:br w:type="page"/>
      </w:r>
    </w:p>
    <w:p w14:paraId="3BCCFF07" w14:textId="13DF3424"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8"/>
      <w:bookmarkEnd w:id="39"/>
    </w:p>
    <w:p w14:paraId="66FBCA03" w14:textId="77777777" w:rsidR="00B654C1" w:rsidRPr="00781112" w:rsidRDefault="00B654C1" w:rsidP="00A018D4">
      <w:pPr>
        <w:rPr>
          <w:color w:val="000000" w:themeColor="text1"/>
          <w:szCs w:val="20"/>
        </w:rPr>
      </w:pPr>
      <w:bookmarkStart w:id="40"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 xml:space="preserve">of parents from whom response </w:t>
      </w:r>
      <w:proofErr w:type="gramStart"/>
      <w:r w:rsidRPr="00781112">
        <w:rPr>
          <w:rFonts w:cs="Arial"/>
          <w:b/>
          <w:bCs/>
          <w:i/>
          <w:iCs/>
          <w:color w:val="000000" w:themeColor="text1"/>
          <w:szCs w:val="16"/>
        </w:rPr>
        <w:t>is requested</w:t>
      </w:r>
      <w:proofErr w:type="gramEnd"/>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 xml:space="preserve">When sampling </w:t>
      </w:r>
      <w:proofErr w:type="gramStart"/>
      <w:r w:rsidRPr="00781112">
        <w:rPr>
          <w:rFonts w:cs="Arial"/>
          <w:i/>
          <w:iCs/>
          <w:color w:val="000000" w:themeColor="text1"/>
          <w:szCs w:val="16"/>
        </w:rPr>
        <w:t>is used</w:t>
      </w:r>
      <w:proofErr w:type="gramEnd"/>
      <w:r w:rsidRPr="00781112">
        <w:rPr>
          <w:rFonts w:cs="Arial"/>
          <w:i/>
          <w:iCs/>
          <w:color w:val="000000" w:themeColor="text1"/>
          <w:szCs w:val="16"/>
        </w:rPr>
        <w:t>,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w:t>
      </w:r>
      <w:proofErr w:type="gramStart"/>
      <w:r w:rsidRPr="00781112">
        <w:rPr>
          <w:rFonts w:cs="Arial"/>
          <w:color w:val="000000" w:themeColor="text1"/>
          <w:szCs w:val="16"/>
        </w:rPr>
        <w:t>reliable</w:t>
      </w:r>
      <w:proofErr w:type="gramEnd"/>
      <w:r w:rsidRPr="00781112">
        <w:rPr>
          <w:rFonts w:cs="Arial"/>
          <w:color w:val="000000" w:themeColor="text1"/>
          <w:szCs w:val="16"/>
        </w:rPr>
        <w:t>.</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 xml:space="preserve">While a survey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t>
      </w:r>
      <w:proofErr w:type="gramStart"/>
      <w:r w:rsidRPr="00781112">
        <w:rPr>
          <w:rFonts w:cs="Arial"/>
          <w:color w:val="000000" w:themeColor="text1"/>
          <w:szCs w:val="16"/>
        </w:rPr>
        <w:t>were distributed</w:t>
      </w:r>
      <w:proofErr w:type="gramEnd"/>
      <w:r w:rsidRPr="00781112">
        <w:rPr>
          <w:rFonts w:cs="Arial"/>
          <w:color w:val="000000" w:themeColor="text1"/>
          <w:szCs w:val="16"/>
        </w:rPr>
        <w:t xml:space="preserve"> </w:t>
      </w:r>
      <w:r w:rsidR="004A6352" w:rsidRPr="00781112">
        <w:rPr>
          <w:rFonts w:cs="Arial"/>
          <w:szCs w:val="16"/>
        </w:rPr>
        <w:t xml:space="preserve">and the number of respondent parents. The survey response rate </w:t>
      </w:r>
      <w:proofErr w:type="gramStart"/>
      <w:r w:rsidR="004A6352" w:rsidRPr="00781112">
        <w:rPr>
          <w:rFonts w:cs="Arial"/>
          <w:szCs w:val="16"/>
        </w:rPr>
        <w:t>is automatically calculated</w:t>
      </w:r>
      <w:proofErr w:type="gramEnd"/>
      <w:r w:rsidR="004A6352" w:rsidRPr="00781112">
        <w:rPr>
          <w:rFonts w:cs="Arial"/>
          <w:szCs w:val="16"/>
        </w:rPr>
        <w:t xml:space="preserve"> using the submitted data.</w:t>
      </w:r>
    </w:p>
    <w:p w14:paraId="4699B320" w14:textId="1251213C" w:rsidR="009C74BD" w:rsidRDefault="009C74BD" w:rsidP="009C74BD">
      <w:pPr>
        <w:rPr>
          <w:rFonts w:cs="Arial"/>
          <w:szCs w:val="16"/>
        </w:rPr>
      </w:pPr>
      <w:r w:rsidRPr="00781112">
        <w:rPr>
          <w:rFonts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particularly for those groups that are underrepresented.</w:t>
      </w:r>
    </w:p>
    <w:p w14:paraId="4A1F1567" w14:textId="77777777" w:rsidR="00DF5951" w:rsidRDefault="00DF5951" w:rsidP="009C74BD">
      <w:bookmarkStart w:id="41" w:name="_Hlk116647902"/>
      <w:r w:rsidRPr="006D5DC4">
        <w:rPr>
          <w:b/>
          <w:bCs/>
        </w:rPr>
        <w:t>Beginning with the FFY 2021 SPP/APR, due February 1, 2023,</w:t>
      </w:r>
      <w:r>
        <w:t xml:space="preserve"> include in the State’s analysis the extent to which the demographics of the children for whom parents responded are representative of the demographics of children receiving special education services. States must consider race/ethnicity. In addition, the State’s analysis must also include at least one of the following demographics: age of the student, disability category, gender, geographic location, and/or another demographic category approved through the stakeholder input process. States must describe the metric used to determine representativeness (e.g., +/- 3% discrepancy in the proportion of responders compared to target group). </w:t>
      </w:r>
    </w:p>
    <w:p w14:paraId="64177BBB" w14:textId="77777777" w:rsidR="00DF5951" w:rsidRDefault="00DF5951" w:rsidP="009C74BD">
      <w:r>
        <w:t xml:space="preserve">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t>
      </w:r>
      <w:proofErr w:type="gramStart"/>
      <w:r>
        <w:t>were collected</w:t>
      </w:r>
      <w:proofErr w:type="gramEnd"/>
      <w:r>
        <w:t xml:space="preserve">. </w:t>
      </w:r>
    </w:p>
    <w:p w14:paraId="4D74BEFB" w14:textId="7AC91DF2" w:rsidR="00DF5951" w:rsidRPr="00781112" w:rsidRDefault="00DF5951" w:rsidP="009C74BD">
      <w:pPr>
        <w:rPr>
          <w:rFonts w:cs="Arial"/>
          <w:szCs w:val="16"/>
        </w:rPr>
      </w:pPr>
      <w:r>
        <w:t xml:space="preserve">States </w:t>
      </w:r>
      <w:proofErr w:type="gramStart"/>
      <w:r>
        <w:t>are encouraged</w:t>
      </w:r>
      <w:proofErr w:type="gramEnd"/>
      <w:r>
        <w:t xml:space="preserve"> to work in collaboration with their OSEP-funded parent centers in collecting data.</w:t>
      </w:r>
    </w:p>
    <w:bookmarkEnd w:id="41"/>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40"/>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71AF2AFF" w14:textId="77777777" w:rsidR="00487CBD" w:rsidRPr="00781112" w:rsidRDefault="00487CBD" w:rsidP="00487CBD">
      <w:pPr>
        <w:rPr>
          <w:rFonts w:cs="Arial"/>
          <w:color w:val="000000" w:themeColor="text1"/>
          <w:szCs w:val="16"/>
        </w:rPr>
      </w:pPr>
    </w:p>
    <w:p w14:paraId="339F3968" w14:textId="6278D154" w:rsidR="008B600B" w:rsidRDefault="008B600B" w:rsidP="004369B2">
      <w:pPr>
        <w:rPr>
          <w:rFonts w:cs="Arial"/>
          <w:color w:val="000000" w:themeColor="text1"/>
          <w:szCs w:val="16"/>
        </w:rPr>
      </w:pPr>
    </w:p>
    <w:p w14:paraId="7AF89E0E" w14:textId="77777777" w:rsidR="0039251E" w:rsidRPr="00781112" w:rsidRDefault="0039251E"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2021</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87.01%</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2020</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75.39%</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75.64%</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75.89%</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78.50%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85.28%</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78.56%</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82.11%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83.40%</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85.44%</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85.30%</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8"/>
        <w:gridCol w:w="1650"/>
        <w:gridCol w:w="1651"/>
        <w:gridCol w:w="1651"/>
        <w:gridCol w:w="1651"/>
        <w:gridCol w:w="1649"/>
      </w:tblGrid>
      <w:tr w:rsidR="00B14519" w:rsidRPr="00781112" w14:paraId="77450D85" w14:textId="217C23D8" w:rsidTr="00451D7E">
        <w:trPr>
          <w:trHeight w:val="242"/>
        </w:trPr>
        <w:tc>
          <w:tcPr>
            <w:tcW w:w="491" w:type="pct"/>
            <w:tcBorders>
              <w:bottom w:val="single" w:sz="4" w:space="0" w:color="auto"/>
            </w:tcBorders>
            <w:shd w:val="clear" w:color="auto" w:fill="auto"/>
            <w:vAlign w:val="center"/>
          </w:tcPr>
          <w:p w14:paraId="5A82FAC4" w14:textId="77777777" w:rsidR="00B14519" w:rsidRPr="003F088A" w:rsidRDefault="00B14519" w:rsidP="00AD5583">
            <w:pPr>
              <w:jc w:val="center"/>
              <w:rPr>
                <w:rFonts w:cs="Arial"/>
                <w:b/>
                <w:color w:val="000000" w:themeColor="text1"/>
                <w:szCs w:val="16"/>
              </w:rPr>
            </w:pPr>
            <w:r w:rsidRPr="003F088A">
              <w:rPr>
                <w:rFonts w:cs="Arial"/>
                <w:b/>
                <w:color w:val="000000" w:themeColor="text1"/>
                <w:szCs w:val="16"/>
              </w:rPr>
              <w:t>FFY</w:t>
            </w:r>
          </w:p>
        </w:tc>
        <w:tc>
          <w:tcPr>
            <w:tcW w:w="902" w:type="pct"/>
            <w:shd w:val="clear" w:color="auto" w:fill="auto"/>
            <w:vAlign w:val="center"/>
          </w:tcPr>
          <w:p w14:paraId="6DDB1395" w14:textId="489E70A4" w:rsidR="00B14519" w:rsidRPr="003F088A" w:rsidRDefault="00B14519" w:rsidP="00AD5583">
            <w:pPr>
              <w:jc w:val="center"/>
              <w:rPr>
                <w:rFonts w:cs="Arial"/>
                <w:b/>
                <w:color w:val="000000" w:themeColor="text1"/>
                <w:szCs w:val="16"/>
              </w:rPr>
            </w:pPr>
            <w:r w:rsidRPr="003F088A">
              <w:rPr>
                <w:rFonts w:cs="Arial"/>
                <w:b/>
                <w:color w:val="000000" w:themeColor="text1"/>
                <w:szCs w:val="16"/>
              </w:rPr>
              <w:t>2021</w:t>
            </w:r>
          </w:p>
        </w:tc>
        <w:tc>
          <w:tcPr>
            <w:tcW w:w="902" w:type="pct"/>
            <w:vAlign w:val="center"/>
          </w:tcPr>
          <w:p w14:paraId="3277D8E8" w14:textId="4A05E6F6" w:rsidR="00B14519" w:rsidRPr="003F088A" w:rsidRDefault="00B14519" w:rsidP="00730C62">
            <w:pPr>
              <w:jc w:val="center"/>
              <w:rPr>
                <w:rFonts w:cs="Arial"/>
                <w:b/>
                <w:color w:val="000000" w:themeColor="text1"/>
                <w:szCs w:val="16"/>
              </w:rPr>
            </w:pPr>
            <w:r w:rsidRPr="00781112">
              <w:rPr>
                <w:rFonts w:cs="Arial"/>
                <w:b/>
                <w:color w:val="000000" w:themeColor="text1"/>
                <w:szCs w:val="16"/>
              </w:rPr>
              <w:t>2022</w:t>
            </w:r>
          </w:p>
        </w:tc>
        <w:tc>
          <w:tcPr>
            <w:tcW w:w="902" w:type="pct"/>
            <w:vAlign w:val="center"/>
          </w:tcPr>
          <w:p w14:paraId="3AC9106D" w14:textId="5F7A56D0" w:rsidR="00B14519" w:rsidRPr="003F088A" w:rsidRDefault="00B14519" w:rsidP="00730C62">
            <w:pPr>
              <w:jc w:val="center"/>
              <w:rPr>
                <w:rFonts w:cs="Arial"/>
                <w:b/>
                <w:color w:val="000000" w:themeColor="text1"/>
                <w:szCs w:val="16"/>
              </w:rPr>
            </w:pPr>
            <w:r w:rsidRPr="00781112">
              <w:rPr>
                <w:rFonts w:cs="Arial"/>
                <w:b/>
                <w:color w:val="000000" w:themeColor="text1"/>
                <w:szCs w:val="16"/>
              </w:rPr>
              <w:t>2023</w:t>
            </w:r>
          </w:p>
        </w:tc>
        <w:tc>
          <w:tcPr>
            <w:tcW w:w="902" w:type="pct"/>
            <w:vAlign w:val="center"/>
          </w:tcPr>
          <w:p w14:paraId="4E87FEC3" w14:textId="73615588" w:rsidR="00B14519" w:rsidRPr="003F088A" w:rsidRDefault="00B14519" w:rsidP="00730C62">
            <w:pPr>
              <w:jc w:val="center"/>
              <w:rPr>
                <w:rFonts w:cs="Arial"/>
                <w:b/>
                <w:color w:val="000000" w:themeColor="text1"/>
                <w:szCs w:val="16"/>
              </w:rPr>
            </w:pPr>
            <w:r w:rsidRPr="00781112">
              <w:rPr>
                <w:rFonts w:cs="Arial"/>
                <w:b/>
                <w:color w:val="000000" w:themeColor="text1"/>
                <w:szCs w:val="16"/>
              </w:rPr>
              <w:t>2024</w:t>
            </w:r>
          </w:p>
        </w:tc>
        <w:tc>
          <w:tcPr>
            <w:tcW w:w="902" w:type="pct"/>
            <w:vAlign w:val="center"/>
          </w:tcPr>
          <w:p w14:paraId="52455E86" w14:textId="781B38CA" w:rsidR="00B14519" w:rsidRPr="003F088A" w:rsidRDefault="00B14519" w:rsidP="00730C62">
            <w:pPr>
              <w:jc w:val="center"/>
              <w:rPr>
                <w:rFonts w:cs="Arial"/>
                <w:b/>
                <w:color w:val="000000" w:themeColor="text1"/>
                <w:szCs w:val="16"/>
              </w:rPr>
            </w:pPr>
            <w:r w:rsidRPr="00781112">
              <w:rPr>
                <w:rFonts w:cs="Arial"/>
                <w:b/>
                <w:color w:val="000000" w:themeColor="text1"/>
                <w:szCs w:val="16"/>
              </w:rPr>
              <w:t>2025</w:t>
            </w:r>
          </w:p>
        </w:tc>
      </w:tr>
      <w:tr w:rsidR="00B14519" w:rsidRPr="00781112" w14:paraId="50A2A35E" w14:textId="13C4D5C2" w:rsidTr="00451D7E">
        <w:trPr>
          <w:trHeight w:val="370"/>
        </w:trPr>
        <w:tc>
          <w:tcPr>
            <w:tcW w:w="491" w:type="pct"/>
            <w:shd w:val="clear" w:color="auto" w:fill="auto"/>
          </w:tcPr>
          <w:p w14:paraId="2F249DEE" w14:textId="4AA3473F" w:rsidR="00B14519" w:rsidRPr="00781112" w:rsidRDefault="00B14519" w:rsidP="00AD5583">
            <w:pPr>
              <w:rPr>
                <w:rFonts w:cs="Arial"/>
                <w:color w:val="000000" w:themeColor="text1"/>
                <w:szCs w:val="16"/>
              </w:rPr>
            </w:pPr>
            <w:r w:rsidRPr="00781112">
              <w:rPr>
                <w:rFonts w:cs="Arial"/>
                <w:color w:val="000000" w:themeColor="text1"/>
                <w:szCs w:val="16"/>
              </w:rPr>
              <w:t>Target &gt;=</w:t>
            </w:r>
          </w:p>
        </w:tc>
        <w:tc>
          <w:tcPr>
            <w:tcW w:w="902" w:type="pct"/>
            <w:shd w:val="clear" w:color="auto" w:fill="auto"/>
            <w:vAlign w:val="center"/>
          </w:tcPr>
          <w:p w14:paraId="2ACB7B9E" w14:textId="427B5E78" w:rsidR="00B14519" w:rsidRPr="00781112" w:rsidRDefault="00B14519" w:rsidP="00AD5583">
            <w:pPr>
              <w:jc w:val="center"/>
              <w:rPr>
                <w:rFonts w:cs="Arial"/>
                <w:color w:val="000000" w:themeColor="text1"/>
                <w:szCs w:val="16"/>
              </w:rPr>
            </w:pPr>
            <w:r w:rsidRPr="00781112">
              <w:rPr>
                <w:rFonts w:cs="Arial"/>
                <w:color w:val="000000" w:themeColor="text1"/>
                <w:szCs w:val="16"/>
              </w:rPr>
              <w:t>87.01%</w:t>
            </w:r>
          </w:p>
        </w:tc>
        <w:tc>
          <w:tcPr>
            <w:tcW w:w="902" w:type="pct"/>
          </w:tcPr>
          <w:p w14:paraId="01493DF6" w14:textId="39FAD961" w:rsidR="00B14519" w:rsidRPr="00781112" w:rsidRDefault="00B14519" w:rsidP="00AD5583">
            <w:pPr>
              <w:spacing w:before="0" w:after="200" w:line="276" w:lineRule="auto"/>
            </w:pPr>
            <w:r w:rsidRPr="00781112">
              <w:rPr>
                <w:color w:val="000000" w:themeColor="text1"/>
                <w:szCs w:val="16"/>
              </w:rPr>
              <w:t>87.01%</w:t>
            </w:r>
          </w:p>
        </w:tc>
        <w:tc>
          <w:tcPr>
            <w:tcW w:w="902" w:type="pct"/>
          </w:tcPr>
          <w:p w14:paraId="71DAA89B" w14:textId="5FDD553A" w:rsidR="00B14519" w:rsidRPr="00781112" w:rsidRDefault="00B14519" w:rsidP="00AD5583">
            <w:pPr>
              <w:spacing w:before="0" w:after="200" w:line="276" w:lineRule="auto"/>
            </w:pPr>
            <w:r w:rsidRPr="00781112">
              <w:rPr>
                <w:color w:val="000000" w:themeColor="text1"/>
                <w:szCs w:val="16"/>
              </w:rPr>
              <w:t>87.23%</w:t>
            </w:r>
          </w:p>
        </w:tc>
        <w:tc>
          <w:tcPr>
            <w:tcW w:w="902" w:type="pct"/>
          </w:tcPr>
          <w:p w14:paraId="6C8342E2" w14:textId="3FBC30A4" w:rsidR="00B14519" w:rsidRPr="00781112" w:rsidRDefault="00B14519" w:rsidP="00AD5583">
            <w:pPr>
              <w:spacing w:before="0" w:after="200" w:line="276" w:lineRule="auto"/>
            </w:pPr>
            <w:r w:rsidRPr="00781112">
              <w:rPr>
                <w:color w:val="000000" w:themeColor="text1"/>
                <w:szCs w:val="16"/>
              </w:rPr>
              <w:t>87.23%</w:t>
            </w:r>
          </w:p>
        </w:tc>
        <w:tc>
          <w:tcPr>
            <w:tcW w:w="902" w:type="pct"/>
          </w:tcPr>
          <w:p w14:paraId="02A9D828" w14:textId="4D6EC210" w:rsidR="00B14519" w:rsidRPr="00781112" w:rsidRDefault="00B14519" w:rsidP="00AD5583">
            <w:pPr>
              <w:spacing w:before="0" w:after="200" w:line="276" w:lineRule="auto"/>
            </w:pPr>
            <w:r w:rsidRPr="00781112">
              <w:rPr>
                <w:color w:val="000000" w:themeColor="text1"/>
                <w:szCs w:val="16"/>
              </w:rPr>
              <w:t>88.00%</w:t>
            </w:r>
          </w:p>
        </w:tc>
      </w:tr>
    </w:tbl>
    <w:p w14:paraId="68BCE5ED" w14:textId="77777777" w:rsidR="007E2779" w:rsidRPr="00781112" w:rsidRDefault="007E2779" w:rsidP="000A2C83">
      <w:pPr>
        <w:rPr>
          <w:rFonts w:cs="Arial"/>
          <w:color w:val="000000" w:themeColor="text1"/>
          <w:szCs w:val="16"/>
        </w:rPr>
      </w:pPr>
    </w:p>
    <w:p w14:paraId="15954908" w14:textId="0AB73F14" w:rsidR="00FB6462" w:rsidRPr="00781112" w:rsidRDefault="0047313F" w:rsidP="004369B2">
      <w:pPr>
        <w:rPr>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206A65" w:rsidRPr="00781112" w14:paraId="2A3467FD" w14:textId="77777777" w:rsidTr="00AB0D6A">
        <w:trPr>
          <w:trHeight w:val="368"/>
          <w:tblHeader/>
        </w:trPr>
        <w:tc>
          <w:tcPr>
            <w:tcW w:w="1244" w:type="pct"/>
            <w:shd w:val="clear" w:color="auto" w:fill="auto"/>
            <w:vAlign w:val="bottom"/>
          </w:tcPr>
          <w:p w14:paraId="1B1F6FBB" w14:textId="77777777" w:rsidR="00206A65" w:rsidRPr="00781112" w:rsidRDefault="00206A65" w:rsidP="00206A65">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206A65" w:rsidRPr="00781112" w:rsidRDefault="00206A65" w:rsidP="00206A65">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32FBABFF" w:rsidR="00206A65" w:rsidRPr="00CC1061" w:rsidRDefault="00206A65" w:rsidP="00206A65">
            <w:pPr>
              <w:jc w:val="center"/>
              <w:rPr>
                <w:b/>
                <w:bCs/>
                <w:color w:val="000000" w:themeColor="text1"/>
              </w:rPr>
            </w:pPr>
            <w:r w:rsidRPr="00CC1061">
              <w:rPr>
                <w:b/>
                <w:bCs/>
              </w:rPr>
              <w:t>FFY 2020 Data</w:t>
            </w:r>
          </w:p>
        </w:tc>
        <w:tc>
          <w:tcPr>
            <w:tcW w:w="667" w:type="pct"/>
            <w:shd w:val="clear" w:color="auto" w:fill="auto"/>
            <w:vAlign w:val="bottom"/>
          </w:tcPr>
          <w:p w14:paraId="42BF1046" w14:textId="7C022548" w:rsidR="00206A65" w:rsidRPr="00CC1061" w:rsidRDefault="00206A65" w:rsidP="00206A65">
            <w:pPr>
              <w:jc w:val="center"/>
              <w:rPr>
                <w:b/>
                <w:bCs/>
                <w:color w:val="000000" w:themeColor="text1"/>
              </w:rPr>
            </w:pPr>
            <w:r w:rsidRPr="00CC1061">
              <w:rPr>
                <w:b/>
                <w:bCs/>
              </w:rPr>
              <w:t>FFY 2021 Target</w:t>
            </w:r>
          </w:p>
        </w:tc>
        <w:tc>
          <w:tcPr>
            <w:tcW w:w="542" w:type="pct"/>
            <w:shd w:val="clear" w:color="auto" w:fill="auto"/>
            <w:vAlign w:val="bottom"/>
          </w:tcPr>
          <w:p w14:paraId="36E0331C" w14:textId="795D3E94" w:rsidR="00206A65" w:rsidRPr="00CC1061" w:rsidRDefault="00206A65" w:rsidP="00206A65">
            <w:pPr>
              <w:jc w:val="center"/>
              <w:rPr>
                <w:b/>
                <w:bCs/>
                <w:color w:val="000000" w:themeColor="text1"/>
              </w:rPr>
            </w:pPr>
            <w:r w:rsidRPr="00CC1061">
              <w:rPr>
                <w:b/>
                <w:bCs/>
              </w:rPr>
              <w:t>FFY 2021 Data</w:t>
            </w:r>
          </w:p>
        </w:tc>
        <w:tc>
          <w:tcPr>
            <w:tcW w:w="625" w:type="pct"/>
            <w:shd w:val="clear" w:color="auto" w:fill="auto"/>
            <w:vAlign w:val="bottom"/>
          </w:tcPr>
          <w:p w14:paraId="52157F4E" w14:textId="77777777" w:rsidR="00206A65" w:rsidRPr="00781112" w:rsidRDefault="00206A65" w:rsidP="00206A65">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3,745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4,304</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85.30%</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87.01%</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87.01%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 xml:space="preserve">Since the State did not report preschool children separately, discuss the procedures used to combine data from school age and preschool surveys in a manner that is valid and </w:t>
      </w:r>
      <w:proofErr w:type="gramStart"/>
      <w:r w:rsidRPr="00781112">
        <w:rPr>
          <w:rFonts w:cs="Arial"/>
          <w:b/>
          <w:color w:val="000000" w:themeColor="text1"/>
          <w:szCs w:val="16"/>
        </w:rPr>
        <w:t>reliable</w:t>
      </w:r>
      <w:proofErr w:type="gramEnd"/>
      <w:r w:rsidRPr="00781112">
        <w:rPr>
          <w:rFonts w:cs="Arial"/>
          <w:b/>
          <w:color w:val="000000" w:themeColor="text1"/>
          <w:szCs w:val="16"/>
        </w:rPr>
        <w:t>.</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Starting in 2021-22, every LEA in the state </w:t>
      </w:r>
      <w:proofErr w:type="gramStart"/>
      <w:r w:rsidRPr="00781112">
        <w:rPr>
          <w:rFonts w:cs="Arial"/>
          <w:color w:val="000000" w:themeColor="text1"/>
          <w:szCs w:val="16"/>
        </w:rPr>
        <w:t>is required</w:t>
      </w:r>
      <w:proofErr w:type="gramEnd"/>
      <w:r w:rsidRPr="00781112">
        <w:rPr>
          <w:rFonts w:cs="Arial"/>
          <w:color w:val="000000" w:themeColor="text1"/>
          <w:szCs w:val="16"/>
        </w:rPr>
        <w:t xml:space="preserve"> to administer the survey to all their parents of students with disabilities ages 3-21. Every LEA, including the LEA that </w:t>
      </w:r>
      <w:proofErr w:type="gramStart"/>
      <w:r w:rsidRPr="00781112">
        <w:rPr>
          <w:rFonts w:cs="Arial"/>
          <w:color w:val="000000" w:themeColor="text1"/>
          <w:szCs w:val="16"/>
        </w:rPr>
        <w:t>is focused</w:t>
      </w:r>
      <w:proofErr w:type="gramEnd"/>
      <w:r w:rsidRPr="00781112">
        <w:rPr>
          <w:rFonts w:cs="Arial"/>
          <w:color w:val="000000" w:themeColor="text1"/>
          <w:szCs w:val="16"/>
        </w:rPr>
        <w:t xml:space="preserve"> on pre-k students with disabilities is required to do this census administration every year. Parents of students with disabilities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with a variety of ways to complete the survey. LEA staff members can distribute the survey in person, via mail, via email, and/or via text. WDE has created materials for each administrative method for each LEA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help facilitate an efficient administration. Response rates by LEA </w:t>
      </w:r>
      <w:proofErr w:type="gramStart"/>
      <w:r w:rsidRPr="00781112">
        <w:rPr>
          <w:rFonts w:cs="Arial"/>
          <w:color w:val="000000" w:themeColor="text1"/>
          <w:szCs w:val="16"/>
        </w:rPr>
        <w:t>were monitored</w:t>
      </w:r>
      <w:proofErr w:type="gramEnd"/>
      <w:r w:rsidRPr="00781112">
        <w:rPr>
          <w:rFonts w:cs="Arial"/>
          <w:color w:val="000000" w:themeColor="text1"/>
          <w:szCs w:val="16"/>
        </w:rPr>
        <w:t xml:space="preserve"> to ensure each LEA is administering the survey to their parents. Nonresponse bias and the representativeness of responses continue to </w:t>
      </w:r>
      <w:proofErr w:type="gramStart"/>
      <w:r w:rsidRPr="00781112">
        <w:rPr>
          <w:rFonts w:cs="Arial"/>
          <w:color w:val="000000" w:themeColor="text1"/>
          <w:szCs w:val="16"/>
        </w:rPr>
        <w:t>be examined</w:t>
      </w:r>
      <w:proofErr w:type="gramEnd"/>
      <w:r w:rsidRPr="00781112">
        <w:rPr>
          <w:rFonts w:cs="Arial"/>
          <w:color w:val="000000" w:themeColor="text1"/>
          <w:szCs w:val="16"/>
        </w:rPr>
        <w:t xml:space="preserve"> as in the past.</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 xml:space="preserve">The number of parents to whom the surveys </w:t>
      </w:r>
      <w:proofErr w:type="gramStart"/>
      <w:r w:rsidRPr="00781112">
        <w:rPr>
          <w:rFonts w:cs="Arial"/>
          <w:b/>
          <w:color w:val="000000" w:themeColor="text1"/>
          <w:szCs w:val="16"/>
        </w:rPr>
        <w:t>were distributed</w:t>
      </w:r>
      <w:proofErr w:type="gramEnd"/>
      <w:r w:rsidRPr="00781112">
        <w:rPr>
          <w:rFonts w:cs="Arial"/>
          <w:b/>
          <w:color w:val="000000" w:themeColor="text1"/>
          <w:szCs w:val="16"/>
        </w:rPr>
        <w:t>.</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15,901</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27.07%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42"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2020</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2021</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47.55%</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27.07%</w:t>
            </w:r>
          </w:p>
        </w:tc>
      </w:tr>
      <w:bookmarkEnd w:id="42"/>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 xml:space="preserve">Describe strategies that will </w:t>
      </w:r>
      <w:proofErr w:type="gramStart"/>
      <w:r w:rsidRPr="0061205F">
        <w:rPr>
          <w:rFonts w:cs="Arial"/>
          <w:b/>
          <w:color w:val="000000" w:themeColor="text1"/>
          <w:szCs w:val="16"/>
        </w:rPr>
        <w:t>be implemented</w:t>
      </w:r>
      <w:proofErr w:type="gramEnd"/>
      <w:r w:rsidRPr="0061205F">
        <w:rPr>
          <w:rFonts w:cs="Arial"/>
          <w:b/>
          <w:color w:val="000000" w:themeColor="text1"/>
          <w:szCs w:val="16"/>
        </w:rPr>
        <w:t xml:space="preserve">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Our overall response rate of 27% is quite high for the Indicator 8 survey. It is lower than it was last </w:t>
      </w:r>
      <w:proofErr w:type="gramStart"/>
      <w:r w:rsidRPr="0061205F">
        <w:rPr>
          <w:rFonts w:cs="Arial"/>
          <w:bCs/>
          <w:color w:val="000000" w:themeColor="text1"/>
          <w:szCs w:val="16"/>
        </w:rPr>
        <w:t>year, because</w:t>
      </w:r>
      <w:proofErr w:type="gramEnd"/>
      <w:r w:rsidRPr="0061205F">
        <w:rPr>
          <w:rFonts w:cs="Arial"/>
          <w:bCs/>
          <w:color w:val="000000" w:themeColor="text1"/>
          <w:szCs w:val="16"/>
        </w:rPr>
        <w:t xml:space="preserve"> this is the first year the WDE has required all districts to administer their survey to their parents of students with disabilities themselves and without the assistance of a third-party contractor. Thus, the 2021-22 year represented the first time </w:t>
      </w:r>
      <w:proofErr w:type="gramStart"/>
      <w:r w:rsidRPr="0061205F">
        <w:rPr>
          <w:rFonts w:cs="Arial"/>
          <w:bCs/>
          <w:color w:val="000000" w:themeColor="text1"/>
          <w:szCs w:val="16"/>
        </w:rPr>
        <w:t>several</w:t>
      </w:r>
      <w:proofErr w:type="gramEnd"/>
      <w:r w:rsidRPr="0061205F">
        <w:rPr>
          <w:rFonts w:cs="Arial"/>
          <w:bCs/>
          <w:color w:val="000000" w:themeColor="text1"/>
          <w:szCs w:val="16"/>
        </w:rPr>
        <w:t xml:space="preserve"> LEAs did their own administration (some LEAs did their own administration in previous years as a pilot for this process). The WDE expects that LEAs will improve their administration processes over time as they figure out which methods work best for their parents.</w:t>
      </w:r>
      <w:r w:rsidRPr="0061205F">
        <w:rPr>
          <w:rFonts w:cs="Arial"/>
          <w:bCs/>
          <w:color w:val="000000" w:themeColor="text1"/>
          <w:szCs w:val="16"/>
        </w:rPr>
        <w:br/>
      </w:r>
      <w:r w:rsidRPr="0061205F">
        <w:rPr>
          <w:rFonts w:cs="Arial"/>
          <w:bCs/>
          <w:color w:val="000000" w:themeColor="text1"/>
          <w:szCs w:val="16"/>
        </w:rPr>
        <w:br/>
        <w:t xml:space="preserve">Even though results are representative of parents of students with disabilities across the state, we are taking these steps to encourage a higher percentage of parents of Hispanic and of American Indian students with disabilities to respond. Two of our strategies for increasing this response rate include creating a survey in an auditory format in Spanish (recording) and having a booth at the annual Native American Education Conference to provide families with Special Education resources and an opportunity to complete the survey on-site. </w:t>
      </w:r>
      <w:r w:rsidRPr="0061205F">
        <w:rPr>
          <w:rFonts w:cs="Arial"/>
          <w:bCs/>
          <w:color w:val="000000" w:themeColor="text1"/>
          <w:szCs w:val="16"/>
        </w:rPr>
        <w:br/>
      </w:r>
      <w:r w:rsidRPr="0061205F">
        <w:rPr>
          <w:rFonts w:cs="Arial"/>
          <w:bCs/>
          <w:color w:val="000000" w:themeColor="text1"/>
          <w:szCs w:val="16"/>
        </w:rPr>
        <w:br/>
        <w:t>Additionally, we are facilitating a higher percentage of parents of all students with all disabilities to respond by having an auditory format and in braille to access the survey other than in traditional print.</w:t>
      </w:r>
      <w:r w:rsidRPr="0061205F">
        <w:rPr>
          <w:rFonts w:cs="Arial"/>
          <w:bCs/>
          <w:color w:val="000000" w:themeColor="text1"/>
          <w:szCs w:val="16"/>
        </w:rPr>
        <w:br/>
      </w:r>
      <w:r w:rsidRPr="0061205F">
        <w:rPr>
          <w:rFonts w:cs="Arial"/>
          <w:bCs/>
          <w:color w:val="000000" w:themeColor="text1"/>
          <w:szCs w:val="16"/>
        </w:rPr>
        <w:br/>
        <w:t xml:space="preserve">Lastly, all districts are encouraging all their parents to respond and providing an opportunity for their parents to respond. This will increase the response rate given that compared to WDE, districts can more easily connect with the parents about the importance of the survey and directly encourage them to complete it. This will be particularly helpful for those districts that have a </w:t>
      </w:r>
      <w:proofErr w:type="gramStart"/>
      <w:r w:rsidRPr="0061205F">
        <w:rPr>
          <w:rFonts w:cs="Arial"/>
          <w:bCs/>
          <w:color w:val="000000" w:themeColor="text1"/>
          <w:szCs w:val="16"/>
        </w:rPr>
        <w:t>predominantly Native</w:t>
      </w:r>
      <w:proofErr w:type="gramEnd"/>
      <w:r w:rsidRPr="0061205F">
        <w:rPr>
          <w:rFonts w:cs="Arial"/>
          <w:bCs/>
          <w:color w:val="000000" w:themeColor="text1"/>
          <w:szCs w:val="16"/>
        </w:rPr>
        <w:t xml:space="preserve"> American population given that historically this population has been the least likely to respond.  The personal connection between district staff and parents of Native American students is critical in increasing this response rate.</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lastRenderedPageBreak/>
        <w:t xml:space="preserve">Describe the analysis </w:t>
      </w:r>
      <w:bookmarkStart w:id="43" w:name="_Hlk81486999"/>
      <w:r w:rsidRPr="0061205F">
        <w:rPr>
          <w:rFonts w:cs="Arial"/>
          <w:b/>
          <w:color w:val="000000" w:themeColor="text1"/>
          <w:szCs w:val="16"/>
        </w:rPr>
        <w:t xml:space="preserve">of the response rate including any nonresponse bias that </w:t>
      </w:r>
      <w:proofErr w:type="gramStart"/>
      <w:r w:rsidRPr="0061205F">
        <w:rPr>
          <w:rFonts w:cs="Arial"/>
          <w:b/>
          <w:color w:val="000000" w:themeColor="text1"/>
          <w:szCs w:val="16"/>
        </w:rPr>
        <w:t>was identified</w:t>
      </w:r>
      <w:proofErr w:type="gramEnd"/>
      <w:r w:rsidRPr="0061205F">
        <w:rPr>
          <w:rFonts w:cs="Arial"/>
          <w:b/>
          <w:color w:val="000000" w:themeColor="text1"/>
          <w:szCs w:val="16"/>
        </w:rPr>
        <w:t>,</w:t>
      </w:r>
      <w:bookmarkEnd w:id="43"/>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Nonresponse bias measures the differences in opinions between respondents and non-respondents in meaningful ways, such as the positivity of responses. </w:t>
      </w:r>
      <w:proofErr w:type="gramStart"/>
      <w:r>
        <w:rPr>
          <w:rFonts w:cs="Arial"/>
          <w:szCs w:val="16"/>
        </w:rPr>
        <w:t>A few</w:t>
      </w:r>
      <w:proofErr w:type="gramEnd"/>
      <w:r>
        <w:rPr>
          <w:rFonts w:cs="Arial"/>
          <w:szCs w:val="16"/>
        </w:rPr>
        <w:t xml:space="preserve"> things can be examined to determine nonresponse bias. One is the overall response rate. The higher the response rate, the less likely nonresponse bias will occur. Our response rate is 27%, which is </w:t>
      </w:r>
      <w:proofErr w:type="gramStart"/>
      <w:r>
        <w:rPr>
          <w:rFonts w:cs="Arial"/>
          <w:szCs w:val="16"/>
        </w:rPr>
        <w:t>fairly high</w:t>
      </w:r>
      <w:proofErr w:type="gramEnd"/>
      <w:r>
        <w:rPr>
          <w:rFonts w:cs="Arial"/>
          <w:szCs w:val="16"/>
        </w:rPr>
        <w:t>.</w:t>
      </w:r>
      <w:r>
        <w:rPr>
          <w:rFonts w:cs="Arial"/>
          <w:szCs w:val="16"/>
        </w:rPr>
        <w:br/>
      </w:r>
      <w:r>
        <w:rPr>
          <w:rFonts w:cs="Arial"/>
          <w:szCs w:val="16"/>
        </w:rPr>
        <w:br/>
        <w:t xml:space="preserve">Second, the representativeness of the responses can be examined. We describe this in the next section where we indicate that </w:t>
      </w:r>
      <w:proofErr w:type="gramStart"/>
      <w:r>
        <w:rPr>
          <w:rFonts w:cs="Arial"/>
          <w:szCs w:val="16"/>
        </w:rPr>
        <w:t>some</w:t>
      </w:r>
      <w:proofErr w:type="gramEnd"/>
      <w:r>
        <w:rPr>
          <w:rFonts w:cs="Arial"/>
          <w:szCs w:val="16"/>
        </w:rPr>
        <w:t xml:space="preserve"> differences by race/ethnicity and grade group were found. However, although significant differences </w:t>
      </w:r>
      <w:proofErr w:type="gramStart"/>
      <w:r>
        <w:rPr>
          <w:rFonts w:cs="Arial"/>
          <w:szCs w:val="16"/>
        </w:rPr>
        <w:t>were found</w:t>
      </w:r>
      <w:proofErr w:type="gramEnd"/>
      <w:r>
        <w:rPr>
          <w:rFonts w:cs="Arial"/>
          <w:szCs w:val="16"/>
        </w:rPr>
        <w:t xml:space="preserve"> in representativeness by race/ethnicity, there were </w:t>
      </w:r>
      <w:proofErr w:type="gramStart"/>
      <w:r>
        <w:rPr>
          <w:rFonts w:cs="Arial"/>
          <w:szCs w:val="16"/>
        </w:rPr>
        <w:t>not</w:t>
      </w:r>
      <w:proofErr w:type="gramEnd"/>
      <w:r>
        <w:rPr>
          <w:rFonts w:cs="Arial"/>
          <w:szCs w:val="16"/>
        </w:rPr>
        <w:t xml:space="preserve"> differences by race/ethnicity in the parent involvement percentage itself. So bias is not present by race/ethnicity. On the other hand, there were differences in the representativeness by grade group, and this difference showed up in the parent involvement percentage as well with parents of preschoolers expressing more positive attitudes than parents of high school students. That said, results are weighted by district (and </w:t>
      </w:r>
      <w:proofErr w:type="gramStart"/>
      <w:r>
        <w:rPr>
          <w:rFonts w:cs="Arial"/>
          <w:szCs w:val="16"/>
        </w:rPr>
        <w:t>all of</w:t>
      </w:r>
      <w:proofErr w:type="gramEnd"/>
      <w:r>
        <w:rPr>
          <w:rFonts w:cs="Arial"/>
          <w:szCs w:val="16"/>
        </w:rPr>
        <w:t xml:space="preserve"> the pre-k students in Wyoming are in one district), so the state level results take into account the differences by grade group. </w:t>
      </w:r>
      <w:r>
        <w:rPr>
          <w:rFonts w:cs="Arial"/>
          <w:szCs w:val="16"/>
        </w:rPr>
        <w:br/>
      </w:r>
      <w:r>
        <w:rPr>
          <w:rFonts w:cs="Arial"/>
          <w:szCs w:val="16"/>
        </w:rPr>
        <w:br/>
        <w:t xml:space="preserve">Third, we can compare the responses of parents who responded early in the process to those who responded later in the process. The idea being that </w:t>
      </w:r>
      <w:proofErr w:type="gramStart"/>
      <w:r>
        <w:rPr>
          <w:rFonts w:cs="Arial"/>
          <w:szCs w:val="16"/>
        </w:rPr>
        <w:t>perhaps those</w:t>
      </w:r>
      <w:proofErr w:type="gramEnd"/>
      <w:r>
        <w:rPr>
          <w:rFonts w:cs="Arial"/>
          <w:szCs w:val="16"/>
        </w:rPr>
        <w:t xml:space="preserve"> who do not immediately respond are different in some meaningful way than those who respond immediately. These results showed no difference between parents who responded earlier and parents who responded later. </w:t>
      </w:r>
      <w:r>
        <w:rPr>
          <w:rFonts w:cs="Arial"/>
          <w:szCs w:val="16"/>
        </w:rPr>
        <w:br/>
      </w:r>
      <w:r>
        <w:rPr>
          <w:rFonts w:cs="Arial"/>
          <w:szCs w:val="16"/>
        </w:rPr>
        <w:br/>
        <w:t xml:space="preserve">Taking </w:t>
      </w:r>
      <w:proofErr w:type="gramStart"/>
      <w:r>
        <w:rPr>
          <w:rFonts w:cs="Arial"/>
          <w:szCs w:val="16"/>
        </w:rPr>
        <w:t>all of</w:t>
      </w:r>
      <w:proofErr w:type="gramEnd"/>
      <w:r>
        <w:rPr>
          <w:rFonts w:cs="Arial"/>
          <w:szCs w:val="16"/>
        </w:rPr>
        <w:t xml:space="preserve"> the above information together, we conclude that nonresponse bias is not present . </w:t>
      </w:r>
    </w:p>
    <w:p w14:paraId="78A83A27" w14:textId="50D5E24D" w:rsidR="001F448F" w:rsidRDefault="001F448F" w:rsidP="00A12797">
      <w:pPr>
        <w:rPr>
          <w:b/>
          <w:bCs/>
        </w:rPr>
      </w:pPr>
    </w:p>
    <w:p w14:paraId="325464F9" w14:textId="77777777" w:rsidR="000762B0" w:rsidRPr="000762B0" w:rsidRDefault="000762B0" w:rsidP="000762B0">
      <w:pPr>
        <w:rPr>
          <w:b/>
          <w:bCs/>
        </w:rPr>
      </w:pPr>
      <w:r w:rsidRPr="000762B0">
        <w:rPr>
          <w:b/>
          <w:bCs/>
        </w:rPr>
        <w:t xml:space="preserve">Include the State’s analyses of the extent to which the demographics of the parents responding are representative of the demographics of children receiving special education services. </w:t>
      </w:r>
      <w:bookmarkStart w:id="44" w:name="_Hlk112070690"/>
      <w:bookmarkStart w:id="45" w:name="_Hlk92445770"/>
      <w:r w:rsidRPr="000762B0">
        <w:rPr>
          <w:b/>
          <w:bCs/>
        </w:rPr>
        <w:t>States must include race/ethnicity in their analysis. In addition, the State’s analysis must also include at least one of the following demographics: age of the student, disability category, gender, geographic location, and/or another demographic category approved through the stakeholder input process.</w:t>
      </w:r>
    </w:p>
    <w:bookmarkEnd w:id="44"/>
    <w:bookmarkEnd w:id="45"/>
    <w:p w14:paraId="513A1FE6" w14:textId="77777777" w:rsidR="00090132" w:rsidRDefault="00090132" w:rsidP="006F6351">
      <w:pPr>
        <w:rPr>
          <w:b/>
          <w:bCs/>
        </w:rPr>
      </w:pPr>
      <w:r w:rsidRPr="000A2B9F">
        <w:rPr>
          <w:bCs/>
          <w:color w:val="000000" w:themeColor="text1"/>
        </w:rPr>
        <w:t xml:space="preserve">The State compared the representation by race/ethnicity in the population to the representation in the respondents using a +/- 3% criteria to identify over-or under-representiveness. </w:t>
      </w:r>
      <w:r w:rsidRPr="000A2B9F">
        <w:rPr>
          <w:bCs/>
          <w:color w:val="000000" w:themeColor="text1"/>
        </w:rPr>
        <w:br/>
      </w:r>
      <w:r w:rsidRPr="000A2B9F">
        <w:rPr>
          <w:bCs/>
          <w:color w:val="000000" w:themeColor="text1"/>
        </w:rPr>
        <w:br/>
        <w:t xml:space="preserve">Using this methodology, differences </w:t>
      </w:r>
      <w:proofErr w:type="gramStart"/>
      <w:r w:rsidRPr="000A2B9F">
        <w:rPr>
          <w:bCs/>
          <w:color w:val="000000" w:themeColor="text1"/>
        </w:rPr>
        <w:t>were found</w:t>
      </w:r>
      <w:proofErr w:type="gramEnd"/>
      <w:r w:rsidRPr="000A2B9F">
        <w:rPr>
          <w:bCs/>
          <w:color w:val="000000" w:themeColor="text1"/>
        </w:rPr>
        <w:t xml:space="preserve"> by race/ethnicity and grade group. The SWD population consists of 15.46% of Hispanic students and 73.99% of White students. The respondents consist of 11.77% of parents of Hispanic students  and 78.08% of parents of White students. The SWD population consists of 14.57% of grade pre-K students and 21.99% of grade 9-12 students. The respondents consist of 19.16% of parents of grade pre-K students and 17.96% of parents of grade 9-12 students.</w:t>
      </w:r>
      <w:r w:rsidRPr="000A2B9F">
        <w:rPr>
          <w:bCs/>
          <w:color w:val="000000" w:themeColor="text1"/>
        </w:rPr>
        <w:br/>
      </w:r>
      <w:r w:rsidRPr="000A2B9F">
        <w:rPr>
          <w:bCs/>
          <w:color w:val="000000" w:themeColor="text1"/>
        </w:rPr>
        <w:br/>
        <w:t xml:space="preserve">Although the representativeness results indicated differences by race/ethnicity, there were no significant differences in the parent involvement percentage itself between parents of different races/ethnicities. For example, parents of White students and parents of Hispanic students had a similar parent involvement percentage. There was a significant difference in the parent involvement percentage of parents of preschoolers and parents of high schoolers. However, we are confident that the overall results are representative of the State despite the differences in representativenss rates given that we heard from parents from a wide range of districts from across the state. Furthermore, results </w:t>
      </w:r>
      <w:proofErr w:type="gramStart"/>
      <w:r w:rsidRPr="000A2B9F">
        <w:rPr>
          <w:bCs/>
          <w:color w:val="000000" w:themeColor="text1"/>
        </w:rPr>
        <w:t>are weighted</w:t>
      </w:r>
      <w:proofErr w:type="gramEnd"/>
      <w:r w:rsidRPr="000A2B9F">
        <w:rPr>
          <w:bCs/>
          <w:color w:val="000000" w:themeColor="text1"/>
        </w:rPr>
        <w:t xml:space="preserve"> by district to ensure that the parent survey results reflect the population of parents in terms of geographic distribution. </w:t>
      </w:r>
    </w:p>
    <w:p w14:paraId="524817D1" w14:textId="77777777" w:rsidR="000762B0" w:rsidRPr="000762B0" w:rsidRDefault="000762B0" w:rsidP="000762B0">
      <w:pPr>
        <w:pStyle w:val="Subhed"/>
        <w:rPr>
          <w:bCs/>
        </w:rPr>
      </w:pPr>
      <w:r w:rsidRPr="000762B0">
        <w:rPr>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NO</w:t>
      </w:r>
    </w:p>
    <w:p w14:paraId="166BD57C" w14:textId="36346D06" w:rsidR="00090132" w:rsidRPr="00A12797" w:rsidRDefault="000762B0" w:rsidP="00A12797">
      <w:pPr>
        <w:rPr>
          <w:b/>
          <w:bCs/>
        </w:rPr>
      </w:pPr>
      <w:r w:rsidRPr="000762B0">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r w:rsidRPr="000A2B9F">
        <w:rPr>
          <w:b w:val="0"/>
          <w:bCs/>
          <w:color w:val="000000" w:themeColor="text1"/>
        </w:rPr>
        <w:t xml:space="preserve">As </w:t>
      </w:r>
      <w:proofErr w:type="gramStart"/>
      <w:r w:rsidRPr="000A2B9F">
        <w:rPr>
          <w:b w:val="0"/>
          <w:bCs/>
          <w:color w:val="000000" w:themeColor="text1"/>
        </w:rPr>
        <w:t>was stated</w:t>
      </w:r>
      <w:proofErr w:type="gramEnd"/>
      <w:r w:rsidRPr="000A2B9F">
        <w:rPr>
          <w:b w:val="0"/>
          <w:bCs/>
          <w:color w:val="000000" w:themeColor="text1"/>
        </w:rPr>
        <w:t xml:space="preserve"> above: Our overall response rate of 27% is quite high. The 2022-23 school year represents the second year that all districts are required to administer their survey to their parents of students with disabilities themselves, and we expect that the response rate will increase as districts become more familiar with the administrative procedures and figure out which methods </w:t>
      </w:r>
      <w:proofErr w:type="gramStart"/>
      <w:r w:rsidRPr="000A2B9F">
        <w:rPr>
          <w:b w:val="0"/>
          <w:bCs/>
          <w:color w:val="000000" w:themeColor="text1"/>
        </w:rPr>
        <w:t>work</w:t>
      </w:r>
      <w:proofErr w:type="gramEnd"/>
      <w:r w:rsidRPr="000A2B9F">
        <w:rPr>
          <w:b w:val="0"/>
          <w:bCs/>
          <w:color w:val="000000" w:themeColor="text1"/>
        </w:rPr>
        <w:t xml:space="preserve"> best with their parents. Districts will </w:t>
      </w:r>
      <w:proofErr w:type="gramStart"/>
      <w:r w:rsidRPr="000A2B9F">
        <w:rPr>
          <w:b w:val="0"/>
          <w:bCs/>
          <w:color w:val="000000" w:themeColor="text1"/>
        </w:rPr>
        <w:t>be encouraged</w:t>
      </w:r>
      <w:proofErr w:type="gramEnd"/>
      <w:r w:rsidRPr="000A2B9F">
        <w:rPr>
          <w:b w:val="0"/>
          <w:bCs/>
          <w:color w:val="000000" w:themeColor="text1"/>
        </w:rPr>
        <w:t xml:space="preserve"> to pay particular attention to the response rate of their Hispanic families and their high school families through-out the school year.</w:t>
      </w:r>
      <w:r w:rsidRPr="000A2B9F">
        <w:rPr>
          <w:b w:val="0"/>
          <w:bCs/>
          <w:color w:val="000000" w:themeColor="text1"/>
        </w:rPr>
        <w:br/>
      </w:r>
      <w:r w:rsidRPr="000A2B9F">
        <w:rPr>
          <w:b w:val="0"/>
          <w:bCs/>
          <w:color w:val="000000" w:themeColor="text1"/>
        </w:rPr>
        <w:br/>
        <w:t xml:space="preserve">We are also taking these steps to encourage a higher percentage of parents of Hispanic and of American Indian students with disabilities to respond. Two of our strategies for increasing this response rate include creating a survey in an auditory format in Spanish (recording) and having a booth at the annual Native American Education Conference to provide families with Special Education resources and an opportunity to complete the survey on-site. </w:t>
      </w:r>
      <w:r w:rsidRPr="000A2B9F">
        <w:rPr>
          <w:b w:val="0"/>
          <w:bCs/>
          <w:color w:val="000000" w:themeColor="text1"/>
        </w:rPr>
        <w:br/>
      </w:r>
      <w:r w:rsidRPr="000A2B9F">
        <w:rPr>
          <w:b w:val="0"/>
          <w:bCs/>
          <w:color w:val="000000" w:themeColor="text1"/>
        </w:rPr>
        <w:br/>
        <w:t>Additionally, we are facilitating a higher percentage of parents of all students with all disabilities to respond by having an auditory format and in braille to access the survey other than in traditional print.</w:t>
      </w:r>
      <w:r w:rsidRPr="000A2B9F">
        <w:rPr>
          <w:b w:val="0"/>
          <w:bCs/>
          <w:color w:val="000000" w:themeColor="text1"/>
        </w:rPr>
        <w:br/>
      </w:r>
      <w:r w:rsidRPr="000A2B9F">
        <w:rPr>
          <w:b w:val="0"/>
          <w:bCs/>
          <w:color w:val="000000" w:themeColor="text1"/>
        </w:rPr>
        <w:br/>
        <w:t xml:space="preserve">Lastly, all districts are encouraging all their parents to respond and providing an opportunity for their parents to respond. This will increase the response rate given that compared to WDE, districts can more easily connect with the parents about the importance of the survey and directly encourage them to complete it. This will be particularly helpful for those districts that have a </w:t>
      </w:r>
      <w:proofErr w:type="gramStart"/>
      <w:r w:rsidRPr="000A2B9F">
        <w:rPr>
          <w:b w:val="0"/>
          <w:bCs/>
          <w:color w:val="000000" w:themeColor="text1"/>
        </w:rPr>
        <w:t>predominantly Native</w:t>
      </w:r>
      <w:proofErr w:type="gramEnd"/>
      <w:r w:rsidRPr="000A2B9F">
        <w:rPr>
          <w:b w:val="0"/>
          <w:bCs/>
          <w:color w:val="000000" w:themeColor="text1"/>
        </w:rPr>
        <w:t xml:space="preserve"> American population given that historically this population has been the least likely to respond. The personal connection between district staff and parents of Native American students is critical in increasing this response rate.</w:t>
      </w: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The State compared the representation in the population to the representation in the respondents using a +/- 3% criteria to identify over-or under-representiveness.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lastRenderedPageBreak/>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 xml:space="preserve">Note that the WDE has switched from a sampling methodology to a census strategy. Thus, the methodology changed. As such, a new baseline </w:t>
      </w:r>
      <w:proofErr w:type="gramStart"/>
      <w:r w:rsidRPr="00781112">
        <w:rPr>
          <w:rFonts w:cs="Arial"/>
          <w:color w:val="000000" w:themeColor="text1"/>
          <w:szCs w:val="16"/>
        </w:rPr>
        <w:t>as</w:t>
      </w:r>
      <w:proofErr w:type="gramEnd"/>
      <w:r w:rsidRPr="00781112">
        <w:rPr>
          <w:rFonts w:cs="Arial"/>
          <w:color w:val="000000" w:themeColor="text1"/>
          <w:szCs w:val="16"/>
        </w:rPr>
        <w:t xml:space="preserve"> been established (i.e., the FFY2021 score), and new targets had to be set</w:t>
      </w:r>
      <w:proofErr w:type="gramStart"/>
      <w:r w:rsidRPr="00781112">
        <w:rPr>
          <w:rFonts w:cs="Arial"/>
          <w:color w:val="000000" w:themeColor="text1"/>
          <w:szCs w:val="16"/>
        </w:rPr>
        <w:t xml:space="preserve">.  </w:t>
      </w:r>
      <w:proofErr w:type="gramEnd"/>
      <w:r w:rsidRPr="00781112">
        <w:rPr>
          <w:rFonts w:cs="Arial"/>
          <w:color w:val="000000" w:themeColor="text1"/>
          <w:szCs w:val="16"/>
        </w:rPr>
        <w:t>Stakeholders have approved the newly established targets.</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p>
    <w:p w14:paraId="5AB800FF" w14:textId="58A809DB" w:rsidR="000A2C83" w:rsidRPr="00781112" w:rsidRDefault="007639D7" w:rsidP="004369B2">
      <w:pPr>
        <w:rPr>
          <w:b/>
          <w:color w:val="000000" w:themeColor="text1"/>
        </w:rPr>
      </w:pPr>
      <w:r>
        <w:rPr>
          <w:b/>
          <w:color w:val="000000" w:themeColor="text1"/>
        </w:rPr>
        <w:t>Response to actions required in FFY 2020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As indicated above, the demographics of parents responding are </w:t>
      </w:r>
      <w:proofErr w:type="gramStart"/>
      <w:r w:rsidRPr="00781112">
        <w:rPr>
          <w:rFonts w:cs="Arial"/>
          <w:color w:val="000000" w:themeColor="text1"/>
          <w:szCs w:val="16"/>
        </w:rPr>
        <w:t>generally representative</w:t>
      </w:r>
      <w:proofErr w:type="gramEnd"/>
      <w:r w:rsidRPr="00781112">
        <w:rPr>
          <w:rFonts w:cs="Arial"/>
          <w:color w:val="000000" w:themeColor="text1"/>
          <w:szCs w:val="16"/>
        </w:rPr>
        <w:t xml:space="preserve"> of the demographics of the children </w:t>
      </w:r>
      <w:proofErr w:type="gramStart"/>
      <w:r w:rsidRPr="00781112">
        <w:rPr>
          <w:rFonts w:cs="Arial"/>
          <w:color w:val="000000" w:themeColor="text1"/>
          <w:szCs w:val="16"/>
        </w:rPr>
        <w:t>received</w:t>
      </w:r>
      <w:proofErr w:type="gramEnd"/>
      <w:r w:rsidRPr="00781112">
        <w:rPr>
          <w:rFonts w:cs="Arial"/>
          <w:color w:val="000000" w:themeColor="text1"/>
          <w:szCs w:val="16"/>
        </w:rPr>
        <w:t xml:space="preserve"> special education services. We are confident that the overall results are representative of the State despite the differences in representativenss rates by grade group given that we heard from parents from a wide range of districts from across the State and given that results are weighted by district to ensure that the parent survey results reflect the population of parents in terms of geographic distribution. One thing WDE changed in FFY2021 to ensure a more representative response group than in previous years is by switching from a sampling methodology to a census methodology with districts in charge of the administration.</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revised its FFY 2021-2025 targets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In the FFY 2022 SPP/APR, the State must report whether the FFY 2022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6" w:name="_Toc384383343"/>
      <w:bookmarkStart w:id="47"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w:t>
      </w:r>
      <w:proofErr w:type="gramStart"/>
      <w:r w:rsidRPr="00781112">
        <w:rPr>
          <w:rFonts w:cs="Arial"/>
          <w:color w:val="000000" w:themeColor="text1"/>
          <w:szCs w:val="16"/>
        </w:rPr>
        <w:t>services that</w:t>
      </w:r>
      <w:proofErr w:type="gramEnd"/>
      <w:r w:rsidRPr="00781112">
        <w:rPr>
          <w:rFonts w:cs="Arial"/>
          <w:color w:val="000000" w:themeColor="text1"/>
          <w:szCs w:val="16"/>
        </w:rPr>
        <w:t xml:space="preserve">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26750A87" w:rsidR="00A66715" w:rsidRPr="00781112" w:rsidRDefault="0016730D" w:rsidP="00286BDF">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2021 reporting period (i.e., after June 30, 2022).</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proofErr w:type="gramStart"/>
      <w:r w:rsidR="00071D42" w:rsidRPr="00781112">
        <w:rPr>
          <w:rFonts w:cs="Arial"/>
        </w:rPr>
        <w:t>5</w:t>
      </w:r>
      <w:proofErr w:type="gramEnd"/>
      <w:r w:rsidR="00071D42" w:rsidRPr="00781112">
        <w:rPr>
          <w:rFonts w:cs="Arial"/>
        </w:rPr>
        <w:t xml:space="preserve">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732199BB" w:rsidR="00A66715" w:rsidRPr="00781112" w:rsidRDefault="0016730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 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8" w:name="_Toc384383344"/>
      <w:bookmarkStart w:id="49" w:name="_Toc392159312"/>
      <w:bookmarkEnd w:id="46"/>
      <w:bookmarkEnd w:id="47"/>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85"/>
        <w:gridCol w:w="1698"/>
        <w:gridCol w:w="1699"/>
        <w:gridCol w:w="1699"/>
        <w:gridCol w:w="1697"/>
      </w:tblGrid>
      <w:tr w:rsidR="00B14519" w:rsidRPr="00781112" w14:paraId="3B5E697E" w14:textId="22491944" w:rsidTr="00451D7E">
        <w:trPr>
          <w:trHeight w:val="307"/>
        </w:trPr>
        <w:tc>
          <w:tcPr>
            <w:tcW w:w="278" w:type="pct"/>
            <w:tcBorders>
              <w:bottom w:val="single" w:sz="4" w:space="0" w:color="auto"/>
            </w:tcBorders>
            <w:shd w:val="clear" w:color="auto" w:fill="auto"/>
          </w:tcPr>
          <w:p w14:paraId="6847FBDE" w14:textId="77777777" w:rsidR="00B14519" w:rsidRPr="00781112" w:rsidRDefault="00B14519" w:rsidP="00AD5583">
            <w:pPr>
              <w:jc w:val="center"/>
              <w:rPr>
                <w:b/>
                <w:color w:val="000000" w:themeColor="text1"/>
              </w:rPr>
            </w:pPr>
            <w:r w:rsidRPr="00781112">
              <w:rPr>
                <w:b/>
                <w:color w:val="000000" w:themeColor="text1"/>
              </w:rPr>
              <w:t>FFY</w:t>
            </w:r>
          </w:p>
        </w:tc>
        <w:tc>
          <w:tcPr>
            <w:tcW w:w="895" w:type="pct"/>
            <w:shd w:val="clear" w:color="auto" w:fill="auto"/>
          </w:tcPr>
          <w:p w14:paraId="2C965821" w14:textId="77777777" w:rsidR="00B14519" w:rsidRPr="00781112" w:rsidRDefault="00B14519" w:rsidP="00AD5583">
            <w:pPr>
              <w:jc w:val="center"/>
              <w:rPr>
                <w:b/>
                <w:color w:val="000000" w:themeColor="text1"/>
              </w:rPr>
            </w:pPr>
            <w:r w:rsidRPr="00781112">
              <w:rPr>
                <w:b/>
                <w:color w:val="000000" w:themeColor="text1"/>
              </w:rPr>
              <w:t>2021</w:t>
            </w:r>
          </w:p>
        </w:tc>
        <w:tc>
          <w:tcPr>
            <w:tcW w:w="957" w:type="pct"/>
          </w:tcPr>
          <w:p w14:paraId="695B1CC5" w14:textId="0A8E7C74" w:rsidR="00B14519" w:rsidRPr="00781112" w:rsidRDefault="00B14519" w:rsidP="00AD5583">
            <w:pPr>
              <w:jc w:val="center"/>
              <w:rPr>
                <w:b/>
                <w:color w:val="000000" w:themeColor="text1"/>
              </w:rPr>
            </w:pPr>
            <w:r w:rsidRPr="00781112">
              <w:rPr>
                <w:rFonts w:cs="Arial"/>
                <w:b/>
                <w:color w:val="000000" w:themeColor="text1"/>
                <w:szCs w:val="16"/>
              </w:rPr>
              <w:t>2022</w:t>
            </w:r>
          </w:p>
        </w:tc>
        <w:tc>
          <w:tcPr>
            <w:tcW w:w="957" w:type="pct"/>
          </w:tcPr>
          <w:p w14:paraId="676B8DF3" w14:textId="1749272A" w:rsidR="00B14519" w:rsidRPr="00781112" w:rsidRDefault="00B14519" w:rsidP="00AD5583">
            <w:pPr>
              <w:jc w:val="center"/>
              <w:rPr>
                <w:b/>
                <w:color w:val="000000" w:themeColor="text1"/>
              </w:rPr>
            </w:pPr>
            <w:r w:rsidRPr="00781112">
              <w:rPr>
                <w:rFonts w:cs="Arial"/>
                <w:b/>
                <w:color w:val="000000" w:themeColor="text1"/>
                <w:szCs w:val="16"/>
              </w:rPr>
              <w:t>2023</w:t>
            </w:r>
          </w:p>
        </w:tc>
        <w:tc>
          <w:tcPr>
            <w:tcW w:w="957" w:type="pct"/>
          </w:tcPr>
          <w:p w14:paraId="2431A20F" w14:textId="6C70327F" w:rsidR="00B14519" w:rsidRPr="00781112" w:rsidRDefault="00B14519" w:rsidP="00AD5583">
            <w:pPr>
              <w:jc w:val="center"/>
              <w:rPr>
                <w:b/>
                <w:color w:val="000000" w:themeColor="text1"/>
              </w:rPr>
            </w:pPr>
            <w:r w:rsidRPr="00781112">
              <w:rPr>
                <w:rFonts w:cs="Arial"/>
                <w:b/>
                <w:color w:val="000000" w:themeColor="text1"/>
                <w:szCs w:val="16"/>
              </w:rPr>
              <w:t>2024</w:t>
            </w:r>
          </w:p>
        </w:tc>
        <w:tc>
          <w:tcPr>
            <w:tcW w:w="957" w:type="pct"/>
          </w:tcPr>
          <w:p w14:paraId="1F22D9D1" w14:textId="274E33D7" w:rsidR="00B14519" w:rsidRPr="00781112" w:rsidRDefault="00B14519" w:rsidP="00AD5583">
            <w:pPr>
              <w:jc w:val="center"/>
              <w:rPr>
                <w:b/>
                <w:color w:val="000000" w:themeColor="text1"/>
              </w:rPr>
            </w:pPr>
            <w:r w:rsidRPr="00781112">
              <w:rPr>
                <w:rFonts w:cs="Arial"/>
                <w:b/>
                <w:color w:val="000000" w:themeColor="text1"/>
                <w:szCs w:val="16"/>
              </w:rPr>
              <w:t>2025</w:t>
            </w:r>
          </w:p>
        </w:tc>
      </w:tr>
      <w:tr w:rsidR="00B14519" w:rsidRPr="00781112" w14:paraId="48E9BF63" w14:textId="16949127" w:rsidTr="00451D7E">
        <w:trPr>
          <w:trHeight w:val="313"/>
        </w:trPr>
        <w:tc>
          <w:tcPr>
            <w:tcW w:w="278" w:type="pct"/>
            <w:shd w:val="clear" w:color="auto" w:fill="auto"/>
            <w:vAlign w:val="center"/>
          </w:tcPr>
          <w:p w14:paraId="3001E3D6" w14:textId="77777777" w:rsidR="00B14519" w:rsidRPr="00781112" w:rsidRDefault="00B14519" w:rsidP="00AD5583">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38E5325" w14:textId="0C17771E" w:rsidR="00B14519" w:rsidRPr="00781112" w:rsidRDefault="00B14519" w:rsidP="00AD5583">
            <w:pPr>
              <w:jc w:val="center"/>
              <w:rPr>
                <w:rFonts w:cs="Arial"/>
                <w:color w:val="000000" w:themeColor="text1"/>
                <w:szCs w:val="16"/>
              </w:rPr>
            </w:pPr>
            <w:r w:rsidRPr="00781112">
              <w:rPr>
                <w:rFonts w:cs="Arial"/>
                <w:color w:val="000000" w:themeColor="text1"/>
                <w:szCs w:val="16"/>
              </w:rPr>
              <w:t>0%</w:t>
            </w:r>
          </w:p>
        </w:tc>
        <w:tc>
          <w:tcPr>
            <w:tcW w:w="957" w:type="pct"/>
          </w:tcPr>
          <w:p w14:paraId="5C91471A" w14:textId="351E6F13"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4C61AAA7" w14:textId="75046312"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59DCAC52" w14:textId="3AB87F0D" w:rsidR="00B14519" w:rsidRPr="00781112" w:rsidRDefault="00B14519" w:rsidP="00AD5583">
            <w:pPr>
              <w:jc w:val="center"/>
              <w:rPr>
                <w:rFonts w:cs="Arial"/>
                <w:color w:val="000000" w:themeColor="text1"/>
                <w:szCs w:val="16"/>
              </w:rPr>
            </w:pPr>
            <w:r w:rsidRPr="00781112">
              <w:rPr>
                <w:color w:val="000000" w:themeColor="text1"/>
                <w:szCs w:val="16"/>
              </w:rPr>
              <w:t>0%</w:t>
            </w:r>
          </w:p>
        </w:tc>
        <w:tc>
          <w:tcPr>
            <w:tcW w:w="957" w:type="pct"/>
          </w:tcPr>
          <w:p w14:paraId="01CBB5F6" w14:textId="30E27615" w:rsidR="00B14519" w:rsidRPr="00781112" w:rsidRDefault="00B14519" w:rsidP="00AD5583">
            <w:pPr>
              <w:jc w:val="center"/>
              <w:rPr>
                <w:rFonts w:cs="Arial"/>
                <w:color w:val="000000" w:themeColor="text1"/>
                <w:szCs w:val="16"/>
              </w:rPr>
            </w:pPr>
            <w:r w:rsidRPr="00781112">
              <w:rPr>
                <w:color w:val="000000" w:themeColor="text1"/>
                <w:szCs w:val="16"/>
              </w:rPr>
              <w:t>0%</w:t>
            </w:r>
          </w:p>
        </w:tc>
      </w:tr>
      <w:bookmarkEnd w:id="48"/>
      <w:bookmarkEnd w:id="49"/>
    </w:tbl>
    <w:p w14:paraId="25850560" w14:textId="77777777" w:rsidR="0039251E" w:rsidRDefault="0039251E">
      <w:pPr>
        <w:rPr>
          <w:b/>
          <w:color w:val="000000" w:themeColor="text1"/>
        </w:rPr>
      </w:pPr>
    </w:p>
    <w:p w14:paraId="638A1D7D" w14:textId="77777777" w:rsidR="0039251E" w:rsidRDefault="0039251E">
      <w:pPr>
        <w:spacing w:before="0" w:after="200" w:line="276" w:lineRule="auto"/>
        <w:rPr>
          <w:b/>
          <w:color w:val="000000" w:themeColor="text1"/>
        </w:rPr>
      </w:pPr>
      <w:r>
        <w:rPr>
          <w:b/>
          <w:color w:val="000000" w:themeColor="text1"/>
        </w:rPr>
        <w:br w:type="page"/>
      </w:r>
    </w:p>
    <w:p w14:paraId="77101B89" w14:textId="7B2C0A0A" w:rsidR="00D03701" w:rsidRPr="00781112" w:rsidRDefault="0047313F">
      <w:pPr>
        <w:rPr>
          <w:b/>
          <w:color w:val="000000" w:themeColor="text1"/>
        </w:rPr>
      </w:pPr>
      <w:r>
        <w:rPr>
          <w:b/>
          <w:color w:val="000000" w:themeColor="text1"/>
        </w:rPr>
        <w:lastRenderedPageBreak/>
        <w:t>FFY 2021 SPP/APR Data</w:t>
      </w:r>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206A65" w:rsidRPr="00781112" w14:paraId="53F272CD" w14:textId="23013B7B" w:rsidTr="002B4D97">
        <w:trPr>
          <w:trHeight w:val="354"/>
          <w:jc w:val="center"/>
        </w:trPr>
        <w:tc>
          <w:tcPr>
            <w:tcW w:w="652" w:type="pct"/>
            <w:shd w:val="clear" w:color="auto" w:fill="auto"/>
            <w:vAlign w:val="bottom"/>
          </w:tcPr>
          <w:p w14:paraId="18E013DB" w14:textId="1E730C58"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6AF116EC" w:rsidR="00206A65" w:rsidRPr="00CC1061" w:rsidRDefault="00206A65" w:rsidP="00206A65">
            <w:pPr>
              <w:jc w:val="center"/>
              <w:rPr>
                <w:b/>
                <w:bCs/>
                <w:color w:val="000000" w:themeColor="text1"/>
              </w:rPr>
            </w:pPr>
            <w:r w:rsidRPr="00CC1061">
              <w:rPr>
                <w:b/>
                <w:bCs/>
              </w:rPr>
              <w:t>FFY 2020 Data</w:t>
            </w:r>
          </w:p>
        </w:tc>
        <w:tc>
          <w:tcPr>
            <w:tcW w:w="778" w:type="pct"/>
            <w:shd w:val="clear" w:color="auto" w:fill="auto"/>
            <w:vAlign w:val="bottom"/>
          </w:tcPr>
          <w:p w14:paraId="1B6D5875" w14:textId="08919282" w:rsidR="00206A65" w:rsidRPr="00CC1061" w:rsidRDefault="00206A65" w:rsidP="00206A65">
            <w:pPr>
              <w:jc w:val="center"/>
              <w:rPr>
                <w:b/>
                <w:bCs/>
                <w:color w:val="000000" w:themeColor="text1"/>
              </w:rPr>
            </w:pPr>
            <w:r w:rsidRPr="00CC1061">
              <w:rPr>
                <w:b/>
                <w:bCs/>
              </w:rPr>
              <w:t>FFY 2021 Target</w:t>
            </w:r>
          </w:p>
        </w:tc>
        <w:tc>
          <w:tcPr>
            <w:tcW w:w="473" w:type="pct"/>
            <w:shd w:val="clear" w:color="auto" w:fill="auto"/>
            <w:vAlign w:val="bottom"/>
          </w:tcPr>
          <w:p w14:paraId="33B20FA6" w14:textId="53AE2B97" w:rsidR="00206A65" w:rsidRPr="00CC1061" w:rsidRDefault="00206A65" w:rsidP="00206A65">
            <w:pPr>
              <w:jc w:val="center"/>
              <w:rPr>
                <w:b/>
                <w:bCs/>
                <w:color w:val="000000" w:themeColor="text1"/>
              </w:rPr>
            </w:pPr>
            <w:r w:rsidRPr="00CC1061">
              <w:rPr>
                <w:b/>
                <w:bCs/>
              </w:rPr>
              <w:t>FFY 2021 Data</w:t>
            </w:r>
          </w:p>
        </w:tc>
        <w:tc>
          <w:tcPr>
            <w:tcW w:w="596" w:type="pct"/>
            <w:shd w:val="clear" w:color="auto" w:fill="auto"/>
            <w:vAlign w:val="bottom"/>
          </w:tcPr>
          <w:p w14:paraId="7561FBFF" w14:textId="5BCCF9DB" w:rsidR="00206A65" w:rsidRPr="00781112" w:rsidRDefault="00206A65" w:rsidP="00206A65">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48</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Met target</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No Slippage</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50" w:name="_Hlk494459610"/>
      <w:r w:rsidRPr="00781112">
        <w:rPr>
          <w:rFonts w:cs="Arial"/>
          <w:color w:val="000000" w:themeColor="text1"/>
          <w:szCs w:val="16"/>
        </w:rPr>
        <w:t xml:space="preserve">The WDE collects the data used for Indicator 9 through the October 1 snapshot data collection. All races and ethnicities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review of Indicator 9. The WDE calculates a Risk Ratio for each school district in the state, based on the identification rate of each racial/ethnic group in each district. If there are are 10 or more students with disabilities in the group of interest (cell size) and 30 or more students in the group of interest enrolled in the LEA (n size) and if there are also 10 or more students with disabilities in the comparison group (cell size) and 30 or more students in the comparison group (n size) enrolled in the LEA, the Risk Ratio is used; otherwise, if there are fewer than 10 students with disabilities in the comparison group and/or fewer than 30 students enrolled in the comparison group, the Alternate Risk Ratio is used. Using both the Risk Ratio and the Alternate Risk Ratio ensures that the largest numbers of identification rates </w:t>
      </w:r>
      <w:proofErr w:type="gramStart"/>
      <w:r w:rsidRPr="00781112">
        <w:rPr>
          <w:rFonts w:cs="Arial"/>
          <w:color w:val="000000" w:themeColor="text1"/>
          <w:szCs w:val="16"/>
        </w:rPr>
        <w:t>are considered</w:t>
      </w:r>
      <w:proofErr w:type="gramEnd"/>
      <w:r w:rsidRPr="00781112">
        <w:rPr>
          <w:rFonts w:cs="Arial"/>
          <w:color w:val="000000" w:themeColor="text1"/>
          <w:szCs w:val="16"/>
        </w:rPr>
        <w:t xml:space="preserve"> for disproportionate representation. One year of data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for the Indicator 9 analysis. </w:t>
      </w:r>
      <w:r w:rsidRPr="00781112">
        <w:rPr>
          <w:rFonts w:cs="Arial"/>
          <w:color w:val="000000" w:themeColor="text1"/>
          <w:szCs w:val="16"/>
        </w:rPr>
        <w:br/>
      </w:r>
      <w:r w:rsidRPr="00781112">
        <w:rPr>
          <w:rFonts w:cs="Arial"/>
          <w:color w:val="000000" w:themeColor="text1"/>
          <w:szCs w:val="16"/>
        </w:rPr>
        <w:br/>
        <w:t xml:space="preserve">The WDE defines disproportionate representation as a Final Risk Ratio of 3.00 or above. Once a ratio </w:t>
      </w:r>
      <w:proofErr w:type="gramStart"/>
      <w:r w:rsidRPr="00781112">
        <w:rPr>
          <w:rFonts w:cs="Arial"/>
          <w:color w:val="000000" w:themeColor="text1"/>
          <w:szCs w:val="16"/>
        </w:rPr>
        <w:t>is flagged</w:t>
      </w:r>
      <w:proofErr w:type="gramEnd"/>
      <w:r w:rsidRPr="00781112">
        <w:rPr>
          <w:rFonts w:cs="Arial"/>
          <w:color w:val="000000" w:themeColor="text1"/>
          <w:szCs w:val="16"/>
        </w:rPr>
        <w:t xml:space="preserve"> for disproportionate representation, WDE staff members review the LEA’s evaluation policies and procedures in addition to applicable student evaluation records to determine if the disproportionate representation is due to inappropriate identification. </w:t>
      </w:r>
      <w:r w:rsidRPr="00781112">
        <w:rPr>
          <w:rFonts w:cs="Arial"/>
          <w:color w:val="000000" w:themeColor="text1"/>
          <w:szCs w:val="16"/>
        </w:rPr>
        <w:br/>
      </w:r>
      <w:r w:rsidRPr="00781112">
        <w:rPr>
          <w:rFonts w:cs="Arial"/>
          <w:color w:val="000000" w:themeColor="text1"/>
          <w:szCs w:val="16"/>
        </w:rPr>
        <w:br/>
        <w:t xml:space="preserve">For Indicator 9, all </w:t>
      </w:r>
      <w:proofErr w:type="gramStart"/>
      <w:r w:rsidRPr="00781112">
        <w:rPr>
          <w:rFonts w:cs="Arial"/>
          <w:color w:val="000000" w:themeColor="text1"/>
          <w:szCs w:val="16"/>
        </w:rPr>
        <w:t>48</w:t>
      </w:r>
      <w:proofErr w:type="gramEnd"/>
      <w:r w:rsidRPr="00781112">
        <w:rPr>
          <w:rFonts w:cs="Arial"/>
          <w:color w:val="000000" w:themeColor="text1"/>
          <w:szCs w:val="16"/>
        </w:rPr>
        <w:t xml:space="preserve"> public K-12 school districts are included in the analyses. Of these 48 LEAs, </w:t>
      </w:r>
      <w:proofErr w:type="gramStart"/>
      <w:r w:rsidRPr="00781112">
        <w:rPr>
          <w:rFonts w:cs="Arial"/>
          <w:color w:val="000000" w:themeColor="text1"/>
          <w:szCs w:val="16"/>
        </w:rPr>
        <w:t>48</w:t>
      </w:r>
      <w:proofErr w:type="gramEnd"/>
      <w:r w:rsidRPr="00781112">
        <w:rPr>
          <w:rFonts w:cs="Arial"/>
          <w:color w:val="000000" w:themeColor="text1"/>
          <w:szCs w:val="16"/>
        </w:rPr>
        <w:t xml:space="preserve"> met the minimum size requirements at least one time for a Final Risk Ratio to be calculated (for each LEA, in theory, seven risk ratios could be calculated–one for each racial/ethnic group). Please note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LEAs in Wyoming have fewer than five students with a disability of a particular race/ethnicity. Thus,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numbers prevent the State from calculating reliable and meaningful risk ratios for every racial/ethnic group in every LEA. </w:t>
      </w:r>
      <w:r w:rsidRPr="00781112">
        <w:rPr>
          <w:rFonts w:cs="Arial"/>
          <w:color w:val="000000" w:themeColor="text1"/>
          <w:szCs w:val="16"/>
        </w:rPr>
        <w:br/>
      </w:r>
      <w:r w:rsidRPr="00781112">
        <w:rPr>
          <w:rFonts w:cs="Arial"/>
          <w:color w:val="000000" w:themeColor="text1"/>
          <w:szCs w:val="16"/>
        </w:rPr>
        <w:br/>
        <w:t xml:space="preserve">Please note that Wyoming has 48 K-12 districts, and 1 preschool district. The preschool district serves children </w:t>
      </w:r>
      <w:proofErr w:type="gramStart"/>
      <w:r w:rsidRPr="00781112">
        <w:rPr>
          <w:rFonts w:cs="Arial"/>
          <w:color w:val="000000" w:themeColor="text1"/>
          <w:szCs w:val="16"/>
        </w:rPr>
        <w:t>age</w:t>
      </w:r>
      <w:proofErr w:type="gramEnd"/>
      <w:r w:rsidRPr="00781112">
        <w:rPr>
          <w:rFonts w:cs="Arial"/>
          <w:color w:val="000000" w:themeColor="text1"/>
          <w:szCs w:val="16"/>
        </w:rPr>
        <w:t xml:space="preserve"> 3 to 5 in preschool; as such Indicators 9 and 10 are irrelevant to this preschool district. This preschool district does not serve any five-year-old kindergarten students. Thus, the correct denominator is </w:t>
      </w:r>
      <w:proofErr w:type="gramStart"/>
      <w:r w:rsidRPr="00781112">
        <w:rPr>
          <w:rFonts w:cs="Arial"/>
          <w:color w:val="000000" w:themeColor="text1"/>
          <w:szCs w:val="16"/>
        </w:rPr>
        <w:t>48</w:t>
      </w:r>
      <w:proofErr w:type="gramEnd"/>
      <w:r w:rsidRPr="00781112">
        <w:rPr>
          <w:rFonts w:cs="Arial"/>
          <w:color w:val="000000" w:themeColor="text1"/>
          <w:szCs w:val="16"/>
        </w:rPr>
        <w:t xml:space="preserve"> and the correct number of exclusions for not meeting the minimum n size is 0. (The preschool district </w:t>
      </w:r>
      <w:proofErr w:type="gramStart"/>
      <w:r w:rsidRPr="00781112">
        <w:rPr>
          <w:rFonts w:cs="Arial"/>
          <w:color w:val="000000" w:themeColor="text1"/>
          <w:szCs w:val="16"/>
        </w:rPr>
        <w:t>wasn’t</w:t>
      </w:r>
      <w:proofErr w:type="gramEnd"/>
      <w:r w:rsidRPr="00781112">
        <w:rPr>
          <w:rFonts w:cs="Arial"/>
          <w:color w:val="000000" w:themeColor="text1"/>
          <w:szCs w:val="16"/>
        </w:rPr>
        <w:t xml:space="preserve"> excluded because it didn’t meet the minimum n – it was excluded because it doesn’t serve children in kindergarten through grade 12.)</w:t>
      </w:r>
    </w:p>
    <w:bookmarkEnd w:id="50"/>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For Indicator 9, the WDE conducts its review of district data through the desk audit portion of Wyoming’s Results Driven Accountability Monitoring System. All districts that have </w:t>
      </w:r>
      <w:proofErr w:type="gramStart"/>
      <w:r w:rsidRPr="00781112">
        <w:rPr>
          <w:rFonts w:cs="Arial"/>
          <w:color w:val="000000" w:themeColor="text1"/>
          <w:szCs w:val="16"/>
        </w:rPr>
        <w:t>been flagged</w:t>
      </w:r>
      <w:proofErr w:type="gramEnd"/>
      <w:r w:rsidRPr="00781112">
        <w:rPr>
          <w:rFonts w:cs="Arial"/>
          <w:color w:val="000000" w:themeColor="text1"/>
          <w:szCs w:val="16"/>
        </w:rPr>
        <w:t xml:space="preserve">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3B71A72A" w14:textId="77777777" w:rsidR="00DF1529" w:rsidRPr="00781112" w:rsidRDefault="00DF1529" w:rsidP="00DF1529">
      <w:pPr>
        <w:rPr>
          <w:rFonts w:cs="Arial"/>
          <w:b/>
          <w:color w:val="000000" w:themeColor="text1"/>
          <w:szCs w:val="16"/>
        </w:rPr>
      </w:pPr>
      <w:bookmarkStart w:id="51" w:name="_Toc381956337"/>
      <w:bookmarkStart w:id="52" w:name="_Toc384383347"/>
      <w:bookmarkStart w:id="53"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5BCB19B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9A755E" w:rsidP="00A018D4">
            <w:pPr>
              <w:jc w:val="center"/>
              <w:rPr>
                <w:rFonts w:cs="Arial"/>
                <w:color w:val="000000" w:themeColor="text1"/>
                <w:szCs w:val="16"/>
              </w:rPr>
            </w:pPr>
          </w:p>
        </w:tc>
        <w:tc>
          <w:tcPr>
            <w:tcW w:w="1231" w:type="pct"/>
            <w:shd w:val="clear" w:color="auto" w:fill="auto"/>
          </w:tcPr>
          <w:p w14:paraId="62D59DBA" w14:textId="3A100C9A" w:rsidR="009A755E" w:rsidRPr="00781112" w:rsidRDefault="009A755E" w:rsidP="00A018D4">
            <w:pPr>
              <w:jc w:val="center"/>
              <w:rPr>
                <w:rFonts w:cs="Arial"/>
                <w:color w:val="000000" w:themeColor="text1"/>
                <w:szCs w:val="16"/>
              </w:rPr>
            </w:pP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283D846F"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52" w:type="pct"/>
            <w:shd w:val="clear" w:color="auto" w:fill="auto"/>
            <w:vAlign w:val="bottom"/>
          </w:tcPr>
          <w:p w14:paraId="37A08A62" w14:textId="5B0E531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481536" w:rsidP="00212954">
      <w:pPr>
        <w:rPr>
          <w:rFonts w:cs="Arial"/>
          <w:color w:val="000000" w:themeColor="text1"/>
          <w:szCs w:val="16"/>
        </w:rPr>
      </w:pP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51"/>
      <w:bookmarkEnd w:id="52"/>
      <w:bookmarkEnd w:id="53"/>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54" w:name="_Toc384383348"/>
      <w:bookmarkStart w:id="55"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specific disability </w:t>
      </w:r>
      <w:proofErr w:type="gramStart"/>
      <w:r w:rsidRPr="00781112">
        <w:rPr>
          <w:rFonts w:cs="Arial"/>
          <w:color w:val="000000" w:themeColor="text1"/>
          <w:szCs w:val="16"/>
        </w:rPr>
        <w:t>categories that</w:t>
      </w:r>
      <w:proofErr w:type="gramEnd"/>
      <w:r w:rsidRPr="00781112">
        <w:rPr>
          <w:rFonts w:cs="Arial"/>
          <w:color w:val="000000" w:themeColor="text1"/>
          <w:szCs w:val="16"/>
        </w:rPr>
        <w:t xml:space="preserve">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 xml:space="preserve">Include State’s definition of “disproportionate representation.” Please specify in your definition: 1) the calculation method(s) </w:t>
      </w:r>
      <w:proofErr w:type="gramStart"/>
      <w:r w:rsidRPr="00781112">
        <w:rPr>
          <w:rFonts w:cs="Arial"/>
          <w:color w:val="000000" w:themeColor="text1"/>
          <w:szCs w:val="16"/>
        </w:rPr>
        <w:t>being used</w:t>
      </w:r>
      <w:proofErr w:type="gramEnd"/>
      <w:r w:rsidRPr="00781112">
        <w:rPr>
          <w:rFonts w:cs="Arial"/>
          <w:color w:val="000000" w:themeColor="text1"/>
          <w:szCs w:val="16"/>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C3D4495"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the reporting year,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 xml:space="preserve">is the result of inappropriate identification, even if the determination of inappropriate identification </w:t>
      </w:r>
      <w:proofErr w:type="gramStart"/>
      <w:r w:rsidRPr="00781112">
        <w:rPr>
          <w:rFonts w:cs="Arial"/>
          <w:color w:val="000000" w:themeColor="text1"/>
          <w:szCs w:val="16"/>
        </w:rPr>
        <w:t>was made</w:t>
      </w:r>
      <w:proofErr w:type="gramEnd"/>
      <w:r w:rsidRPr="00781112">
        <w:rPr>
          <w:rFonts w:cs="Arial"/>
          <w:color w:val="000000" w:themeColor="text1"/>
          <w:szCs w:val="16"/>
        </w:rPr>
        <w:t xml:space="preserve"> after the end of the FFY </w:t>
      </w:r>
      <w:r w:rsidR="00206A65" w:rsidRPr="00781112">
        <w:rPr>
          <w:rFonts w:cs="Arial"/>
          <w:color w:val="000000" w:themeColor="text1"/>
          <w:szCs w:val="16"/>
        </w:rPr>
        <w:t>202</w:t>
      </w:r>
      <w:r w:rsidR="00206A65">
        <w:rPr>
          <w:rFonts w:cs="Arial"/>
          <w:color w:val="000000" w:themeColor="text1"/>
          <w:szCs w:val="16"/>
        </w:rPr>
        <w:t>1</w:t>
      </w:r>
      <w:r w:rsidR="00206A65" w:rsidRPr="00781112">
        <w:rPr>
          <w:rFonts w:cs="Arial"/>
          <w:color w:val="000000" w:themeColor="text1"/>
          <w:szCs w:val="16"/>
        </w:rPr>
        <w:t xml:space="preserve"> </w:t>
      </w:r>
      <w:r w:rsidRPr="00781112">
        <w:rPr>
          <w:rFonts w:cs="Arial"/>
          <w:color w:val="000000" w:themeColor="text1"/>
          <w:szCs w:val="16"/>
        </w:rPr>
        <w:t xml:space="preserve">reporting period (i.e., after June 30, </w:t>
      </w:r>
      <w:r w:rsidR="00206A65" w:rsidRPr="00781112">
        <w:rPr>
          <w:rFonts w:cs="Arial"/>
          <w:color w:val="000000" w:themeColor="text1"/>
          <w:szCs w:val="16"/>
        </w:rPr>
        <w:t>202</w:t>
      </w:r>
      <w:r w:rsidR="00206A65">
        <w:rPr>
          <w:rFonts w:cs="Arial"/>
          <w:color w:val="000000" w:themeColor="text1"/>
          <w:szCs w:val="16"/>
        </w:rPr>
        <w:t>2</w:t>
      </w:r>
      <w:r w:rsidRPr="00781112">
        <w:rPr>
          <w:rFonts w:cs="Arial"/>
          <w:color w:val="000000" w:themeColor="text1"/>
          <w:szCs w:val="16"/>
        </w:rPr>
        <w:t>).</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 xml:space="preserve">aged </w:t>
      </w:r>
      <w:proofErr w:type="gramStart"/>
      <w:r w:rsidR="00522BEA" w:rsidRPr="00522BEA">
        <w:rPr>
          <w:rFonts w:cs="Arial"/>
          <w:color w:val="000000" w:themeColor="text1"/>
          <w:szCs w:val="16"/>
        </w:rPr>
        <w:t>5</w:t>
      </w:r>
      <w:proofErr w:type="gramEnd"/>
      <w:r w:rsidR="00522BEA" w:rsidRPr="00522BEA">
        <w:rPr>
          <w:rFonts w:cs="Arial"/>
          <w:color w:val="000000" w:themeColor="text1"/>
          <w:szCs w:val="16"/>
        </w:rPr>
        <w:t xml:space="preserve">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w:t>
      </w:r>
      <w:proofErr w:type="gramStart"/>
      <w:r w:rsidRPr="00781112">
        <w:rPr>
          <w:rFonts w:cs="Arial"/>
          <w:color w:val="000000" w:themeColor="text1"/>
          <w:szCs w:val="16"/>
        </w:rPr>
        <w:t>as a result of</w:t>
      </w:r>
      <w:proofErr w:type="gramEnd"/>
      <w:r w:rsidRPr="00781112">
        <w:rPr>
          <w:rFonts w:cs="Arial"/>
          <w:color w:val="000000" w:themeColor="text1"/>
          <w:szCs w:val="16"/>
        </w:rPr>
        <w:t xml:space="preserve">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367E089E" w14:textId="7DBCE06A" w:rsidR="001D677D"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68FCFE1B" w14:textId="77777777" w:rsidR="0039251E" w:rsidRPr="00781112" w:rsidRDefault="0039251E" w:rsidP="00286BDF">
      <w:pPr>
        <w:rPr>
          <w:rFonts w:cs="Arial"/>
          <w:color w:val="000000" w:themeColor="text1"/>
          <w:szCs w:val="16"/>
        </w:rPr>
      </w:pPr>
    </w:p>
    <w:p w14:paraId="307820E6" w14:textId="2418F86F" w:rsidR="00B70FBF" w:rsidRPr="00781112" w:rsidRDefault="009F64D5" w:rsidP="008645AD">
      <w:pPr>
        <w:pStyle w:val="Heading2"/>
      </w:pPr>
      <w:bookmarkStart w:id="56" w:name="_Toc384383349"/>
      <w:bookmarkStart w:id="57" w:name="_Toc392159317"/>
      <w:bookmarkEnd w:id="54"/>
      <w:bookmarkEnd w:id="55"/>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2018</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2019</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2020</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6"/>
      <w:bookmarkEnd w:id="57"/>
    </w:tbl>
    <w:p w14:paraId="1840A66A" w14:textId="77777777" w:rsidR="00BA687C" w:rsidRDefault="00BA687C" w:rsidP="004369B2">
      <w:pPr>
        <w:rPr>
          <w:color w:val="000000" w:themeColor="text1"/>
        </w:rPr>
      </w:pPr>
    </w:p>
    <w:p w14:paraId="21AEF018" w14:textId="77777777" w:rsidR="0039251E" w:rsidRPr="00781112" w:rsidRDefault="0039251E"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lastRenderedPageBreak/>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tblGrid>
      <w:tr w:rsidR="00B14519" w:rsidRPr="00781112" w14:paraId="66B5B2AB" w14:textId="77A1A8F1" w:rsidTr="00451D7E">
        <w:trPr>
          <w:trHeight w:val="424"/>
        </w:trPr>
        <w:tc>
          <w:tcPr>
            <w:tcW w:w="833" w:type="pct"/>
            <w:tcBorders>
              <w:bottom w:val="single" w:sz="4" w:space="0" w:color="auto"/>
            </w:tcBorders>
            <w:shd w:val="clear" w:color="auto" w:fill="auto"/>
          </w:tcPr>
          <w:p w14:paraId="6C572A94" w14:textId="77777777" w:rsidR="00B14519" w:rsidRPr="00781112" w:rsidRDefault="00B14519" w:rsidP="00D0796B">
            <w:pPr>
              <w:jc w:val="center"/>
              <w:rPr>
                <w:b/>
                <w:color w:val="000000" w:themeColor="text1"/>
              </w:rPr>
            </w:pPr>
            <w:r w:rsidRPr="00781112">
              <w:rPr>
                <w:b/>
                <w:color w:val="000000" w:themeColor="text1"/>
              </w:rPr>
              <w:t>FFY</w:t>
            </w:r>
          </w:p>
        </w:tc>
        <w:tc>
          <w:tcPr>
            <w:tcW w:w="833" w:type="pct"/>
            <w:shd w:val="clear" w:color="auto" w:fill="auto"/>
          </w:tcPr>
          <w:p w14:paraId="67096E8B" w14:textId="77777777" w:rsidR="00B14519" w:rsidRPr="00781112" w:rsidRDefault="00B14519" w:rsidP="00D0796B">
            <w:pPr>
              <w:jc w:val="center"/>
              <w:rPr>
                <w:b/>
                <w:color w:val="000000" w:themeColor="text1"/>
              </w:rPr>
            </w:pPr>
            <w:r w:rsidRPr="00781112">
              <w:rPr>
                <w:b/>
                <w:color w:val="000000" w:themeColor="text1"/>
              </w:rPr>
              <w:t>2021</w:t>
            </w:r>
          </w:p>
        </w:tc>
        <w:tc>
          <w:tcPr>
            <w:tcW w:w="834" w:type="pct"/>
          </w:tcPr>
          <w:p w14:paraId="0FDB27DB" w14:textId="2A7CA3D5" w:rsidR="00B14519" w:rsidRPr="00781112" w:rsidRDefault="00B14519" w:rsidP="00D0796B">
            <w:pPr>
              <w:jc w:val="center"/>
              <w:rPr>
                <w:b/>
                <w:color w:val="000000" w:themeColor="text1"/>
              </w:rPr>
            </w:pPr>
            <w:r w:rsidRPr="00781112">
              <w:rPr>
                <w:rFonts w:cs="Arial"/>
                <w:b/>
                <w:color w:val="000000" w:themeColor="text1"/>
                <w:szCs w:val="16"/>
              </w:rPr>
              <w:t>2022</w:t>
            </w:r>
          </w:p>
        </w:tc>
        <w:tc>
          <w:tcPr>
            <w:tcW w:w="833" w:type="pct"/>
          </w:tcPr>
          <w:p w14:paraId="6594AB3D" w14:textId="0AA5EB84" w:rsidR="00B14519" w:rsidRPr="00781112" w:rsidRDefault="00B14519" w:rsidP="00D0796B">
            <w:pPr>
              <w:jc w:val="center"/>
              <w:rPr>
                <w:b/>
                <w:color w:val="000000" w:themeColor="text1"/>
              </w:rPr>
            </w:pPr>
            <w:r w:rsidRPr="00781112">
              <w:rPr>
                <w:rFonts w:cs="Arial"/>
                <w:b/>
                <w:color w:val="000000" w:themeColor="text1"/>
                <w:szCs w:val="16"/>
              </w:rPr>
              <w:t>2023</w:t>
            </w:r>
          </w:p>
        </w:tc>
        <w:tc>
          <w:tcPr>
            <w:tcW w:w="834" w:type="pct"/>
          </w:tcPr>
          <w:p w14:paraId="137A2339" w14:textId="1A48CA5C" w:rsidR="00B14519" w:rsidRPr="00781112" w:rsidRDefault="00B14519" w:rsidP="00D0796B">
            <w:pPr>
              <w:jc w:val="center"/>
              <w:rPr>
                <w:b/>
                <w:color w:val="000000" w:themeColor="text1"/>
              </w:rPr>
            </w:pPr>
            <w:r w:rsidRPr="00781112">
              <w:rPr>
                <w:rFonts w:cs="Arial"/>
                <w:b/>
                <w:color w:val="000000" w:themeColor="text1"/>
                <w:szCs w:val="16"/>
              </w:rPr>
              <w:t>2024</w:t>
            </w:r>
          </w:p>
        </w:tc>
        <w:tc>
          <w:tcPr>
            <w:tcW w:w="833" w:type="pct"/>
          </w:tcPr>
          <w:p w14:paraId="4FA5EFF0" w14:textId="7587EB5F" w:rsidR="00B14519" w:rsidRPr="00781112" w:rsidRDefault="00B14519" w:rsidP="00D0796B">
            <w:pPr>
              <w:jc w:val="center"/>
              <w:rPr>
                <w:b/>
                <w:color w:val="000000" w:themeColor="text1"/>
              </w:rPr>
            </w:pPr>
            <w:r w:rsidRPr="00781112">
              <w:rPr>
                <w:rFonts w:cs="Arial"/>
                <w:b/>
                <w:color w:val="000000" w:themeColor="text1"/>
                <w:szCs w:val="16"/>
              </w:rPr>
              <w:t>2025</w:t>
            </w:r>
          </w:p>
        </w:tc>
      </w:tr>
      <w:tr w:rsidR="00B14519" w:rsidRPr="00781112" w14:paraId="169ED4F0" w14:textId="16F5CD6F" w:rsidTr="00451D7E">
        <w:trPr>
          <w:trHeight w:val="432"/>
        </w:trPr>
        <w:tc>
          <w:tcPr>
            <w:tcW w:w="833" w:type="pct"/>
            <w:shd w:val="clear" w:color="auto" w:fill="auto"/>
            <w:vAlign w:val="center"/>
          </w:tcPr>
          <w:p w14:paraId="639437BD" w14:textId="77777777" w:rsidR="00B14519" w:rsidRPr="00781112" w:rsidRDefault="00B14519" w:rsidP="00D0796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vAlign w:val="center"/>
          </w:tcPr>
          <w:p w14:paraId="482B43E6" w14:textId="62FCF10C" w:rsidR="00B14519" w:rsidRPr="00781112" w:rsidRDefault="00B14519" w:rsidP="00D0796B">
            <w:pPr>
              <w:jc w:val="center"/>
              <w:rPr>
                <w:rFonts w:cs="Arial"/>
                <w:color w:val="000000" w:themeColor="text1"/>
                <w:szCs w:val="16"/>
              </w:rPr>
            </w:pPr>
            <w:r w:rsidRPr="00781112">
              <w:rPr>
                <w:rFonts w:cs="Arial"/>
                <w:color w:val="000000" w:themeColor="text1"/>
                <w:szCs w:val="16"/>
              </w:rPr>
              <w:t>0%</w:t>
            </w:r>
          </w:p>
        </w:tc>
        <w:tc>
          <w:tcPr>
            <w:tcW w:w="834" w:type="pct"/>
          </w:tcPr>
          <w:p w14:paraId="6ED6CF52" w14:textId="07C8F82B"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41DC7F3D" w14:textId="129F7B75"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4" w:type="pct"/>
          </w:tcPr>
          <w:p w14:paraId="430A2A24" w14:textId="13021BDA" w:rsidR="00B14519" w:rsidRPr="00781112" w:rsidRDefault="00B14519" w:rsidP="00D0796B">
            <w:pPr>
              <w:jc w:val="center"/>
              <w:rPr>
                <w:rFonts w:cs="Arial"/>
                <w:color w:val="000000" w:themeColor="text1"/>
                <w:szCs w:val="16"/>
              </w:rPr>
            </w:pPr>
            <w:r w:rsidRPr="00781112">
              <w:rPr>
                <w:color w:val="000000" w:themeColor="text1"/>
                <w:szCs w:val="16"/>
              </w:rPr>
              <w:t>0%</w:t>
            </w:r>
          </w:p>
        </w:tc>
        <w:tc>
          <w:tcPr>
            <w:tcW w:w="833" w:type="pct"/>
          </w:tcPr>
          <w:p w14:paraId="77FF7EE4" w14:textId="56DB4944" w:rsidR="00B14519" w:rsidRPr="00781112" w:rsidRDefault="00B14519"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51FA40C3" w:rsidR="005A3C12" w:rsidRPr="00781112" w:rsidRDefault="0047313F">
      <w:pPr>
        <w:rPr>
          <w:b/>
          <w:color w:val="000000" w:themeColor="text1"/>
        </w:rPr>
      </w:pPr>
      <w:r>
        <w:rPr>
          <w:b/>
          <w:color w:val="000000" w:themeColor="text1"/>
        </w:rPr>
        <w:t>FFY 2021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8" w:name="_Hlk20258880"/>
      <w:r w:rsidRPr="00781112">
        <w:rPr>
          <w:rFonts w:cs="Arial"/>
          <w:color w:val="000000" w:themeColor="text1"/>
          <w:szCs w:val="16"/>
        </w:rPr>
        <w:t>YES</w:t>
      </w:r>
    </w:p>
    <w:bookmarkEnd w:id="58"/>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 xml:space="preserve">If yes, the State may only include, in both the numerator and the denominator, districts that </w:t>
      </w:r>
      <w:proofErr w:type="gramStart"/>
      <w:r w:rsidRPr="00781112">
        <w:rPr>
          <w:rFonts w:cs="Arial"/>
          <w:b/>
          <w:color w:val="000000" w:themeColor="text1"/>
          <w:szCs w:val="16"/>
        </w:rPr>
        <w:t>met</w:t>
      </w:r>
      <w:proofErr w:type="gramEnd"/>
      <w:r w:rsidRPr="00781112">
        <w:rPr>
          <w:rFonts w:cs="Arial"/>
          <w:b/>
          <w:color w:val="000000" w:themeColor="text1"/>
          <w:szCs w:val="16"/>
        </w:rPr>
        <w:t xml:space="preserve"> the State-established n and/or cell size. Report the number of districts excluded from the calculation </w:t>
      </w:r>
      <w:proofErr w:type="gramStart"/>
      <w:r w:rsidRPr="00781112">
        <w:rPr>
          <w:rFonts w:cs="Arial"/>
          <w:b/>
          <w:color w:val="000000" w:themeColor="text1"/>
          <w:szCs w:val="16"/>
        </w:rPr>
        <w:t>as a result of</w:t>
      </w:r>
      <w:proofErr w:type="gramEnd"/>
      <w:r w:rsidRPr="00781112">
        <w:rPr>
          <w:rFonts w:cs="Arial"/>
          <w:b/>
          <w:color w:val="000000" w:themeColor="text1"/>
          <w:szCs w:val="16"/>
        </w:rPr>
        <w:t xml:space="preserve">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206A65" w:rsidRPr="00781112" w14:paraId="46B7EEE9" w14:textId="299BDFCD" w:rsidTr="002B4D97">
        <w:trPr>
          <w:trHeight w:val="354"/>
        </w:trPr>
        <w:tc>
          <w:tcPr>
            <w:tcW w:w="556" w:type="pct"/>
            <w:shd w:val="clear" w:color="auto" w:fill="auto"/>
            <w:vAlign w:val="bottom"/>
          </w:tcPr>
          <w:p w14:paraId="0E28349C" w14:textId="44D96017"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206A65" w:rsidRPr="00781112" w:rsidRDefault="00206A65" w:rsidP="00206A65">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206A65" w:rsidRPr="00781112" w:rsidRDefault="00206A65" w:rsidP="00206A65">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0893553B" w:rsidR="00206A65" w:rsidRPr="00CC1061" w:rsidRDefault="00206A65" w:rsidP="00206A65">
            <w:pPr>
              <w:jc w:val="center"/>
              <w:rPr>
                <w:b/>
                <w:bCs/>
                <w:color w:val="000000" w:themeColor="text1"/>
              </w:rPr>
            </w:pPr>
            <w:r w:rsidRPr="00CC1061">
              <w:rPr>
                <w:b/>
                <w:bCs/>
              </w:rPr>
              <w:t>FFY 2020 Data</w:t>
            </w:r>
          </w:p>
        </w:tc>
        <w:tc>
          <w:tcPr>
            <w:tcW w:w="799" w:type="pct"/>
            <w:shd w:val="clear" w:color="auto" w:fill="auto"/>
            <w:vAlign w:val="bottom"/>
          </w:tcPr>
          <w:p w14:paraId="72475F3B" w14:textId="17396A7D" w:rsidR="00206A65" w:rsidRPr="00CC1061" w:rsidRDefault="00206A65" w:rsidP="00206A65">
            <w:pPr>
              <w:jc w:val="center"/>
              <w:rPr>
                <w:b/>
                <w:bCs/>
                <w:color w:val="000000" w:themeColor="text1"/>
              </w:rPr>
            </w:pPr>
            <w:r w:rsidRPr="00CC1061">
              <w:rPr>
                <w:b/>
                <w:bCs/>
              </w:rPr>
              <w:t>FFY 2021 Target</w:t>
            </w:r>
          </w:p>
        </w:tc>
        <w:tc>
          <w:tcPr>
            <w:tcW w:w="484" w:type="pct"/>
            <w:shd w:val="clear" w:color="auto" w:fill="auto"/>
            <w:vAlign w:val="bottom"/>
          </w:tcPr>
          <w:p w14:paraId="71FC938A" w14:textId="10B6FDC7" w:rsidR="00206A65" w:rsidRPr="00CC1061" w:rsidRDefault="00206A65" w:rsidP="00206A65">
            <w:pPr>
              <w:jc w:val="center"/>
              <w:rPr>
                <w:b/>
                <w:bCs/>
                <w:color w:val="000000" w:themeColor="text1"/>
              </w:rPr>
            </w:pPr>
            <w:r w:rsidRPr="00CC1061">
              <w:rPr>
                <w:b/>
                <w:bCs/>
              </w:rPr>
              <w:t>FFY 2021 Data</w:t>
            </w:r>
          </w:p>
        </w:tc>
        <w:tc>
          <w:tcPr>
            <w:tcW w:w="611" w:type="pct"/>
            <w:shd w:val="clear" w:color="auto" w:fill="auto"/>
            <w:vAlign w:val="bottom"/>
          </w:tcPr>
          <w:p w14:paraId="3412B11F" w14:textId="60F985B5" w:rsidR="00206A65" w:rsidRPr="00781112" w:rsidRDefault="00206A65" w:rsidP="00206A65">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206A65" w:rsidRPr="00781112" w:rsidRDefault="00206A65" w:rsidP="00206A65">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43</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Met target</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No Slippage</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w:t>
      </w:r>
      <w:proofErr w:type="gramStart"/>
      <w:r w:rsidRPr="00781112">
        <w:rPr>
          <w:b/>
          <w:color w:val="000000" w:themeColor="text1"/>
        </w:rPr>
        <w:t>being used</w:t>
      </w:r>
      <w:proofErr w:type="gramEnd"/>
      <w:r w:rsidRPr="00781112">
        <w:rPr>
          <w:b/>
          <w:color w:val="000000" w:themeColor="text1"/>
        </w:rPr>
        <w:t xml:space="preserve">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The WDE collects the data used for Indicator 10 through the October 1 snapshot data collection. All races and ethnicities </w:t>
      </w:r>
      <w:proofErr w:type="gramStart"/>
      <w:r w:rsidRPr="00781112">
        <w:rPr>
          <w:rFonts w:cs="Arial"/>
          <w:color w:val="000000" w:themeColor="text1"/>
          <w:szCs w:val="16"/>
        </w:rPr>
        <w:t>are included</w:t>
      </w:r>
      <w:proofErr w:type="gramEnd"/>
      <w:r w:rsidRPr="00781112">
        <w:rPr>
          <w:rFonts w:cs="Arial"/>
          <w:color w:val="000000" w:themeColor="text1"/>
          <w:szCs w:val="16"/>
        </w:rPr>
        <w:t xml:space="preserve"> in the review of Indicator 10. The WDE calculates a Risk Ratio for each school district in the state, based on the identification rate of each racial/ethnic group in each district. If there are 10 or more students with disabilities in the group of interest (cell size) and 30 or more students in the group of interest enrolled in the LEA (n size) and if there are also 10 or more students with disabilities in the comparison group (cell size) and 30 or more students in the comparison group (n size) enrolled in the LEA, the Risk Ratio is used; otherwise, if there are fewer than 10 students with disabilities in the comparison group and/or fewer than 30 students enrolled in the comparison group, the Alternate Risk Ratio is used. Using both the Risk Ratio and the Alternate Risk Ratio ensures that the largest numbers of identification rates are considered for disproportionate representation</w:t>
      </w:r>
      <w:proofErr w:type="gramStart"/>
      <w:r w:rsidRPr="00781112">
        <w:rPr>
          <w:rFonts w:cs="Arial"/>
          <w:color w:val="000000" w:themeColor="text1"/>
          <w:szCs w:val="16"/>
        </w:rPr>
        <w:t xml:space="preserve">.  </w:t>
      </w:r>
      <w:proofErr w:type="gramEnd"/>
      <w:r w:rsidRPr="00781112">
        <w:rPr>
          <w:rFonts w:cs="Arial"/>
          <w:color w:val="000000" w:themeColor="text1"/>
          <w:szCs w:val="16"/>
        </w:rPr>
        <w:t xml:space="preserve">One year of data </w:t>
      </w:r>
      <w:proofErr w:type="gramStart"/>
      <w:r w:rsidRPr="00781112">
        <w:rPr>
          <w:rFonts w:cs="Arial"/>
          <w:color w:val="000000" w:themeColor="text1"/>
          <w:szCs w:val="16"/>
        </w:rPr>
        <w:t>is used</w:t>
      </w:r>
      <w:proofErr w:type="gramEnd"/>
      <w:r w:rsidRPr="00781112">
        <w:rPr>
          <w:rFonts w:cs="Arial"/>
          <w:color w:val="000000" w:themeColor="text1"/>
          <w:szCs w:val="16"/>
        </w:rPr>
        <w:t xml:space="preserve"> for the Indicator 10 analysis. </w:t>
      </w:r>
      <w:r w:rsidRPr="00781112">
        <w:rPr>
          <w:rFonts w:cs="Arial"/>
          <w:color w:val="000000" w:themeColor="text1"/>
          <w:szCs w:val="16"/>
        </w:rPr>
        <w:br/>
      </w:r>
      <w:r w:rsidRPr="00781112">
        <w:rPr>
          <w:rFonts w:cs="Arial"/>
          <w:color w:val="000000" w:themeColor="text1"/>
          <w:szCs w:val="16"/>
        </w:rPr>
        <w:br/>
        <w:t>The WDE defines disproportionate representation as a Final Risk Ratio of 3.00 or above. Once a ratio is flagged for disproportionate representation, WDE staff members review the LEA’s evaluation policies and procedures in addition to applicable student evaluation records to determine if the disproportionate representation is due to inappropriate identification.</w:t>
      </w:r>
      <w:r w:rsidRPr="00781112">
        <w:rPr>
          <w:rFonts w:cs="Arial"/>
          <w:color w:val="000000" w:themeColor="text1"/>
          <w:szCs w:val="16"/>
        </w:rPr>
        <w:br/>
      </w:r>
      <w:r w:rsidRPr="00781112">
        <w:rPr>
          <w:rFonts w:cs="Arial"/>
          <w:color w:val="000000" w:themeColor="text1"/>
          <w:szCs w:val="16"/>
        </w:rPr>
        <w:br/>
        <w:t xml:space="preserve">For Indicator 10, all </w:t>
      </w:r>
      <w:proofErr w:type="gramStart"/>
      <w:r w:rsidRPr="00781112">
        <w:rPr>
          <w:rFonts w:cs="Arial"/>
          <w:color w:val="000000" w:themeColor="text1"/>
          <w:szCs w:val="16"/>
        </w:rPr>
        <w:t>48</w:t>
      </w:r>
      <w:proofErr w:type="gramEnd"/>
      <w:r w:rsidRPr="00781112">
        <w:rPr>
          <w:rFonts w:cs="Arial"/>
          <w:color w:val="000000" w:themeColor="text1"/>
          <w:szCs w:val="16"/>
        </w:rPr>
        <w:t xml:space="preserve"> public K-12 school districts are included in the analyses. Of these 48 LEAs, </w:t>
      </w:r>
      <w:proofErr w:type="gramStart"/>
      <w:r w:rsidRPr="00781112">
        <w:rPr>
          <w:rFonts w:cs="Arial"/>
          <w:color w:val="000000" w:themeColor="text1"/>
          <w:szCs w:val="16"/>
        </w:rPr>
        <w:t>43</w:t>
      </w:r>
      <w:proofErr w:type="gramEnd"/>
      <w:r w:rsidRPr="00781112">
        <w:rPr>
          <w:rFonts w:cs="Arial"/>
          <w:color w:val="000000" w:themeColor="text1"/>
          <w:szCs w:val="16"/>
        </w:rPr>
        <w:t xml:space="preserve"> met the minimum size requirements at least one time for a Final Risk Ratio to be calculated (for each LEA, in theory, 42 risk ratios could be calculated–one for each racial/ethnic group times the six primary disability categories). Please note that </w:t>
      </w:r>
      <w:proofErr w:type="gramStart"/>
      <w:r w:rsidRPr="00781112">
        <w:rPr>
          <w:rFonts w:cs="Arial"/>
          <w:color w:val="000000" w:themeColor="text1"/>
          <w:szCs w:val="16"/>
        </w:rPr>
        <w:t>many</w:t>
      </w:r>
      <w:proofErr w:type="gramEnd"/>
      <w:r w:rsidRPr="00781112">
        <w:rPr>
          <w:rFonts w:cs="Arial"/>
          <w:color w:val="000000" w:themeColor="text1"/>
          <w:szCs w:val="16"/>
        </w:rPr>
        <w:t xml:space="preserve"> LEAs in Wyoming have fewer than five students with a disability of a particular race/ethnicity; when this is disaggregated further by type of primary disability, the numbers get extremely small. Thus, </w:t>
      </w:r>
      <w:proofErr w:type="gramStart"/>
      <w:r w:rsidRPr="00781112">
        <w:rPr>
          <w:rFonts w:cs="Arial"/>
          <w:color w:val="000000" w:themeColor="text1"/>
          <w:szCs w:val="16"/>
        </w:rPr>
        <w:t>very small</w:t>
      </w:r>
      <w:proofErr w:type="gramEnd"/>
      <w:r w:rsidRPr="00781112">
        <w:rPr>
          <w:rFonts w:cs="Arial"/>
          <w:color w:val="000000" w:themeColor="text1"/>
          <w:szCs w:val="16"/>
        </w:rPr>
        <w:t xml:space="preserve"> numbers prevent the State from calculating reliable and meaningful risk ratios for every racial/ethnic group by disability in every LEA.</w:t>
      </w:r>
      <w:r w:rsidRPr="00781112">
        <w:rPr>
          <w:rFonts w:cs="Arial"/>
          <w:color w:val="000000" w:themeColor="text1"/>
          <w:szCs w:val="16"/>
        </w:rPr>
        <w:br/>
      </w:r>
      <w:r w:rsidRPr="00781112">
        <w:rPr>
          <w:rFonts w:cs="Arial"/>
          <w:color w:val="000000" w:themeColor="text1"/>
          <w:szCs w:val="16"/>
        </w:rPr>
        <w:br/>
        <w:t xml:space="preserve">Please note that Wyoming has 48 K-12 districts, and 1 preschool district. The preschool district serves children </w:t>
      </w:r>
      <w:proofErr w:type="gramStart"/>
      <w:r w:rsidRPr="00781112">
        <w:rPr>
          <w:rFonts w:cs="Arial"/>
          <w:color w:val="000000" w:themeColor="text1"/>
          <w:szCs w:val="16"/>
        </w:rPr>
        <w:t>age</w:t>
      </w:r>
      <w:proofErr w:type="gramEnd"/>
      <w:r w:rsidRPr="00781112">
        <w:rPr>
          <w:rFonts w:cs="Arial"/>
          <w:color w:val="000000" w:themeColor="text1"/>
          <w:szCs w:val="16"/>
        </w:rPr>
        <w:t xml:space="preserve"> 3 to 5 in preschool; as such Indicators 9 and 10 are irrelevant to this preschool district. This preschool district does not serve any five-year-old kindergarten students. Thus, the correct denominator is </w:t>
      </w:r>
      <w:proofErr w:type="gramStart"/>
      <w:r w:rsidRPr="00781112">
        <w:rPr>
          <w:rFonts w:cs="Arial"/>
          <w:color w:val="000000" w:themeColor="text1"/>
          <w:szCs w:val="16"/>
        </w:rPr>
        <w:t>48</w:t>
      </w:r>
      <w:proofErr w:type="gramEnd"/>
      <w:r w:rsidRPr="00781112">
        <w:rPr>
          <w:rFonts w:cs="Arial"/>
          <w:color w:val="000000" w:themeColor="text1"/>
          <w:szCs w:val="16"/>
        </w:rPr>
        <w:t xml:space="preserve"> and the correct number of exclusions for not meeting the minimum n size is 0. (The preschool district </w:t>
      </w:r>
      <w:proofErr w:type="gramStart"/>
      <w:r w:rsidRPr="00781112">
        <w:rPr>
          <w:rFonts w:cs="Arial"/>
          <w:color w:val="000000" w:themeColor="text1"/>
          <w:szCs w:val="16"/>
        </w:rPr>
        <w:t>wasn’t</w:t>
      </w:r>
      <w:proofErr w:type="gramEnd"/>
      <w:r w:rsidRPr="00781112">
        <w:rPr>
          <w:rFonts w:cs="Arial"/>
          <w:color w:val="000000" w:themeColor="text1"/>
          <w:szCs w:val="16"/>
        </w:rPr>
        <w:t xml:space="preserve"> excluded because it didn’t meet the minimum n – it was excluded because it doesn’t serve children in kindergarten through grade 12.)</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For Indicator 10, the WDE conducts its review of district data through the desk audit portion of Wyoming’s Results Driven Accountability Focused Monitoring System. All districts that have </w:t>
      </w:r>
      <w:proofErr w:type="gramStart"/>
      <w:r w:rsidRPr="00781112">
        <w:rPr>
          <w:rFonts w:cs="Arial"/>
          <w:color w:val="000000" w:themeColor="text1"/>
          <w:szCs w:val="16"/>
        </w:rPr>
        <w:t>been flagged</w:t>
      </w:r>
      <w:proofErr w:type="gramEnd"/>
      <w:r w:rsidRPr="00781112">
        <w:rPr>
          <w:rFonts w:cs="Arial"/>
          <w:color w:val="000000" w:themeColor="text1"/>
          <w:szCs w:val="16"/>
        </w:rPr>
        <w:t xml:space="preserve"> are required to provide the WDE with district policies and procedures concerning their identification practices. The WDE then conducts a file review to gather additional data on how the district’s practices regarding the appropriate evaluation and identification of students with disabilities has affected actual students in the over-represented group.</w:t>
      </w:r>
    </w:p>
    <w:p w14:paraId="1FCF1BF3" w14:textId="77777777" w:rsidR="00DF1529" w:rsidRPr="00781112" w:rsidRDefault="00DF1529" w:rsidP="00DF1529">
      <w:pPr>
        <w:rPr>
          <w:rFonts w:cs="Arial"/>
          <w:b/>
          <w:color w:val="000000" w:themeColor="text1"/>
          <w:szCs w:val="16"/>
        </w:rPr>
      </w:pPr>
      <w:bookmarkStart w:id="59" w:name="_Toc381956338"/>
      <w:bookmarkStart w:id="60" w:name="_Toc384383352"/>
      <w:bookmarkStart w:id="61"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57326FE4"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9A755E" w:rsidP="004369B2">
            <w:pPr>
              <w:jc w:val="center"/>
              <w:rPr>
                <w:rFonts w:cs="Arial"/>
                <w:color w:val="000000" w:themeColor="text1"/>
                <w:szCs w:val="16"/>
              </w:rPr>
            </w:pPr>
          </w:p>
        </w:tc>
        <w:tc>
          <w:tcPr>
            <w:tcW w:w="1231" w:type="pct"/>
            <w:shd w:val="clear" w:color="auto" w:fill="auto"/>
          </w:tcPr>
          <w:p w14:paraId="2CDC48CC" w14:textId="2F009478" w:rsidR="009A755E" w:rsidRPr="00781112" w:rsidRDefault="009A755E" w:rsidP="004369B2">
            <w:pPr>
              <w:jc w:val="center"/>
              <w:rPr>
                <w:rFonts w:cs="Arial"/>
                <w:color w:val="000000" w:themeColor="text1"/>
                <w:szCs w:val="16"/>
              </w:rPr>
            </w:pP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2A8B007E"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545" w:type="pct"/>
            <w:shd w:val="clear" w:color="auto" w:fill="auto"/>
            <w:vAlign w:val="bottom"/>
          </w:tcPr>
          <w:p w14:paraId="759DE84F" w14:textId="319E9F24"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481536" w:rsidP="00212954">
      <w:pPr>
        <w:rPr>
          <w:rFonts w:cs="Arial"/>
          <w:color w:val="000000" w:themeColor="text1"/>
          <w:szCs w:val="16"/>
        </w:rPr>
      </w:pP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9"/>
      <w:bookmarkEnd w:id="60"/>
      <w:bookmarkEnd w:id="61"/>
    </w:p>
    <w:p w14:paraId="4F5D642D" w14:textId="77777777" w:rsidR="00E119B0" w:rsidRPr="00781112" w:rsidRDefault="00E119B0" w:rsidP="00A018D4">
      <w:pPr>
        <w:rPr>
          <w:color w:val="000000" w:themeColor="text1"/>
          <w:szCs w:val="20"/>
        </w:rPr>
      </w:pPr>
      <w:bookmarkStart w:id="62" w:name="_Toc384383353"/>
      <w:bookmarkStart w:id="63"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a. # of children for whom parental consent to evaluate </w:t>
      </w:r>
      <w:proofErr w:type="gramStart"/>
      <w:r w:rsidRPr="00781112">
        <w:rPr>
          <w:rFonts w:eastAsia="Times New Roman" w:cs="Arial"/>
          <w:color w:val="000000" w:themeColor="text1"/>
          <w:szCs w:val="16"/>
        </w:rPr>
        <w:t>was received</w:t>
      </w:r>
      <w:proofErr w:type="gramEnd"/>
      <w:r w:rsidRPr="00781112">
        <w:rPr>
          <w:rFonts w:eastAsia="Times New Roman" w:cs="Arial"/>
          <w:color w:val="000000" w:themeColor="text1"/>
          <w:szCs w:val="16"/>
        </w:rPr>
        <w:t>.</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 xml:space="preserve">b. # of children whose evaluations </w:t>
      </w:r>
      <w:proofErr w:type="gramStart"/>
      <w:r w:rsidRPr="00781112">
        <w:rPr>
          <w:rFonts w:eastAsia="Times New Roman" w:cs="Arial"/>
          <w:color w:val="000000" w:themeColor="text1"/>
          <w:szCs w:val="16"/>
        </w:rPr>
        <w:t>were completed</w:t>
      </w:r>
      <w:proofErr w:type="gramEnd"/>
      <w:r w:rsidRPr="00781112">
        <w:rPr>
          <w:rFonts w:eastAsia="Times New Roman" w:cs="Arial"/>
          <w:color w:val="000000" w:themeColor="text1"/>
          <w:szCs w:val="16"/>
        </w:rPr>
        <w:t xml:space="preserve">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proofErr w:type="gramStart"/>
      <w:r w:rsidRPr="00781112">
        <w:rPr>
          <w:rFonts w:eastAsia="Times New Roman" w:cs="Arial"/>
          <w:color w:val="000000" w:themeColor="text1"/>
          <w:szCs w:val="16"/>
        </w:rPr>
        <w:t>Account</w:t>
      </w:r>
      <w:proofErr w:type="gramEnd"/>
      <w:r w:rsidRPr="00781112">
        <w:rPr>
          <w:rFonts w:eastAsia="Times New Roman" w:cs="Arial"/>
          <w:color w:val="000000" w:themeColor="text1"/>
          <w:szCs w:val="16"/>
        </w:rPr>
        <w:t xml:space="preserve"> for children included in (a), but not included in (b). Indicate the range of days beyond the timeline when the evaluation </w:t>
      </w:r>
      <w:proofErr w:type="gramStart"/>
      <w:r w:rsidRPr="00781112">
        <w:rPr>
          <w:rFonts w:eastAsia="Times New Roman" w:cs="Arial"/>
          <w:color w:val="000000" w:themeColor="text1"/>
          <w:szCs w:val="16"/>
        </w:rPr>
        <w:t>was completed</w:t>
      </w:r>
      <w:proofErr w:type="gramEnd"/>
      <w:r w:rsidRPr="00781112">
        <w:rPr>
          <w:rFonts w:eastAsia="Times New Roman" w:cs="Arial"/>
          <w:color w:val="000000" w:themeColor="text1"/>
          <w:szCs w:val="16"/>
        </w:rPr>
        <w:t xml:space="preserve">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53468DF8" w14:textId="569695B1"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64" w:name="_Toc384383354"/>
      <w:bookmarkStart w:id="65" w:name="_Toc392159322"/>
      <w:bookmarkEnd w:id="62"/>
      <w:bookmarkEnd w:id="63"/>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95.00%</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2020</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98.34%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98.55%</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98.43%</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99.39%</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98.73%</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85"/>
        <w:gridCol w:w="1698"/>
        <w:gridCol w:w="1699"/>
        <w:gridCol w:w="1699"/>
        <w:gridCol w:w="1697"/>
      </w:tblGrid>
      <w:tr w:rsidR="00B14519" w:rsidRPr="00781112" w14:paraId="76DFECC2" w14:textId="07DDD47D" w:rsidTr="00451D7E">
        <w:trPr>
          <w:trHeight w:val="460"/>
        </w:trPr>
        <w:tc>
          <w:tcPr>
            <w:tcW w:w="278" w:type="pct"/>
            <w:tcBorders>
              <w:bottom w:val="single" w:sz="4" w:space="0" w:color="auto"/>
            </w:tcBorders>
            <w:shd w:val="clear" w:color="auto" w:fill="auto"/>
          </w:tcPr>
          <w:p w14:paraId="6892E70C" w14:textId="77777777" w:rsidR="00B14519" w:rsidRPr="00781112" w:rsidRDefault="00B14519" w:rsidP="00487DD1">
            <w:pPr>
              <w:jc w:val="center"/>
              <w:rPr>
                <w:b/>
                <w:color w:val="000000" w:themeColor="text1"/>
              </w:rPr>
            </w:pPr>
            <w:r w:rsidRPr="00781112">
              <w:rPr>
                <w:b/>
                <w:color w:val="000000" w:themeColor="text1"/>
              </w:rPr>
              <w:t>FFY</w:t>
            </w:r>
          </w:p>
        </w:tc>
        <w:tc>
          <w:tcPr>
            <w:tcW w:w="895" w:type="pct"/>
            <w:shd w:val="clear" w:color="auto" w:fill="auto"/>
          </w:tcPr>
          <w:p w14:paraId="66B6940B" w14:textId="77777777" w:rsidR="00B14519" w:rsidRPr="00781112" w:rsidRDefault="00B14519" w:rsidP="00487DD1">
            <w:pPr>
              <w:jc w:val="center"/>
              <w:rPr>
                <w:b/>
                <w:color w:val="000000" w:themeColor="text1"/>
              </w:rPr>
            </w:pPr>
            <w:r w:rsidRPr="00781112">
              <w:rPr>
                <w:b/>
                <w:color w:val="000000" w:themeColor="text1"/>
              </w:rPr>
              <w:t>2021</w:t>
            </w:r>
          </w:p>
        </w:tc>
        <w:tc>
          <w:tcPr>
            <w:tcW w:w="957" w:type="pct"/>
          </w:tcPr>
          <w:p w14:paraId="642D6D44" w14:textId="2A5BD9E4" w:rsidR="00B14519" w:rsidRPr="00781112" w:rsidRDefault="00B14519" w:rsidP="00487DD1">
            <w:pPr>
              <w:jc w:val="center"/>
              <w:rPr>
                <w:b/>
                <w:color w:val="000000" w:themeColor="text1"/>
              </w:rPr>
            </w:pPr>
            <w:r w:rsidRPr="00781112">
              <w:rPr>
                <w:rFonts w:cs="Arial"/>
                <w:b/>
                <w:color w:val="000000" w:themeColor="text1"/>
                <w:szCs w:val="16"/>
              </w:rPr>
              <w:t>2022</w:t>
            </w:r>
          </w:p>
        </w:tc>
        <w:tc>
          <w:tcPr>
            <w:tcW w:w="957" w:type="pct"/>
          </w:tcPr>
          <w:p w14:paraId="3DC5C0D5" w14:textId="20C2B807" w:rsidR="00B14519" w:rsidRPr="00781112" w:rsidRDefault="00B14519" w:rsidP="00487DD1">
            <w:pPr>
              <w:jc w:val="center"/>
              <w:rPr>
                <w:b/>
                <w:color w:val="000000" w:themeColor="text1"/>
              </w:rPr>
            </w:pPr>
            <w:r w:rsidRPr="00781112">
              <w:rPr>
                <w:rFonts w:cs="Arial"/>
                <w:b/>
                <w:color w:val="000000" w:themeColor="text1"/>
                <w:szCs w:val="16"/>
              </w:rPr>
              <w:t>2023</w:t>
            </w:r>
          </w:p>
        </w:tc>
        <w:tc>
          <w:tcPr>
            <w:tcW w:w="957" w:type="pct"/>
          </w:tcPr>
          <w:p w14:paraId="66836E96" w14:textId="691AA0DC" w:rsidR="00B14519" w:rsidRPr="00781112" w:rsidRDefault="00B14519" w:rsidP="00487DD1">
            <w:pPr>
              <w:jc w:val="center"/>
              <w:rPr>
                <w:b/>
                <w:color w:val="000000" w:themeColor="text1"/>
              </w:rPr>
            </w:pPr>
            <w:r w:rsidRPr="00781112">
              <w:rPr>
                <w:rFonts w:cs="Arial"/>
                <w:b/>
                <w:color w:val="000000" w:themeColor="text1"/>
                <w:szCs w:val="16"/>
              </w:rPr>
              <w:t>2024</w:t>
            </w:r>
          </w:p>
        </w:tc>
        <w:tc>
          <w:tcPr>
            <w:tcW w:w="957" w:type="pct"/>
          </w:tcPr>
          <w:p w14:paraId="5B366E12" w14:textId="3D99FA3A" w:rsidR="00B14519" w:rsidRPr="00781112" w:rsidRDefault="00B14519" w:rsidP="00487DD1">
            <w:pPr>
              <w:jc w:val="center"/>
              <w:rPr>
                <w:b/>
                <w:color w:val="000000" w:themeColor="text1"/>
              </w:rPr>
            </w:pPr>
            <w:r w:rsidRPr="00781112">
              <w:rPr>
                <w:rFonts w:cs="Arial"/>
                <w:b/>
                <w:color w:val="000000" w:themeColor="text1"/>
                <w:szCs w:val="16"/>
              </w:rPr>
              <w:t>2025</w:t>
            </w:r>
          </w:p>
        </w:tc>
      </w:tr>
      <w:tr w:rsidR="00B14519" w:rsidRPr="00781112" w14:paraId="3EC10007" w14:textId="1FF3F876" w:rsidTr="00451D7E">
        <w:trPr>
          <w:trHeight w:val="469"/>
        </w:trPr>
        <w:tc>
          <w:tcPr>
            <w:tcW w:w="278" w:type="pct"/>
            <w:shd w:val="clear" w:color="auto" w:fill="auto"/>
            <w:vAlign w:val="center"/>
          </w:tcPr>
          <w:p w14:paraId="078AD14E" w14:textId="77777777" w:rsidR="00B14519" w:rsidRPr="00781112" w:rsidRDefault="00B14519" w:rsidP="00487DD1">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738C5681" w14:textId="308364FD" w:rsidR="00B14519" w:rsidRPr="00781112" w:rsidRDefault="00B14519" w:rsidP="00487DD1">
            <w:pPr>
              <w:jc w:val="center"/>
              <w:rPr>
                <w:rFonts w:cs="Arial"/>
                <w:color w:val="000000" w:themeColor="text1"/>
                <w:szCs w:val="16"/>
              </w:rPr>
            </w:pPr>
            <w:r w:rsidRPr="00781112">
              <w:rPr>
                <w:rFonts w:cs="Arial"/>
                <w:color w:val="000000" w:themeColor="text1"/>
                <w:szCs w:val="16"/>
              </w:rPr>
              <w:t>100%</w:t>
            </w:r>
          </w:p>
        </w:tc>
        <w:tc>
          <w:tcPr>
            <w:tcW w:w="957" w:type="pct"/>
          </w:tcPr>
          <w:p w14:paraId="6D8F87FA" w14:textId="469699AF"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36607C1B" w14:textId="54CF66D1"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2E85DC12" w14:textId="59499407" w:rsidR="00B14519" w:rsidRPr="00781112" w:rsidRDefault="00B14519" w:rsidP="00487DD1">
            <w:pPr>
              <w:jc w:val="center"/>
              <w:rPr>
                <w:rFonts w:cs="Arial"/>
                <w:color w:val="000000" w:themeColor="text1"/>
                <w:szCs w:val="16"/>
              </w:rPr>
            </w:pPr>
            <w:r w:rsidRPr="00781112">
              <w:rPr>
                <w:color w:val="000000" w:themeColor="text1"/>
                <w:szCs w:val="16"/>
              </w:rPr>
              <w:t>100%</w:t>
            </w:r>
          </w:p>
        </w:tc>
        <w:tc>
          <w:tcPr>
            <w:tcW w:w="957" w:type="pct"/>
          </w:tcPr>
          <w:p w14:paraId="60586439" w14:textId="48E3304A" w:rsidR="00B14519" w:rsidRPr="00781112" w:rsidRDefault="00B14519"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bookmarkEnd w:id="64"/>
    <w:bookmarkEnd w:id="65"/>
    <w:p w14:paraId="21B2EFBB" w14:textId="77777777" w:rsidR="0039251E" w:rsidRDefault="0039251E">
      <w:pPr>
        <w:spacing w:before="0" w:after="200" w:line="276" w:lineRule="auto"/>
        <w:rPr>
          <w:b/>
          <w:color w:val="000000" w:themeColor="text1"/>
        </w:rPr>
      </w:pPr>
      <w:r>
        <w:rPr>
          <w:b/>
          <w:color w:val="000000" w:themeColor="text1"/>
        </w:rPr>
        <w:br w:type="page"/>
      </w:r>
    </w:p>
    <w:p w14:paraId="3FAEB3AB" w14:textId="3FEA7C64" w:rsidR="00D03701" w:rsidRPr="00781112" w:rsidRDefault="0047313F" w:rsidP="004369B2">
      <w:pPr>
        <w:rPr>
          <w:color w:val="000000" w:themeColor="text1"/>
        </w:rPr>
      </w:pPr>
      <w:r>
        <w:rPr>
          <w:b/>
          <w:color w:val="000000" w:themeColor="text1"/>
        </w:rPr>
        <w:lastRenderedPageBreak/>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B1652C" w:rsidRPr="00781112" w14:paraId="4D51CA61" w14:textId="77777777" w:rsidTr="008227D4">
        <w:trPr>
          <w:trHeight w:val="357"/>
          <w:tblHeader/>
        </w:trPr>
        <w:tc>
          <w:tcPr>
            <w:tcW w:w="677" w:type="pct"/>
            <w:shd w:val="clear" w:color="auto" w:fill="auto"/>
            <w:vAlign w:val="bottom"/>
          </w:tcPr>
          <w:p w14:paraId="2C2F907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(a) Number of children for whom parental consent to evaluate </w:t>
            </w:r>
            <w:proofErr w:type="gramStart"/>
            <w:r w:rsidRPr="00781112">
              <w:rPr>
                <w:rFonts w:cs="Arial"/>
                <w:b/>
                <w:color w:val="000000" w:themeColor="text1"/>
                <w:szCs w:val="16"/>
              </w:rPr>
              <w:t>was received</w:t>
            </w:r>
            <w:proofErr w:type="gramEnd"/>
          </w:p>
        </w:tc>
        <w:tc>
          <w:tcPr>
            <w:tcW w:w="631" w:type="pct"/>
            <w:shd w:val="clear" w:color="auto" w:fill="auto"/>
            <w:vAlign w:val="bottom"/>
          </w:tcPr>
          <w:p w14:paraId="37C63445"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(b) Number of children whose evaluations </w:t>
            </w:r>
            <w:proofErr w:type="gramStart"/>
            <w:r w:rsidRPr="00781112">
              <w:rPr>
                <w:rFonts w:cs="Arial"/>
                <w:b/>
                <w:color w:val="000000" w:themeColor="text1"/>
                <w:szCs w:val="16"/>
              </w:rPr>
              <w:t>were completed</w:t>
            </w:r>
            <w:proofErr w:type="gramEnd"/>
            <w:r w:rsidRPr="00781112">
              <w:rPr>
                <w:rFonts w:cs="Arial"/>
                <w:b/>
                <w:color w:val="000000" w:themeColor="text1"/>
                <w:szCs w:val="16"/>
              </w:rPr>
              <w:t xml:space="preserve"> within 60 days (or State-established timeline)</w:t>
            </w:r>
          </w:p>
        </w:tc>
        <w:tc>
          <w:tcPr>
            <w:tcW w:w="652" w:type="pct"/>
            <w:shd w:val="clear" w:color="auto" w:fill="auto"/>
            <w:vAlign w:val="bottom"/>
          </w:tcPr>
          <w:p w14:paraId="0F3587FA" w14:textId="23C7F4A8" w:rsidR="00B1652C" w:rsidRPr="00CC1061" w:rsidRDefault="00B1652C" w:rsidP="00B1652C">
            <w:pPr>
              <w:jc w:val="center"/>
              <w:rPr>
                <w:rFonts w:cs="Arial"/>
                <w:b/>
                <w:bCs/>
                <w:color w:val="000000" w:themeColor="text1"/>
                <w:szCs w:val="16"/>
              </w:rPr>
            </w:pPr>
            <w:r w:rsidRPr="00CC1061">
              <w:rPr>
                <w:b/>
                <w:bCs/>
              </w:rPr>
              <w:t>FFY 2020 Data</w:t>
            </w:r>
          </w:p>
        </w:tc>
        <w:tc>
          <w:tcPr>
            <w:tcW w:w="984" w:type="pct"/>
            <w:shd w:val="clear" w:color="auto" w:fill="auto"/>
            <w:vAlign w:val="bottom"/>
          </w:tcPr>
          <w:p w14:paraId="46349806" w14:textId="4901A0E8" w:rsidR="00B1652C" w:rsidRPr="00CC1061" w:rsidRDefault="00B1652C" w:rsidP="00B1652C">
            <w:pPr>
              <w:jc w:val="center"/>
              <w:rPr>
                <w:rFonts w:cs="Arial"/>
                <w:b/>
                <w:bCs/>
                <w:color w:val="000000" w:themeColor="text1"/>
                <w:szCs w:val="16"/>
              </w:rPr>
            </w:pPr>
            <w:r w:rsidRPr="00CC1061">
              <w:rPr>
                <w:b/>
                <w:bCs/>
              </w:rPr>
              <w:t>FFY 2021 Target</w:t>
            </w:r>
          </w:p>
        </w:tc>
        <w:tc>
          <w:tcPr>
            <w:tcW w:w="586" w:type="pct"/>
            <w:shd w:val="clear" w:color="auto" w:fill="auto"/>
            <w:vAlign w:val="bottom"/>
          </w:tcPr>
          <w:p w14:paraId="789B0350" w14:textId="5E86AFE2" w:rsidR="00B1652C" w:rsidRPr="00CC1061" w:rsidRDefault="00B1652C" w:rsidP="00B1652C">
            <w:pPr>
              <w:jc w:val="center"/>
              <w:rPr>
                <w:rFonts w:cs="Arial"/>
                <w:b/>
                <w:bCs/>
                <w:color w:val="000000" w:themeColor="text1"/>
                <w:szCs w:val="16"/>
              </w:rPr>
            </w:pPr>
            <w:r w:rsidRPr="00CC1061">
              <w:rPr>
                <w:b/>
                <w:bCs/>
              </w:rPr>
              <w:t>FFY 2021 Data</w:t>
            </w:r>
          </w:p>
        </w:tc>
        <w:tc>
          <w:tcPr>
            <w:tcW w:w="747" w:type="pct"/>
            <w:shd w:val="clear" w:color="auto" w:fill="auto"/>
            <w:vAlign w:val="bottom"/>
          </w:tcPr>
          <w:p w14:paraId="1F8A5D0B" w14:textId="1CA25A33"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3,059</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2,981</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98.73%</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97.45%</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5D46E0B7" w14:textId="17C9BC91" w:rsidR="00BC682D" w:rsidRPr="00781112" w:rsidRDefault="00481536" w:rsidP="00BC682D">
      <w:pPr>
        <w:rPr>
          <w:rFonts w:cs="Arial"/>
          <w:b/>
          <w:i/>
          <w:color w:val="000000" w:themeColor="text1"/>
          <w:szCs w:val="16"/>
        </w:rPr>
      </w:pPr>
      <w:r w:rsidRPr="00781112">
        <w:rPr>
          <w:rFonts w:cs="Arial"/>
          <w:b/>
          <w:color w:val="000000" w:themeColor="text1"/>
          <w:szCs w:val="16"/>
        </w:rPr>
        <w:t>Provide reasons for slippage</w:t>
      </w:r>
    </w:p>
    <w:p w14:paraId="1CA4022B" w14:textId="73E50EE0" w:rsidR="00481536" w:rsidRPr="00781112" w:rsidRDefault="002B7490" w:rsidP="007D435F">
      <w:pPr>
        <w:rPr>
          <w:rFonts w:cs="Arial"/>
          <w:color w:val="000000" w:themeColor="text1"/>
          <w:szCs w:val="16"/>
        </w:rPr>
      </w:pPr>
      <w:proofErr w:type="gramStart"/>
      <w:r w:rsidRPr="00781112">
        <w:rPr>
          <w:rFonts w:cs="Arial"/>
          <w:color w:val="000000" w:themeColor="text1"/>
          <w:szCs w:val="16"/>
        </w:rPr>
        <w:t>The majority of</w:t>
      </w:r>
      <w:proofErr w:type="gramEnd"/>
      <w:r w:rsidRPr="00781112">
        <w:rPr>
          <w:rFonts w:cs="Arial"/>
          <w:color w:val="000000" w:themeColor="text1"/>
          <w:szCs w:val="16"/>
        </w:rPr>
        <w:t xml:space="preserve"> the slippage is a result of the state's developmental preschools who went from having 33 late evaluations in FFY2020 to having 59 in FFY2021. As indicated below, part of this increase in delayed evaluations has to do with a shortage of staff.</w:t>
      </w:r>
    </w:p>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78</w:t>
      </w:r>
    </w:p>
    <w:p w14:paraId="59300647" w14:textId="301BC4BA" w:rsidR="00E418E6" w:rsidRPr="00781112" w:rsidRDefault="00481536" w:rsidP="006A01BD">
      <w:pPr>
        <w:rPr>
          <w:b/>
          <w:color w:val="000000" w:themeColor="text1"/>
        </w:rPr>
      </w:pPr>
      <w:proofErr w:type="gramStart"/>
      <w:r w:rsidRPr="00781112">
        <w:rPr>
          <w:b/>
          <w:color w:val="000000" w:themeColor="text1"/>
        </w:rPr>
        <w:t>Account</w:t>
      </w:r>
      <w:proofErr w:type="gramEnd"/>
      <w:r w:rsidRPr="00781112">
        <w:rPr>
          <w:b/>
          <w:color w:val="000000" w:themeColor="text1"/>
        </w:rPr>
        <w:t xml:space="preserve"> for children included in (a) but not included in (b). Indicate the range of days beyond the timeline when the evaluation </w:t>
      </w:r>
      <w:proofErr w:type="gramStart"/>
      <w:r w:rsidRPr="00781112">
        <w:rPr>
          <w:b/>
          <w:color w:val="000000" w:themeColor="text1"/>
        </w:rPr>
        <w:t>was completed</w:t>
      </w:r>
      <w:proofErr w:type="gramEnd"/>
      <w:r w:rsidRPr="00781112">
        <w:rPr>
          <w:b/>
          <w:color w:val="000000" w:themeColor="text1"/>
        </w:rPr>
        <w:t xml:space="preserve">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Of the 3,059 initial evaluations under Part B conducted during FFY 2021, there were </w:t>
      </w:r>
      <w:proofErr w:type="gramStart"/>
      <w:r w:rsidRPr="00781112">
        <w:rPr>
          <w:color w:val="000000" w:themeColor="text1"/>
        </w:rPr>
        <w:t>78</w:t>
      </w:r>
      <w:proofErr w:type="gramEnd"/>
      <w:r w:rsidRPr="00781112">
        <w:rPr>
          <w:color w:val="000000" w:themeColor="text1"/>
        </w:rPr>
        <w:t xml:space="preserve"> that did not meet the 60-day timeline requirement. Of these 78, 19 were from the State's 48 public school districts, and </w:t>
      </w:r>
      <w:proofErr w:type="gramStart"/>
      <w:r w:rsidRPr="00781112">
        <w:rPr>
          <w:color w:val="000000" w:themeColor="text1"/>
        </w:rPr>
        <w:t>59</w:t>
      </w:r>
      <w:proofErr w:type="gramEnd"/>
      <w:r w:rsidRPr="00781112">
        <w:rPr>
          <w:color w:val="000000" w:themeColor="text1"/>
        </w:rPr>
        <w:t xml:space="preserve"> were from the State's developmental preschools. The range in days beyond the 60-day timeline was 1 to 101 days. Reasons for the delays in evaluations: parental cancellations of meetings, difficulty contacting parents, psychological evaluators unavailable, not completing testing on time, and incorrect calculation of 60-day timeline. Further technical assistance will </w:t>
      </w:r>
      <w:proofErr w:type="gramStart"/>
      <w:r w:rsidRPr="00781112">
        <w:rPr>
          <w:color w:val="000000" w:themeColor="text1"/>
        </w:rPr>
        <w:t>be provided</w:t>
      </w:r>
      <w:proofErr w:type="gramEnd"/>
      <w:r w:rsidRPr="00781112">
        <w:rPr>
          <w:color w:val="000000" w:themeColor="text1"/>
        </w:rPr>
        <w:t xml:space="preserve"> to LEAs to assist with compliance in this area.</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 xml:space="preserve">The State used the </w:t>
      </w:r>
      <w:proofErr w:type="gramStart"/>
      <w:r w:rsidRPr="00781112">
        <w:rPr>
          <w:rFonts w:cs="Arial"/>
          <w:color w:val="000000" w:themeColor="text1"/>
          <w:szCs w:val="16"/>
        </w:rPr>
        <w:t>60 day</w:t>
      </w:r>
      <w:proofErr w:type="gramEnd"/>
      <w:r w:rsidRPr="00781112">
        <w:rPr>
          <w:rFonts w:cs="Arial"/>
          <w:color w:val="000000" w:themeColor="text1"/>
          <w:szCs w:val="16"/>
        </w:rPr>
        <w:t xml:space="preserve">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 xml:space="preserve">These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on the end-of-year child count file (WDE-684C) which is submitted by the LEAs to the WDE.</w:t>
      </w:r>
    </w:p>
    <w:p w14:paraId="4F981BFF" w14:textId="77777777" w:rsidR="00C86164" w:rsidRPr="00781112" w:rsidRDefault="00C86164" w:rsidP="00C86164">
      <w:pPr>
        <w:rPr>
          <w:rFonts w:cs="Arial"/>
          <w:b/>
          <w:color w:val="000000" w:themeColor="text1"/>
          <w:szCs w:val="16"/>
        </w:rPr>
      </w:pPr>
      <w:bookmarkStart w:id="66" w:name="_Toc381956339"/>
      <w:bookmarkStart w:id="67" w:name="_Toc384383357"/>
      <w:bookmarkStart w:id="68"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70165581"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48</w:t>
            </w:r>
          </w:p>
        </w:tc>
        <w:tc>
          <w:tcPr>
            <w:tcW w:w="1231" w:type="pct"/>
            <w:shd w:val="clear" w:color="auto" w:fill="auto"/>
          </w:tcPr>
          <w:p w14:paraId="650763EC" w14:textId="5B71F402" w:rsidR="009A755E" w:rsidRPr="00781112" w:rsidRDefault="009A755E" w:rsidP="00A018D4">
            <w:pPr>
              <w:jc w:val="center"/>
              <w:rPr>
                <w:rFonts w:cs="Arial"/>
                <w:color w:val="000000" w:themeColor="text1"/>
                <w:szCs w:val="16"/>
              </w:rPr>
            </w:pP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23DB1EFD" w:rsidR="009A755E" w:rsidRPr="00781112" w:rsidRDefault="00450F98" w:rsidP="004369B2">
      <w:pPr>
        <w:rPr>
          <w:color w:val="000000" w:themeColor="text1"/>
        </w:rPr>
      </w:pPr>
      <w:r>
        <w:rPr>
          <w:b/>
          <w:color w:val="000000" w:themeColor="text1"/>
        </w:rPr>
        <w:t>FFY 2020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Regarding the </w:t>
      </w:r>
      <w:proofErr w:type="gramStart"/>
      <w:r w:rsidRPr="00781112">
        <w:rPr>
          <w:rFonts w:cs="Arial"/>
          <w:color w:val="000000" w:themeColor="text1"/>
          <w:szCs w:val="16"/>
        </w:rPr>
        <w:t>48</w:t>
      </w:r>
      <w:proofErr w:type="gramEnd"/>
      <w:r w:rsidRPr="00781112">
        <w:rPr>
          <w:rFonts w:cs="Arial"/>
          <w:color w:val="000000" w:themeColor="text1"/>
          <w:szCs w:val="16"/>
        </w:rPr>
        <w:t xml:space="preserve"> initial evaluations that were not completed within 60 days, the WDE required specific corrective action from any LEA exhibiting a rate below 100% compliance with the 60-day requirement. First, the Department contacted each LEA with the student identification numbers of students whose initial evaluations </w:t>
      </w:r>
      <w:proofErr w:type="gramStart"/>
      <w:r w:rsidRPr="00781112">
        <w:rPr>
          <w:rFonts w:cs="Arial"/>
          <w:color w:val="000000" w:themeColor="text1"/>
          <w:szCs w:val="16"/>
        </w:rPr>
        <w:t>were reported</w:t>
      </w:r>
      <w:proofErr w:type="gramEnd"/>
      <w:r w:rsidRPr="00781112">
        <w:rPr>
          <w:rFonts w:cs="Arial"/>
          <w:color w:val="000000" w:themeColor="text1"/>
          <w:szCs w:val="16"/>
        </w:rPr>
        <w:t xml:space="preserve"> to be completed after 60 days from receipt of consent. In each instance the LEA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provide a detailed explanation for the delay. The only acceptable reasons are those found in 34 C.F.R. §300.301(c)(1). In addition, the WDE reviewed the districts evaluation policies and procedures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required an assurance that the district’s policies and procedures concerning initial evaluations have been reviewed with district staff members during the 2020-2021 school year and would be adhered to. Then, </w:t>
      </w:r>
      <w:proofErr w:type="gramStart"/>
      <w:r w:rsidRPr="00781112">
        <w:rPr>
          <w:rFonts w:cs="Arial"/>
          <w:color w:val="000000" w:themeColor="text1"/>
          <w:szCs w:val="16"/>
        </w:rPr>
        <w:t>in order to</w:t>
      </w:r>
      <w:proofErr w:type="gramEnd"/>
      <w:r w:rsidRPr="00781112">
        <w:rPr>
          <w:rFonts w:cs="Arial"/>
          <w:color w:val="000000" w:themeColor="text1"/>
          <w:szCs w:val="16"/>
        </w:rPr>
        <w:t xml:space="preserve"> ensure systemic correction for all students, the WDE reviewed a sample of initial evaluations conducted during the current fiscal year to evidence 100% compliance for students other than those whose initial evaluations were completed late during the previous fiscal year. The Department verified the LEAs with noncompliance were correctly implementing the regulatory requirements with 100% compliance. This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within one year and is consistent with the OSEP Memorandum 09-02.</w:t>
      </w:r>
      <w:r w:rsidRPr="00781112">
        <w:rPr>
          <w:rFonts w:cs="Arial"/>
          <w:color w:val="000000" w:themeColor="text1"/>
          <w:szCs w:val="16"/>
        </w:rPr>
        <w:br/>
      </w:r>
      <w:r w:rsidRPr="00781112">
        <w:rPr>
          <w:rFonts w:cs="Arial"/>
          <w:color w:val="000000" w:themeColor="text1"/>
          <w:szCs w:val="16"/>
        </w:rPr>
        <w:br/>
        <w:t xml:space="preserve">Depending upon the content of their corrective action plan (CAP) or compliance agreement (CA), districts were provided specially designed TA from WDE staff. Staffing levels </w:t>
      </w:r>
      <w:proofErr w:type="gramStart"/>
      <w:r w:rsidRPr="00781112">
        <w:rPr>
          <w:rFonts w:cs="Arial"/>
          <w:color w:val="000000" w:themeColor="text1"/>
          <w:szCs w:val="16"/>
        </w:rPr>
        <w:t>were reviewed</w:t>
      </w:r>
      <w:proofErr w:type="gramEnd"/>
      <w:r w:rsidRPr="00781112">
        <w:rPr>
          <w:rFonts w:cs="Arial"/>
          <w:color w:val="000000" w:themeColor="text1"/>
          <w:szCs w:val="16"/>
        </w:rPr>
        <w:t xml:space="preserve"> through various fiscal reports to identify potential personnel shortages that may be affecting an LEA’s ability to complete initial evaluations in a timely manner.</w:t>
      </w:r>
      <w:r w:rsidRPr="00781112">
        <w:rPr>
          <w:rFonts w:cs="Arial"/>
          <w:color w:val="000000" w:themeColor="text1"/>
          <w:szCs w:val="16"/>
        </w:rPr>
        <w:br/>
      </w:r>
      <w:r w:rsidRPr="00781112">
        <w:rPr>
          <w:rFonts w:cs="Arial"/>
          <w:color w:val="000000" w:themeColor="text1"/>
          <w:szCs w:val="16"/>
        </w:rPr>
        <w:br/>
        <w:t xml:space="preserve">Districts found out of compliance on the self-assessment are provided TA, if needed. The self-assessment process </w:t>
      </w:r>
      <w:proofErr w:type="gramStart"/>
      <w:r w:rsidRPr="00781112">
        <w:rPr>
          <w:rFonts w:cs="Arial"/>
          <w:color w:val="000000" w:themeColor="text1"/>
          <w:szCs w:val="16"/>
        </w:rPr>
        <w:t>was explained</w:t>
      </w:r>
      <w:proofErr w:type="gramEnd"/>
      <w:r w:rsidRPr="00781112">
        <w:rPr>
          <w:rFonts w:cs="Arial"/>
          <w:color w:val="000000" w:themeColor="text1"/>
          <w:szCs w:val="16"/>
        </w:rPr>
        <w:t xml:space="preserve"> in the General Supervision section of the introduction to this report.</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For the </w:t>
      </w:r>
      <w:proofErr w:type="gramStart"/>
      <w:r w:rsidRPr="00781112">
        <w:rPr>
          <w:rFonts w:cs="Arial"/>
          <w:color w:val="000000" w:themeColor="text1"/>
          <w:szCs w:val="16"/>
        </w:rPr>
        <w:t>48</w:t>
      </w:r>
      <w:proofErr w:type="gramEnd"/>
      <w:r w:rsidRPr="00781112">
        <w:rPr>
          <w:rFonts w:cs="Arial"/>
          <w:color w:val="000000" w:themeColor="text1"/>
          <w:szCs w:val="16"/>
        </w:rPr>
        <w:t xml:space="preserve"> individual students for whom noncompliance was found, the WDE issued a letter containing findings for each of the students in whose case initial evaluations took longer than 60 days. LEAs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provide evidence that the student’s evaluation was completed, although late, and eligibility determined. The State verified that each record </w:t>
      </w:r>
      <w:proofErr w:type="gramStart"/>
      <w:r w:rsidRPr="00781112">
        <w:rPr>
          <w:rFonts w:cs="Arial"/>
          <w:color w:val="000000" w:themeColor="text1"/>
          <w:szCs w:val="16"/>
        </w:rPr>
        <w:t>with</w:t>
      </w:r>
      <w:proofErr w:type="gramEnd"/>
      <w:r w:rsidRPr="00781112">
        <w:rPr>
          <w:rFonts w:cs="Arial"/>
          <w:color w:val="000000" w:themeColor="text1"/>
          <w:szCs w:val="16"/>
        </w:rPr>
        <w:t xml:space="preserve">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with evaluations completed and eligibility determined. This </w:t>
      </w:r>
      <w:proofErr w:type="gramStart"/>
      <w:r w:rsidRPr="00781112">
        <w:rPr>
          <w:rFonts w:cs="Arial"/>
          <w:color w:val="000000" w:themeColor="text1"/>
          <w:szCs w:val="16"/>
        </w:rPr>
        <w:t>was completed</w:t>
      </w:r>
      <w:proofErr w:type="gramEnd"/>
      <w:r w:rsidRPr="00781112">
        <w:rPr>
          <w:rFonts w:cs="Arial"/>
          <w:color w:val="000000" w:themeColor="text1"/>
          <w:szCs w:val="16"/>
        </w:rPr>
        <w:t xml:space="preserve"> within 45 days and is consistent with the OSEP Memorandum 09-02.</w:t>
      </w:r>
    </w:p>
    <w:p w14:paraId="47B6C111" w14:textId="77777777" w:rsidR="008227D4" w:rsidRPr="00781112" w:rsidRDefault="008227D4" w:rsidP="004369B2">
      <w:pPr>
        <w:rPr>
          <w:color w:val="000000" w:themeColor="text1"/>
        </w:rPr>
      </w:pPr>
    </w:p>
    <w:p w14:paraId="691FBDD8" w14:textId="77777777" w:rsidR="0039251E" w:rsidRDefault="0039251E">
      <w:pPr>
        <w:spacing w:before="0" w:after="200" w:line="276" w:lineRule="auto"/>
        <w:rPr>
          <w:b/>
          <w:color w:val="000000" w:themeColor="text1"/>
        </w:rPr>
      </w:pPr>
      <w:r>
        <w:rPr>
          <w:b/>
          <w:color w:val="000000" w:themeColor="text1"/>
        </w:rPr>
        <w:br w:type="page"/>
      </w:r>
    </w:p>
    <w:p w14:paraId="3D219E0E" w14:textId="68A3A5E2" w:rsidR="009A755E" w:rsidRPr="00781112" w:rsidRDefault="00450F98" w:rsidP="004369B2">
      <w:pPr>
        <w:rPr>
          <w:color w:val="000000" w:themeColor="text1"/>
        </w:rPr>
      </w:pPr>
      <w:r>
        <w:rPr>
          <w:b/>
          <w:color w:val="000000" w:themeColor="text1"/>
        </w:rPr>
        <w:lastRenderedPageBreak/>
        <w:t>Correction of Findings of Noncompliance Identified Prior to FFY 2020</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58480848" w14:textId="0727D6EF"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14020BE" w14:textId="77777777" w:rsidR="009F69E7" w:rsidRPr="00781112" w:rsidRDefault="009F69E7" w:rsidP="004E2151">
      <w:pPr>
        <w:rPr>
          <w:rFonts w:cs="Arial"/>
          <w:color w:val="000000" w:themeColor="text1"/>
          <w:szCs w:val="16"/>
        </w:rPr>
      </w:pPr>
    </w:p>
    <w:p w14:paraId="35EEEBCC" w14:textId="1E6D333E" w:rsidR="004E2151" w:rsidRPr="00781112" w:rsidRDefault="007639D7" w:rsidP="004369B2">
      <w:pPr>
        <w:rPr>
          <w:b/>
          <w:color w:val="000000" w:themeColor="text1"/>
        </w:rPr>
      </w:pPr>
      <w:r>
        <w:rPr>
          <w:b/>
          <w:color w:val="000000" w:themeColor="text1"/>
        </w:rPr>
        <w:t>Response to actions required in FFY 2020 SPP/APR</w:t>
      </w:r>
    </w:p>
    <w:p w14:paraId="29D8AFAD" w14:textId="6EBD882C" w:rsidR="004E2151" w:rsidRPr="00781112" w:rsidRDefault="002B7490" w:rsidP="004E2151">
      <w:pPr>
        <w:rPr>
          <w:rFonts w:cs="Arial"/>
          <w:color w:val="000000" w:themeColor="text1"/>
          <w:szCs w:val="16"/>
        </w:rPr>
      </w:pPr>
      <w:r w:rsidRPr="00781112">
        <w:rPr>
          <w:rFonts w:cs="Arial"/>
          <w:color w:val="000000" w:themeColor="text1"/>
          <w:szCs w:val="16"/>
        </w:rPr>
        <w:t>See the previous section on how the WDE addressed FFY2020 findings of noncompliance.</w:t>
      </w: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6"/>
      <w:bookmarkEnd w:id="67"/>
      <w:bookmarkEnd w:id="68"/>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9" w:name="_Toc384383358"/>
      <w:bookmarkStart w:id="70"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a. # of children who have </w:t>
      </w:r>
      <w:proofErr w:type="gramStart"/>
      <w:r w:rsidRPr="00781112">
        <w:rPr>
          <w:rFonts w:eastAsia="Times New Roman" w:cs="Arial"/>
          <w:color w:val="000000" w:themeColor="text1"/>
          <w:szCs w:val="16"/>
        </w:rPr>
        <w:t>been served</w:t>
      </w:r>
      <w:proofErr w:type="gramEnd"/>
      <w:r w:rsidRPr="00781112">
        <w:rPr>
          <w:rFonts w:eastAsia="Times New Roman" w:cs="Arial"/>
          <w:color w:val="000000" w:themeColor="text1"/>
          <w:szCs w:val="16"/>
        </w:rPr>
        <w:t xml:space="preserve">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 xml:space="preserve">Category f is to </w:t>
      </w:r>
      <w:proofErr w:type="gramStart"/>
      <w:r w:rsidRPr="00781112">
        <w:rPr>
          <w:rFonts w:cs="Arial"/>
          <w:color w:val="000000" w:themeColor="text1"/>
          <w:szCs w:val="16"/>
        </w:rPr>
        <w:t>be used</w:t>
      </w:r>
      <w:proofErr w:type="gramEnd"/>
      <w:r w:rsidRPr="00781112">
        <w:rPr>
          <w:rFonts w:cs="Arial"/>
          <w:color w:val="000000" w:themeColor="text1"/>
          <w:szCs w:val="16"/>
        </w:rPr>
        <w:t xml:space="preserve">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B505E64" w14:textId="5E538FA3"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71" w:name="_Toc384383359"/>
      <w:bookmarkStart w:id="72" w:name="_Toc392159327"/>
      <w:bookmarkEnd w:id="69"/>
      <w:bookmarkEnd w:id="70"/>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68.29%</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71"/>
          <w:bookmarkEnd w:id="72"/>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88.47%</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94.38%</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92.06%</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97.99%</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81.24%</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85"/>
        <w:gridCol w:w="1698"/>
        <w:gridCol w:w="1699"/>
        <w:gridCol w:w="1699"/>
        <w:gridCol w:w="1697"/>
      </w:tblGrid>
      <w:tr w:rsidR="00B14519" w:rsidRPr="00781112" w14:paraId="41D3AE7A" w14:textId="578794F0" w:rsidTr="00451D7E">
        <w:trPr>
          <w:trHeight w:val="328"/>
        </w:trPr>
        <w:tc>
          <w:tcPr>
            <w:tcW w:w="278" w:type="pct"/>
            <w:tcBorders>
              <w:bottom w:val="single" w:sz="4" w:space="0" w:color="auto"/>
            </w:tcBorders>
            <w:shd w:val="clear" w:color="auto" w:fill="auto"/>
          </w:tcPr>
          <w:p w14:paraId="7786D02D" w14:textId="77777777" w:rsidR="00B14519" w:rsidRPr="00781112" w:rsidRDefault="00B14519" w:rsidP="00AF574F">
            <w:pPr>
              <w:jc w:val="center"/>
              <w:rPr>
                <w:b/>
                <w:color w:val="000000" w:themeColor="text1"/>
              </w:rPr>
            </w:pPr>
            <w:r w:rsidRPr="00781112">
              <w:rPr>
                <w:b/>
                <w:color w:val="000000" w:themeColor="text1"/>
              </w:rPr>
              <w:t>FFY</w:t>
            </w:r>
          </w:p>
        </w:tc>
        <w:tc>
          <w:tcPr>
            <w:tcW w:w="895" w:type="pct"/>
            <w:shd w:val="clear" w:color="auto" w:fill="auto"/>
          </w:tcPr>
          <w:p w14:paraId="09ED5838" w14:textId="77777777" w:rsidR="00B14519" w:rsidRPr="00781112" w:rsidRDefault="00B14519" w:rsidP="00AF574F">
            <w:pPr>
              <w:jc w:val="center"/>
              <w:rPr>
                <w:b/>
                <w:color w:val="000000" w:themeColor="text1"/>
              </w:rPr>
            </w:pPr>
            <w:r w:rsidRPr="00781112">
              <w:rPr>
                <w:b/>
                <w:color w:val="000000" w:themeColor="text1"/>
              </w:rPr>
              <w:t>2021</w:t>
            </w:r>
          </w:p>
        </w:tc>
        <w:tc>
          <w:tcPr>
            <w:tcW w:w="957" w:type="pct"/>
          </w:tcPr>
          <w:p w14:paraId="0769903C" w14:textId="05A227DB" w:rsidR="00B14519" w:rsidRPr="00781112" w:rsidRDefault="00B14519" w:rsidP="00AF574F">
            <w:pPr>
              <w:jc w:val="center"/>
              <w:rPr>
                <w:b/>
                <w:color w:val="000000" w:themeColor="text1"/>
              </w:rPr>
            </w:pPr>
            <w:r w:rsidRPr="00781112">
              <w:rPr>
                <w:rFonts w:cs="Arial"/>
                <w:b/>
                <w:color w:val="000000" w:themeColor="text1"/>
                <w:szCs w:val="16"/>
              </w:rPr>
              <w:t>2022</w:t>
            </w:r>
          </w:p>
        </w:tc>
        <w:tc>
          <w:tcPr>
            <w:tcW w:w="957" w:type="pct"/>
          </w:tcPr>
          <w:p w14:paraId="77CF077D" w14:textId="38DFC132" w:rsidR="00B14519" w:rsidRPr="00781112" w:rsidRDefault="00B14519" w:rsidP="00AF574F">
            <w:pPr>
              <w:jc w:val="center"/>
              <w:rPr>
                <w:b/>
                <w:color w:val="000000" w:themeColor="text1"/>
              </w:rPr>
            </w:pPr>
            <w:r w:rsidRPr="00781112">
              <w:rPr>
                <w:rFonts w:cs="Arial"/>
                <w:b/>
                <w:color w:val="000000" w:themeColor="text1"/>
                <w:szCs w:val="16"/>
              </w:rPr>
              <w:t>2023</w:t>
            </w:r>
          </w:p>
        </w:tc>
        <w:tc>
          <w:tcPr>
            <w:tcW w:w="957" w:type="pct"/>
          </w:tcPr>
          <w:p w14:paraId="5C5F415E" w14:textId="7B035D53" w:rsidR="00B14519" w:rsidRPr="00781112" w:rsidRDefault="00B14519" w:rsidP="00AF574F">
            <w:pPr>
              <w:jc w:val="center"/>
              <w:rPr>
                <w:b/>
                <w:color w:val="000000" w:themeColor="text1"/>
              </w:rPr>
            </w:pPr>
            <w:r w:rsidRPr="00781112">
              <w:rPr>
                <w:rFonts w:cs="Arial"/>
                <w:b/>
                <w:color w:val="000000" w:themeColor="text1"/>
                <w:szCs w:val="16"/>
              </w:rPr>
              <w:t>2024</w:t>
            </w:r>
          </w:p>
        </w:tc>
        <w:tc>
          <w:tcPr>
            <w:tcW w:w="957" w:type="pct"/>
          </w:tcPr>
          <w:p w14:paraId="4D5B8FD6" w14:textId="4B2021E7"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2B267817" w14:textId="2A03C05D" w:rsidTr="00451D7E">
        <w:trPr>
          <w:trHeight w:val="335"/>
        </w:trPr>
        <w:tc>
          <w:tcPr>
            <w:tcW w:w="278" w:type="pct"/>
            <w:shd w:val="clear" w:color="auto" w:fill="auto"/>
            <w:vAlign w:val="center"/>
          </w:tcPr>
          <w:p w14:paraId="70D956A8"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895" w:type="pct"/>
            <w:shd w:val="clear" w:color="auto" w:fill="auto"/>
            <w:vAlign w:val="center"/>
          </w:tcPr>
          <w:p w14:paraId="5CDE7127" w14:textId="59D1386F"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57" w:type="pct"/>
          </w:tcPr>
          <w:p w14:paraId="6CF78C3F" w14:textId="1B45F3AE"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6FCC2C45" w14:textId="5131688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06CB35C0" w14:textId="66848221"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57" w:type="pct"/>
          </w:tcPr>
          <w:p w14:paraId="3CD9C2C5" w14:textId="2066089A"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46BA504F" w:rsidR="00634AD8"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w:t>
            </w:r>
            <w:proofErr w:type="gramStart"/>
            <w:r w:rsidRPr="00781112">
              <w:rPr>
                <w:rFonts w:cs="Arial"/>
                <w:color w:val="000000" w:themeColor="text1"/>
                <w:szCs w:val="16"/>
              </w:rPr>
              <w:t>been served</w:t>
            </w:r>
            <w:proofErr w:type="gramEnd"/>
            <w:r w:rsidRPr="00781112">
              <w:rPr>
                <w:rFonts w:cs="Arial"/>
                <w:color w:val="000000" w:themeColor="text1"/>
                <w:szCs w:val="16"/>
              </w:rPr>
              <w:t xml:space="preserve">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590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117</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394</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17</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t>
            </w:r>
            <w:proofErr w:type="gramStart"/>
            <w:r w:rsidRPr="00781112">
              <w:rPr>
                <w:rFonts w:cs="Arial"/>
                <w:color w:val="000000" w:themeColor="text1"/>
                <w:szCs w:val="16"/>
              </w:rPr>
              <w:t>were referred</w:t>
            </w:r>
            <w:proofErr w:type="gramEnd"/>
            <w:r w:rsidRPr="00781112">
              <w:rPr>
                <w:rFonts w:cs="Arial"/>
                <w:color w:val="000000" w:themeColor="text1"/>
                <w:szCs w:val="16"/>
              </w:rPr>
              <w:t xml:space="preserve">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B1652C" w:rsidRPr="00781112" w14:paraId="666B6B4E" w14:textId="2C1DC9A0" w:rsidTr="0010170F">
        <w:trPr>
          <w:trHeight w:val="340"/>
          <w:tblHeader/>
        </w:trPr>
        <w:tc>
          <w:tcPr>
            <w:tcW w:w="831" w:type="pct"/>
            <w:shd w:val="clear" w:color="auto" w:fill="auto"/>
          </w:tcPr>
          <w:p w14:paraId="5A0321EA" w14:textId="34C57852" w:rsidR="00B1652C" w:rsidRPr="00781112" w:rsidRDefault="00B1652C" w:rsidP="00B1652C">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B1652C" w:rsidRPr="0075451F" w:rsidRDefault="00B1652C" w:rsidP="00B1652C">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vAlign w:val="bottom"/>
          </w:tcPr>
          <w:p w14:paraId="58F547FF" w14:textId="74A7B658" w:rsidR="00B1652C" w:rsidRPr="006D0A52" w:rsidRDefault="00B1652C" w:rsidP="00B1652C">
            <w:pPr>
              <w:jc w:val="center"/>
              <w:rPr>
                <w:rFonts w:cs="Arial"/>
                <w:b/>
                <w:bCs/>
                <w:color w:val="000000" w:themeColor="text1"/>
                <w:szCs w:val="16"/>
              </w:rPr>
            </w:pPr>
            <w:r w:rsidRPr="006D0A52">
              <w:rPr>
                <w:b/>
                <w:bCs/>
              </w:rPr>
              <w:t>FFY 2020 Data</w:t>
            </w:r>
          </w:p>
        </w:tc>
        <w:tc>
          <w:tcPr>
            <w:tcW w:w="595" w:type="pct"/>
            <w:shd w:val="clear" w:color="auto" w:fill="auto"/>
            <w:vAlign w:val="bottom"/>
          </w:tcPr>
          <w:p w14:paraId="36BD2BCA" w14:textId="610B5164" w:rsidR="00B1652C" w:rsidRPr="006D0A52" w:rsidRDefault="00B1652C" w:rsidP="00B1652C">
            <w:pPr>
              <w:jc w:val="center"/>
              <w:rPr>
                <w:rFonts w:cs="Arial"/>
                <w:b/>
                <w:bCs/>
                <w:color w:val="000000" w:themeColor="text1"/>
                <w:szCs w:val="16"/>
              </w:rPr>
            </w:pPr>
            <w:r w:rsidRPr="006D0A52">
              <w:rPr>
                <w:b/>
                <w:bCs/>
              </w:rPr>
              <w:t>FFY 2021 Target</w:t>
            </w:r>
          </w:p>
        </w:tc>
        <w:tc>
          <w:tcPr>
            <w:tcW w:w="595" w:type="pct"/>
            <w:shd w:val="clear" w:color="auto" w:fill="auto"/>
            <w:vAlign w:val="bottom"/>
          </w:tcPr>
          <w:p w14:paraId="0030B6C4" w14:textId="0A3E5A40" w:rsidR="00B1652C" w:rsidRPr="006D0A52" w:rsidRDefault="00B1652C" w:rsidP="00B1652C">
            <w:pPr>
              <w:jc w:val="center"/>
              <w:rPr>
                <w:rFonts w:cs="Arial"/>
                <w:b/>
                <w:bCs/>
                <w:color w:val="000000" w:themeColor="text1"/>
                <w:szCs w:val="16"/>
              </w:rPr>
            </w:pPr>
            <w:r w:rsidRPr="006D0A52">
              <w:rPr>
                <w:b/>
                <w:bCs/>
              </w:rPr>
              <w:t>FFY 2021 Data</w:t>
            </w:r>
          </w:p>
        </w:tc>
        <w:tc>
          <w:tcPr>
            <w:tcW w:w="595" w:type="pct"/>
            <w:shd w:val="clear" w:color="auto" w:fill="auto"/>
          </w:tcPr>
          <w:p w14:paraId="16905A6D" w14:textId="19A3632B"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 xml:space="preserve">Percent of children referred by Part C prior to age 3 who </w:t>
            </w:r>
            <w:proofErr w:type="gramStart"/>
            <w:r w:rsidRPr="00781112">
              <w:rPr>
                <w:rFonts w:cs="Arial"/>
                <w:color w:val="000000" w:themeColor="text1"/>
                <w:szCs w:val="16"/>
              </w:rPr>
              <w:t>are found</w:t>
            </w:r>
            <w:proofErr w:type="gramEnd"/>
            <w:r w:rsidRPr="00781112">
              <w:rPr>
                <w:rFonts w:cs="Arial"/>
                <w:color w:val="000000" w:themeColor="text1"/>
                <w:szCs w:val="16"/>
              </w:rPr>
              <w:t xml:space="preserve">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394</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445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81.24%</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88.54%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 xml:space="preserve">Number of children who served in Part C and referred to Part B for eligibility determination that </w:t>
      </w:r>
      <w:proofErr w:type="gramStart"/>
      <w:r w:rsidRPr="00781112">
        <w:rPr>
          <w:rFonts w:cs="Arial"/>
          <w:b/>
          <w:color w:val="000000" w:themeColor="text1"/>
          <w:szCs w:val="16"/>
        </w:rPr>
        <w:t>are not included</w:t>
      </w:r>
      <w:proofErr w:type="gramEnd"/>
      <w:r w:rsidRPr="00781112">
        <w:rPr>
          <w:rFonts w:cs="Arial"/>
          <w:b/>
          <w:color w:val="000000" w:themeColor="text1"/>
          <w:szCs w:val="16"/>
        </w:rPr>
        <w:t xml:space="preserve">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51</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 xml:space="preserve">There are </w:t>
      </w:r>
      <w:proofErr w:type="gramStart"/>
      <w:r w:rsidRPr="00781112">
        <w:rPr>
          <w:bCs/>
          <w:color w:val="000000" w:themeColor="text1"/>
        </w:rPr>
        <w:t>51</w:t>
      </w:r>
      <w:proofErr w:type="gramEnd"/>
      <w:r w:rsidRPr="00781112">
        <w:rPr>
          <w:bCs/>
          <w:color w:val="000000" w:themeColor="text1"/>
        </w:rPr>
        <w:t xml:space="preserve"> children for whom their Part B eligibility was not determined by their third birthday. The number of days after their third birthday ranged from 1 to 134. Thirty-three of the children had delays of 30 days or less. The Behavioral Health Division (BHD) provided justifications for the delays such as parents not making the child available and data errors. For the findings of noncompliance in cases where the parent did not make the child available, it was determined that the preschool staff did not make an early or adequate attempt to complete the evaluations to determine eligibility prior to the child's third birthday. There was not sufficient documentation to show multiple </w:t>
      </w:r>
      <w:proofErr w:type="gramStart"/>
      <w:r w:rsidRPr="00781112">
        <w:rPr>
          <w:bCs/>
          <w:color w:val="000000" w:themeColor="text1"/>
        </w:rPr>
        <w:t>attempts</w:t>
      </w:r>
      <w:proofErr w:type="gramEnd"/>
      <w:r w:rsidRPr="00781112">
        <w:rPr>
          <w:bCs/>
          <w:color w:val="000000" w:themeColor="text1"/>
        </w:rPr>
        <w:t xml:space="preserve"> or, in fact, the file showed the evaluation process was started without allowing for adequate time to complete. For these reasons, the WDE believes that stating (in the justification) that the parent did not make the child available does not meet the intent of the allowable exception in 34 CFR 300.301(d). </w:t>
      </w:r>
      <w:r w:rsidRPr="00781112">
        <w:rPr>
          <w:bCs/>
          <w:color w:val="000000" w:themeColor="text1"/>
        </w:rPr>
        <w:br/>
      </w:r>
      <w:r w:rsidRPr="00781112">
        <w:rPr>
          <w:bCs/>
          <w:color w:val="000000" w:themeColor="text1"/>
        </w:rPr>
        <w:br/>
        <w:t xml:space="preserve">Further technical assistance </w:t>
      </w:r>
      <w:proofErr w:type="gramStart"/>
      <w:r w:rsidRPr="00781112">
        <w:rPr>
          <w:bCs/>
          <w:color w:val="000000" w:themeColor="text1"/>
        </w:rPr>
        <w:t>was provided</w:t>
      </w:r>
      <w:proofErr w:type="gramEnd"/>
      <w:r w:rsidRPr="00781112">
        <w:rPr>
          <w:bCs/>
          <w:color w:val="000000" w:themeColor="text1"/>
        </w:rPr>
        <w:t xml:space="preserve"> to the BHD to assist with compliance in this area. This included the dissemination of guidance documents developed by the State and guidance produced by the US Department of Education and the Office of Special Education Programs.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73" w:name="_Hlk20318414"/>
      <w:bookmarkEnd w:id="73"/>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 xml:space="preserve">These data </w:t>
      </w:r>
      <w:proofErr w:type="gramStart"/>
      <w:r w:rsidRPr="00781112">
        <w:rPr>
          <w:rFonts w:cs="Arial"/>
          <w:color w:val="000000" w:themeColor="text1"/>
          <w:szCs w:val="16"/>
        </w:rPr>
        <w:t>are collected</w:t>
      </w:r>
      <w:proofErr w:type="gramEnd"/>
      <w:r w:rsidRPr="00781112">
        <w:rPr>
          <w:rFonts w:cs="Arial"/>
          <w:color w:val="000000" w:themeColor="text1"/>
          <w:szCs w:val="16"/>
        </w:rPr>
        <w:t xml:space="preserve"> on the end-of-year child count file (WDE-457) which is submitted by the Behavioral Health Division to the WDE.</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The WDE has issued the Behavioral Health Division (BHD) a letter of notice of noncompliance for the results of Indicator 12 for this reporting period. The BHD is </w:t>
      </w:r>
      <w:proofErr w:type="gramStart"/>
      <w:r w:rsidRPr="00781112">
        <w:rPr>
          <w:rFonts w:cs="Arial"/>
          <w:color w:val="000000" w:themeColor="text1"/>
          <w:szCs w:val="16"/>
        </w:rPr>
        <w:t>essentially the</w:t>
      </w:r>
      <w:proofErr w:type="gramEnd"/>
      <w:r w:rsidRPr="00781112">
        <w:rPr>
          <w:rFonts w:cs="Arial"/>
          <w:color w:val="000000" w:themeColor="text1"/>
          <w:szCs w:val="16"/>
        </w:rPr>
        <w:t xml:space="preserve"> LEA responsible for the Part B implementation of the IDEA regulations in each of the 14 Early Childhood Regions serving students with disabilities ages 3-5 and not enrolled in kindergarten. The BHD then issued letters of noncompliance with accompanying Corrective Action Plans (CAP) to preschool regions with substantial noncompliance with their Part C to Part B transitions. Each CAP may include improvement activities, a review of policies and procedures with revisions if </w:t>
      </w:r>
      <w:proofErr w:type="gramStart"/>
      <w:r w:rsidRPr="00781112">
        <w:rPr>
          <w:rFonts w:cs="Arial"/>
          <w:color w:val="000000" w:themeColor="text1"/>
          <w:szCs w:val="16"/>
        </w:rPr>
        <w:t>necessary, and</w:t>
      </w:r>
      <w:proofErr w:type="gramEnd"/>
      <w:r w:rsidRPr="00781112">
        <w:rPr>
          <w:rFonts w:cs="Arial"/>
          <w:color w:val="000000" w:themeColor="text1"/>
          <w:szCs w:val="16"/>
        </w:rPr>
        <w:t xml:space="preserve"> required staff training for compliant Part C to Part B transitions.</w:t>
      </w:r>
      <w:r w:rsidRPr="00781112">
        <w:rPr>
          <w:rFonts w:cs="Arial"/>
          <w:color w:val="000000" w:themeColor="text1"/>
          <w:szCs w:val="16"/>
        </w:rPr>
        <w:br/>
      </w:r>
      <w:r w:rsidRPr="00781112">
        <w:rPr>
          <w:rFonts w:cs="Arial"/>
          <w:color w:val="000000" w:themeColor="text1"/>
          <w:szCs w:val="16"/>
        </w:rPr>
        <w:br/>
        <w:t xml:space="preserve">For this indicator, none of the late evaluations were due to parents refusing to provide consent. </w:t>
      </w:r>
    </w:p>
    <w:p w14:paraId="4E94D02C" w14:textId="77777777" w:rsidR="009C5AE7" w:rsidRPr="00781112" w:rsidRDefault="009C5AE7" w:rsidP="004369B2">
      <w:pPr>
        <w:rPr>
          <w:color w:val="000000" w:themeColor="text1"/>
        </w:rPr>
      </w:pPr>
    </w:p>
    <w:p w14:paraId="7740DC21" w14:textId="791A6EF5"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79</w:t>
            </w:r>
          </w:p>
        </w:tc>
        <w:tc>
          <w:tcPr>
            <w:tcW w:w="1231" w:type="pct"/>
            <w:shd w:val="clear" w:color="auto" w:fill="auto"/>
          </w:tcPr>
          <w:p w14:paraId="36D48FD7" w14:textId="2F6E80E6" w:rsidR="009A755E" w:rsidRPr="00781112" w:rsidRDefault="009A755E" w:rsidP="00A018D4">
            <w:pPr>
              <w:jc w:val="center"/>
              <w:rPr>
                <w:rFonts w:cs="Arial"/>
                <w:color w:val="000000" w:themeColor="text1"/>
                <w:szCs w:val="16"/>
              </w:rPr>
            </w:pP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06928F75" w:rsidR="009A755E" w:rsidRPr="00781112" w:rsidRDefault="00450F98" w:rsidP="004369B2">
      <w:pPr>
        <w:rPr>
          <w:color w:val="000000" w:themeColor="text1"/>
        </w:rPr>
      </w:pPr>
      <w:r>
        <w:rPr>
          <w:b/>
          <w:color w:val="000000" w:themeColor="text1"/>
        </w:rPr>
        <w:t>FFY 2020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 xml:space="preserve">Each Early Childhood Development Center region who was not at 100% compliance with Indicator 12 in FFY2020 </w:t>
      </w:r>
      <w:proofErr w:type="gramStart"/>
      <w:r w:rsidRPr="00781112">
        <w:rPr>
          <w:rFonts w:cs="Arial"/>
          <w:color w:val="000000" w:themeColor="text1"/>
          <w:szCs w:val="16"/>
        </w:rPr>
        <w:t>was notified</w:t>
      </w:r>
      <w:proofErr w:type="gramEnd"/>
      <w:r w:rsidRPr="00781112">
        <w:rPr>
          <w:rFonts w:cs="Arial"/>
          <w:color w:val="000000" w:themeColor="text1"/>
          <w:szCs w:val="16"/>
        </w:rPr>
        <w:t xml:space="preserve"> of their noncompliance and was subject to further corrective action. The State reviewed the Behavioral Health Division’s (BHD) Part C to Part B Transition policies and procedures </w:t>
      </w:r>
      <w:proofErr w:type="gramStart"/>
      <w:r w:rsidRPr="00781112">
        <w:rPr>
          <w:rFonts w:cs="Arial"/>
          <w:color w:val="000000" w:themeColor="text1"/>
          <w:szCs w:val="16"/>
        </w:rPr>
        <w:t>and also</w:t>
      </w:r>
      <w:proofErr w:type="gramEnd"/>
      <w:r w:rsidRPr="00781112">
        <w:rPr>
          <w:rFonts w:cs="Arial"/>
          <w:color w:val="000000" w:themeColor="text1"/>
          <w:szCs w:val="16"/>
        </w:rPr>
        <w:t xml:space="preserve"> required an assurance that the BHD’s policies and procedures concerning Part C to Part B transition have been reviewed with region staff during the 2020-2021 school year and would be adhered to. In conducting its verification process, the WDE determined that the LEA (BHD) is correctly implementing the specific regulatory requirement with 100% compliance—in this case 34 C.F.R. §300.124(b). This </w:t>
      </w:r>
      <w:proofErr w:type="gramStart"/>
      <w:r w:rsidRPr="00781112">
        <w:rPr>
          <w:rFonts w:cs="Arial"/>
          <w:color w:val="000000" w:themeColor="text1"/>
          <w:szCs w:val="16"/>
        </w:rPr>
        <w:t>was achieved</w:t>
      </w:r>
      <w:proofErr w:type="gramEnd"/>
      <w:r w:rsidRPr="00781112">
        <w:rPr>
          <w:rFonts w:cs="Arial"/>
          <w:color w:val="000000" w:themeColor="text1"/>
          <w:szCs w:val="16"/>
        </w:rPr>
        <w:t xml:space="preserve"> by reviewing new documentation on a sample of children records not previously reviewed from the LEA’s online special education database showing that IEPs were developed and implemented by the child’s third birthday (for those referred by Part C and found eligible for Part B). This was (1) timely corrected within the one-year </w:t>
      </w:r>
      <w:proofErr w:type="gramStart"/>
      <w:r w:rsidRPr="00781112">
        <w:rPr>
          <w:rFonts w:cs="Arial"/>
          <w:color w:val="000000" w:themeColor="text1"/>
          <w:szCs w:val="16"/>
        </w:rPr>
        <w:t>time-frame</w:t>
      </w:r>
      <w:proofErr w:type="gramEnd"/>
      <w:r w:rsidRPr="00781112">
        <w:rPr>
          <w:rFonts w:cs="Arial"/>
          <w:color w:val="000000" w:themeColor="text1"/>
          <w:szCs w:val="16"/>
        </w:rPr>
        <w:t xml:space="preserve"> of notification and (2) is currently implementing the regulatory requirements of this Indicator based on a review of updated data consistent with OSEP Memorandum 09-02. </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lastRenderedPageBreak/>
        <w:t xml:space="preserve">Regarding the </w:t>
      </w:r>
      <w:proofErr w:type="gramStart"/>
      <w:r w:rsidRPr="00781112">
        <w:rPr>
          <w:rFonts w:cs="Arial"/>
          <w:color w:val="000000" w:themeColor="text1"/>
          <w:szCs w:val="16"/>
        </w:rPr>
        <w:t>79</w:t>
      </w:r>
      <w:proofErr w:type="gramEnd"/>
      <w:r w:rsidRPr="00781112">
        <w:rPr>
          <w:rFonts w:cs="Arial"/>
          <w:color w:val="000000" w:themeColor="text1"/>
          <w:szCs w:val="16"/>
        </w:rPr>
        <w:t xml:space="preserve"> initial evaluations that were not completed on time, the WDE required specific corrective action from any preschool region exhibiting a rate below 100% compliance. First, the Department contacted each preschool region with the identification numbers of children whose IEP </w:t>
      </w:r>
      <w:proofErr w:type="gramStart"/>
      <w:r w:rsidRPr="00781112">
        <w:rPr>
          <w:rFonts w:cs="Arial"/>
          <w:color w:val="000000" w:themeColor="text1"/>
          <w:szCs w:val="16"/>
        </w:rPr>
        <w:t>was not developed</w:t>
      </w:r>
      <w:proofErr w:type="gramEnd"/>
      <w:r w:rsidRPr="00781112">
        <w:rPr>
          <w:rFonts w:cs="Arial"/>
          <w:color w:val="000000" w:themeColor="text1"/>
          <w:szCs w:val="16"/>
        </w:rPr>
        <w:t xml:space="preserve"> and implemented by their third birthday. In each instance, the region </w:t>
      </w:r>
      <w:proofErr w:type="gramStart"/>
      <w:r w:rsidRPr="00781112">
        <w:rPr>
          <w:rFonts w:cs="Arial"/>
          <w:color w:val="000000" w:themeColor="text1"/>
          <w:szCs w:val="16"/>
        </w:rPr>
        <w:t>was required</w:t>
      </w:r>
      <w:proofErr w:type="gramEnd"/>
      <w:r w:rsidRPr="00781112">
        <w:rPr>
          <w:rFonts w:cs="Arial"/>
          <w:color w:val="000000" w:themeColor="text1"/>
          <w:szCs w:val="16"/>
        </w:rPr>
        <w:t xml:space="preserve"> to provide an explanation for the delay. The BHD issued a letter containing findings for each of the children whose transition from Part C to Part B was late. Regions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provide evidence that the child’s transition was completed, although late, and an IEP was in place. The State reviewed each individual </w:t>
      </w:r>
      <w:proofErr w:type="gramStart"/>
      <w:r w:rsidRPr="00781112">
        <w:rPr>
          <w:rFonts w:cs="Arial"/>
          <w:color w:val="000000" w:themeColor="text1"/>
          <w:szCs w:val="16"/>
        </w:rPr>
        <w:t>noncompliant</w:t>
      </w:r>
      <w:proofErr w:type="gramEnd"/>
      <w:r w:rsidRPr="00781112">
        <w:rPr>
          <w:rFonts w:cs="Arial"/>
          <w:color w:val="000000" w:themeColor="text1"/>
          <w:szCs w:val="16"/>
        </w:rPr>
        <w:t xml:space="preserve"> record and verified that each case of noncompliance </w:t>
      </w:r>
      <w:proofErr w:type="gramStart"/>
      <w:r w:rsidRPr="00781112">
        <w:rPr>
          <w:rFonts w:cs="Arial"/>
          <w:color w:val="000000" w:themeColor="text1"/>
          <w:szCs w:val="16"/>
        </w:rPr>
        <w:t>was corrected</w:t>
      </w:r>
      <w:proofErr w:type="gramEnd"/>
      <w:r w:rsidRPr="00781112">
        <w:rPr>
          <w:rFonts w:cs="Arial"/>
          <w:color w:val="000000" w:themeColor="text1"/>
          <w:szCs w:val="16"/>
        </w:rPr>
        <w:t xml:space="preserve">. All noncompliance for the FFY2020 (the </w:t>
      </w:r>
      <w:proofErr w:type="gramStart"/>
      <w:r w:rsidRPr="00781112">
        <w:rPr>
          <w:rFonts w:cs="Arial"/>
          <w:color w:val="000000" w:themeColor="text1"/>
          <w:szCs w:val="16"/>
        </w:rPr>
        <w:t>79</w:t>
      </w:r>
      <w:proofErr w:type="gramEnd"/>
      <w:r w:rsidRPr="00781112">
        <w:rPr>
          <w:rFonts w:cs="Arial"/>
          <w:color w:val="000000" w:themeColor="text1"/>
          <w:szCs w:val="16"/>
        </w:rPr>
        <w:t xml:space="preserve"> evaluations) were timely corrected within 60 days, consistent with OSEP Memorandum 09-02.</w:t>
      </w:r>
    </w:p>
    <w:p w14:paraId="1A909BBB" w14:textId="77777777" w:rsidR="00455889" w:rsidRPr="00781112" w:rsidRDefault="00455889" w:rsidP="004369B2">
      <w:pPr>
        <w:rPr>
          <w:color w:val="000000" w:themeColor="text1"/>
        </w:rPr>
      </w:pPr>
    </w:p>
    <w:p w14:paraId="1C75EC2F" w14:textId="4696C433"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360" w:type="pct"/>
            <w:shd w:val="clear" w:color="auto" w:fill="auto"/>
            <w:vAlign w:val="bottom"/>
          </w:tcPr>
          <w:p w14:paraId="5E92FF85" w14:textId="20F1B69A"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9A755E" w:rsidP="00A018D4">
            <w:pPr>
              <w:jc w:val="center"/>
              <w:rPr>
                <w:rFonts w:cs="Arial"/>
                <w:color w:val="000000" w:themeColor="text1"/>
                <w:szCs w:val="16"/>
              </w:rPr>
            </w:pPr>
          </w:p>
        </w:tc>
        <w:tc>
          <w:tcPr>
            <w:tcW w:w="1360" w:type="pct"/>
            <w:shd w:val="clear" w:color="auto" w:fill="auto"/>
          </w:tcPr>
          <w:p w14:paraId="69625405" w14:textId="789965CC" w:rsidR="009A755E" w:rsidRPr="00781112" w:rsidRDefault="009A755E">
            <w:pPr>
              <w:jc w:val="center"/>
              <w:rPr>
                <w:rFonts w:cs="Arial"/>
                <w:noProof/>
                <w:color w:val="000000" w:themeColor="text1"/>
                <w:szCs w:val="16"/>
              </w:rPr>
            </w:pPr>
          </w:p>
        </w:tc>
        <w:tc>
          <w:tcPr>
            <w:tcW w:w="1355" w:type="pct"/>
            <w:shd w:val="clear" w:color="auto" w:fill="auto"/>
          </w:tcPr>
          <w:p w14:paraId="7C3E37A7" w14:textId="61202FB3" w:rsidR="009A755E" w:rsidRPr="00781112" w:rsidRDefault="009A755E">
            <w:pPr>
              <w:jc w:val="center"/>
              <w:rPr>
                <w:rFonts w:cs="Arial"/>
                <w:noProof/>
                <w:color w:val="000000" w:themeColor="text1"/>
                <w:szCs w:val="16"/>
              </w:rPr>
            </w:pPr>
          </w:p>
        </w:tc>
        <w:tc>
          <w:tcPr>
            <w:tcW w:w="1269" w:type="pct"/>
            <w:shd w:val="clear" w:color="auto" w:fill="auto"/>
          </w:tcPr>
          <w:p w14:paraId="79E9FAD3" w14:textId="3428603A" w:rsidR="009A755E" w:rsidRPr="00781112" w:rsidRDefault="009A755E">
            <w:pPr>
              <w:jc w:val="center"/>
              <w:rPr>
                <w:rFonts w:cs="Arial"/>
                <w:noProof/>
                <w:color w:val="000000" w:themeColor="text1"/>
                <w:szCs w:val="16"/>
              </w:rPr>
            </w:pP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3F84A4E0" w14:textId="73F6FA79" w:rsidR="004E2151" w:rsidRPr="00781112" w:rsidRDefault="007639D7" w:rsidP="004369B2">
      <w:pPr>
        <w:rPr>
          <w:b/>
          <w:color w:val="000000" w:themeColor="text1"/>
        </w:rPr>
      </w:pPr>
      <w:r>
        <w:rPr>
          <w:b/>
          <w:color w:val="000000" w:themeColor="text1"/>
        </w:rPr>
        <w:t>Response to actions required in FFY 2020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See the previous section on how the WDE addressed FFY2020 findings of noncompliance.</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74" w:name="_Toc384383363"/>
      <w:bookmarkStart w:id="75"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 xml:space="preserve">Data to </w:t>
      </w:r>
      <w:proofErr w:type="gramStart"/>
      <w:r w:rsidRPr="00781112">
        <w:rPr>
          <w:rFonts w:cs="Arial"/>
          <w:color w:val="000000" w:themeColor="text1"/>
          <w:szCs w:val="16"/>
          <w:shd w:val="clear" w:color="auto" w:fill="FFFFFF"/>
        </w:rPr>
        <w:t>be taken</w:t>
      </w:r>
      <w:proofErr w:type="gramEnd"/>
      <w:r w:rsidRPr="00781112">
        <w:rPr>
          <w:rFonts w:cs="Arial"/>
          <w:color w:val="000000" w:themeColor="text1"/>
          <w:szCs w:val="16"/>
          <w:shd w:val="clear" w:color="auto" w:fill="FFFFFF"/>
        </w:rPr>
        <w:t xml:space="preserve">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 xml:space="preserve">If a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 xml:space="preserve">If data are from State monitoring, describe the method used to select LEAs for monitoring. If data </w:t>
      </w:r>
      <w:proofErr w:type="gramStart"/>
      <w:r w:rsidRPr="00781112">
        <w:rPr>
          <w:rFonts w:cs="Arial"/>
          <w:i/>
          <w:iCs/>
          <w:color w:val="000000" w:themeColor="text1"/>
          <w:szCs w:val="16"/>
        </w:rPr>
        <w:t>are</w:t>
      </w:r>
      <w:proofErr w:type="gramEnd"/>
      <w:r w:rsidRPr="00781112">
        <w:rPr>
          <w:rFonts w:cs="Arial"/>
          <w:i/>
          <w:iCs/>
          <w:color w:val="000000" w:themeColor="text1"/>
          <w:szCs w:val="16"/>
        </w:rPr>
        <w:t xml:space="preserv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w:t>
      </w:r>
      <w:proofErr w:type="gramStart"/>
      <w:r w:rsidRPr="00781112">
        <w:rPr>
          <w:rFonts w:cs="Arial"/>
          <w:color w:val="000000" w:themeColor="text1"/>
          <w:szCs w:val="16"/>
        </w:rPr>
        <w:t>etc.</w:t>
      </w:r>
      <w:proofErr w:type="gramEnd"/>
      <w:r w:rsidRPr="00781112">
        <w:rPr>
          <w:rFonts w:cs="Arial"/>
          <w:color w:val="000000" w:themeColor="text1"/>
          <w:szCs w:val="16"/>
        </w:rPr>
        <w:t>) and any enforcement actions that were taken.</w:t>
      </w:r>
    </w:p>
    <w:p w14:paraId="15D9CBCD" w14:textId="64F3ED90"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6" w:name="_Toc384383364"/>
      <w:bookmarkStart w:id="77" w:name="_Toc392159332"/>
      <w:bookmarkEnd w:id="74"/>
      <w:bookmarkEnd w:id="75"/>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54.58%</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93.67%</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98.50%</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99.24%</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97.40%</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98.77%</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42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1"/>
        <w:gridCol w:w="1679"/>
        <w:gridCol w:w="1679"/>
        <w:gridCol w:w="1679"/>
        <w:gridCol w:w="1678"/>
      </w:tblGrid>
      <w:tr w:rsidR="00B14519" w:rsidRPr="00781112" w14:paraId="75609119" w14:textId="4FD44BFE" w:rsidTr="00451D7E">
        <w:trPr>
          <w:trHeight w:val="281"/>
        </w:trPr>
        <w:tc>
          <w:tcPr>
            <w:tcW w:w="392" w:type="pct"/>
            <w:tcBorders>
              <w:bottom w:val="single" w:sz="4" w:space="0" w:color="auto"/>
            </w:tcBorders>
            <w:shd w:val="clear" w:color="auto" w:fill="auto"/>
          </w:tcPr>
          <w:p w14:paraId="270D1909" w14:textId="77777777" w:rsidR="00B14519" w:rsidRPr="00781112" w:rsidRDefault="00B14519" w:rsidP="00AF574F">
            <w:pPr>
              <w:jc w:val="center"/>
              <w:rPr>
                <w:b/>
                <w:color w:val="000000" w:themeColor="text1"/>
              </w:rPr>
            </w:pPr>
            <w:r w:rsidRPr="00781112">
              <w:rPr>
                <w:b/>
                <w:color w:val="000000" w:themeColor="text1"/>
              </w:rPr>
              <w:t>FFY</w:t>
            </w:r>
          </w:p>
        </w:tc>
        <w:tc>
          <w:tcPr>
            <w:tcW w:w="922" w:type="pct"/>
            <w:shd w:val="clear" w:color="auto" w:fill="auto"/>
            <w:vAlign w:val="center"/>
          </w:tcPr>
          <w:p w14:paraId="3C863620" w14:textId="77777777" w:rsidR="00B14519" w:rsidRPr="00781112" w:rsidRDefault="00B14519" w:rsidP="00AF574F">
            <w:pPr>
              <w:jc w:val="center"/>
              <w:rPr>
                <w:b/>
                <w:color w:val="000000" w:themeColor="text1"/>
              </w:rPr>
            </w:pPr>
            <w:r w:rsidRPr="00781112">
              <w:rPr>
                <w:b/>
                <w:color w:val="000000" w:themeColor="text1"/>
              </w:rPr>
              <w:t>2021</w:t>
            </w:r>
          </w:p>
        </w:tc>
        <w:tc>
          <w:tcPr>
            <w:tcW w:w="921" w:type="pct"/>
          </w:tcPr>
          <w:p w14:paraId="1E742631" w14:textId="024F7853" w:rsidR="00B14519" w:rsidRPr="00781112" w:rsidRDefault="00B14519" w:rsidP="00AF574F">
            <w:pPr>
              <w:jc w:val="center"/>
              <w:rPr>
                <w:b/>
                <w:color w:val="000000" w:themeColor="text1"/>
              </w:rPr>
            </w:pPr>
            <w:r w:rsidRPr="00781112">
              <w:rPr>
                <w:rFonts w:cs="Arial"/>
                <w:b/>
                <w:color w:val="000000" w:themeColor="text1"/>
                <w:szCs w:val="16"/>
              </w:rPr>
              <w:t>2022</w:t>
            </w:r>
          </w:p>
        </w:tc>
        <w:tc>
          <w:tcPr>
            <w:tcW w:w="921" w:type="pct"/>
          </w:tcPr>
          <w:p w14:paraId="68E9F440" w14:textId="3DC7BEDA" w:rsidR="00B14519" w:rsidRPr="00781112" w:rsidRDefault="00B14519" w:rsidP="00AF574F">
            <w:pPr>
              <w:jc w:val="center"/>
              <w:rPr>
                <w:b/>
                <w:color w:val="000000" w:themeColor="text1"/>
              </w:rPr>
            </w:pPr>
            <w:r w:rsidRPr="00781112">
              <w:rPr>
                <w:rFonts w:cs="Arial"/>
                <w:b/>
                <w:color w:val="000000" w:themeColor="text1"/>
                <w:szCs w:val="16"/>
              </w:rPr>
              <w:t>2023</w:t>
            </w:r>
          </w:p>
        </w:tc>
        <w:tc>
          <w:tcPr>
            <w:tcW w:w="921" w:type="pct"/>
          </w:tcPr>
          <w:p w14:paraId="724C1BE8" w14:textId="32F17B9A" w:rsidR="00B14519" w:rsidRPr="00781112" w:rsidRDefault="00B14519" w:rsidP="00AF574F">
            <w:pPr>
              <w:jc w:val="center"/>
              <w:rPr>
                <w:b/>
                <w:color w:val="000000" w:themeColor="text1"/>
              </w:rPr>
            </w:pPr>
            <w:r w:rsidRPr="00781112">
              <w:rPr>
                <w:rFonts w:cs="Arial"/>
                <w:b/>
                <w:color w:val="000000" w:themeColor="text1"/>
                <w:szCs w:val="16"/>
              </w:rPr>
              <w:t>2024</w:t>
            </w:r>
          </w:p>
        </w:tc>
        <w:tc>
          <w:tcPr>
            <w:tcW w:w="921" w:type="pct"/>
          </w:tcPr>
          <w:p w14:paraId="6CD77942" w14:textId="751F9B95"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129EADEA" w14:textId="243BFF73" w:rsidTr="00451D7E">
        <w:trPr>
          <w:trHeight w:val="287"/>
        </w:trPr>
        <w:tc>
          <w:tcPr>
            <w:tcW w:w="392" w:type="pct"/>
            <w:shd w:val="clear" w:color="auto" w:fill="auto"/>
            <w:vAlign w:val="center"/>
          </w:tcPr>
          <w:p w14:paraId="14AB537C" w14:textId="77777777" w:rsidR="00B14519" w:rsidRPr="00781112" w:rsidRDefault="00B14519" w:rsidP="00AF574F">
            <w:pPr>
              <w:rPr>
                <w:rFonts w:cs="Arial"/>
                <w:color w:val="000000" w:themeColor="text1"/>
                <w:szCs w:val="16"/>
              </w:rPr>
            </w:pPr>
            <w:r w:rsidRPr="00781112">
              <w:rPr>
                <w:rFonts w:cs="Arial"/>
                <w:color w:val="000000" w:themeColor="text1"/>
                <w:szCs w:val="16"/>
              </w:rPr>
              <w:t xml:space="preserve">Target </w:t>
            </w:r>
          </w:p>
        </w:tc>
        <w:tc>
          <w:tcPr>
            <w:tcW w:w="922" w:type="pct"/>
            <w:shd w:val="clear" w:color="auto" w:fill="auto"/>
            <w:vAlign w:val="center"/>
          </w:tcPr>
          <w:p w14:paraId="0BAE8900" w14:textId="37E5F8C0" w:rsidR="00B14519" w:rsidRPr="00781112" w:rsidRDefault="00B14519" w:rsidP="00AF574F">
            <w:pPr>
              <w:jc w:val="center"/>
              <w:rPr>
                <w:rFonts w:cs="Arial"/>
                <w:color w:val="000000" w:themeColor="text1"/>
                <w:szCs w:val="16"/>
              </w:rPr>
            </w:pPr>
            <w:r w:rsidRPr="00781112">
              <w:rPr>
                <w:rFonts w:cs="Arial"/>
                <w:color w:val="000000" w:themeColor="text1"/>
                <w:szCs w:val="16"/>
              </w:rPr>
              <w:t>100%</w:t>
            </w:r>
          </w:p>
        </w:tc>
        <w:tc>
          <w:tcPr>
            <w:tcW w:w="921" w:type="pct"/>
          </w:tcPr>
          <w:p w14:paraId="2CC39FD1" w14:textId="0A351FA5"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7D6E1E0" w14:textId="00533F6B"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39A43D1F" w14:textId="716B9E54" w:rsidR="00B14519" w:rsidRPr="00781112" w:rsidRDefault="00B14519" w:rsidP="00AF574F">
            <w:pPr>
              <w:jc w:val="center"/>
              <w:rPr>
                <w:rFonts w:cs="Arial"/>
                <w:color w:val="000000" w:themeColor="text1"/>
                <w:szCs w:val="16"/>
              </w:rPr>
            </w:pPr>
            <w:r w:rsidRPr="00781112">
              <w:rPr>
                <w:color w:val="000000" w:themeColor="text1"/>
                <w:szCs w:val="16"/>
              </w:rPr>
              <w:t>100%</w:t>
            </w:r>
          </w:p>
        </w:tc>
        <w:tc>
          <w:tcPr>
            <w:tcW w:w="921" w:type="pct"/>
          </w:tcPr>
          <w:p w14:paraId="6CC99391" w14:textId="2FAEBC53" w:rsidR="00B14519" w:rsidRPr="00781112" w:rsidRDefault="00B14519"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bookmarkEnd w:id="76"/>
    <w:bookmarkEnd w:id="77"/>
    <w:p w14:paraId="596F7C13" w14:textId="7CEDA605" w:rsidR="00D03701"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B1652C" w:rsidRPr="00781112" w14:paraId="22208B6A" w14:textId="2EBA1D17" w:rsidTr="00A947D9">
        <w:trPr>
          <w:trHeight w:val="354"/>
          <w:tblHeader/>
        </w:trPr>
        <w:tc>
          <w:tcPr>
            <w:tcW w:w="710" w:type="pct"/>
            <w:shd w:val="clear" w:color="auto" w:fill="auto"/>
            <w:vAlign w:val="bottom"/>
          </w:tcPr>
          <w:p w14:paraId="24F7C6E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4406FF8F" w:rsidR="00B1652C" w:rsidRPr="006D0A52" w:rsidRDefault="00B1652C" w:rsidP="00B1652C">
            <w:pPr>
              <w:jc w:val="center"/>
              <w:rPr>
                <w:rFonts w:cs="Arial"/>
                <w:b/>
                <w:bCs/>
                <w:color w:val="000000" w:themeColor="text1"/>
                <w:szCs w:val="16"/>
              </w:rPr>
            </w:pPr>
            <w:r w:rsidRPr="006D0A52">
              <w:rPr>
                <w:b/>
                <w:bCs/>
              </w:rPr>
              <w:t>FFY 2020 Data</w:t>
            </w:r>
          </w:p>
        </w:tc>
        <w:tc>
          <w:tcPr>
            <w:tcW w:w="958" w:type="pct"/>
            <w:shd w:val="clear" w:color="auto" w:fill="auto"/>
            <w:vAlign w:val="bottom"/>
          </w:tcPr>
          <w:p w14:paraId="0E375E75" w14:textId="5B86E099" w:rsidR="00B1652C" w:rsidRPr="006D0A52" w:rsidRDefault="00B1652C" w:rsidP="00B1652C">
            <w:pPr>
              <w:jc w:val="center"/>
              <w:rPr>
                <w:rFonts w:cs="Arial"/>
                <w:b/>
                <w:bCs/>
                <w:color w:val="000000" w:themeColor="text1"/>
                <w:szCs w:val="16"/>
              </w:rPr>
            </w:pPr>
            <w:r w:rsidRPr="006D0A52">
              <w:rPr>
                <w:b/>
                <w:bCs/>
              </w:rPr>
              <w:t>FFY 2021 Target</w:t>
            </w:r>
          </w:p>
        </w:tc>
        <w:tc>
          <w:tcPr>
            <w:tcW w:w="571" w:type="pct"/>
            <w:shd w:val="clear" w:color="auto" w:fill="auto"/>
            <w:vAlign w:val="bottom"/>
          </w:tcPr>
          <w:p w14:paraId="58CCB0C1" w14:textId="60632AA4" w:rsidR="00B1652C" w:rsidRPr="006D0A52" w:rsidRDefault="00B1652C" w:rsidP="00B1652C">
            <w:pPr>
              <w:jc w:val="center"/>
              <w:rPr>
                <w:rFonts w:cs="Arial"/>
                <w:b/>
                <w:bCs/>
                <w:color w:val="000000" w:themeColor="text1"/>
                <w:szCs w:val="16"/>
              </w:rPr>
            </w:pPr>
            <w:r w:rsidRPr="006D0A52">
              <w:rPr>
                <w:b/>
                <w:bCs/>
              </w:rPr>
              <w:t>FFY 2021 Data</w:t>
            </w:r>
          </w:p>
        </w:tc>
        <w:tc>
          <w:tcPr>
            <w:tcW w:w="728" w:type="pct"/>
            <w:shd w:val="clear" w:color="auto" w:fill="auto"/>
            <w:vAlign w:val="bottom"/>
          </w:tcPr>
          <w:p w14:paraId="3A7C3260" w14:textId="5AACBA6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394</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414</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98.77%</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95.17%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56B3BB4" w14:textId="223762EA" w:rsidR="004301DA" w:rsidRPr="00781112" w:rsidRDefault="00326C0B" w:rsidP="004301DA">
      <w:pPr>
        <w:rPr>
          <w:rFonts w:cs="Arial"/>
          <w:b/>
          <w:iCs/>
          <w:color w:val="000000" w:themeColor="text1"/>
          <w:szCs w:val="16"/>
        </w:rPr>
      </w:pPr>
      <w:r w:rsidRPr="00781112">
        <w:rPr>
          <w:rFonts w:cs="Arial"/>
          <w:b/>
          <w:color w:val="000000" w:themeColor="text1"/>
          <w:szCs w:val="16"/>
        </w:rPr>
        <w:t>Provide reasons for slippage, if applicable</w:t>
      </w:r>
    </w:p>
    <w:p w14:paraId="1C23CDFF" w14:textId="05BA6A6C" w:rsidR="00326C0B" w:rsidRPr="00781112" w:rsidRDefault="002B7490" w:rsidP="007D435F">
      <w:pPr>
        <w:rPr>
          <w:rFonts w:cs="Arial"/>
          <w:color w:val="000000" w:themeColor="text1"/>
          <w:szCs w:val="16"/>
        </w:rPr>
      </w:pPr>
      <w:r w:rsidRPr="00781112">
        <w:rPr>
          <w:rFonts w:cs="Arial"/>
          <w:color w:val="000000" w:themeColor="text1"/>
          <w:szCs w:val="16"/>
        </w:rPr>
        <w:lastRenderedPageBreak/>
        <w:t xml:space="preserve">There </w:t>
      </w:r>
      <w:proofErr w:type="gramStart"/>
      <w:r w:rsidRPr="00781112">
        <w:rPr>
          <w:rFonts w:cs="Arial"/>
          <w:color w:val="000000" w:themeColor="text1"/>
          <w:szCs w:val="16"/>
        </w:rPr>
        <w:t>were</w:t>
      </w:r>
      <w:proofErr w:type="gramEnd"/>
      <w:r w:rsidRPr="00781112">
        <w:rPr>
          <w:rFonts w:cs="Arial"/>
          <w:color w:val="000000" w:themeColor="text1"/>
          <w:szCs w:val="16"/>
        </w:rPr>
        <w:t xml:space="preserve"> a total of 20 files found out of compliance. This is up from </w:t>
      </w:r>
      <w:proofErr w:type="gramStart"/>
      <w:r w:rsidRPr="00781112">
        <w:rPr>
          <w:rFonts w:cs="Arial"/>
          <w:color w:val="000000" w:themeColor="text1"/>
          <w:szCs w:val="16"/>
        </w:rPr>
        <w:t>5</w:t>
      </w:r>
      <w:proofErr w:type="gramEnd"/>
      <w:r w:rsidRPr="00781112">
        <w:rPr>
          <w:rFonts w:cs="Arial"/>
          <w:color w:val="000000" w:themeColor="text1"/>
          <w:szCs w:val="16"/>
        </w:rPr>
        <w:t xml:space="preserve"> files out of compliance in FFY 2020. </w:t>
      </w:r>
      <w:proofErr w:type="gramStart"/>
      <w:r w:rsidRPr="00781112">
        <w:rPr>
          <w:rFonts w:cs="Arial"/>
          <w:color w:val="000000" w:themeColor="text1"/>
          <w:szCs w:val="16"/>
        </w:rPr>
        <w:t>17</w:t>
      </w:r>
      <w:proofErr w:type="gramEnd"/>
      <w:r w:rsidRPr="00781112">
        <w:rPr>
          <w:rFonts w:cs="Arial"/>
          <w:color w:val="000000" w:themeColor="text1"/>
          <w:szCs w:val="16"/>
        </w:rPr>
        <w:t xml:space="preserve"> of the 20 files found out of compliance were from two districts. The other three files were from three districts. Therefore, the reason for slippage is primarily surrounding the two districts who had the </w:t>
      </w:r>
      <w:proofErr w:type="gramStart"/>
      <w:r w:rsidRPr="00781112">
        <w:rPr>
          <w:rFonts w:cs="Arial"/>
          <w:color w:val="000000" w:themeColor="text1"/>
          <w:szCs w:val="16"/>
        </w:rPr>
        <w:t>17</w:t>
      </w:r>
      <w:proofErr w:type="gramEnd"/>
      <w:r w:rsidRPr="00781112">
        <w:rPr>
          <w:rFonts w:cs="Arial"/>
          <w:color w:val="000000" w:themeColor="text1"/>
          <w:szCs w:val="16"/>
        </w:rPr>
        <w:t xml:space="preserve"> files out of compliance. The State worked with the two districts to determine the reason for an increase in non-compliance. District </w:t>
      </w:r>
      <w:proofErr w:type="gramStart"/>
      <w:r w:rsidRPr="00781112">
        <w:rPr>
          <w:rFonts w:cs="Arial"/>
          <w:color w:val="000000" w:themeColor="text1"/>
          <w:szCs w:val="16"/>
        </w:rPr>
        <w:t>1</w:t>
      </w:r>
      <w:proofErr w:type="gramEnd"/>
      <w:r w:rsidRPr="00781112">
        <w:rPr>
          <w:rFonts w:cs="Arial"/>
          <w:color w:val="000000" w:themeColor="text1"/>
          <w:szCs w:val="16"/>
        </w:rPr>
        <w:t xml:space="preserve"> indicated this was due to staff turnover. It is a small district with one secondary special education staff member who teaches middle school and high school students with disabilities and does their case management. That person was newly hired in FFY 2021 and admittedly did not fully understand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transition requirements of </w:t>
      </w:r>
      <w:proofErr w:type="gramStart"/>
      <w:r w:rsidRPr="00781112">
        <w:rPr>
          <w:rFonts w:cs="Arial"/>
          <w:color w:val="000000" w:themeColor="text1"/>
          <w:szCs w:val="16"/>
        </w:rPr>
        <w:t>the IDEA</w:t>
      </w:r>
      <w:proofErr w:type="gramEnd"/>
      <w:r w:rsidRPr="00781112">
        <w:rPr>
          <w:rFonts w:cs="Arial"/>
          <w:color w:val="000000" w:themeColor="text1"/>
          <w:szCs w:val="16"/>
        </w:rPr>
        <w:t xml:space="preserve">. This district had seven files out of compliance. District </w:t>
      </w:r>
      <w:proofErr w:type="gramStart"/>
      <w:r w:rsidRPr="00781112">
        <w:rPr>
          <w:rFonts w:cs="Arial"/>
          <w:color w:val="000000" w:themeColor="text1"/>
          <w:szCs w:val="16"/>
        </w:rPr>
        <w:t>2</w:t>
      </w:r>
      <w:proofErr w:type="gramEnd"/>
      <w:r w:rsidRPr="00781112">
        <w:rPr>
          <w:rFonts w:cs="Arial"/>
          <w:color w:val="000000" w:themeColor="text1"/>
          <w:szCs w:val="16"/>
        </w:rPr>
        <w:t xml:space="preserve">, who had 10 files out of compliance, is on the Wind River Indian Reservation and during FFY 2021, the reservation agencies and tribal services remained closed as ordered by the Joint Tribal Counsel. The school district operated with a "bare bones" staffing level and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regulatory practices normally in place were not fully implemented. The WDE subsequently required the two problematic districts to provide professional development to their special education staff members working with students with disabilities who are ages </w:t>
      </w:r>
      <w:proofErr w:type="gramStart"/>
      <w:r w:rsidRPr="00781112">
        <w:rPr>
          <w:rFonts w:cs="Arial"/>
          <w:color w:val="000000" w:themeColor="text1"/>
          <w:szCs w:val="16"/>
        </w:rPr>
        <w:t>15</w:t>
      </w:r>
      <w:proofErr w:type="gramEnd"/>
      <w:r w:rsidRPr="00781112">
        <w:rPr>
          <w:rFonts w:cs="Arial"/>
          <w:color w:val="000000" w:themeColor="text1"/>
          <w:szCs w:val="16"/>
        </w:rPr>
        <w:t xml:space="preserve"> and older regarding the secondary transition requirements of the IDEA. </w:t>
      </w:r>
    </w:p>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monitoring</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To collect data for this indicator, the WDE selects a stratified, representative sample of student files from each district in the state; between 2-10 files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for each district. An internal General Supervision/Monitoring team reviews each of the files using the National Secondary Transition Technical Assistance Center (NSTTAC) Indicator 13 Checklist Form A. A file that meets </w:t>
      </w:r>
      <w:proofErr w:type="gramStart"/>
      <w:r w:rsidRPr="00781112">
        <w:rPr>
          <w:rFonts w:cs="Arial"/>
          <w:color w:val="000000" w:themeColor="text1"/>
          <w:szCs w:val="16"/>
        </w:rPr>
        <w:t>all of</w:t>
      </w:r>
      <w:proofErr w:type="gramEnd"/>
      <w:r w:rsidRPr="00781112">
        <w:rPr>
          <w:rFonts w:cs="Arial"/>
          <w:color w:val="000000" w:themeColor="text1"/>
          <w:szCs w:val="16"/>
        </w:rPr>
        <w:t xml:space="preserve"> the applicable checklist criteria is deemed as meeting Indicator 13. Findings of non-compliance </w:t>
      </w:r>
      <w:proofErr w:type="gramStart"/>
      <w:r w:rsidRPr="00781112">
        <w:rPr>
          <w:rFonts w:cs="Arial"/>
          <w:color w:val="000000" w:themeColor="text1"/>
          <w:szCs w:val="16"/>
        </w:rPr>
        <w:t>are reviewed</w:t>
      </w:r>
      <w:proofErr w:type="gramEnd"/>
      <w:r w:rsidRPr="00781112">
        <w:rPr>
          <w:rFonts w:cs="Arial"/>
          <w:color w:val="000000" w:themeColor="text1"/>
          <w:szCs w:val="16"/>
        </w:rPr>
        <w:t xml:space="preserve"> with LEAs who are then required to resolve areas of non-compliance and resubmit files to include all corrections. Additional files </w:t>
      </w:r>
      <w:proofErr w:type="gramStart"/>
      <w:r w:rsidRPr="00781112">
        <w:rPr>
          <w:rFonts w:cs="Arial"/>
          <w:color w:val="000000" w:themeColor="text1"/>
          <w:szCs w:val="16"/>
        </w:rPr>
        <w:t>are requested</w:t>
      </w:r>
      <w:proofErr w:type="gramEnd"/>
      <w:r w:rsidRPr="00781112">
        <w:rPr>
          <w:rFonts w:cs="Arial"/>
          <w:color w:val="000000" w:themeColor="text1"/>
          <w:szCs w:val="16"/>
        </w:rPr>
        <w:t xml:space="preserve"> in round two to ensure compliance specific to Indicator 13. Further technical assistance and resource tools </w:t>
      </w:r>
      <w:proofErr w:type="gramStart"/>
      <w:r w:rsidRPr="00781112">
        <w:rPr>
          <w:rFonts w:cs="Arial"/>
          <w:color w:val="000000" w:themeColor="text1"/>
          <w:szCs w:val="16"/>
        </w:rPr>
        <w:t>are provided</w:t>
      </w:r>
      <w:proofErr w:type="gramEnd"/>
      <w:r w:rsidRPr="00781112">
        <w:rPr>
          <w:rFonts w:cs="Arial"/>
          <w:color w:val="000000" w:themeColor="text1"/>
          <w:szCs w:val="16"/>
        </w:rPr>
        <w:t xml:space="preserve"> to those districts identified as having needs in this area. Formal letters </w:t>
      </w:r>
      <w:proofErr w:type="gramStart"/>
      <w:r w:rsidRPr="00781112">
        <w:rPr>
          <w:rFonts w:cs="Arial"/>
          <w:color w:val="000000" w:themeColor="text1"/>
          <w:szCs w:val="16"/>
        </w:rPr>
        <w:t>are distributed</w:t>
      </w:r>
      <w:proofErr w:type="gramEnd"/>
      <w:r w:rsidRPr="00781112">
        <w:rPr>
          <w:rFonts w:cs="Arial"/>
          <w:color w:val="000000" w:themeColor="text1"/>
          <w:szCs w:val="16"/>
        </w:rPr>
        <w:t xml:space="preserve"> to all LEA's who meet compliance specific to this indicator.</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w:t>
            </w:r>
            <w:proofErr w:type="gramStart"/>
            <w:r w:rsidRPr="00781112">
              <w:rPr>
                <w:rFonts w:cs="Arial"/>
                <w:color w:val="000000" w:themeColor="text1"/>
                <w:szCs w:val="16"/>
              </w:rPr>
              <w:t>16</w:t>
            </w:r>
            <w:proofErr w:type="gramEnd"/>
            <w:r w:rsidRPr="00781112">
              <w:rPr>
                <w:rFonts w:cs="Arial"/>
                <w:color w:val="000000" w:themeColor="text1"/>
                <w:szCs w:val="16"/>
              </w:rPr>
              <w:t xml:space="preserve">?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735DB55A" w14:textId="18C77FF1" w:rsidR="00644AC8" w:rsidRPr="00781112" w:rsidRDefault="00644AC8" w:rsidP="005F442C">
      <w:pPr>
        <w:rPr>
          <w:rFonts w:cs="Arial"/>
          <w:b/>
          <w:color w:val="000000" w:themeColor="text1"/>
          <w:szCs w:val="16"/>
        </w:rPr>
      </w:pPr>
      <w:bookmarkStart w:id="78"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 xml:space="preserve">COVID Impact: </w:t>
      </w:r>
      <w:r w:rsidRPr="00781112">
        <w:rPr>
          <w:rFonts w:cs="Arial"/>
          <w:color w:val="000000" w:themeColor="text1"/>
          <w:szCs w:val="16"/>
        </w:rPr>
        <w:br/>
        <w:t xml:space="preserve">One district who had </w:t>
      </w:r>
      <w:proofErr w:type="gramStart"/>
      <w:r w:rsidRPr="00781112">
        <w:rPr>
          <w:rFonts w:cs="Arial"/>
          <w:color w:val="000000" w:themeColor="text1"/>
          <w:szCs w:val="16"/>
        </w:rPr>
        <w:t>10</w:t>
      </w:r>
      <w:proofErr w:type="gramEnd"/>
      <w:r w:rsidRPr="00781112">
        <w:rPr>
          <w:rFonts w:cs="Arial"/>
          <w:color w:val="000000" w:themeColor="text1"/>
          <w:szCs w:val="16"/>
        </w:rPr>
        <w:t xml:space="preserve"> of the 17 files out of compliance, is on the Wind River Indian Reservation and during FFY 2021, the reservation agencies and tribal services remained closed as ordered by the Joint Tribal Counsel. The school district operated with a "bare bones" staffing level and </w:t>
      </w:r>
      <w:proofErr w:type="gramStart"/>
      <w:r w:rsidRPr="00781112">
        <w:rPr>
          <w:rFonts w:cs="Arial"/>
          <w:color w:val="000000" w:themeColor="text1"/>
          <w:szCs w:val="16"/>
        </w:rPr>
        <w:t>some of</w:t>
      </w:r>
      <w:proofErr w:type="gramEnd"/>
      <w:r w:rsidRPr="00781112">
        <w:rPr>
          <w:rFonts w:cs="Arial"/>
          <w:color w:val="000000" w:themeColor="text1"/>
          <w:szCs w:val="16"/>
        </w:rPr>
        <w:t xml:space="preserve"> the regulatory practices normally in place were not fully implemented. </w:t>
      </w:r>
    </w:p>
    <w:p w14:paraId="1F3D4141" w14:textId="77777777" w:rsidR="00AF12E4" w:rsidRPr="00781112" w:rsidRDefault="00AF12E4" w:rsidP="004369B2">
      <w:pPr>
        <w:rPr>
          <w:color w:val="000000" w:themeColor="text1"/>
        </w:rPr>
      </w:pPr>
    </w:p>
    <w:p w14:paraId="37C34CDA" w14:textId="5767C658" w:rsidR="009A755E" w:rsidRPr="00781112" w:rsidRDefault="00450F98" w:rsidP="004369B2">
      <w:pPr>
        <w:rPr>
          <w:color w:val="000000" w:themeColor="text1"/>
        </w:rPr>
      </w:pPr>
      <w:r>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CF556ED" w14:textId="6BD64A21" w:rsidR="009A755E" w:rsidRPr="00781112" w:rsidRDefault="009A755E" w:rsidP="004369B2">
            <w:pPr>
              <w:jc w:val="center"/>
              <w:rPr>
                <w:rFonts w:cs="Arial"/>
                <w:color w:val="000000" w:themeColor="text1"/>
                <w:szCs w:val="16"/>
              </w:rPr>
            </w:pP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433105F8" w:rsidR="009A755E" w:rsidRPr="00781112" w:rsidRDefault="00450F98" w:rsidP="004369B2">
      <w:pPr>
        <w:rPr>
          <w:color w:val="000000" w:themeColor="text1"/>
        </w:rPr>
      </w:pPr>
      <w:r>
        <w:rPr>
          <w:b/>
          <w:color w:val="000000" w:themeColor="text1"/>
        </w:rPr>
        <w:t>FFY 2020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In conducting its verification process, the WDE determined that each of the five LEAs that had noncompliance identified are correctly implementing the specific regulatory requirements—in this case 34 C.F.R §§300.320(b) and 300.321(b). This was achieved by requesting IEP files and meeting notices for a sample of students whose records were not reviewed during the initial transition review of December 2021</w:t>
      </w:r>
      <w:proofErr w:type="gramStart"/>
      <w:r w:rsidRPr="00781112">
        <w:rPr>
          <w:rFonts w:cs="Arial"/>
          <w:color w:val="000000" w:themeColor="text1"/>
          <w:szCs w:val="16"/>
        </w:rPr>
        <w:t xml:space="preserve">.  </w:t>
      </w:r>
      <w:proofErr w:type="gramEnd"/>
      <w:r w:rsidRPr="00781112">
        <w:rPr>
          <w:rFonts w:cs="Arial"/>
          <w:color w:val="000000" w:themeColor="text1"/>
          <w:szCs w:val="16"/>
        </w:rPr>
        <w:t>The WDE’s review of these students’ documentation during the spring of 2022 demonstrated that 100% of the files reviewed were compliant and the LEAs in question were following proper IEP transition practices.</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t>
      </w:r>
      <w:proofErr w:type="gramStart"/>
      <w:r w:rsidRPr="00781112">
        <w:rPr>
          <w:rFonts w:cs="Arial"/>
          <w:b/>
          <w:color w:val="000000" w:themeColor="text1"/>
          <w:szCs w:val="16"/>
        </w:rPr>
        <w:t>was corrected</w:t>
      </w:r>
      <w:proofErr w:type="gramEnd"/>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 xml:space="preserve">As reported in the State’s FFY2020 APR under Indicator 13, the WDE made findings of noncompliance for five students across five LEAs in this area during that fiscal year. In conducting its verification process, the WDE determined that each of the five LEAs had corrected the child-specific noncompliance by reconvening the IEP team(s) or amending the program(s) to correct the deficiencies identified in the WDE’s response letters of early 2022. The five LEAs in question </w:t>
      </w:r>
      <w:proofErr w:type="gramStart"/>
      <w:r w:rsidRPr="00781112">
        <w:rPr>
          <w:rFonts w:cs="Arial"/>
          <w:color w:val="000000" w:themeColor="text1"/>
          <w:szCs w:val="16"/>
        </w:rPr>
        <w:t>were required</w:t>
      </w:r>
      <w:proofErr w:type="gramEnd"/>
      <w:r w:rsidRPr="00781112">
        <w:rPr>
          <w:rFonts w:cs="Arial"/>
          <w:color w:val="000000" w:themeColor="text1"/>
          <w:szCs w:val="16"/>
        </w:rPr>
        <w:t xml:space="preserve"> to submit Prior Written Notice forms and revised IEPs detailing the corrections made on each student’s behalf. For each of the five student files found noncompliant, 100% (all 5) of those files </w:t>
      </w:r>
      <w:proofErr w:type="gramStart"/>
      <w:r w:rsidRPr="00781112">
        <w:rPr>
          <w:rFonts w:cs="Arial"/>
          <w:color w:val="000000" w:themeColor="text1"/>
          <w:szCs w:val="16"/>
        </w:rPr>
        <w:t>were corrected</w:t>
      </w:r>
      <w:proofErr w:type="gramEnd"/>
      <w:r w:rsidRPr="00781112">
        <w:rPr>
          <w:rFonts w:cs="Arial"/>
          <w:color w:val="000000" w:themeColor="text1"/>
          <w:szCs w:val="16"/>
        </w:rPr>
        <w:t xml:space="preserve"> and made compliant within one year.</w:t>
      </w:r>
    </w:p>
    <w:p w14:paraId="09CD9C74" w14:textId="77777777" w:rsidR="00A947D9" w:rsidRPr="00781112" w:rsidRDefault="00A947D9" w:rsidP="004369B2">
      <w:pPr>
        <w:rPr>
          <w:color w:val="000000" w:themeColor="text1"/>
        </w:rPr>
      </w:pPr>
    </w:p>
    <w:p w14:paraId="59FD8363" w14:textId="16A81EBD" w:rsidR="009A755E" w:rsidRPr="00781112" w:rsidRDefault="00450F98" w:rsidP="004369B2">
      <w:pPr>
        <w:rPr>
          <w:color w:val="000000" w:themeColor="text1"/>
        </w:rPr>
      </w:pPr>
      <w:r>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proofErr w:type="gramStart"/>
            <w:r w:rsidRPr="00781112">
              <w:rPr>
                <w:rFonts w:cs="Arial"/>
                <w:b/>
                <w:color w:val="000000" w:themeColor="text1"/>
                <w:szCs w:val="16"/>
              </w:rPr>
              <w:t>Year Findings of Noncompliance Were Identified</w:t>
            </w:r>
            <w:proofErr w:type="gramEnd"/>
          </w:p>
        </w:tc>
        <w:tc>
          <w:tcPr>
            <w:tcW w:w="1461" w:type="pct"/>
            <w:shd w:val="clear" w:color="auto" w:fill="auto"/>
            <w:vAlign w:val="bottom"/>
          </w:tcPr>
          <w:p w14:paraId="22AE93B4" w14:textId="4AB000F7" w:rsidR="009A755E" w:rsidRPr="00781112" w:rsidRDefault="00450F98" w:rsidP="009A755E">
            <w:pPr>
              <w:jc w:val="center"/>
              <w:rPr>
                <w:rFonts w:cs="Arial"/>
                <w:b/>
                <w:color w:val="000000" w:themeColor="text1"/>
                <w:szCs w:val="16"/>
              </w:rPr>
            </w:pPr>
            <w:r>
              <w:rPr>
                <w:rFonts w:cs="Arial"/>
                <w:b/>
                <w:color w:val="000000" w:themeColor="text1"/>
                <w:szCs w:val="16"/>
              </w:rPr>
              <w:t>Findings of Noncompliance Not Yet Verified as Corrected as of FFY 2020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If the State did not identify any findings of noncompliance in FFY 2020, although its FFY 2020 data reflect less than 100% compliance, provide an explanation of why the State did not identify any findings of noncompliance in FFY 2020.</w:t>
      </w:r>
    </w:p>
    <w:p w14:paraId="6FDC964C" w14:textId="7C7EE16F" w:rsidR="009F69E7" w:rsidRPr="00781112" w:rsidRDefault="009F69E7" w:rsidP="004E2151">
      <w:pPr>
        <w:rPr>
          <w:rFonts w:cs="Arial"/>
          <w:color w:val="000000" w:themeColor="text1"/>
          <w:szCs w:val="16"/>
        </w:rPr>
      </w:pPr>
    </w:p>
    <w:p w14:paraId="769948F5" w14:textId="5D21E86F" w:rsidR="004E2151" w:rsidRPr="00781112" w:rsidRDefault="007639D7" w:rsidP="004369B2">
      <w:pPr>
        <w:rPr>
          <w:b/>
          <w:color w:val="000000" w:themeColor="text1"/>
        </w:rPr>
      </w:pPr>
      <w:r>
        <w:rPr>
          <w:b/>
          <w:color w:val="000000" w:themeColor="text1"/>
        </w:rPr>
        <w:t>Response to actions required in FFY 2020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See the previous section on how the WDE addressed FFY2020 findings of noncompliance.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2021, the State must report on the status of correction of noncompliance identified in FFY 2021 for this indicator. When reporting on the correction of noncompliance, the State must report, in the FFY 2022 SPP/APR, that it has verified that each LEA with noncompliance identified in FFY 2021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2022 SPP/APR, the State must describe the specific actions that were taken to verify the correction.</w:t>
      </w:r>
      <w:r w:rsidRPr="00781112">
        <w:rPr>
          <w:rFonts w:cs="Arial"/>
          <w:color w:val="000000" w:themeColor="text1"/>
          <w:szCs w:val="16"/>
        </w:rPr>
        <w:br/>
        <w:t>If the State did not identify any findings of noncompliance in FFY 2021, although its FFY 2021 data reflect less than 100% compliance, provide an explanation of why the State did not identify any findings of noncompliance in FFY 2021.</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049A8FC3"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8"/>
    </w:p>
    <w:p w14:paraId="22761492" w14:textId="77777777" w:rsidR="005C50DB" w:rsidRPr="00781112" w:rsidRDefault="005C50DB" w:rsidP="00A018D4">
      <w:pPr>
        <w:rPr>
          <w:szCs w:val="20"/>
        </w:rPr>
      </w:pPr>
      <w:bookmarkStart w:id="79"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 xml:space="preserve">C. Enrolled in higher education or in </w:t>
      </w:r>
      <w:proofErr w:type="gramStart"/>
      <w:r w:rsidRPr="00781112">
        <w:rPr>
          <w:rFonts w:cs="Arial"/>
          <w:szCs w:val="16"/>
        </w:rPr>
        <w:t>some</w:t>
      </w:r>
      <w:proofErr w:type="gramEnd"/>
      <w:r w:rsidRPr="00781112">
        <w:rPr>
          <w:rFonts w:cs="Arial"/>
          <w:szCs w:val="16"/>
        </w:rPr>
        <w:t xml:space="preserv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w:t>
      </w:r>
      <w:proofErr w:type="gramStart"/>
      <w:r w:rsidRPr="00781112">
        <w:rPr>
          <w:rFonts w:eastAsia="Times New Roman" w:cs="Arial"/>
          <w:i/>
          <w:iCs/>
          <w:szCs w:val="16"/>
        </w:rPr>
        <w:t>is allowed</w:t>
      </w:r>
      <w:proofErr w:type="gramEnd"/>
      <w:r w:rsidRPr="00781112">
        <w:rPr>
          <w:rFonts w:eastAsia="Times New Roman" w:cs="Arial"/>
          <w:i/>
          <w:iCs/>
          <w:szCs w:val="16"/>
        </w:rPr>
        <w:t xml:space="preserve">. When sampling </w:t>
      </w:r>
      <w:proofErr w:type="gramStart"/>
      <w:r w:rsidRPr="00781112">
        <w:rPr>
          <w:rFonts w:eastAsia="Times New Roman" w:cs="Arial"/>
          <w:i/>
          <w:iCs/>
          <w:szCs w:val="16"/>
        </w:rPr>
        <w:t>is used</w:t>
      </w:r>
      <w:proofErr w:type="gramEnd"/>
      <w:r w:rsidRPr="00781112">
        <w:rPr>
          <w:rFonts w:eastAsia="Times New Roman" w:cs="Arial"/>
          <w:i/>
          <w:iCs/>
          <w:szCs w:val="16"/>
        </w:rPr>
        <w:t>,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2775E89A" w:rsidR="00B67038" w:rsidRPr="00781112" w:rsidRDefault="003A4027" w:rsidP="003A4027">
      <w:pPr>
        <w:spacing w:before="0" w:after="210"/>
        <w:rPr>
          <w:rFonts w:eastAsia="Times New Roman" w:cs="Arial"/>
          <w:szCs w:val="16"/>
        </w:rPr>
      </w:pPr>
      <w:r w:rsidRPr="00781112">
        <w:rPr>
          <w:rFonts w:eastAsia="Times New Roman" w:cs="Arial"/>
          <w:szCs w:val="16"/>
        </w:rPr>
        <w:t xml:space="preserve">Collect data by September 2022 on students who left school during 2020-2021, timing the data collection so that at least one year has passed since the students left school. Include students who dropped out during 2020-2021 or who </w:t>
      </w:r>
      <w:proofErr w:type="gramStart"/>
      <w:r w:rsidRPr="00781112">
        <w:rPr>
          <w:rFonts w:eastAsia="Times New Roman" w:cs="Arial"/>
          <w:szCs w:val="16"/>
        </w:rPr>
        <w:t>were expected</w:t>
      </w:r>
      <w:proofErr w:type="gramEnd"/>
      <w:r w:rsidRPr="00781112">
        <w:rPr>
          <w:rFonts w:eastAsia="Times New Roman" w:cs="Arial"/>
          <w:szCs w:val="16"/>
        </w:rPr>
        <w:t xml:space="preserve"> to return but did not return for the current school year. This includes all youth who had an IEP in effect at the time they left school, including those who graduated with a regular diploma or </w:t>
      </w:r>
      <w:proofErr w:type="gramStart"/>
      <w:r w:rsidRPr="00781112">
        <w:rPr>
          <w:rFonts w:eastAsia="Times New Roman" w:cs="Arial"/>
          <w:szCs w:val="16"/>
        </w:rPr>
        <w:t>some</w:t>
      </w:r>
      <w:proofErr w:type="gramEnd"/>
      <w:r w:rsidRPr="00781112">
        <w:rPr>
          <w:rFonts w:eastAsia="Times New Roman" w:cs="Arial"/>
          <w:szCs w:val="16"/>
        </w:rPr>
        <w:t xml:space="preserv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 xml:space="preserve">Option 2: States report in alignment with the term “competitive integrated employment” and its definition, in section 7(5) of the Rehabilitation Act of 1973, as amended by Workforce Innovation and Opportunity Act (WIOA). </w:t>
      </w:r>
      <w:proofErr w:type="gramStart"/>
      <w:r w:rsidRPr="00781112">
        <w:rPr>
          <w:rFonts w:eastAsia="Times New Roman" w:cs="Arial"/>
          <w:szCs w:val="16"/>
        </w:rPr>
        <w:t>For the purpose of</w:t>
      </w:r>
      <w:proofErr w:type="gramEnd"/>
      <w:r w:rsidRPr="00781112">
        <w:rPr>
          <w:rFonts w:eastAsia="Times New Roman" w:cs="Arial"/>
          <w:szCs w:val="16"/>
        </w:rPr>
        <w:t xml:space="preserve">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proofErr w:type="gramStart"/>
      <w:r w:rsidRPr="00781112">
        <w:rPr>
          <w:rFonts w:eastAsia="Times New Roman" w:cs="Arial"/>
          <w:i/>
          <w:iCs/>
          <w:szCs w:val="16"/>
        </w:rPr>
        <w:t>Some</w:t>
      </w:r>
      <w:proofErr w:type="gramEnd"/>
      <w:r w:rsidRPr="00781112">
        <w:rPr>
          <w:rFonts w:eastAsia="Times New Roman" w:cs="Arial"/>
          <w:i/>
          <w:iCs/>
          <w:szCs w:val="16"/>
        </w:rPr>
        <w:t xml:space="preserve"> other employment</w:t>
      </w:r>
      <w:r w:rsidRPr="00781112">
        <w:rPr>
          <w:rFonts w:eastAsia="Times New Roman" w:cs="Arial"/>
          <w:szCs w:val="16"/>
        </w:rPr>
        <w:t xml:space="preserve"> as used in measure C means youth have worked for pay or been self-employed for a period of at least 90 days at any time in the year since leaving high school. This includes working in a family business (e.g., farm, store, fishing, ranching, catering services, </w:t>
      </w:r>
      <w:proofErr w:type="gramStart"/>
      <w:r w:rsidRPr="00781112">
        <w:rPr>
          <w:rFonts w:eastAsia="Times New Roman" w:cs="Arial"/>
          <w:szCs w:val="16"/>
        </w:rPr>
        <w:t>etc.</w:t>
      </w:r>
      <w:proofErr w:type="gramEnd"/>
      <w:r w:rsidRPr="00781112">
        <w:rPr>
          <w:rFonts w:eastAsia="Times New Roman" w:cs="Arial"/>
          <w:szCs w:val="16"/>
        </w:rPr>
        <w:t>).</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 xml:space="preserve">4. In </w:t>
      </w:r>
      <w:proofErr w:type="gramStart"/>
      <w:r w:rsidRPr="00781112">
        <w:rPr>
          <w:rFonts w:eastAsia="Times New Roman" w:cs="Arial"/>
          <w:szCs w:val="16"/>
        </w:rPr>
        <w:t>some</w:t>
      </w:r>
      <w:proofErr w:type="gramEnd"/>
      <w:r w:rsidRPr="00781112">
        <w:rPr>
          <w:rFonts w:eastAsia="Times New Roman" w:cs="Arial"/>
          <w:szCs w:val="16"/>
        </w:rPr>
        <w:t xml:space="preserv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w:t>
      </w:r>
      <w:proofErr w:type="gramStart"/>
      <w:r w:rsidRPr="00781112">
        <w:rPr>
          <w:rFonts w:eastAsia="Times New Roman" w:cs="Arial"/>
          <w:szCs w:val="16"/>
        </w:rPr>
        <w:t>be counted</w:t>
      </w:r>
      <w:proofErr w:type="gramEnd"/>
      <w:r w:rsidRPr="00781112">
        <w:rPr>
          <w:rFonts w:eastAsia="Times New Roman" w:cs="Arial"/>
          <w:szCs w:val="16"/>
        </w:rPr>
        <w:t xml:space="preserve"> in one of the above categories, and the categories are organized hierarchically. So, for example, “leavers” who are enrolled in full- or part-time higher education within one year of leaving high school should only be reported in category </w:t>
      </w:r>
      <w:proofErr w:type="gramStart"/>
      <w:r w:rsidRPr="00781112">
        <w:rPr>
          <w:rFonts w:eastAsia="Times New Roman" w:cs="Arial"/>
          <w:szCs w:val="16"/>
        </w:rPr>
        <w:t>1</w:t>
      </w:r>
      <w:proofErr w:type="gramEnd"/>
      <w:r w:rsidRPr="00781112">
        <w:rPr>
          <w:rFonts w:eastAsia="Times New Roman" w:cs="Arial"/>
          <w:szCs w:val="16"/>
        </w:rPr>
        <w:t xml:space="preserve">,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xml:space="preserve">, but who are competitively employed, should only be reported under category </w:t>
      </w:r>
      <w:proofErr w:type="gramStart"/>
      <w:r w:rsidRPr="00781112">
        <w:rPr>
          <w:rFonts w:eastAsia="Times New Roman" w:cs="Arial"/>
          <w:color w:val="000000" w:themeColor="text1"/>
          <w:szCs w:val="16"/>
        </w:rPr>
        <w:t>2</w:t>
      </w:r>
      <w:proofErr w:type="gramEnd"/>
      <w:r w:rsidRPr="00781112">
        <w:rPr>
          <w:rFonts w:eastAsia="Times New Roman" w:cs="Arial"/>
          <w:color w:val="000000" w:themeColor="text1"/>
          <w:szCs w:val="16"/>
        </w:rPr>
        <w:t>, even if they happen to be enrolled in some other postsecondary education or training program.</w:t>
      </w:r>
    </w:p>
    <w:p w14:paraId="4A3EA80C" w14:textId="61D64FB4"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2021 SPP/APR, compare the FFY 2021 response rate to the FFY 2020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Targets must </w:t>
      </w:r>
      <w:proofErr w:type="gramStart"/>
      <w:r w:rsidRPr="00781112">
        <w:rPr>
          <w:rFonts w:eastAsia="Times New Roman" w:cs="Arial"/>
          <w:color w:val="000000" w:themeColor="text1"/>
          <w:szCs w:val="16"/>
        </w:rPr>
        <w:t>be established</w:t>
      </w:r>
      <w:proofErr w:type="gramEnd"/>
      <w:r w:rsidRPr="00781112">
        <w:rPr>
          <w:rFonts w:eastAsia="Times New Roman" w:cs="Arial"/>
          <w:color w:val="000000" w:themeColor="text1"/>
          <w:szCs w:val="16"/>
        </w:rPr>
        <w:t xml:space="preserve">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A: For purposes of reporting on the measures/indicators, please note that any youth enrolled in an institution of higher education (that meets any definition of this term in the Higher Education Act (HEA)) within one year of leaving high school must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A. This could include youth who also happen to be competitively employed, or in </w:t>
      </w:r>
      <w:proofErr w:type="gramStart"/>
      <w:r w:rsidRPr="00781112">
        <w:rPr>
          <w:rFonts w:eastAsia="Times New Roman" w:cs="Arial"/>
          <w:color w:val="000000" w:themeColor="text1"/>
          <w:szCs w:val="16"/>
        </w:rPr>
        <w:t>some</w:t>
      </w:r>
      <w:proofErr w:type="gramEnd"/>
      <w:r w:rsidRPr="00781112">
        <w:rPr>
          <w:rFonts w:eastAsia="Times New Roman" w:cs="Arial"/>
          <w:color w:val="000000" w:themeColor="text1"/>
          <w:szCs w:val="16"/>
        </w:rPr>
        <w:t xml:space="preserv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B: All youth reported under measure A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B, in addition to all youth that obtain competitive employment within one year of leaving high school.</w:t>
      </w:r>
    </w:p>
    <w:p w14:paraId="52D47ED5" w14:textId="76A8EB3A" w:rsidR="00B67038"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 xml:space="preserve">Measure C: All youth reported under measures A and B should also </w:t>
      </w:r>
      <w:proofErr w:type="gramStart"/>
      <w:r w:rsidRPr="00781112">
        <w:rPr>
          <w:rFonts w:eastAsia="Times New Roman" w:cs="Arial"/>
          <w:color w:val="000000" w:themeColor="text1"/>
          <w:szCs w:val="16"/>
        </w:rPr>
        <w:t>be reported</w:t>
      </w:r>
      <w:proofErr w:type="gramEnd"/>
      <w:r w:rsidRPr="00781112">
        <w:rPr>
          <w:rFonts w:eastAsia="Times New Roman" w:cs="Arial"/>
          <w:color w:val="000000" w:themeColor="text1"/>
          <w:szCs w:val="16"/>
        </w:rPr>
        <w:t xml:space="preserve"> under measure C, in addition to youth that are enrolled in some other postsecondary education or training program, or in some other employment.</w:t>
      </w:r>
    </w:p>
    <w:p w14:paraId="5D1C94BB" w14:textId="44727F96" w:rsidR="00DF5951" w:rsidRPr="006D5DC4" w:rsidRDefault="00DF5951" w:rsidP="003A4027">
      <w:pPr>
        <w:spacing w:before="0" w:after="210"/>
      </w:pPr>
      <w:bookmarkStart w:id="80" w:name="_Hlk116647998"/>
      <w:r>
        <w:t>Beginning with the FFY 2021 SPP/APR, due February 1, 2023, include the State’s analysis of the extent to which the response data are representative of the demographics of youth who are no longer in secondary school and had IEPs in effect at the time they left school. States must include race/ethnicity in their analysis. In addition, the State’s analysis must include at least one of the following demographics:</w:t>
      </w:r>
      <w:r w:rsidR="00F24C95">
        <w:t xml:space="preserve"> disability category, gender, geographic location, and/or another demographic category approved through the stakeholder input process. 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bookmarkEnd w:id="80"/>
    <w:p w14:paraId="3FE9961A" w14:textId="1EDBA086" w:rsidR="000301BA" w:rsidRPr="00781112" w:rsidRDefault="00172058" w:rsidP="00123D76">
      <w:pPr>
        <w:pStyle w:val="Heading2"/>
      </w:pPr>
      <w:r w:rsidRPr="00781112">
        <w:t>14 - Indicator Data</w:t>
      </w:r>
    </w:p>
    <w:bookmarkEnd w:id="79"/>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2020</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26.93%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27.18%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27.43%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19.00%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16.83%</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26.43%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22.47%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25.22%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21.17%</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16.83%</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58.87%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59.12%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59.37%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59.00%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60.08%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57.29%</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58.10%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65.40%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61.71%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60.08%</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74.77%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75.75%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74.36%</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71.25%</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74.09%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79.02%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75.68%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74.36%</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42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2"/>
        <w:gridCol w:w="1664"/>
        <w:gridCol w:w="1664"/>
        <w:gridCol w:w="1663"/>
        <w:gridCol w:w="1663"/>
        <w:gridCol w:w="1663"/>
      </w:tblGrid>
      <w:tr w:rsidR="00B14519" w:rsidRPr="00781112" w14:paraId="0D5EED67" w14:textId="79D43F28" w:rsidTr="00451D7E">
        <w:trPr>
          <w:trHeight w:val="388"/>
        </w:trPr>
        <w:tc>
          <w:tcPr>
            <w:tcW w:w="449" w:type="pct"/>
            <w:tcBorders>
              <w:bottom w:val="single" w:sz="4" w:space="0" w:color="auto"/>
            </w:tcBorders>
            <w:shd w:val="clear" w:color="auto" w:fill="auto"/>
          </w:tcPr>
          <w:p w14:paraId="3A39086B" w14:textId="77777777" w:rsidR="00B14519" w:rsidRPr="00781112" w:rsidRDefault="00B14519" w:rsidP="00AF574F">
            <w:pPr>
              <w:jc w:val="center"/>
              <w:rPr>
                <w:b/>
                <w:color w:val="000000" w:themeColor="text1"/>
              </w:rPr>
            </w:pPr>
            <w:r w:rsidRPr="00781112">
              <w:rPr>
                <w:b/>
                <w:color w:val="000000" w:themeColor="text1"/>
              </w:rPr>
              <w:t>FFY</w:t>
            </w:r>
          </w:p>
        </w:tc>
        <w:tc>
          <w:tcPr>
            <w:tcW w:w="910" w:type="pct"/>
            <w:shd w:val="clear" w:color="auto" w:fill="auto"/>
          </w:tcPr>
          <w:p w14:paraId="3904D56E" w14:textId="5A40B787" w:rsidR="00B14519" w:rsidRPr="00781112" w:rsidRDefault="00B14519" w:rsidP="00AF574F">
            <w:pPr>
              <w:jc w:val="center"/>
              <w:rPr>
                <w:b/>
                <w:color w:val="000000" w:themeColor="text1"/>
              </w:rPr>
            </w:pPr>
            <w:r w:rsidRPr="00781112">
              <w:rPr>
                <w:b/>
                <w:color w:val="000000" w:themeColor="text1"/>
              </w:rPr>
              <w:t>2021</w:t>
            </w:r>
          </w:p>
        </w:tc>
        <w:tc>
          <w:tcPr>
            <w:tcW w:w="910" w:type="pct"/>
          </w:tcPr>
          <w:p w14:paraId="5E87DEBC" w14:textId="3C58C740" w:rsidR="00B14519" w:rsidRPr="00781112" w:rsidRDefault="00B14519" w:rsidP="00AF574F">
            <w:pPr>
              <w:jc w:val="center"/>
              <w:rPr>
                <w:b/>
                <w:color w:val="000000" w:themeColor="text1"/>
              </w:rPr>
            </w:pPr>
            <w:r w:rsidRPr="00781112">
              <w:rPr>
                <w:rFonts w:cs="Arial"/>
                <w:b/>
                <w:color w:val="000000" w:themeColor="text1"/>
                <w:szCs w:val="16"/>
              </w:rPr>
              <w:t>2022</w:t>
            </w:r>
          </w:p>
        </w:tc>
        <w:tc>
          <w:tcPr>
            <w:tcW w:w="910" w:type="pct"/>
          </w:tcPr>
          <w:p w14:paraId="1D78C038" w14:textId="34E0A4B6" w:rsidR="00B14519" w:rsidRPr="00781112" w:rsidRDefault="00B14519" w:rsidP="00AF574F">
            <w:pPr>
              <w:jc w:val="center"/>
              <w:rPr>
                <w:b/>
                <w:color w:val="000000" w:themeColor="text1"/>
              </w:rPr>
            </w:pPr>
            <w:r w:rsidRPr="00781112">
              <w:rPr>
                <w:rFonts w:cs="Arial"/>
                <w:b/>
                <w:color w:val="000000" w:themeColor="text1"/>
                <w:szCs w:val="16"/>
              </w:rPr>
              <w:t>2023</w:t>
            </w:r>
          </w:p>
        </w:tc>
        <w:tc>
          <w:tcPr>
            <w:tcW w:w="910" w:type="pct"/>
          </w:tcPr>
          <w:p w14:paraId="3C72E9BA" w14:textId="291BB861" w:rsidR="00B14519" w:rsidRPr="00781112" w:rsidRDefault="00B14519" w:rsidP="00AF574F">
            <w:pPr>
              <w:jc w:val="center"/>
              <w:rPr>
                <w:b/>
                <w:color w:val="000000" w:themeColor="text1"/>
              </w:rPr>
            </w:pPr>
            <w:r w:rsidRPr="00781112">
              <w:rPr>
                <w:rFonts w:cs="Arial"/>
                <w:b/>
                <w:color w:val="000000" w:themeColor="text1"/>
                <w:szCs w:val="16"/>
              </w:rPr>
              <w:t>2024</w:t>
            </w:r>
          </w:p>
        </w:tc>
        <w:tc>
          <w:tcPr>
            <w:tcW w:w="910" w:type="pct"/>
          </w:tcPr>
          <w:p w14:paraId="1F7D660E" w14:textId="277D280C" w:rsidR="00B14519" w:rsidRPr="00781112" w:rsidRDefault="00B14519" w:rsidP="00AF574F">
            <w:pPr>
              <w:jc w:val="center"/>
              <w:rPr>
                <w:b/>
                <w:color w:val="000000" w:themeColor="text1"/>
              </w:rPr>
            </w:pPr>
            <w:r w:rsidRPr="00781112">
              <w:rPr>
                <w:rFonts w:cs="Arial"/>
                <w:b/>
                <w:color w:val="000000" w:themeColor="text1"/>
                <w:szCs w:val="16"/>
              </w:rPr>
              <w:t>2025</w:t>
            </w:r>
          </w:p>
        </w:tc>
      </w:tr>
      <w:tr w:rsidR="00B14519" w:rsidRPr="00781112" w14:paraId="7E2B073B" w14:textId="0B5C632B" w:rsidTr="00451D7E">
        <w:trPr>
          <w:trHeight w:val="396"/>
        </w:trPr>
        <w:tc>
          <w:tcPr>
            <w:tcW w:w="449" w:type="pct"/>
            <w:shd w:val="clear" w:color="auto" w:fill="auto"/>
          </w:tcPr>
          <w:p w14:paraId="0DC64663" w14:textId="2175F0A9" w:rsidR="00B14519" w:rsidRPr="00781112" w:rsidRDefault="00B14519" w:rsidP="00AF574F">
            <w:pPr>
              <w:rPr>
                <w:rFonts w:cs="Arial"/>
                <w:color w:val="000000" w:themeColor="text1"/>
                <w:szCs w:val="16"/>
              </w:rPr>
            </w:pPr>
            <w:r w:rsidRPr="00781112">
              <w:rPr>
                <w:rFonts w:cs="Arial"/>
                <w:color w:val="000000" w:themeColor="text1"/>
                <w:szCs w:val="16"/>
              </w:rPr>
              <w:t>Target A &gt;=</w:t>
            </w:r>
          </w:p>
        </w:tc>
        <w:tc>
          <w:tcPr>
            <w:tcW w:w="910" w:type="pct"/>
            <w:shd w:val="clear" w:color="auto" w:fill="auto"/>
            <w:vAlign w:val="center"/>
          </w:tcPr>
          <w:p w14:paraId="0A86FFC3" w14:textId="4AE9585E" w:rsidR="00B14519" w:rsidRPr="00781112" w:rsidRDefault="00B14519" w:rsidP="00AF574F">
            <w:pPr>
              <w:jc w:val="center"/>
              <w:rPr>
                <w:rFonts w:cs="Arial"/>
                <w:color w:val="000000" w:themeColor="text1"/>
                <w:szCs w:val="16"/>
              </w:rPr>
            </w:pPr>
            <w:r w:rsidRPr="00781112">
              <w:rPr>
                <w:rFonts w:cs="Arial"/>
                <w:color w:val="000000" w:themeColor="text1"/>
                <w:szCs w:val="16"/>
              </w:rPr>
              <w:t>19.00%</w:t>
            </w:r>
          </w:p>
        </w:tc>
        <w:tc>
          <w:tcPr>
            <w:tcW w:w="910" w:type="pct"/>
          </w:tcPr>
          <w:p w14:paraId="72551055" w14:textId="7A9EF926" w:rsidR="00B14519" w:rsidRPr="00781112" w:rsidRDefault="00B14519" w:rsidP="00AF574F">
            <w:pPr>
              <w:jc w:val="center"/>
              <w:rPr>
                <w:rFonts w:cs="Arial"/>
                <w:color w:val="000000" w:themeColor="text1"/>
                <w:szCs w:val="16"/>
              </w:rPr>
            </w:pPr>
            <w:r w:rsidRPr="00781112">
              <w:rPr>
                <w:color w:val="000000" w:themeColor="text1"/>
                <w:szCs w:val="16"/>
              </w:rPr>
              <w:t>20.18%</w:t>
            </w:r>
          </w:p>
        </w:tc>
        <w:tc>
          <w:tcPr>
            <w:tcW w:w="910" w:type="pct"/>
          </w:tcPr>
          <w:p w14:paraId="4460710F" w14:textId="653162EA" w:rsidR="00B14519" w:rsidRPr="00781112" w:rsidRDefault="00B14519" w:rsidP="00AF574F">
            <w:pPr>
              <w:jc w:val="center"/>
              <w:rPr>
                <w:rFonts w:cs="Arial"/>
                <w:color w:val="000000" w:themeColor="text1"/>
                <w:szCs w:val="16"/>
              </w:rPr>
            </w:pPr>
            <w:r w:rsidRPr="00781112">
              <w:rPr>
                <w:color w:val="000000" w:themeColor="text1"/>
                <w:szCs w:val="16"/>
              </w:rPr>
              <w:t>21.35%</w:t>
            </w:r>
          </w:p>
        </w:tc>
        <w:tc>
          <w:tcPr>
            <w:tcW w:w="910" w:type="pct"/>
          </w:tcPr>
          <w:p w14:paraId="42DE20BE" w14:textId="660F0A38" w:rsidR="00B14519" w:rsidRPr="00781112" w:rsidRDefault="00B14519" w:rsidP="00AF574F">
            <w:pPr>
              <w:jc w:val="center"/>
              <w:rPr>
                <w:rFonts w:cs="Arial"/>
                <w:color w:val="000000" w:themeColor="text1"/>
                <w:szCs w:val="16"/>
              </w:rPr>
            </w:pPr>
            <w:r w:rsidRPr="00781112">
              <w:rPr>
                <w:color w:val="000000" w:themeColor="text1"/>
                <w:szCs w:val="16"/>
              </w:rPr>
              <w:t>23.35%</w:t>
            </w:r>
          </w:p>
        </w:tc>
        <w:tc>
          <w:tcPr>
            <w:tcW w:w="910" w:type="pct"/>
          </w:tcPr>
          <w:p w14:paraId="5E9B0020" w14:textId="74258703" w:rsidR="00B14519" w:rsidRPr="00781112" w:rsidRDefault="00B14519" w:rsidP="00AF574F">
            <w:pPr>
              <w:jc w:val="center"/>
              <w:rPr>
                <w:rFonts w:cs="Arial"/>
                <w:color w:val="000000" w:themeColor="text1"/>
                <w:szCs w:val="16"/>
              </w:rPr>
            </w:pPr>
            <w:r w:rsidRPr="00781112">
              <w:rPr>
                <w:color w:val="000000" w:themeColor="text1"/>
                <w:szCs w:val="16"/>
              </w:rPr>
              <w:t>26.00%</w:t>
            </w:r>
          </w:p>
        </w:tc>
      </w:tr>
      <w:tr w:rsidR="00B14519" w:rsidRPr="00781112" w14:paraId="0314BAE3" w14:textId="455C9C0A" w:rsidTr="00451D7E">
        <w:trPr>
          <w:trHeight w:val="396"/>
        </w:trPr>
        <w:tc>
          <w:tcPr>
            <w:tcW w:w="449" w:type="pct"/>
            <w:shd w:val="clear" w:color="auto" w:fill="auto"/>
          </w:tcPr>
          <w:p w14:paraId="53C1536D" w14:textId="615A342B" w:rsidR="00B14519" w:rsidRPr="00781112" w:rsidRDefault="00B14519" w:rsidP="00AF574F">
            <w:pPr>
              <w:rPr>
                <w:rFonts w:cs="Arial"/>
                <w:color w:val="000000" w:themeColor="text1"/>
                <w:szCs w:val="16"/>
              </w:rPr>
            </w:pPr>
            <w:r w:rsidRPr="00781112">
              <w:rPr>
                <w:rFonts w:cs="Arial"/>
                <w:color w:val="000000" w:themeColor="text1"/>
                <w:szCs w:val="16"/>
              </w:rPr>
              <w:t>Target B &gt;=</w:t>
            </w:r>
          </w:p>
        </w:tc>
        <w:tc>
          <w:tcPr>
            <w:tcW w:w="910" w:type="pct"/>
            <w:shd w:val="clear" w:color="auto" w:fill="auto"/>
            <w:vAlign w:val="center"/>
          </w:tcPr>
          <w:p w14:paraId="3AAA5324" w14:textId="5539646A" w:rsidR="00B14519" w:rsidRPr="00781112" w:rsidRDefault="00B14519" w:rsidP="00AF574F">
            <w:pPr>
              <w:jc w:val="center"/>
              <w:rPr>
                <w:rFonts w:cs="Arial"/>
                <w:color w:val="000000" w:themeColor="text1"/>
                <w:szCs w:val="16"/>
              </w:rPr>
            </w:pPr>
            <w:r w:rsidRPr="00781112">
              <w:rPr>
                <w:rFonts w:cs="Arial"/>
                <w:color w:val="000000" w:themeColor="text1"/>
                <w:szCs w:val="16"/>
              </w:rPr>
              <w:t>59.00%</w:t>
            </w:r>
          </w:p>
        </w:tc>
        <w:tc>
          <w:tcPr>
            <w:tcW w:w="910" w:type="pct"/>
          </w:tcPr>
          <w:p w14:paraId="0CDB15F6" w14:textId="4F01BE13" w:rsidR="00B14519" w:rsidRPr="00781112" w:rsidRDefault="00B14519" w:rsidP="00AF574F">
            <w:pPr>
              <w:jc w:val="center"/>
              <w:rPr>
                <w:rFonts w:cs="Arial"/>
                <w:color w:val="000000" w:themeColor="text1"/>
                <w:szCs w:val="16"/>
              </w:rPr>
            </w:pPr>
            <w:r w:rsidRPr="00781112">
              <w:rPr>
                <w:color w:val="000000" w:themeColor="text1"/>
                <w:szCs w:val="16"/>
              </w:rPr>
              <w:t>59.39%</w:t>
            </w:r>
          </w:p>
        </w:tc>
        <w:tc>
          <w:tcPr>
            <w:tcW w:w="910" w:type="pct"/>
          </w:tcPr>
          <w:p w14:paraId="4BE6282D" w14:textId="241D14B5" w:rsidR="00B14519" w:rsidRPr="00781112" w:rsidRDefault="00B14519" w:rsidP="00AF574F">
            <w:pPr>
              <w:jc w:val="center"/>
              <w:rPr>
                <w:rFonts w:cs="Arial"/>
                <w:color w:val="000000" w:themeColor="text1"/>
                <w:szCs w:val="16"/>
              </w:rPr>
            </w:pPr>
            <w:r w:rsidRPr="00781112">
              <w:rPr>
                <w:color w:val="000000" w:themeColor="text1"/>
                <w:szCs w:val="16"/>
              </w:rPr>
              <w:t>59.78%</w:t>
            </w:r>
          </w:p>
        </w:tc>
        <w:tc>
          <w:tcPr>
            <w:tcW w:w="910" w:type="pct"/>
          </w:tcPr>
          <w:p w14:paraId="57A02DD3" w14:textId="4CEDC8B3" w:rsidR="00B14519" w:rsidRPr="00781112" w:rsidRDefault="00B14519" w:rsidP="00AF574F">
            <w:pPr>
              <w:jc w:val="center"/>
              <w:rPr>
                <w:rFonts w:cs="Arial"/>
                <w:color w:val="000000" w:themeColor="text1"/>
                <w:szCs w:val="16"/>
              </w:rPr>
            </w:pPr>
            <w:r w:rsidRPr="00781112">
              <w:rPr>
                <w:color w:val="000000" w:themeColor="text1"/>
                <w:szCs w:val="16"/>
              </w:rPr>
              <w:t>60.95%</w:t>
            </w:r>
          </w:p>
        </w:tc>
        <w:tc>
          <w:tcPr>
            <w:tcW w:w="910" w:type="pct"/>
          </w:tcPr>
          <w:p w14:paraId="370ACB93" w14:textId="0BC1C559" w:rsidR="00B14519" w:rsidRPr="00781112" w:rsidRDefault="00B14519" w:rsidP="00AF574F">
            <w:pPr>
              <w:jc w:val="center"/>
              <w:rPr>
                <w:rFonts w:cs="Arial"/>
                <w:color w:val="000000" w:themeColor="text1"/>
                <w:szCs w:val="16"/>
              </w:rPr>
            </w:pPr>
            <w:r w:rsidRPr="00781112">
              <w:rPr>
                <w:color w:val="000000" w:themeColor="text1"/>
                <w:szCs w:val="16"/>
              </w:rPr>
              <w:t>62.50%</w:t>
            </w:r>
          </w:p>
        </w:tc>
      </w:tr>
      <w:tr w:rsidR="00B14519" w:rsidRPr="00781112" w14:paraId="571B685C" w14:textId="45446171" w:rsidTr="00451D7E">
        <w:trPr>
          <w:trHeight w:val="396"/>
        </w:trPr>
        <w:tc>
          <w:tcPr>
            <w:tcW w:w="449" w:type="pct"/>
            <w:shd w:val="clear" w:color="auto" w:fill="auto"/>
          </w:tcPr>
          <w:p w14:paraId="4D525255" w14:textId="5D1105EA" w:rsidR="00B14519" w:rsidRPr="00781112" w:rsidRDefault="00B14519" w:rsidP="00AF574F">
            <w:pPr>
              <w:rPr>
                <w:rFonts w:cs="Arial"/>
                <w:color w:val="000000" w:themeColor="text1"/>
                <w:szCs w:val="16"/>
              </w:rPr>
            </w:pPr>
            <w:r w:rsidRPr="00781112">
              <w:rPr>
                <w:rFonts w:cs="Arial"/>
                <w:color w:val="000000" w:themeColor="text1"/>
                <w:szCs w:val="16"/>
              </w:rPr>
              <w:t>Target C &gt;=</w:t>
            </w:r>
          </w:p>
        </w:tc>
        <w:tc>
          <w:tcPr>
            <w:tcW w:w="910" w:type="pct"/>
            <w:shd w:val="clear" w:color="auto" w:fill="auto"/>
            <w:vAlign w:val="center"/>
          </w:tcPr>
          <w:p w14:paraId="6A2D65BD" w14:textId="1F6D3E1F" w:rsidR="00B14519" w:rsidRPr="00781112" w:rsidRDefault="00B14519" w:rsidP="00AF574F">
            <w:pPr>
              <w:jc w:val="center"/>
              <w:rPr>
                <w:rFonts w:cs="Arial"/>
                <w:color w:val="000000" w:themeColor="text1"/>
                <w:szCs w:val="16"/>
              </w:rPr>
            </w:pPr>
            <w:r w:rsidRPr="00781112">
              <w:rPr>
                <w:rFonts w:cs="Arial"/>
                <w:color w:val="000000" w:themeColor="text1"/>
                <w:szCs w:val="16"/>
              </w:rPr>
              <w:t>73.00%</w:t>
            </w:r>
          </w:p>
        </w:tc>
        <w:tc>
          <w:tcPr>
            <w:tcW w:w="910" w:type="pct"/>
          </w:tcPr>
          <w:p w14:paraId="6B5B030A" w14:textId="41C6CE98" w:rsidR="00B14519" w:rsidRPr="00781112" w:rsidRDefault="00B14519" w:rsidP="00AF574F">
            <w:pPr>
              <w:jc w:val="center"/>
              <w:rPr>
                <w:rFonts w:cs="Arial"/>
                <w:color w:val="000000" w:themeColor="text1"/>
                <w:szCs w:val="16"/>
              </w:rPr>
            </w:pPr>
            <w:r w:rsidRPr="00781112">
              <w:rPr>
                <w:color w:val="000000" w:themeColor="text1"/>
                <w:szCs w:val="16"/>
              </w:rPr>
              <w:t>73.34%</w:t>
            </w:r>
          </w:p>
        </w:tc>
        <w:tc>
          <w:tcPr>
            <w:tcW w:w="910" w:type="pct"/>
          </w:tcPr>
          <w:p w14:paraId="1D90926B" w14:textId="034D06FC" w:rsidR="00B14519" w:rsidRPr="00781112" w:rsidRDefault="00B14519" w:rsidP="00AF574F">
            <w:pPr>
              <w:jc w:val="center"/>
              <w:rPr>
                <w:rFonts w:cs="Arial"/>
                <w:color w:val="000000" w:themeColor="text1"/>
                <w:szCs w:val="16"/>
              </w:rPr>
            </w:pPr>
            <w:r w:rsidRPr="00781112">
              <w:rPr>
                <w:color w:val="000000" w:themeColor="text1"/>
                <w:szCs w:val="16"/>
              </w:rPr>
              <w:t>73.68%</w:t>
            </w:r>
          </w:p>
        </w:tc>
        <w:tc>
          <w:tcPr>
            <w:tcW w:w="910" w:type="pct"/>
          </w:tcPr>
          <w:p w14:paraId="4E4DC90B" w14:textId="096AE3F3" w:rsidR="00B14519" w:rsidRPr="00781112" w:rsidRDefault="00B14519" w:rsidP="00AF574F">
            <w:pPr>
              <w:jc w:val="center"/>
              <w:rPr>
                <w:rFonts w:cs="Arial"/>
                <w:color w:val="000000" w:themeColor="text1"/>
                <w:szCs w:val="16"/>
              </w:rPr>
            </w:pPr>
            <w:r w:rsidRPr="00781112">
              <w:rPr>
                <w:color w:val="000000" w:themeColor="text1"/>
                <w:szCs w:val="16"/>
              </w:rPr>
              <w:t>75.15%</w:t>
            </w:r>
          </w:p>
        </w:tc>
        <w:tc>
          <w:tcPr>
            <w:tcW w:w="910" w:type="pct"/>
          </w:tcPr>
          <w:p w14:paraId="1926915A" w14:textId="136C8151" w:rsidR="00B14519" w:rsidRPr="00781112" w:rsidRDefault="00B14519" w:rsidP="00AF574F">
            <w:pPr>
              <w:jc w:val="center"/>
              <w:rPr>
                <w:rFonts w:cs="Arial"/>
                <w:color w:val="000000" w:themeColor="text1"/>
                <w:szCs w:val="16"/>
              </w:rPr>
            </w:pPr>
            <w:r w:rsidRPr="00781112">
              <w:rPr>
                <w:color w:val="000000" w:themeColor="text1"/>
                <w:szCs w:val="16"/>
              </w:rPr>
              <w:t>76.50%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w:t>
      </w:r>
      <w:r w:rsidRPr="00781112">
        <w:rPr>
          <w:rFonts w:cs="Arial"/>
          <w:color w:val="000000" w:themeColor="text1"/>
          <w:szCs w:val="16"/>
        </w:rPr>
        <w:lastRenderedPageBreak/>
        <w:t xml:space="preserve">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262FFC50" w14:textId="3E779EE8" w:rsidR="000A2C83" w:rsidRPr="00781112" w:rsidRDefault="000A2C83" w:rsidP="000A2C83">
      <w:pPr>
        <w:rPr>
          <w:rFonts w:cs="Arial"/>
          <w:color w:val="000000" w:themeColor="text1"/>
          <w:szCs w:val="16"/>
        </w:rPr>
      </w:pPr>
    </w:p>
    <w:p w14:paraId="4522ADD4" w14:textId="77777777" w:rsidR="00E448E9" w:rsidRPr="00781112" w:rsidRDefault="00E448E9" w:rsidP="004369B2">
      <w:pPr>
        <w:rPr>
          <w:color w:val="000000" w:themeColor="text1"/>
        </w:rPr>
      </w:pPr>
      <w:bookmarkStart w:id="81" w:name="_Toc392159337"/>
    </w:p>
    <w:bookmarkEnd w:id="81"/>
    <w:p w14:paraId="4202DC3A" w14:textId="73004647" w:rsidR="00A03EFA" w:rsidRPr="00781112" w:rsidRDefault="0047313F" w:rsidP="004369B2">
      <w:pPr>
        <w:rPr>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781</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555</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71.06%</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123</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219</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3. Number of respondent youth enrolled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21</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4. Number of respondent youth who are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41</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B1652C" w:rsidRPr="00781112" w14:paraId="5EEC1BAF" w14:textId="0A8A2949" w:rsidTr="0033429D">
        <w:trPr>
          <w:trHeight w:val="358"/>
          <w:tblHeader/>
        </w:trPr>
        <w:tc>
          <w:tcPr>
            <w:tcW w:w="625" w:type="pct"/>
            <w:shd w:val="clear" w:color="auto" w:fill="auto"/>
            <w:vAlign w:val="bottom"/>
          </w:tcPr>
          <w:p w14:paraId="4E882584" w14:textId="038C3477" w:rsidR="00B1652C" w:rsidRPr="00781112" w:rsidRDefault="00B1652C" w:rsidP="00B1652C">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1652C" w:rsidRPr="00781112" w:rsidRDefault="00B1652C" w:rsidP="00B1652C">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523422A9" w:rsidR="00B1652C" w:rsidRPr="006D0A52" w:rsidRDefault="00B1652C" w:rsidP="00B1652C">
            <w:pPr>
              <w:jc w:val="center"/>
              <w:rPr>
                <w:rFonts w:cs="Arial"/>
                <w:b/>
                <w:bCs/>
                <w:color w:val="000000" w:themeColor="text1"/>
                <w:szCs w:val="16"/>
              </w:rPr>
            </w:pPr>
            <w:r w:rsidRPr="006D0A52">
              <w:rPr>
                <w:b/>
                <w:bCs/>
              </w:rPr>
              <w:t>FFY 2020 Data</w:t>
            </w:r>
          </w:p>
        </w:tc>
        <w:tc>
          <w:tcPr>
            <w:tcW w:w="625" w:type="pct"/>
            <w:shd w:val="clear" w:color="auto" w:fill="auto"/>
            <w:vAlign w:val="bottom"/>
          </w:tcPr>
          <w:p w14:paraId="5152926B" w14:textId="35228357" w:rsidR="00B1652C" w:rsidRPr="006D0A52" w:rsidRDefault="00B1652C" w:rsidP="00B1652C">
            <w:pPr>
              <w:jc w:val="center"/>
              <w:rPr>
                <w:rFonts w:cs="Arial"/>
                <w:b/>
                <w:bCs/>
                <w:color w:val="000000" w:themeColor="text1"/>
                <w:szCs w:val="16"/>
              </w:rPr>
            </w:pPr>
            <w:r w:rsidRPr="006D0A52">
              <w:rPr>
                <w:b/>
                <w:bCs/>
              </w:rPr>
              <w:t>FFY 2021 Target</w:t>
            </w:r>
          </w:p>
        </w:tc>
        <w:tc>
          <w:tcPr>
            <w:tcW w:w="625" w:type="pct"/>
            <w:shd w:val="clear" w:color="auto" w:fill="auto"/>
            <w:vAlign w:val="bottom"/>
          </w:tcPr>
          <w:p w14:paraId="520BBB1B" w14:textId="08156133" w:rsidR="00B1652C" w:rsidRPr="006D0A52" w:rsidRDefault="00B1652C" w:rsidP="00B1652C">
            <w:pPr>
              <w:jc w:val="center"/>
              <w:rPr>
                <w:rFonts w:cs="Arial"/>
                <w:b/>
                <w:bCs/>
                <w:color w:val="000000" w:themeColor="text1"/>
                <w:szCs w:val="16"/>
              </w:rPr>
            </w:pPr>
            <w:r w:rsidRPr="006D0A52">
              <w:rPr>
                <w:b/>
                <w:bCs/>
              </w:rPr>
              <w:t>FFY 2021 Data</w:t>
            </w:r>
          </w:p>
        </w:tc>
        <w:tc>
          <w:tcPr>
            <w:tcW w:w="625" w:type="pct"/>
            <w:shd w:val="clear" w:color="auto" w:fill="auto"/>
            <w:vAlign w:val="bottom"/>
          </w:tcPr>
          <w:p w14:paraId="4E9CD96E" w14:textId="648B12FE" w:rsidR="00B1652C" w:rsidRPr="00781112" w:rsidRDefault="00B1652C" w:rsidP="00B1652C">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1652C" w:rsidRPr="00781112" w:rsidRDefault="00B1652C" w:rsidP="00B1652C">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123</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16.83%</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19.00%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22.16%</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342</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60.08%</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61.62%</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 xml:space="preserve">C. Enrolled in higher education, or in </w:t>
            </w:r>
            <w:proofErr w:type="gramStart"/>
            <w:r w:rsidRPr="00781112">
              <w:rPr>
                <w:rFonts w:cs="Arial"/>
                <w:color w:val="000000" w:themeColor="text1"/>
                <w:szCs w:val="16"/>
              </w:rPr>
              <w:t>some</w:t>
            </w:r>
            <w:proofErr w:type="gramEnd"/>
            <w:r w:rsidRPr="00781112">
              <w:rPr>
                <w:rFonts w:cs="Arial"/>
                <w:color w:val="000000" w:themeColor="text1"/>
                <w:szCs w:val="16"/>
              </w:rPr>
              <w:t xml:space="preserv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404</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555</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74.36%</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72.79%</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 xml:space="preserve">The WDE has examined the Indicator 14C rate by district to identify those districts that had a decrease from 2020-21 to 2021-22. Twenty-four districts saw a decrease in their 14C rate; </w:t>
            </w:r>
            <w:proofErr w:type="gramStart"/>
            <w:r w:rsidRPr="00781112">
              <w:rPr>
                <w:rFonts w:cs="Arial"/>
                <w:color w:val="000000" w:themeColor="text1"/>
                <w:szCs w:val="16"/>
              </w:rPr>
              <w:t>13</w:t>
            </w:r>
            <w:proofErr w:type="gramEnd"/>
            <w:r w:rsidRPr="00781112">
              <w:rPr>
                <w:rFonts w:cs="Arial"/>
                <w:color w:val="000000" w:themeColor="text1"/>
                <w:szCs w:val="16"/>
              </w:rPr>
              <w:t xml:space="preserve"> districts with at least 9 respondents saw a decrease. Districts have </w:t>
            </w:r>
            <w:proofErr w:type="gramStart"/>
            <w:r w:rsidRPr="00781112">
              <w:rPr>
                <w:rFonts w:cs="Arial"/>
                <w:color w:val="000000" w:themeColor="text1"/>
                <w:szCs w:val="16"/>
              </w:rPr>
              <w:t>been provided</w:t>
            </w:r>
            <w:proofErr w:type="gramEnd"/>
            <w:r w:rsidRPr="00781112">
              <w:rPr>
                <w:rFonts w:cs="Arial"/>
                <w:color w:val="000000" w:themeColor="text1"/>
                <w:szCs w:val="16"/>
              </w:rPr>
              <w:t xml:space="preserve"> with disaggregated reports of their Indicator 14 data by gender, race/ethnicity, disability, and exit code so that the districts can identify areas of </w:t>
            </w:r>
            <w:r w:rsidRPr="00781112">
              <w:rPr>
                <w:rFonts w:cs="Arial"/>
                <w:color w:val="000000" w:themeColor="text1"/>
                <w:szCs w:val="16"/>
              </w:rPr>
              <w:lastRenderedPageBreak/>
              <w:t xml:space="preserve">potential improvements in their data. Districts </w:t>
            </w:r>
            <w:proofErr w:type="gramStart"/>
            <w:r w:rsidRPr="00781112">
              <w:rPr>
                <w:rFonts w:cs="Arial"/>
                <w:color w:val="000000" w:themeColor="text1"/>
                <w:szCs w:val="16"/>
              </w:rPr>
              <w:t>were also provided</w:t>
            </w:r>
            <w:proofErr w:type="gramEnd"/>
            <w:r w:rsidRPr="00781112">
              <w:rPr>
                <w:rFonts w:cs="Arial"/>
                <w:color w:val="000000" w:themeColor="text1"/>
                <w:szCs w:val="16"/>
              </w:rPr>
              <w:t xml:space="preserve"> with disaggregated information on who went on to higher education, competitive employment, and other training/work and who did not and were encouraged to closely examine this data and determine why their scores surrounding Indicator 14C decreased. </w:t>
            </w:r>
            <w:r w:rsidRPr="00781112">
              <w:rPr>
                <w:rFonts w:cs="Arial"/>
                <w:color w:val="000000" w:themeColor="text1"/>
                <w:szCs w:val="16"/>
              </w:rPr>
              <w:br/>
            </w:r>
            <w:r w:rsidRPr="00781112">
              <w:rPr>
                <w:rFonts w:cs="Arial"/>
                <w:color w:val="000000" w:themeColor="text1"/>
                <w:szCs w:val="16"/>
              </w:rPr>
              <w:br/>
              <w:t>Statewide, a higher percentage of interviewed exiters this year than last year had an exit code of drop-out</w:t>
            </w:r>
            <w:proofErr w:type="gramStart"/>
            <w:r w:rsidRPr="00781112">
              <w:rPr>
                <w:rFonts w:cs="Arial"/>
                <w:color w:val="000000" w:themeColor="text1"/>
                <w:szCs w:val="16"/>
              </w:rPr>
              <w:t xml:space="preserve">.  </w:t>
            </w:r>
            <w:proofErr w:type="gramEnd"/>
            <w:r w:rsidRPr="00781112">
              <w:rPr>
                <w:rFonts w:cs="Arial"/>
                <w:color w:val="000000" w:themeColor="text1"/>
                <w:szCs w:val="16"/>
              </w:rPr>
              <w:t>Given that drop-outs are less likely to meet Indicator 14C this alone could account for the slippage</w:t>
            </w:r>
            <w:proofErr w:type="gramStart"/>
            <w:r w:rsidRPr="00781112">
              <w:rPr>
                <w:rFonts w:cs="Arial"/>
                <w:color w:val="000000" w:themeColor="text1"/>
                <w:szCs w:val="16"/>
              </w:rPr>
              <w:t xml:space="preserve">.  </w:t>
            </w:r>
            <w:proofErr w:type="gramEnd"/>
            <w:r w:rsidRPr="00781112">
              <w:rPr>
                <w:rFonts w:cs="Arial"/>
                <w:color w:val="000000" w:themeColor="text1"/>
                <w:szCs w:val="16"/>
              </w:rPr>
              <w:t>However, the WDE still encourages districts to examine their own data and determine what might have created the slippage in their own community.</w:t>
            </w:r>
            <w:r w:rsidRPr="00781112">
              <w:rPr>
                <w:rFonts w:cs="Arial"/>
                <w:color w:val="000000" w:themeColor="text1"/>
                <w:szCs w:val="16"/>
              </w:rPr>
              <w:br/>
            </w:r>
            <w:r w:rsidRPr="00781112">
              <w:rPr>
                <w:rFonts w:cs="Arial"/>
                <w:color w:val="000000" w:themeColor="text1"/>
                <w:szCs w:val="16"/>
              </w:rPr>
              <w:br/>
              <w:t>Note that the slippage from 2020-21 to 2021-22 is not a statistically significant difference. Further, if only two more interviewees would have met Indicator 14C, the WDE would have made the target.</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2020</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2021</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69.90%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71.06%</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 xml:space="preserve">Describe strategies that will </w:t>
      </w:r>
      <w:proofErr w:type="gramStart"/>
      <w:r w:rsidRPr="00002B33">
        <w:rPr>
          <w:b/>
          <w:bCs/>
        </w:rPr>
        <w:t>be implemented</w:t>
      </w:r>
      <w:proofErr w:type="gramEnd"/>
      <w:r w:rsidRPr="00002B33">
        <w:rPr>
          <w:b/>
          <w:bCs/>
        </w:rPr>
        <w:t xml:space="preserve"> which are expected to increase the response rate year over year, particularly for those groups that are underrepresented.</w:t>
      </w:r>
    </w:p>
    <w:p w14:paraId="054F9DF8" w14:textId="77777777" w:rsidR="00090132" w:rsidRPr="00B551F2" w:rsidRDefault="00090132" w:rsidP="00090132">
      <w:r w:rsidRPr="00B551F2">
        <w:t xml:space="preserve">Our overall response rate of 71% is </w:t>
      </w:r>
      <w:proofErr w:type="gramStart"/>
      <w:r w:rsidRPr="00B551F2">
        <w:t>very high</w:t>
      </w:r>
      <w:proofErr w:type="gramEnd"/>
      <w:r w:rsidRPr="00B551F2">
        <w:t xml:space="preserve"> and is similar to last year’s response rate. </w:t>
      </w:r>
      <w:r w:rsidRPr="00B551F2">
        <w:br/>
      </w:r>
      <w:r w:rsidRPr="00B551F2">
        <w:br/>
        <w:t xml:space="preserve">Even though </w:t>
      </w:r>
      <w:proofErr w:type="gramStart"/>
      <w:r w:rsidRPr="00B551F2">
        <w:t>results</w:t>
      </w:r>
      <w:proofErr w:type="gramEnd"/>
      <w:r w:rsidRPr="00B551F2">
        <w:t xml:space="preserve"> are representative of students with disabilities across the state, we are taking the following step to encourage more youth who dropped out to respond. Additional attempts to reach students who exited with a code of dropping out will be employed in the spring/summer of 2023. It </w:t>
      </w:r>
      <w:proofErr w:type="gramStart"/>
      <w:r w:rsidRPr="00B551F2">
        <w:t>is believed</w:t>
      </w:r>
      <w:proofErr w:type="gramEnd"/>
      <w:r w:rsidRPr="00B551F2">
        <w:t xml:space="preserve"> that information from this group of students will be valuable in guiding the State's technical assistance and professional development activities regarding dropout prevention strategies.</w:t>
      </w:r>
    </w:p>
    <w:p w14:paraId="5A6BE78B" w14:textId="77777777" w:rsidR="00090132" w:rsidRPr="00002B33" w:rsidRDefault="00090132" w:rsidP="00090132">
      <w:pPr>
        <w:rPr>
          <w:b/>
          <w:bCs/>
        </w:rPr>
      </w:pPr>
      <w:r w:rsidRPr="00002B33">
        <w:rPr>
          <w:b/>
          <w:bCs/>
        </w:rPr>
        <w:t xml:space="preserve">Describe the analysis of the response rate including any nonresponse bias that </w:t>
      </w:r>
      <w:proofErr w:type="gramStart"/>
      <w:r w:rsidRPr="00002B33">
        <w:rPr>
          <w:b/>
          <w:bCs/>
        </w:rPr>
        <w:t>was identified</w:t>
      </w:r>
      <w:proofErr w:type="gramEnd"/>
      <w:r w:rsidRPr="00002B33">
        <w:rPr>
          <w:b/>
          <w:bCs/>
        </w:rPr>
        <w:t>,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 xml:space="preserve">Nonresponse bias measures the differences in opinions between respondents and non-respondents in meaningful ways, such as the positivity of responses. </w:t>
      </w:r>
      <w:proofErr w:type="gramStart"/>
      <w:r w:rsidRPr="00B551F2">
        <w:t>A few</w:t>
      </w:r>
      <w:proofErr w:type="gramEnd"/>
      <w:r w:rsidRPr="00B551F2">
        <w:t xml:space="preserve"> things can be examined to determine nonresponse bias. One is the overall response rate. The higher the response rate, the less likely nonresponse bias will occur. Our response rate is 71%, which is </w:t>
      </w:r>
      <w:proofErr w:type="gramStart"/>
      <w:r w:rsidRPr="00B551F2">
        <w:t>very high</w:t>
      </w:r>
      <w:proofErr w:type="gramEnd"/>
      <w:r w:rsidRPr="00B551F2">
        <w:t>.</w:t>
      </w:r>
      <w:r w:rsidRPr="00B551F2">
        <w:br/>
      </w:r>
      <w:r w:rsidRPr="00B551F2">
        <w:br/>
        <w:t xml:space="preserve">Second, the representativeness of the responses can be examined. We describe this in the next section where we state: Although there were </w:t>
      </w:r>
      <w:proofErr w:type="gramStart"/>
      <w:r w:rsidRPr="00B551F2">
        <w:t>some</w:t>
      </w:r>
      <w:proofErr w:type="gramEnd"/>
      <w:r w:rsidRPr="00B551F2">
        <w:t xml:space="preserve"> differences in the representativeness by type of exit, we are still confident that overall results are representative of the state. Exiters from a wide range of districts from across the state responded to the survey; and, the results are representative of all racial/ethnic groups, all disability categories, all genders. In addition, we received responses from a broad geographic range of students from across the state from all districts which make nonresponse bias less likely.</w:t>
      </w:r>
      <w:r w:rsidRPr="00B551F2">
        <w:br/>
      </w:r>
      <w:r w:rsidRPr="00B551F2">
        <w:br/>
        <w:t xml:space="preserve">Third, we can compare the responses of exiters who responded early in the process to those who responded later in the process. The idea being that </w:t>
      </w:r>
      <w:proofErr w:type="gramStart"/>
      <w:r w:rsidRPr="00B551F2">
        <w:t>perhaps those</w:t>
      </w:r>
      <w:proofErr w:type="gramEnd"/>
      <w:r w:rsidRPr="00B551F2">
        <w:t xml:space="preserve"> who do not immediately respond and need multiple prompts to respond are different in some meaningful way than those who respond immediately. These results showed no statistically significant differences between exiters who responded earlier and exiters who responded later. </w:t>
      </w:r>
      <w:r w:rsidRPr="00B551F2">
        <w:br/>
      </w:r>
      <w:r w:rsidRPr="00B551F2">
        <w:br/>
        <w:t xml:space="preserve">Therefore, </w:t>
      </w:r>
      <w:proofErr w:type="gramStart"/>
      <w:r w:rsidRPr="00B551F2">
        <w:t>taken</w:t>
      </w:r>
      <w:proofErr w:type="gramEnd"/>
      <w:r w:rsidRPr="00B551F2">
        <w:t xml:space="preserve"> </w:t>
      </w:r>
      <w:proofErr w:type="gramStart"/>
      <w:r w:rsidRPr="00B551F2">
        <w:t>all of</w:t>
      </w:r>
      <w:proofErr w:type="gramEnd"/>
      <w:r w:rsidRPr="00B551F2">
        <w:t xml:space="preserve"> this information together, we conclude that nonresponse bias is not present. The WDE will continue to encourage districts to increase their efforts to strive for a 100% response rate for their exiting students and if a 100% response rate is not possible, to at least increase the response rate of students who drop out to 70%. The WDE offers support to districts in the form of informational webinars, online tracking of response rates, and targeted technical assistance to help districts get as high of a response rate as possible.</w:t>
      </w:r>
    </w:p>
    <w:p w14:paraId="16C9E9FA" w14:textId="77777777" w:rsidR="00F03088" w:rsidRPr="00F03088" w:rsidRDefault="00F03088" w:rsidP="00F03088">
      <w:pPr>
        <w:spacing w:before="0"/>
        <w:rPr>
          <w:rFonts w:eastAsia="Times New Roman" w:cs="Arial"/>
          <w:b/>
          <w:bCs/>
          <w:szCs w:val="16"/>
        </w:rPr>
      </w:pPr>
      <w:r w:rsidRPr="00F03088">
        <w:rPr>
          <w:b/>
          <w:bCs/>
        </w:rPr>
        <w:t>Include the State’s analyses of the extent to which the response data are representative of the demographics of youth who are no longer in secondary school and had IEPs in effect at the time they left school.</w:t>
      </w:r>
      <w:r w:rsidRPr="00F03088">
        <w:rPr>
          <w:rFonts w:eastAsia="Times New Roman" w:cs="Arial"/>
          <w:b/>
          <w:bCs/>
          <w:szCs w:val="16"/>
        </w:rPr>
        <w:t xml:space="preserve"> States must include race/ethnicity in its analysis. In addition, the State’s analysis must include at least one of the following demographics: disability category, gender, geographic location, and/or another demographic category approved through the stakeholder input process.</w:t>
      </w:r>
    </w:p>
    <w:p w14:paraId="73A0DF3C" w14:textId="77777777" w:rsidR="00090132" w:rsidRPr="00560FEE" w:rsidRDefault="00090132" w:rsidP="00090132">
      <w:r w:rsidRPr="008D51F2">
        <w:t xml:space="preserve">The State compared the representation by race/ethnicity, disability, and exit type in the population to the representation in the respondents using a +/- 3% criteria to identify over-or under-representiveness. </w:t>
      </w:r>
      <w:r w:rsidRPr="008D51F2">
        <w:br/>
      </w:r>
      <w:r w:rsidRPr="008D51F2">
        <w:br/>
        <w:t xml:space="preserve">Using this methodology, no differences </w:t>
      </w:r>
      <w:proofErr w:type="gramStart"/>
      <w:r w:rsidRPr="008D51F2">
        <w:t>were found</w:t>
      </w:r>
      <w:proofErr w:type="gramEnd"/>
      <w:r w:rsidRPr="008D51F2">
        <w:t xml:space="preserve"> by race/ethnicity or by disability category. Differences </w:t>
      </w:r>
      <w:proofErr w:type="gramStart"/>
      <w:r w:rsidRPr="008D51F2">
        <w:t>were found</w:t>
      </w:r>
      <w:proofErr w:type="gramEnd"/>
      <w:r w:rsidRPr="008D51F2">
        <w:t xml:space="preserve"> by </w:t>
      </w:r>
      <w:proofErr w:type="gramStart"/>
      <w:r w:rsidRPr="008D51F2">
        <w:t>exiter</w:t>
      </w:r>
      <w:proofErr w:type="gramEnd"/>
      <w:r w:rsidRPr="008D51F2">
        <w:t xml:space="preserve"> type. Significant differences </w:t>
      </w:r>
      <w:proofErr w:type="gramStart"/>
      <w:r w:rsidRPr="008D51F2">
        <w:t>were found</w:t>
      </w:r>
      <w:proofErr w:type="gramEnd"/>
      <w:r w:rsidRPr="008D51F2">
        <w:t xml:space="preserve"> in representativeness by basis of exit. For exit type, the SWD population consists of 27.27% of students with disabilities who dropped out and 62.61% of students with disabilities who graduated. The SWD who responded consists of 19.10% of students with disabilities who dropped out and 69.19% of students with disabilities who graduated, a difference of 8.17% and 6.58%, respectively. All other exit groups were within </w:t>
      </w:r>
      <w:proofErr w:type="gramStart"/>
      <w:r w:rsidRPr="008D51F2">
        <w:t>3</w:t>
      </w:r>
      <w:proofErr w:type="gramEnd"/>
      <w:r w:rsidRPr="008D51F2">
        <w:t xml:space="preserve"> percentage points of their population percentage. </w:t>
      </w:r>
      <w:r w:rsidRPr="008D51F2">
        <w:br/>
      </w:r>
      <w:r w:rsidRPr="008D51F2">
        <w:br/>
        <w:t xml:space="preserve">Although there were some differences in the responses by type of exit, we are still confident that overall results are </w:t>
      </w:r>
      <w:proofErr w:type="gramStart"/>
      <w:r w:rsidRPr="008D51F2">
        <w:t>generally representative</w:t>
      </w:r>
      <w:proofErr w:type="gramEnd"/>
      <w:r w:rsidRPr="008D51F2">
        <w:t xml:space="preserve"> of the state for most, but not all, demographic groups. Exiters from a wide range of districts from across the state responded to the survey; and the results are representative of all racial/ethnic groups, all disability categories, gender, and geographic area</w:t>
      </w:r>
      <w:proofErr w:type="gramStart"/>
      <w:r w:rsidRPr="008D51F2">
        <w:t xml:space="preserve">.  </w:t>
      </w:r>
      <w:proofErr w:type="gramEnd"/>
      <w:r w:rsidRPr="008D51F2">
        <w:t>However, we are concerned about the lower response rate of students who dropped out and will attempt to increase the response rate for this group of students.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lastRenderedPageBreak/>
        <w:t>NO</w:t>
      </w:r>
    </w:p>
    <w:p w14:paraId="027CD8C2" w14:textId="77777777" w:rsidR="00090132" w:rsidRPr="005C202C" w:rsidRDefault="00090132" w:rsidP="005C202C">
      <w:pPr>
        <w:rPr>
          <w:b/>
          <w:bCs/>
        </w:rPr>
      </w:pPr>
      <w:r w:rsidRPr="005C202C">
        <w:rPr>
          <w:b/>
          <w:bCs/>
        </w:rPr>
        <w:t xml:space="preserve">If </w:t>
      </w:r>
      <w:proofErr w:type="gramStart"/>
      <w:r w:rsidRPr="005C202C">
        <w:rPr>
          <w:b/>
          <w:bCs/>
        </w:rPr>
        <w:t>no</w:t>
      </w:r>
      <w:proofErr w:type="gramEnd"/>
      <w:r w:rsidRPr="005C202C">
        <w:rPr>
          <w:b/>
          <w:bCs/>
        </w:rPr>
        <w:t>,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r w:rsidRPr="008D51F2">
        <w:rPr>
          <w:b w:val="0"/>
        </w:rPr>
        <w:t>In order to get a higher percentage of students who drop out to respond to the Indicator 14 data collection, we are implementing these strategies with students who drop out and who have not responded to phone interviews:</w:t>
      </w:r>
      <w:r w:rsidRPr="008D51F2">
        <w:rPr>
          <w:b w:val="0"/>
        </w:rPr>
        <w:br/>
        <w:t>- They will be sent email blasts with a link to the survey</w:t>
      </w:r>
      <w:r w:rsidRPr="008D51F2">
        <w:rPr>
          <w:b w:val="0"/>
        </w:rPr>
        <w:br/>
        <w:t>- They will be sent text blasts with a link to the survey</w:t>
      </w:r>
      <w:r w:rsidRPr="008D51F2">
        <w:rPr>
          <w:b w:val="0"/>
        </w:rPr>
        <w:br/>
        <w:t>- They will be mailed a postcard with a QR code to complete the survey.</w:t>
      </w:r>
      <w:r w:rsidRPr="008D51F2">
        <w:rPr>
          <w:b w:val="0"/>
        </w:rPr>
        <w:br/>
      </w:r>
      <w:r w:rsidRPr="008D51F2">
        <w:rPr>
          <w:b w:val="0"/>
        </w:rPr>
        <w:br/>
        <w:t>In addition, district staff members will be encouraged to find up-to-date contact information on these students, e.g., follow-up with local GED programs to see if any of these students have enrolled; and in small communities, reach out to people and employers who may know these students and see if contact information can be obtained.</w:t>
      </w: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The State compared the representation by race/ethnicity, disability, and exit type in the population to the representation in the respondents using a +/- 3% criteria to identify over-or under-representativeness</w:t>
      </w:r>
      <w:proofErr w:type="gramStart"/>
      <w:r w:rsidRPr="008D51F2">
        <w:rPr>
          <w:b w:val="0"/>
        </w:rPr>
        <w:t xml:space="preserve">.  </w:t>
      </w:r>
      <w:proofErr w:type="gramEnd"/>
      <w:r w:rsidRPr="008D51F2">
        <w:rPr>
          <w:b w:val="0"/>
        </w:rPr>
        <w:t xml:space="preserve"> </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82" w:name="_Toc382082390"/>
      <w:bookmarkStart w:id="83" w:name="_Toc392159339"/>
      <w:r w:rsidRPr="00781112">
        <w:rPr>
          <w:rFonts w:cs="Arial"/>
          <w:b/>
          <w:color w:val="000000" w:themeColor="text1"/>
          <w:szCs w:val="16"/>
        </w:rPr>
        <w:t>Provide additional information about this indicator (optional)</w:t>
      </w:r>
    </w:p>
    <w:p w14:paraId="30BD41D2" w14:textId="40D58B63" w:rsidR="00293C7E" w:rsidRPr="00781112" w:rsidRDefault="00293C7E" w:rsidP="007D435F">
      <w:pPr>
        <w:rPr>
          <w:rFonts w:cs="Arial"/>
          <w:color w:val="000000" w:themeColor="text1"/>
          <w:szCs w:val="16"/>
        </w:rPr>
      </w:pP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 xml:space="preserve">In the FFY 2021 SPP/APR, the State must report whether the FFY 2021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09927E6D" w14:textId="373E84AB" w:rsidR="000A2C83" w:rsidRPr="00781112" w:rsidRDefault="007639D7" w:rsidP="004369B2">
      <w:pPr>
        <w:rPr>
          <w:b/>
          <w:color w:val="000000" w:themeColor="text1"/>
        </w:rPr>
      </w:pPr>
      <w:r>
        <w:rPr>
          <w:b/>
          <w:color w:val="000000" w:themeColor="text1"/>
        </w:rPr>
        <w:t>Response to actions required in FFY 2020 SPP/APR</w:t>
      </w:r>
    </w:p>
    <w:p w14:paraId="31BF0B33" w14:textId="77777777" w:rsidR="009F69E7" w:rsidRPr="00781112" w:rsidRDefault="002B7490" w:rsidP="000A2C83">
      <w:pPr>
        <w:rPr>
          <w:rFonts w:cs="Arial"/>
          <w:color w:val="000000" w:themeColor="text1"/>
          <w:szCs w:val="16"/>
        </w:rPr>
      </w:pPr>
      <w:r w:rsidRPr="00781112">
        <w:rPr>
          <w:rFonts w:cs="Arial"/>
          <w:color w:val="000000" w:themeColor="text1"/>
          <w:szCs w:val="16"/>
        </w:rPr>
        <w:t xml:space="preserve">As indicated above, the demographics of exiting students responding are </w:t>
      </w:r>
      <w:proofErr w:type="gramStart"/>
      <w:r w:rsidRPr="00781112">
        <w:rPr>
          <w:rFonts w:cs="Arial"/>
          <w:color w:val="000000" w:themeColor="text1"/>
          <w:szCs w:val="16"/>
        </w:rPr>
        <w:t>generally representative</w:t>
      </w:r>
      <w:proofErr w:type="gramEnd"/>
      <w:r w:rsidRPr="00781112">
        <w:rPr>
          <w:rFonts w:cs="Arial"/>
          <w:color w:val="000000" w:themeColor="text1"/>
          <w:szCs w:val="16"/>
        </w:rPr>
        <w:t xml:space="preserve"> of the demographics of the exiting students in the population.  Even though results are </w:t>
      </w:r>
      <w:proofErr w:type="gramStart"/>
      <w:r w:rsidRPr="00781112">
        <w:rPr>
          <w:rFonts w:cs="Arial"/>
          <w:color w:val="000000" w:themeColor="text1"/>
          <w:szCs w:val="16"/>
        </w:rPr>
        <w:t>generally representative</w:t>
      </w:r>
      <w:proofErr w:type="gramEnd"/>
      <w:r w:rsidRPr="00781112">
        <w:rPr>
          <w:rFonts w:cs="Arial"/>
          <w:color w:val="000000" w:themeColor="text1"/>
          <w:szCs w:val="16"/>
        </w:rPr>
        <w:t xml:space="preserve"> of students with disabilities across the state, (i.e., for exiting students with disabilities across the state), we are taking steps to encourage more youth who dropped out to respond. Additional attempts to reach students who exited with a code of dropping out will be employed in the spring/summer of 2023. It </w:t>
      </w:r>
      <w:proofErr w:type="gramStart"/>
      <w:r w:rsidRPr="00781112">
        <w:rPr>
          <w:rFonts w:cs="Arial"/>
          <w:color w:val="000000" w:themeColor="text1"/>
          <w:szCs w:val="16"/>
        </w:rPr>
        <w:t>is believed</w:t>
      </w:r>
      <w:proofErr w:type="gramEnd"/>
      <w:r w:rsidRPr="00781112">
        <w:rPr>
          <w:rFonts w:cs="Arial"/>
          <w:color w:val="000000" w:themeColor="text1"/>
          <w:szCs w:val="16"/>
        </w:rPr>
        <w:t xml:space="preserve"> that information from this group of students will be valuable in guiding the State's technical assistance and professional development activities regarding dropout prevention strategies. </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93C7E" w:rsidP="001F692C">
      <w:pPr>
        <w:rPr>
          <w:rFonts w:cs="Arial"/>
          <w:color w:val="000000" w:themeColor="text1"/>
          <w:szCs w:val="16"/>
        </w:rPr>
      </w:pP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B7490" w:rsidP="001F692C">
      <w:pPr>
        <w:rPr>
          <w:rFonts w:cs="Arial"/>
          <w:color w:val="000000" w:themeColor="text1"/>
          <w:szCs w:val="16"/>
        </w:rPr>
      </w:pPr>
      <w:r w:rsidRPr="00781112">
        <w:rPr>
          <w:rFonts w:cs="Arial"/>
          <w:color w:val="000000" w:themeColor="text1"/>
          <w:szCs w:val="16"/>
        </w:rPr>
        <w:t xml:space="preserve">In the FFY 2022 SPP/APR, the State must report whether the FFY 2022 data are representative of the demographics of youth who are no longer in secondary school and had IEPs in effect at the time they left school, and, if not, the actions the State is taking to address this issue. The State must also include its analysis of the extent to which the response data are representative of the demographics of youth who are no longer in secondary school and had IEPs in effect at the time they left school. </w:t>
      </w: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82"/>
      <w:bookmarkEnd w:id="83"/>
    </w:p>
    <w:p w14:paraId="7EA31497" w14:textId="77777777" w:rsidR="005B0B58" w:rsidRPr="00781112" w:rsidRDefault="005B0B58" w:rsidP="00A018D4">
      <w:pPr>
        <w:rPr>
          <w:color w:val="000000" w:themeColor="text1"/>
          <w:szCs w:val="20"/>
        </w:rPr>
      </w:pPr>
      <w:bookmarkStart w:id="84" w:name="_Toc381786822"/>
      <w:bookmarkStart w:id="85" w:name="_Toc382731911"/>
      <w:bookmarkStart w:id="86" w:name="_Toc382731912"/>
      <w:bookmarkStart w:id="87" w:name="_Toc392159340"/>
      <w:bookmarkEnd w:id="84"/>
      <w:bookmarkEnd w:id="85"/>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t>
      </w:r>
      <w:proofErr w:type="gramStart"/>
      <w:r w:rsidRPr="00781112">
        <w:rPr>
          <w:rFonts w:cs="Arial"/>
          <w:color w:val="000000" w:themeColor="text1"/>
          <w:szCs w:val="16"/>
        </w:rPr>
        <w:t>were resolved</w:t>
      </w:r>
      <w:proofErr w:type="gramEnd"/>
      <w:r w:rsidRPr="00781112">
        <w:rPr>
          <w:rFonts w:cs="Arial"/>
          <w:color w:val="000000" w:themeColor="text1"/>
          <w:szCs w:val="16"/>
        </w:rPr>
        <w:t xml:space="preserve">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resolution sessions is less than 10. In a reporting period when the number of resolution sessions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5C27A911" w14:textId="0F93F55A" w:rsidR="00B14746" w:rsidRDefault="00B14746"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5C71BF4E" w14:textId="77777777" w:rsidR="0039251E" w:rsidRPr="00781112" w:rsidRDefault="0039251E" w:rsidP="00286BDF">
      <w:pPr>
        <w:rPr>
          <w:rFonts w:cs="Arial"/>
          <w:color w:val="000000" w:themeColor="text1"/>
          <w:szCs w:val="16"/>
        </w:rPr>
      </w:pP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6"/>
    <w:bookmarkEnd w:id="87"/>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62CEFB3" w14:textId="55A4ED3A" w:rsidR="004A33CD" w:rsidRPr="00781112" w:rsidRDefault="00E31E29">
      <w:pPr>
        <w:rPr>
          <w:b/>
          <w:color w:val="000000" w:themeColor="text1"/>
        </w:rPr>
      </w:pPr>
      <w:bookmarkStart w:id="88" w:name="_Toc382731913"/>
      <w:bookmarkStart w:id="89" w:name="_Toc392159341"/>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43B1695A" w14:textId="562BFF44" w:rsidR="000A2C83" w:rsidRPr="00781112" w:rsidRDefault="002B7490" w:rsidP="000A2C83">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bookmarkEnd w:id="88"/>
    <w:bookmarkEnd w:id="89"/>
    <w:p w14:paraId="3A708A87" w14:textId="77777777" w:rsidR="00CE0C68" w:rsidRPr="00781112" w:rsidRDefault="00CE0C68" w:rsidP="00127006">
      <w:pPr>
        <w:pStyle w:val="Bold"/>
        <w:rPr>
          <w:color w:val="000000" w:themeColor="text1"/>
        </w:rPr>
      </w:pPr>
    </w:p>
    <w:p w14:paraId="2EF68698" w14:textId="77777777" w:rsidR="0039251E" w:rsidRDefault="0039251E" w:rsidP="004369B2">
      <w:pPr>
        <w:rPr>
          <w:b/>
          <w:color w:val="000000" w:themeColor="text1"/>
        </w:rPr>
      </w:pPr>
    </w:p>
    <w:p w14:paraId="18110168" w14:textId="77777777" w:rsidR="0039251E" w:rsidRDefault="0039251E" w:rsidP="004369B2">
      <w:pPr>
        <w:rPr>
          <w:b/>
          <w:color w:val="000000" w:themeColor="text1"/>
        </w:rPr>
      </w:pPr>
    </w:p>
    <w:p w14:paraId="4E8407A2" w14:textId="429638E2" w:rsidR="00EC46E4" w:rsidRPr="00781112" w:rsidRDefault="00EC46E4"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06890" w:rsidP="00A018D4">
            <w:pPr>
              <w:jc w:val="center"/>
              <w:rPr>
                <w:rFonts w:cs="Arial"/>
                <w:color w:val="000000" w:themeColor="text1"/>
                <w:szCs w:val="16"/>
              </w:rPr>
            </w:pP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77EAC2A0" w14:textId="7A794ABC" w:rsidR="00206890" w:rsidRPr="00781112" w:rsidRDefault="00206890" w:rsidP="00A018D4">
            <w:pPr>
              <w:jc w:val="center"/>
              <w:rPr>
                <w:rFonts w:cs="Arial"/>
                <w:color w:val="000000" w:themeColor="text1"/>
                <w:szCs w:val="16"/>
              </w:rPr>
            </w:pPr>
          </w:p>
        </w:tc>
        <w:tc>
          <w:tcPr>
            <w:tcW w:w="834" w:type="pct"/>
            <w:shd w:val="clear" w:color="auto" w:fill="auto"/>
            <w:vAlign w:val="center"/>
          </w:tcPr>
          <w:p w14:paraId="04397BF9" w14:textId="1A3506DC" w:rsidR="00206890" w:rsidRPr="00781112" w:rsidRDefault="00206890" w:rsidP="00A018D4">
            <w:pPr>
              <w:jc w:val="center"/>
              <w:rPr>
                <w:rFonts w:cs="Arial"/>
                <w:color w:val="000000" w:themeColor="text1"/>
                <w:szCs w:val="16"/>
              </w:rPr>
            </w:pP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06890" w:rsidP="00A018D4">
            <w:pPr>
              <w:jc w:val="center"/>
              <w:rPr>
                <w:rFonts w:cs="Arial"/>
                <w:color w:val="000000" w:themeColor="text1"/>
                <w:szCs w:val="16"/>
              </w:rPr>
            </w:pP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tcBorders>
              <w:bottom w:val="single" w:sz="4" w:space="0" w:color="auto"/>
            </w:tcBorders>
            <w:shd w:val="clear" w:color="auto" w:fill="auto"/>
            <w:vAlign w:val="center"/>
          </w:tcPr>
          <w:p w14:paraId="6488E126" w14:textId="74B63322" w:rsidR="00206890" w:rsidRPr="00781112" w:rsidRDefault="00206890"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66.67%</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2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8"/>
        <w:gridCol w:w="2016"/>
        <w:gridCol w:w="1554"/>
        <w:gridCol w:w="1554"/>
        <w:gridCol w:w="1554"/>
        <w:gridCol w:w="1554"/>
      </w:tblGrid>
      <w:tr w:rsidR="00B14519" w:rsidRPr="00781112" w14:paraId="5B5B06C7" w14:textId="5314EC59" w:rsidTr="00451D7E">
        <w:trPr>
          <w:trHeight w:val="431"/>
        </w:trPr>
        <w:tc>
          <w:tcPr>
            <w:tcW w:w="502" w:type="pct"/>
            <w:tcBorders>
              <w:bottom w:val="single" w:sz="4" w:space="0" w:color="auto"/>
            </w:tcBorders>
            <w:shd w:val="clear" w:color="auto" w:fill="auto"/>
          </w:tcPr>
          <w:p w14:paraId="31E34DD6" w14:textId="77777777" w:rsidR="00B14519" w:rsidRPr="00781112" w:rsidRDefault="00B14519" w:rsidP="00AF574F">
            <w:pPr>
              <w:jc w:val="center"/>
              <w:rPr>
                <w:b/>
                <w:color w:val="000000" w:themeColor="text1"/>
              </w:rPr>
            </w:pPr>
            <w:r w:rsidRPr="00781112">
              <w:rPr>
                <w:b/>
                <w:color w:val="000000" w:themeColor="text1"/>
              </w:rPr>
              <w:t>FFY</w:t>
            </w:r>
          </w:p>
        </w:tc>
        <w:tc>
          <w:tcPr>
            <w:tcW w:w="1102" w:type="pct"/>
            <w:shd w:val="clear" w:color="auto" w:fill="auto"/>
          </w:tcPr>
          <w:p w14:paraId="782DDA76" w14:textId="193A6DE4" w:rsidR="00B14519" w:rsidRPr="00781112" w:rsidRDefault="00B14519" w:rsidP="00AF574F">
            <w:pPr>
              <w:jc w:val="center"/>
              <w:rPr>
                <w:b/>
                <w:color w:val="000000" w:themeColor="text1"/>
              </w:rPr>
            </w:pPr>
            <w:r w:rsidRPr="00781112">
              <w:rPr>
                <w:b/>
                <w:color w:val="000000" w:themeColor="text1"/>
              </w:rPr>
              <w:t>2021</w:t>
            </w:r>
          </w:p>
        </w:tc>
        <w:tc>
          <w:tcPr>
            <w:tcW w:w="849" w:type="pct"/>
          </w:tcPr>
          <w:p w14:paraId="64BBFFA7" w14:textId="5A89DD6A" w:rsidR="00B14519" w:rsidRPr="00781112" w:rsidRDefault="00B14519" w:rsidP="00AD75EE">
            <w:pPr>
              <w:spacing w:before="0" w:after="200" w:line="276" w:lineRule="auto"/>
              <w:jc w:val="center"/>
            </w:pPr>
            <w:r w:rsidRPr="00781112">
              <w:rPr>
                <w:rFonts w:cs="Arial"/>
                <w:b/>
                <w:color w:val="000000" w:themeColor="text1"/>
                <w:szCs w:val="16"/>
              </w:rPr>
              <w:t>2022</w:t>
            </w:r>
          </w:p>
        </w:tc>
        <w:tc>
          <w:tcPr>
            <w:tcW w:w="849" w:type="pct"/>
          </w:tcPr>
          <w:p w14:paraId="1B4B8409" w14:textId="760000D9" w:rsidR="00B14519" w:rsidRPr="00781112" w:rsidRDefault="00B14519" w:rsidP="00AD75EE">
            <w:pPr>
              <w:spacing w:before="0" w:after="200" w:line="276" w:lineRule="auto"/>
              <w:jc w:val="center"/>
            </w:pPr>
            <w:r w:rsidRPr="00781112">
              <w:rPr>
                <w:rFonts w:cs="Arial"/>
                <w:b/>
                <w:color w:val="000000" w:themeColor="text1"/>
                <w:szCs w:val="16"/>
              </w:rPr>
              <w:t>2023</w:t>
            </w:r>
          </w:p>
        </w:tc>
        <w:tc>
          <w:tcPr>
            <w:tcW w:w="849" w:type="pct"/>
          </w:tcPr>
          <w:p w14:paraId="3B1502FE" w14:textId="792D80C3" w:rsidR="00B14519" w:rsidRPr="00781112" w:rsidRDefault="00B14519" w:rsidP="00AD75EE">
            <w:pPr>
              <w:spacing w:before="0" w:after="200" w:line="276" w:lineRule="auto"/>
              <w:jc w:val="center"/>
            </w:pPr>
            <w:r w:rsidRPr="00781112">
              <w:rPr>
                <w:rFonts w:cs="Arial"/>
                <w:b/>
                <w:color w:val="000000" w:themeColor="text1"/>
                <w:szCs w:val="16"/>
              </w:rPr>
              <w:t>2024</w:t>
            </w:r>
          </w:p>
        </w:tc>
        <w:tc>
          <w:tcPr>
            <w:tcW w:w="849" w:type="pct"/>
          </w:tcPr>
          <w:p w14:paraId="3020AD2E" w14:textId="61B1A376" w:rsidR="00B14519" w:rsidRPr="00781112" w:rsidRDefault="00B14519" w:rsidP="00AD75EE">
            <w:pPr>
              <w:spacing w:before="0" w:after="200" w:line="276" w:lineRule="auto"/>
              <w:jc w:val="center"/>
            </w:pPr>
            <w:r w:rsidRPr="00781112">
              <w:rPr>
                <w:rFonts w:cs="Arial"/>
                <w:b/>
                <w:color w:val="000000" w:themeColor="text1"/>
                <w:szCs w:val="16"/>
              </w:rPr>
              <w:t>2025</w:t>
            </w:r>
          </w:p>
        </w:tc>
      </w:tr>
      <w:tr w:rsidR="00B14519" w:rsidRPr="00781112" w14:paraId="2E97FCFB" w14:textId="76FCB4DE" w:rsidTr="00451D7E">
        <w:trPr>
          <w:trHeight w:val="521"/>
        </w:trPr>
        <w:tc>
          <w:tcPr>
            <w:tcW w:w="502" w:type="pct"/>
            <w:shd w:val="clear" w:color="auto" w:fill="auto"/>
          </w:tcPr>
          <w:p w14:paraId="4E1FED50" w14:textId="35E6081C" w:rsidR="00B14519" w:rsidRPr="00781112" w:rsidRDefault="00B14519" w:rsidP="00AF574F">
            <w:pPr>
              <w:rPr>
                <w:rFonts w:cs="Arial"/>
                <w:color w:val="000000" w:themeColor="text1"/>
                <w:szCs w:val="16"/>
              </w:rPr>
            </w:pPr>
            <w:r w:rsidRPr="00781112">
              <w:rPr>
                <w:rFonts w:cs="Arial"/>
                <w:color w:val="000000" w:themeColor="text1"/>
                <w:szCs w:val="16"/>
              </w:rPr>
              <w:t>Target &gt;=</w:t>
            </w:r>
          </w:p>
        </w:tc>
        <w:tc>
          <w:tcPr>
            <w:tcW w:w="1102" w:type="pct"/>
            <w:shd w:val="clear" w:color="auto" w:fill="auto"/>
            <w:vAlign w:val="center"/>
          </w:tcPr>
          <w:p w14:paraId="39DFFAEB" w14:textId="54D1D7D6" w:rsidR="00B14519" w:rsidRPr="00781112" w:rsidRDefault="00B14519" w:rsidP="008D24E3">
            <w:pPr>
              <w:jc w:val="center"/>
              <w:rPr>
                <w:rFonts w:cs="Arial"/>
                <w:color w:val="000000" w:themeColor="text1"/>
                <w:szCs w:val="16"/>
              </w:rPr>
            </w:pPr>
          </w:p>
        </w:tc>
        <w:tc>
          <w:tcPr>
            <w:tcW w:w="849" w:type="pct"/>
          </w:tcPr>
          <w:p w14:paraId="57B3A075" w14:textId="21F2B25E" w:rsidR="00B14519" w:rsidRPr="00781112" w:rsidRDefault="00B14519" w:rsidP="008D24E3">
            <w:pPr>
              <w:spacing w:before="0" w:after="200" w:line="276" w:lineRule="auto"/>
              <w:jc w:val="center"/>
            </w:pPr>
          </w:p>
        </w:tc>
        <w:tc>
          <w:tcPr>
            <w:tcW w:w="849" w:type="pct"/>
          </w:tcPr>
          <w:p w14:paraId="211F936E" w14:textId="58F0DC2F" w:rsidR="00B14519" w:rsidRPr="00781112" w:rsidRDefault="00B14519" w:rsidP="008D24E3">
            <w:pPr>
              <w:spacing w:before="0" w:after="200" w:line="276" w:lineRule="auto"/>
              <w:jc w:val="center"/>
            </w:pPr>
          </w:p>
        </w:tc>
        <w:tc>
          <w:tcPr>
            <w:tcW w:w="849" w:type="pct"/>
          </w:tcPr>
          <w:p w14:paraId="53679E27" w14:textId="6773FF8D" w:rsidR="00B14519" w:rsidRPr="00781112" w:rsidRDefault="00B14519" w:rsidP="008D24E3">
            <w:pPr>
              <w:spacing w:before="0" w:after="200" w:line="276" w:lineRule="auto"/>
              <w:jc w:val="center"/>
            </w:pPr>
          </w:p>
        </w:tc>
        <w:tc>
          <w:tcPr>
            <w:tcW w:w="849" w:type="pct"/>
          </w:tcPr>
          <w:p w14:paraId="492B2B0A" w14:textId="258B9D99" w:rsidR="00B14519" w:rsidRPr="00781112" w:rsidRDefault="00B14519" w:rsidP="008D24E3">
            <w:pPr>
              <w:spacing w:before="0" w:after="200" w:line="276" w:lineRule="auto"/>
              <w:jc w:val="center"/>
            </w:pPr>
          </w:p>
        </w:tc>
      </w:tr>
    </w:tbl>
    <w:p w14:paraId="25B7ED55" w14:textId="77777777" w:rsidR="00CE0C68" w:rsidRPr="00781112" w:rsidRDefault="00CE0C68" w:rsidP="004369B2">
      <w:pPr>
        <w:rPr>
          <w:color w:val="000000" w:themeColor="text1"/>
        </w:rPr>
      </w:pPr>
    </w:p>
    <w:p w14:paraId="639445A0" w14:textId="725332EC" w:rsidR="00634AD8" w:rsidRPr="00781112" w:rsidRDefault="0047313F">
      <w:pPr>
        <w:rPr>
          <w:b/>
          <w:color w:val="000000" w:themeColor="text1"/>
        </w:rPr>
      </w:pPr>
      <w:r>
        <w:rPr>
          <w:b/>
          <w:color w:val="000000" w:themeColor="text1"/>
        </w:rPr>
        <w:t>FFY 2021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B21923" w:rsidRPr="00781112" w14:paraId="7CE022CD" w14:textId="689D2875" w:rsidTr="00877012">
        <w:trPr>
          <w:trHeight w:val="354"/>
          <w:tblHeader/>
        </w:trPr>
        <w:tc>
          <w:tcPr>
            <w:tcW w:w="757" w:type="pct"/>
            <w:shd w:val="clear" w:color="auto" w:fill="auto"/>
            <w:vAlign w:val="bottom"/>
          </w:tcPr>
          <w:p w14:paraId="4A4004E2"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7CD58682" w:rsidR="00B21923" w:rsidRPr="006D0A52" w:rsidRDefault="00B21923" w:rsidP="00B21923">
            <w:pPr>
              <w:jc w:val="center"/>
              <w:rPr>
                <w:rFonts w:cs="Arial"/>
                <w:b/>
                <w:bCs/>
                <w:color w:val="000000" w:themeColor="text1"/>
                <w:szCs w:val="16"/>
              </w:rPr>
            </w:pPr>
            <w:r w:rsidRPr="006D0A52">
              <w:rPr>
                <w:b/>
                <w:bCs/>
              </w:rPr>
              <w:t>FFY 2020 Data</w:t>
            </w:r>
          </w:p>
        </w:tc>
        <w:tc>
          <w:tcPr>
            <w:tcW w:w="884" w:type="pct"/>
            <w:shd w:val="clear" w:color="auto" w:fill="auto"/>
            <w:vAlign w:val="bottom"/>
          </w:tcPr>
          <w:p w14:paraId="5285C3DA" w14:textId="6BAE9C76" w:rsidR="00B21923" w:rsidRPr="006D0A52" w:rsidRDefault="00B21923" w:rsidP="00B21923">
            <w:pPr>
              <w:jc w:val="center"/>
              <w:rPr>
                <w:rFonts w:cs="Arial"/>
                <w:b/>
                <w:bCs/>
                <w:color w:val="000000" w:themeColor="text1"/>
                <w:szCs w:val="16"/>
              </w:rPr>
            </w:pPr>
            <w:r w:rsidRPr="006D0A52">
              <w:rPr>
                <w:b/>
                <w:bCs/>
              </w:rPr>
              <w:t>FFY 2021 Target</w:t>
            </w:r>
          </w:p>
        </w:tc>
        <w:tc>
          <w:tcPr>
            <w:tcW w:w="692" w:type="pct"/>
            <w:shd w:val="clear" w:color="auto" w:fill="auto"/>
            <w:vAlign w:val="bottom"/>
          </w:tcPr>
          <w:p w14:paraId="767EE33A" w14:textId="24B54F4F" w:rsidR="00B21923" w:rsidRPr="006D0A52" w:rsidRDefault="00B21923" w:rsidP="00B21923">
            <w:pPr>
              <w:jc w:val="center"/>
              <w:rPr>
                <w:rFonts w:cs="Arial"/>
                <w:b/>
                <w:bCs/>
                <w:color w:val="000000" w:themeColor="text1"/>
                <w:szCs w:val="16"/>
              </w:rPr>
            </w:pPr>
            <w:r w:rsidRPr="006D0A52">
              <w:rPr>
                <w:b/>
                <w:bCs/>
              </w:rPr>
              <w:t>FFY 2021 Data</w:t>
            </w:r>
          </w:p>
        </w:tc>
        <w:tc>
          <w:tcPr>
            <w:tcW w:w="673" w:type="pct"/>
            <w:shd w:val="clear" w:color="auto" w:fill="auto"/>
            <w:vAlign w:val="bottom"/>
          </w:tcPr>
          <w:p w14:paraId="3FC7FD1C" w14:textId="7EA4D921"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66.67%</w:t>
            </w:r>
          </w:p>
        </w:tc>
        <w:tc>
          <w:tcPr>
            <w:tcW w:w="884" w:type="pct"/>
            <w:shd w:val="clear" w:color="auto" w:fill="auto"/>
          </w:tcPr>
          <w:p w14:paraId="446CA14A" w14:textId="2AFBAFDB" w:rsidR="00372DF8" w:rsidRPr="00781112" w:rsidRDefault="00372DF8" w:rsidP="00A018D4">
            <w:pPr>
              <w:jc w:val="center"/>
              <w:rPr>
                <w:rFonts w:cs="Arial"/>
                <w:color w:val="000000" w:themeColor="text1"/>
                <w:szCs w:val="16"/>
              </w:rPr>
            </w:pP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 xml:space="preserve">The State reported fewer than ten resolution sessions held in FFY 2021. The State </w:t>
      </w:r>
      <w:proofErr w:type="gramStart"/>
      <w:r w:rsidRPr="00781112">
        <w:rPr>
          <w:rFonts w:cs="Arial"/>
          <w:color w:val="000000" w:themeColor="text1"/>
          <w:szCs w:val="16"/>
        </w:rPr>
        <w:t>is not required</w:t>
      </w:r>
      <w:proofErr w:type="gramEnd"/>
      <w:r w:rsidRPr="00781112">
        <w:rPr>
          <w:rFonts w:cs="Arial"/>
          <w:color w:val="000000" w:themeColor="text1"/>
          <w:szCs w:val="16"/>
        </w:rPr>
        <w:t xml:space="preserve"> to provide targets until any fiscal year in which ten or more resolution sessions were held.</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095B9B99"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90" w:name="_Toc382731916"/>
      <w:bookmarkStart w:id="91"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 xml:space="preserve">Sampling </w:t>
      </w:r>
      <w:proofErr w:type="gramStart"/>
      <w:r w:rsidRPr="00781112">
        <w:rPr>
          <w:rFonts w:cs="Arial"/>
          <w:i/>
          <w:iCs/>
          <w:color w:val="000000" w:themeColor="text1"/>
          <w:szCs w:val="16"/>
        </w:rPr>
        <w:t>is not allowed</w:t>
      </w:r>
      <w:proofErr w:type="gramEnd"/>
      <w:r w:rsidRPr="00781112">
        <w:rPr>
          <w:rFonts w:cs="Arial"/>
          <w:i/>
          <w:iCs/>
          <w:color w:val="000000" w:themeColor="text1"/>
          <w:szCs w:val="16"/>
        </w:rPr>
        <w:t>.</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establish </w:t>
      </w:r>
      <w:proofErr w:type="gramStart"/>
      <w:r w:rsidRPr="00781112">
        <w:rPr>
          <w:rFonts w:cs="Arial"/>
          <w:color w:val="000000" w:themeColor="text1"/>
          <w:szCs w:val="16"/>
        </w:rPr>
        <w:t>baseline</w:t>
      </w:r>
      <w:proofErr w:type="gramEnd"/>
      <w:r w:rsidRPr="00781112">
        <w:rPr>
          <w:rFonts w:cs="Arial"/>
          <w:color w:val="000000" w:themeColor="text1"/>
          <w:szCs w:val="16"/>
        </w:rPr>
        <w:t xml:space="preserv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proofErr w:type="gramStart"/>
      <w:r w:rsidRPr="00781112">
        <w:rPr>
          <w:rFonts w:cs="Arial"/>
          <w:color w:val="000000" w:themeColor="text1"/>
          <w:szCs w:val="16"/>
        </w:rPr>
        <w:t>10</w:t>
      </w:r>
      <w:proofErr w:type="gramEnd"/>
      <w:r w:rsidRPr="00781112">
        <w:rPr>
          <w:rFonts w:cs="Arial"/>
          <w:color w:val="000000" w:themeColor="text1"/>
          <w:szCs w:val="16"/>
        </w:rPr>
        <w:t xml:space="preserve">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 xml:space="preserve">If the data reported in this indicator are </w:t>
      </w:r>
      <w:proofErr w:type="gramStart"/>
      <w:r w:rsidRPr="00781112">
        <w:rPr>
          <w:rFonts w:cs="Arial"/>
          <w:color w:val="000000" w:themeColor="text1"/>
          <w:szCs w:val="16"/>
        </w:rPr>
        <w:t>not the same as</w:t>
      </w:r>
      <w:proofErr w:type="gramEnd"/>
      <w:r w:rsidRPr="00781112">
        <w:rPr>
          <w:rFonts w:cs="Arial"/>
          <w:color w:val="000000" w:themeColor="text1"/>
          <w:szCs w:val="16"/>
        </w:rPr>
        <w:t xml:space="preserve"> the State’s data under IDEA section 618, explain.</w:t>
      </w:r>
    </w:p>
    <w:p w14:paraId="419B733F" w14:textId="44198020" w:rsidR="00692B95" w:rsidRDefault="00692B95" w:rsidP="00286BDF">
      <w:pPr>
        <w:rPr>
          <w:rFonts w:cs="Arial"/>
          <w:color w:val="000000" w:themeColor="text1"/>
          <w:szCs w:val="16"/>
        </w:rPr>
      </w:pPr>
      <w:r w:rsidRPr="00781112">
        <w:rPr>
          <w:rFonts w:cs="Arial"/>
          <w:color w:val="000000" w:themeColor="text1"/>
          <w:szCs w:val="16"/>
        </w:rPr>
        <w:t xml:space="preserve">States </w:t>
      </w:r>
      <w:proofErr w:type="gramStart"/>
      <w:r w:rsidRPr="00781112">
        <w:rPr>
          <w:rFonts w:cs="Arial"/>
          <w:color w:val="000000" w:themeColor="text1"/>
          <w:szCs w:val="16"/>
        </w:rPr>
        <w:t>are not required</w:t>
      </w:r>
      <w:proofErr w:type="gramEnd"/>
      <w:r w:rsidRPr="00781112">
        <w:rPr>
          <w:rFonts w:cs="Arial"/>
          <w:color w:val="000000" w:themeColor="text1"/>
          <w:szCs w:val="16"/>
        </w:rPr>
        <w:t xml:space="preserve"> to report data at the LEA level.</w:t>
      </w:r>
    </w:p>
    <w:p w14:paraId="46E0D018" w14:textId="77777777" w:rsidR="0039251E" w:rsidRPr="00781112" w:rsidRDefault="0039251E" w:rsidP="00286BDF">
      <w:pPr>
        <w:rPr>
          <w:rFonts w:cs="Arial"/>
          <w:color w:val="000000" w:themeColor="text1"/>
          <w:szCs w:val="16"/>
        </w:rPr>
      </w:pP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90"/>
    <w:bookmarkEnd w:id="91"/>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12</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3</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2021-22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11/02/2022</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2C4CE14C" w14:textId="5AC27D72" w:rsidR="00E8514E" w:rsidRPr="00781112" w:rsidRDefault="007D219D">
      <w:pPr>
        <w:rPr>
          <w:b/>
          <w:color w:val="000000" w:themeColor="text1"/>
        </w:rPr>
      </w:pPr>
      <w:r w:rsidRPr="00781112">
        <w:rPr>
          <w:b/>
          <w:color w:val="000000" w:themeColor="text1"/>
        </w:rPr>
        <w:t xml:space="preserve">Select yes if the data reported in this indicator are </w:t>
      </w:r>
      <w:proofErr w:type="gramStart"/>
      <w:r w:rsidRPr="00781112">
        <w:rPr>
          <w:b/>
          <w:color w:val="000000" w:themeColor="text1"/>
        </w:rPr>
        <w:t>not the same as</w:t>
      </w:r>
      <w:proofErr w:type="gramEnd"/>
      <w:r w:rsidRPr="00781112">
        <w:rPr>
          <w:b/>
          <w:color w:val="000000" w:themeColor="text1"/>
        </w:rPr>
        <w:t xml:space="preserve">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 xml:space="preserve">For the SPP/APR FFY 2021, stakeholders </w:t>
      </w:r>
      <w:proofErr w:type="gramStart"/>
      <w:r w:rsidRPr="00781112">
        <w:rPr>
          <w:rFonts w:cs="Arial"/>
          <w:color w:val="000000" w:themeColor="text1"/>
          <w:szCs w:val="16"/>
        </w:rPr>
        <w:t>were again asked</w:t>
      </w:r>
      <w:proofErr w:type="gramEnd"/>
      <w:r w:rsidRPr="00781112">
        <w:rPr>
          <w:rFonts w:cs="Arial"/>
          <w:color w:val="000000" w:themeColor="text1"/>
          <w:szCs w:val="16"/>
        </w:rPr>
        <w:t xml:space="preserve"> to assist the WDE in setting targets for two indicators. </w:t>
      </w:r>
      <w:r w:rsidRPr="00781112">
        <w:rPr>
          <w:rFonts w:cs="Arial"/>
          <w:color w:val="000000" w:themeColor="text1"/>
          <w:szCs w:val="16"/>
        </w:rPr>
        <w:br/>
        <w:t xml:space="preserve">For indicator </w:t>
      </w:r>
      <w:proofErr w:type="gramStart"/>
      <w:r w:rsidRPr="00781112">
        <w:rPr>
          <w:rFonts w:cs="Arial"/>
          <w:color w:val="000000" w:themeColor="text1"/>
          <w:szCs w:val="16"/>
        </w:rPr>
        <w:t>8</w:t>
      </w:r>
      <w:proofErr w:type="gramEnd"/>
      <w:r w:rsidRPr="00781112">
        <w:rPr>
          <w:rFonts w:cs="Arial"/>
          <w:color w:val="000000" w:themeColor="text1"/>
          <w:szCs w:val="16"/>
        </w:rPr>
        <w:t xml:space="preserve"> [Parent Involvement] the State is setting </w:t>
      </w:r>
      <w:proofErr w:type="gramStart"/>
      <w:r w:rsidRPr="00781112">
        <w:rPr>
          <w:rFonts w:cs="Arial"/>
          <w:color w:val="000000" w:themeColor="text1"/>
          <w:szCs w:val="16"/>
        </w:rPr>
        <w:t>new</w:t>
      </w:r>
      <w:proofErr w:type="gramEnd"/>
      <w:r w:rsidRPr="00781112">
        <w:rPr>
          <w:rFonts w:cs="Arial"/>
          <w:color w:val="000000" w:themeColor="text1"/>
          <w:szCs w:val="16"/>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rFonts w:cs="Arial"/>
          <w:color w:val="000000" w:themeColor="text1"/>
          <w:szCs w:val="16"/>
        </w:rPr>
        <w:t>is considered</w:t>
      </w:r>
      <w:proofErr w:type="gramEnd"/>
      <w:r w:rsidRPr="00781112">
        <w:rPr>
          <w:rFonts w:cs="Arial"/>
          <w:color w:val="000000" w:themeColor="text1"/>
          <w:szCs w:val="16"/>
        </w:rPr>
        <w:t xml:space="preserve"> a change in methodology. The original group of stakeholders utilized in FFY 2020 </w:t>
      </w:r>
      <w:proofErr w:type="gramStart"/>
      <w:r w:rsidRPr="00781112">
        <w:rPr>
          <w:rFonts w:cs="Arial"/>
          <w:color w:val="000000" w:themeColor="text1"/>
          <w:szCs w:val="16"/>
        </w:rPr>
        <w:t>was used</w:t>
      </w:r>
      <w:proofErr w:type="gramEnd"/>
      <w:r w:rsidRPr="00781112">
        <w:rPr>
          <w:rFonts w:cs="Arial"/>
          <w:color w:val="000000" w:themeColor="text1"/>
          <w:szCs w:val="16"/>
        </w:rPr>
        <w:t>, a stakeholder meeting was held, and input gathered.</w:t>
      </w:r>
      <w:r w:rsidRPr="00781112">
        <w:rPr>
          <w:rFonts w:cs="Arial"/>
          <w:color w:val="000000" w:themeColor="text1"/>
          <w:szCs w:val="16"/>
        </w:rPr>
        <w:br/>
        <w:t xml:space="preserve">Indicator 16 [Mediations Held that Resulted in Agreements] needed targets set. The State had not set targets or reported data on this indicator because it had not reached an n-size of </w:t>
      </w:r>
      <w:proofErr w:type="gramStart"/>
      <w:r w:rsidRPr="00781112">
        <w:rPr>
          <w:rFonts w:cs="Arial"/>
          <w:color w:val="000000" w:themeColor="text1"/>
          <w:szCs w:val="16"/>
        </w:rPr>
        <w:t>10</w:t>
      </w:r>
      <w:proofErr w:type="gramEnd"/>
      <w:r w:rsidRPr="00781112">
        <w:rPr>
          <w:rFonts w:cs="Arial"/>
          <w:color w:val="000000" w:themeColor="text1"/>
          <w:szCs w:val="16"/>
        </w:rPr>
        <w:t xml:space="preserve"> medications held in one year for the past several years. This year there were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held, thus the need to set targets and report data. The original group of stakeholders utilized in FFY 2020 was used, a stakeholder meeting was held and input gathered.</w:t>
      </w:r>
      <w:r w:rsidRPr="00781112">
        <w:rPr>
          <w:rFonts w:cs="Arial"/>
          <w:color w:val="000000" w:themeColor="text1"/>
          <w:szCs w:val="16"/>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rFonts w:cs="Arial"/>
          <w:color w:val="000000" w:themeColor="text1"/>
          <w:szCs w:val="16"/>
        </w:rPr>
        <w:t>work</w:t>
      </w:r>
      <w:proofErr w:type="gramEnd"/>
      <w:r w:rsidRPr="00781112">
        <w:rPr>
          <w:rFonts w:cs="Arial"/>
          <w:color w:val="000000" w:themeColor="text1"/>
          <w:szCs w:val="16"/>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rFonts w:cs="Arial"/>
          <w:color w:val="000000" w:themeColor="text1"/>
          <w:szCs w:val="16"/>
        </w:rPr>
        <w:br/>
        <w:t xml:space="preserve">Also, for FFY 2021, stakeholders </w:t>
      </w:r>
      <w:proofErr w:type="gramStart"/>
      <w:r w:rsidRPr="00781112">
        <w:rPr>
          <w:rFonts w:cs="Arial"/>
          <w:color w:val="000000" w:themeColor="text1"/>
          <w:szCs w:val="16"/>
        </w:rPr>
        <w:t>were involved in</w:t>
      </w:r>
      <w:proofErr w:type="gramEnd"/>
      <w:r w:rsidRPr="00781112">
        <w:rPr>
          <w:rFonts w:cs="Arial"/>
          <w:color w:val="000000" w:themeColor="text1"/>
          <w:szCs w:val="16"/>
        </w:rPr>
        <w:t xml:space="preserve"> analyzing current data, evaluating progress, and giving input on improvement strategies. The WDE invited stakeholders to attend a comprehensive meeting in which all data points for each of the </w:t>
      </w:r>
      <w:proofErr w:type="gramStart"/>
      <w:r w:rsidRPr="00781112">
        <w:rPr>
          <w:rFonts w:cs="Arial"/>
          <w:color w:val="000000" w:themeColor="text1"/>
          <w:szCs w:val="16"/>
        </w:rPr>
        <w:t>17</w:t>
      </w:r>
      <w:proofErr w:type="gramEnd"/>
      <w:r w:rsidRPr="00781112">
        <w:rPr>
          <w:rFonts w:cs="Arial"/>
          <w:color w:val="000000" w:themeColor="text1"/>
          <w:szCs w:val="16"/>
        </w:rPr>
        <w:t xml:space="preserve"> indicators were explained, reviewed, and discussed. Data </w:t>
      </w:r>
      <w:proofErr w:type="gramStart"/>
      <w:r w:rsidRPr="00781112">
        <w:rPr>
          <w:rFonts w:cs="Arial"/>
          <w:color w:val="000000" w:themeColor="text1"/>
          <w:szCs w:val="16"/>
        </w:rPr>
        <w:t>was displayed</w:t>
      </w:r>
      <w:proofErr w:type="gramEnd"/>
      <w:r w:rsidRPr="00781112">
        <w:rPr>
          <w:rFonts w:cs="Arial"/>
          <w:color w:val="000000" w:themeColor="text1"/>
          <w:szCs w:val="16"/>
        </w:rPr>
        <w:t xml:space="preserve"> on how the State performed against the targets that were set the previous year. Targets were revisited to assess </w:t>
      </w:r>
      <w:proofErr w:type="gramStart"/>
      <w:r w:rsidRPr="00781112">
        <w:rPr>
          <w:rFonts w:cs="Arial"/>
          <w:color w:val="000000" w:themeColor="text1"/>
          <w:szCs w:val="16"/>
        </w:rPr>
        <w:t>whether or not</w:t>
      </w:r>
      <w:proofErr w:type="gramEnd"/>
      <w:r w:rsidRPr="00781112">
        <w:rPr>
          <w:rFonts w:cs="Arial"/>
          <w:color w:val="000000" w:themeColor="text1"/>
          <w:szCs w:val="16"/>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rFonts w:cs="Arial"/>
          <w:color w:val="000000" w:themeColor="text1"/>
          <w:szCs w:val="16"/>
        </w:rPr>
        <w:t>was sought</w:t>
      </w:r>
      <w:proofErr w:type="gramEnd"/>
      <w:r w:rsidRPr="00781112">
        <w:rPr>
          <w:rFonts w:cs="Arial"/>
          <w:color w:val="000000" w:themeColor="text1"/>
          <w:szCs w:val="16"/>
        </w:rPr>
        <w:t xml:space="preserve">. Materials </w:t>
      </w:r>
      <w:proofErr w:type="gramStart"/>
      <w:r w:rsidRPr="00781112">
        <w:rPr>
          <w:rFonts w:cs="Arial"/>
          <w:color w:val="000000" w:themeColor="text1"/>
          <w:szCs w:val="16"/>
        </w:rPr>
        <w:t>were provided</w:t>
      </w:r>
      <w:proofErr w:type="gramEnd"/>
      <w:r w:rsidRPr="00781112">
        <w:rPr>
          <w:rFonts w:cs="Arial"/>
          <w:color w:val="000000" w:themeColor="text1"/>
          <w:szCs w:val="16"/>
        </w:rPr>
        <w:t xml:space="preserve"> ahead of time to be embossed to Braille to a blind participant. </w:t>
      </w:r>
    </w:p>
    <w:p w14:paraId="5F0F979C" w14:textId="2A86F023" w:rsidR="000A2C83" w:rsidRPr="00781112" w:rsidRDefault="000A2C83" w:rsidP="000A2C83">
      <w:pPr>
        <w:rPr>
          <w:rFonts w:cs="Arial"/>
          <w:color w:val="000000" w:themeColor="text1"/>
          <w:szCs w:val="16"/>
        </w:rPr>
      </w:pP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lastRenderedPageBreak/>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2021</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83.33%</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2020</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8E31C4">
            <w:pPr>
              <w:jc w:val="center"/>
              <w:rPr>
                <w:rFonts w:cs="Arial"/>
                <w:color w:val="000000" w:themeColor="text1"/>
                <w:szCs w:val="16"/>
              </w:rPr>
            </w:pPr>
          </w:p>
        </w:tc>
        <w:tc>
          <w:tcPr>
            <w:tcW w:w="918" w:type="pct"/>
            <w:shd w:val="clear" w:color="auto" w:fill="auto"/>
          </w:tcPr>
          <w:p w14:paraId="72C59C65" w14:textId="44E721D8" w:rsidR="008E31C4" w:rsidRPr="00781112" w:rsidRDefault="008E31C4">
            <w:pPr>
              <w:jc w:val="center"/>
              <w:rPr>
                <w:rFonts w:cs="Arial"/>
                <w:color w:val="000000" w:themeColor="text1"/>
                <w:szCs w:val="16"/>
              </w:rPr>
            </w:pPr>
          </w:p>
        </w:tc>
        <w:tc>
          <w:tcPr>
            <w:tcW w:w="833" w:type="pct"/>
            <w:shd w:val="clear" w:color="auto" w:fill="auto"/>
            <w:vAlign w:val="center"/>
          </w:tcPr>
          <w:p w14:paraId="220DD5CA" w14:textId="720A36A7" w:rsidR="008E31C4" w:rsidRPr="00781112" w:rsidRDefault="008E31C4">
            <w:pPr>
              <w:jc w:val="center"/>
              <w:rPr>
                <w:rFonts w:cs="Arial"/>
                <w:color w:val="000000" w:themeColor="text1"/>
                <w:szCs w:val="16"/>
              </w:rPr>
            </w:pPr>
          </w:p>
        </w:tc>
        <w:tc>
          <w:tcPr>
            <w:tcW w:w="792" w:type="pct"/>
            <w:shd w:val="clear" w:color="auto" w:fill="auto"/>
            <w:vAlign w:val="center"/>
          </w:tcPr>
          <w:p w14:paraId="07CF6D0B" w14:textId="0CDFA70C" w:rsidR="008E31C4" w:rsidRPr="00781112" w:rsidRDefault="008E31C4">
            <w:pPr>
              <w:jc w:val="center"/>
              <w:rPr>
                <w:rFonts w:cs="Arial"/>
                <w:color w:val="000000" w:themeColor="text1"/>
                <w:szCs w:val="16"/>
              </w:rPr>
            </w:pPr>
          </w:p>
        </w:tc>
        <w:tc>
          <w:tcPr>
            <w:tcW w:w="875" w:type="pct"/>
            <w:shd w:val="clear" w:color="auto" w:fill="auto"/>
            <w:vAlign w:val="center"/>
          </w:tcPr>
          <w:p w14:paraId="3B96FD7D" w14:textId="7B182CEE" w:rsidR="008E31C4" w:rsidRPr="00781112" w:rsidRDefault="008E31C4">
            <w:pPr>
              <w:jc w:val="center"/>
              <w:rPr>
                <w:rFonts w:cs="Arial"/>
                <w:color w:val="000000" w:themeColor="text1"/>
                <w:szCs w:val="16"/>
              </w:rPr>
            </w:pP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80.00%</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tcBorders>
              <w:bottom w:val="single" w:sz="4" w:space="0" w:color="auto"/>
            </w:tcBorders>
            <w:shd w:val="clear" w:color="auto" w:fill="auto"/>
            <w:vAlign w:val="center"/>
          </w:tcPr>
          <w:p w14:paraId="09A5B408" w14:textId="4B0EB3D1" w:rsidR="008E31C4" w:rsidRPr="00781112" w:rsidRDefault="008E31C4">
            <w:pPr>
              <w:jc w:val="center"/>
              <w:rPr>
                <w:rFonts w:cs="Arial"/>
                <w:color w:val="000000" w:themeColor="text1"/>
                <w:szCs w:val="16"/>
              </w:rPr>
            </w:pP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4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3"/>
        <w:gridCol w:w="1684"/>
        <w:gridCol w:w="1683"/>
        <w:gridCol w:w="1683"/>
        <w:gridCol w:w="1683"/>
        <w:gridCol w:w="1683"/>
      </w:tblGrid>
      <w:tr w:rsidR="006D0A52" w:rsidRPr="00781112" w14:paraId="7D6724D3" w14:textId="3FE2AE32" w:rsidTr="006D0A52">
        <w:trPr>
          <w:trHeight w:val="161"/>
        </w:trPr>
        <w:tc>
          <w:tcPr>
            <w:tcW w:w="420" w:type="pct"/>
            <w:tcBorders>
              <w:bottom w:val="single" w:sz="4" w:space="0" w:color="auto"/>
            </w:tcBorders>
            <w:shd w:val="clear" w:color="auto" w:fill="auto"/>
          </w:tcPr>
          <w:p w14:paraId="027FBB7B" w14:textId="77777777" w:rsidR="006D0A52" w:rsidRPr="00781112" w:rsidRDefault="006D0A52" w:rsidP="00C91F30">
            <w:pPr>
              <w:jc w:val="center"/>
              <w:rPr>
                <w:b/>
                <w:color w:val="000000" w:themeColor="text1"/>
              </w:rPr>
            </w:pPr>
            <w:r w:rsidRPr="00781112">
              <w:rPr>
                <w:b/>
                <w:color w:val="000000" w:themeColor="text1"/>
              </w:rPr>
              <w:t>FFY</w:t>
            </w:r>
          </w:p>
        </w:tc>
        <w:tc>
          <w:tcPr>
            <w:tcW w:w="916" w:type="pct"/>
            <w:shd w:val="clear" w:color="auto" w:fill="auto"/>
          </w:tcPr>
          <w:p w14:paraId="79481979" w14:textId="1C95D22E" w:rsidR="006D0A52" w:rsidRPr="00781112" w:rsidRDefault="006D0A52" w:rsidP="00C91F30">
            <w:pPr>
              <w:jc w:val="center"/>
              <w:rPr>
                <w:b/>
                <w:color w:val="000000" w:themeColor="text1"/>
              </w:rPr>
            </w:pPr>
            <w:r w:rsidRPr="00781112">
              <w:rPr>
                <w:b/>
                <w:color w:val="000000" w:themeColor="text1"/>
              </w:rPr>
              <w:t>2021</w:t>
            </w:r>
          </w:p>
        </w:tc>
        <w:tc>
          <w:tcPr>
            <w:tcW w:w="916" w:type="pct"/>
          </w:tcPr>
          <w:p w14:paraId="7641993D" w14:textId="318DCACC" w:rsidR="006D0A52" w:rsidRPr="00781112" w:rsidRDefault="006D0A52" w:rsidP="00C91F30">
            <w:pPr>
              <w:jc w:val="center"/>
              <w:rPr>
                <w:b/>
                <w:color w:val="000000" w:themeColor="text1"/>
              </w:rPr>
            </w:pPr>
            <w:r w:rsidRPr="00781112">
              <w:rPr>
                <w:rFonts w:cs="Arial"/>
                <w:b/>
                <w:color w:val="000000" w:themeColor="text1"/>
                <w:szCs w:val="16"/>
              </w:rPr>
              <w:t>2022</w:t>
            </w:r>
          </w:p>
        </w:tc>
        <w:tc>
          <w:tcPr>
            <w:tcW w:w="916" w:type="pct"/>
          </w:tcPr>
          <w:p w14:paraId="4DA0BAA3" w14:textId="27A9B6F2" w:rsidR="006D0A52" w:rsidRPr="00781112" w:rsidRDefault="006D0A52" w:rsidP="00C91F30">
            <w:pPr>
              <w:jc w:val="center"/>
              <w:rPr>
                <w:b/>
                <w:color w:val="000000" w:themeColor="text1"/>
              </w:rPr>
            </w:pPr>
            <w:r w:rsidRPr="00781112">
              <w:rPr>
                <w:rFonts w:cs="Arial"/>
                <w:b/>
                <w:color w:val="000000" w:themeColor="text1"/>
                <w:szCs w:val="16"/>
              </w:rPr>
              <w:t>2023</w:t>
            </w:r>
          </w:p>
        </w:tc>
        <w:tc>
          <w:tcPr>
            <w:tcW w:w="916" w:type="pct"/>
          </w:tcPr>
          <w:p w14:paraId="2A24D443" w14:textId="34DC3CA7" w:rsidR="006D0A52" w:rsidRPr="00781112" w:rsidRDefault="006D0A52" w:rsidP="00C91F30">
            <w:pPr>
              <w:jc w:val="center"/>
              <w:rPr>
                <w:b/>
                <w:color w:val="000000" w:themeColor="text1"/>
              </w:rPr>
            </w:pPr>
            <w:r w:rsidRPr="00781112">
              <w:rPr>
                <w:rFonts w:cs="Arial"/>
                <w:b/>
                <w:color w:val="000000" w:themeColor="text1"/>
                <w:szCs w:val="16"/>
              </w:rPr>
              <w:t>2024</w:t>
            </w:r>
          </w:p>
        </w:tc>
        <w:tc>
          <w:tcPr>
            <w:tcW w:w="916" w:type="pct"/>
          </w:tcPr>
          <w:p w14:paraId="61EFC808" w14:textId="000FAB3D" w:rsidR="006D0A52" w:rsidRPr="00781112" w:rsidRDefault="006D0A52" w:rsidP="00C91F30">
            <w:pPr>
              <w:jc w:val="center"/>
              <w:rPr>
                <w:b/>
                <w:color w:val="000000" w:themeColor="text1"/>
              </w:rPr>
            </w:pPr>
            <w:r w:rsidRPr="00781112">
              <w:rPr>
                <w:rFonts w:cs="Arial"/>
                <w:b/>
                <w:color w:val="000000" w:themeColor="text1"/>
                <w:szCs w:val="16"/>
              </w:rPr>
              <w:t>2025</w:t>
            </w:r>
          </w:p>
        </w:tc>
      </w:tr>
      <w:tr w:rsidR="006D0A52" w:rsidRPr="00781112" w14:paraId="3CA53C0F" w14:textId="2DEE5BE6" w:rsidTr="006D0A52">
        <w:trPr>
          <w:trHeight w:val="60"/>
        </w:trPr>
        <w:tc>
          <w:tcPr>
            <w:tcW w:w="420" w:type="pct"/>
            <w:shd w:val="clear" w:color="auto" w:fill="auto"/>
          </w:tcPr>
          <w:p w14:paraId="78FC9CAC" w14:textId="6980A1CA" w:rsidR="006D0A52" w:rsidRPr="00781112" w:rsidRDefault="006D0A52" w:rsidP="00C91F30">
            <w:pPr>
              <w:jc w:val="center"/>
              <w:rPr>
                <w:rFonts w:cs="Arial"/>
                <w:color w:val="000000" w:themeColor="text1"/>
                <w:szCs w:val="16"/>
              </w:rPr>
            </w:pPr>
            <w:r w:rsidRPr="00781112">
              <w:rPr>
                <w:rFonts w:cs="Arial"/>
                <w:color w:val="000000" w:themeColor="text1"/>
                <w:szCs w:val="16"/>
              </w:rPr>
              <w:t>Target &gt;=</w:t>
            </w:r>
          </w:p>
        </w:tc>
        <w:tc>
          <w:tcPr>
            <w:tcW w:w="916" w:type="pct"/>
            <w:shd w:val="clear" w:color="auto" w:fill="auto"/>
            <w:vAlign w:val="center"/>
          </w:tcPr>
          <w:p w14:paraId="0E137397" w14:textId="06CBC1FD" w:rsidR="006D0A52" w:rsidRPr="00781112" w:rsidRDefault="006D0A52" w:rsidP="00C91F30">
            <w:pPr>
              <w:jc w:val="center"/>
              <w:rPr>
                <w:rFonts w:cs="Arial"/>
                <w:color w:val="000000" w:themeColor="text1"/>
                <w:szCs w:val="16"/>
              </w:rPr>
            </w:pPr>
            <w:r w:rsidRPr="00781112">
              <w:rPr>
                <w:rFonts w:cs="Arial"/>
                <w:color w:val="000000" w:themeColor="text1"/>
                <w:szCs w:val="16"/>
              </w:rPr>
              <w:t>74.00%</w:t>
            </w:r>
          </w:p>
        </w:tc>
        <w:tc>
          <w:tcPr>
            <w:tcW w:w="916" w:type="pct"/>
          </w:tcPr>
          <w:p w14:paraId="2C484D83" w14:textId="77BCE060" w:rsidR="006D0A52" w:rsidRPr="00781112" w:rsidRDefault="006D0A52" w:rsidP="00C91F30">
            <w:pPr>
              <w:jc w:val="center"/>
              <w:rPr>
                <w:rFonts w:cs="Arial"/>
                <w:color w:val="000000" w:themeColor="text1"/>
                <w:szCs w:val="16"/>
              </w:rPr>
            </w:pPr>
            <w:r w:rsidRPr="00781112">
              <w:rPr>
                <w:color w:val="000000" w:themeColor="text1"/>
                <w:szCs w:val="16"/>
              </w:rPr>
              <w:t>74.00%</w:t>
            </w:r>
          </w:p>
        </w:tc>
        <w:tc>
          <w:tcPr>
            <w:tcW w:w="916" w:type="pct"/>
          </w:tcPr>
          <w:p w14:paraId="6CD274F3" w14:textId="076582AE" w:rsidR="006D0A52" w:rsidRPr="00781112" w:rsidRDefault="006D0A52" w:rsidP="00C91F30">
            <w:pPr>
              <w:jc w:val="center"/>
              <w:rPr>
                <w:rFonts w:cs="Arial"/>
                <w:color w:val="000000" w:themeColor="text1"/>
                <w:szCs w:val="16"/>
              </w:rPr>
            </w:pPr>
            <w:r w:rsidRPr="00781112">
              <w:rPr>
                <w:color w:val="000000" w:themeColor="text1"/>
                <w:szCs w:val="16"/>
              </w:rPr>
              <w:t>74.00%</w:t>
            </w:r>
          </w:p>
        </w:tc>
        <w:tc>
          <w:tcPr>
            <w:tcW w:w="916" w:type="pct"/>
          </w:tcPr>
          <w:p w14:paraId="60DD90BA" w14:textId="5816204A" w:rsidR="006D0A52" w:rsidRPr="00781112" w:rsidRDefault="006D0A52" w:rsidP="00C91F30">
            <w:pPr>
              <w:jc w:val="center"/>
              <w:rPr>
                <w:rFonts w:cs="Arial"/>
                <w:color w:val="000000" w:themeColor="text1"/>
                <w:szCs w:val="16"/>
              </w:rPr>
            </w:pPr>
            <w:r w:rsidRPr="00781112">
              <w:rPr>
                <w:color w:val="000000" w:themeColor="text1"/>
                <w:szCs w:val="16"/>
              </w:rPr>
              <w:t>74.00%</w:t>
            </w:r>
          </w:p>
        </w:tc>
        <w:tc>
          <w:tcPr>
            <w:tcW w:w="916" w:type="pct"/>
          </w:tcPr>
          <w:p w14:paraId="2F06128D" w14:textId="63E3880D" w:rsidR="006D0A52" w:rsidRPr="00781112" w:rsidRDefault="006D0A52" w:rsidP="00C91F30">
            <w:pPr>
              <w:jc w:val="center"/>
              <w:rPr>
                <w:rFonts w:cs="Arial"/>
                <w:color w:val="000000" w:themeColor="text1"/>
                <w:szCs w:val="16"/>
              </w:rPr>
            </w:pPr>
            <w:r w:rsidRPr="00781112">
              <w:rPr>
                <w:color w:val="000000" w:themeColor="text1"/>
                <w:szCs w:val="16"/>
              </w:rPr>
              <w:t>74.00%</w:t>
            </w:r>
          </w:p>
        </w:tc>
      </w:tr>
    </w:tbl>
    <w:p w14:paraId="3BC65958" w14:textId="77777777" w:rsidR="00DA3157" w:rsidRPr="00781112" w:rsidRDefault="00DA3157" w:rsidP="004369B2">
      <w:pPr>
        <w:rPr>
          <w:color w:val="000000" w:themeColor="text1"/>
        </w:rPr>
      </w:pPr>
    </w:p>
    <w:p w14:paraId="29FDEA16" w14:textId="333AA980" w:rsidR="008E31C4" w:rsidRPr="00781112" w:rsidRDefault="0047313F">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B21923" w:rsidRPr="00781112" w14:paraId="30B18EC1" w14:textId="77777777" w:rsidTr="0033429D">
        <w:trPr>
          <w:trHeight w:val="354"/>
          <w:tblHeader/>
        </w:trPr>
        <w:tc>
          <w:tcPr>
            <w:tcW w:w="666" w:type="pct"/>
            <w:shd w:val="clear" w:color="auto" w:fill="auto"/>
          </w:tcPr>
          <w:p w14:paraId="2285C16D" w14:textId="593BA89E" w:rsidR="00B21923" w:rsidRPr="00781112" w:rsidRDefault="00B21923" w:rsidP="00B21923">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B21923" w:rsidRPr="00781112" w:rsidRDefault="00B21923" w:rsidP="00B21923">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B21923" w:rsidRPr="00781112" w:rsidRDefault="00B21923" w:rsidP="00B21923">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6C8561F3" w:rsidR="00B21923" w:rsidRPr="006D0A52" w:rsidRDefault="00B21923" w:rsidP="00B21923">
            <w:pPr>
              <w:jc w:val="center"/>
              <w:rPr>
                <w:rFonts w:cs="Arial"/>
                <w:b/>
                <w:bCs/>
                <w:color w:val="000000" w:themeColor="text1"/>
                <w:szCs w:val="16"/>
              </w:rPr>
            </w:pPr>
            <w:r w:rsidRPr="006D0A52">
              <w:rPr>
                <w:b/>
                <w:bCs/>
              </w:rPr>
              <w:t>FFY 2020 Data</w:t>
            </w:r>
          </w:p>
        </w:tc>
        <w:tc>
          <w:tcPr>
            <w:tcW w:w="760" w:type="pct"/>
            <w:shd w:val="clear" w:color="auto" w:fill="auto"/>
            <w:vAlign w:val="bottom"/>
          </w:tcPr>
          <w:p w14:paraId="76531DBA" w14:textId="540B87EF" w:rsidR="00B21923" w:rsidRPr="006D0A52" w:rsidRDefault="00B21923" w:rsidP="00B21923">
            <w:pPr>
              <w:jc w:val="center"/>
              <w:rPr>
                <w:rFonts w:cs="Arial"/>
                <w:b/>
                <w:bCs/>
                <w:color w:val="000000" w:themeColor="text1"/>
                <w:szCs w:val="16"/>
              </w:rPr>
            </w:pPr>
            <w:r w:rsidRPr="006D0A52">
              <w:rPr>
                <w:b/>
                <w:bCs/>
              </w:rPr>
              <w:t>FFY 2021 Target</w:t>
            </w:r>
          </w:p>
        </w:tc>
        <w:tc>
          <w:tcPr>
            <w:tcW w:w="598" w:type="pct"/>
            <w:shd w:val="clear" w:color="auto" w:fill="auto"/>
            <w:vAlign w:val="bottom"/>
          </w:tcPr>
          <w:p w14:paraId="6DA84C86" w14:textId="596AC1F3" w:rsidR="00B21923" w:rsidRPr="006D0A52" w:rsidRDefault="00B21923" w:rsidP="00B21923">
            <w:pPr>
              <w:jc w:val="center"/>
              <w:rPr>
                <w:rFonts w:cs="Arial"/>
                <w:b/>
                <w:bCs/>
                <w:color w:val="000000" w:themeColor="text1"/>
                <w:szCs w:val="16"/>
              </w:rPr>
            </w:pPr>
            <w:r w:rsidRPr="006D0A52">
              <w:rPr>
                <w:b/>
                <w:bCs/>
              </w:rPr>
              <w:t>FFY 2021 Data</w:t>
            </w:r>
          </w:p>
        </w:tc>
        <w:tc>
          <w:tcPr>
            <w:tcW w:w="582" w:type="pct"/>
            <w:shd w:val="clear" w:color="auto" w:fill="auto"/>
            <w:vAlign w:val="bottom"/>
          </w:tcPr>
          <w:p w14:paraId="6C8C9681"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B21923" w:rsidRPr="00781112" w:rsidRDefault="00B21923" w:rsidP="00B21923">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3</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513" w:type="pct"/>
            <w:shd w:val="clear" w:color="auto" w:fill="auto"/>
          </w:tcPr>
          <w:p w14:paraId="466ED6BC" w14:textId="5349E9C8" w:rsidR="00ED71A6" w:rsidRPr="00781112" w:rsidRDefault="00ED71A6" w:rsidP="004369B2">
            <w:pPr>
              <w:jc w:val="center"/>
              <w:rPr>
                <w:rFonts w:cs="Arial"/>
                <w:color w:val="000000" w:themeColor="text1"/>
                <w:szCs w:val="16"/>
              </w:rPr>
            </w:pP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74.00%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83.33%</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Stakeholders have indicated a target of 74% is appropriate for this indicator.</w:t>
      </w:r>
      <w:r w:rsidRPr="00781112">
        <w:rPr>
          <w:rFonts w:cs="Arial"/>
          <w:color w:val="000000" w:themeColor="text1"/>
          <w:szCs w:val="16"/>
        </w:rPr>
        <w:br/>
        <w:t xml:space="preserve">In FFY2021 the State held </w:t>
      </w:r>
      <w:proofErr w:type="gramStart"/>
      <w:r w:rsidRPr="00781112">
        <w:rPr>
          <w:rFonts w:cs="Arial"/>
          <w:color w:val="000000" w:themeColor="text1"/>
          <w:szCs w:val="16"/>
        </w:rPr>
        <w:t>12</w:t>
      </w:r>
      <w:proofErr w:type="gramEnd"/>
      <w:r w:rsidRPr="00781112">
        <w:rPr>
          <w:rFonts w:cs="Arial"/>
          <w:color w:val="000000" w:themeColor="text1"/>
          <w:szCs w:val="16"/>
        </w:rPr>
        <w:t xml:space="preserve"> mediations and thus, exceeded the n-size of 10 for the first time in several years. In FFY2020, the WDE did a national search for a qualified dispute resolution coordinator and hired </w:t>
      </w:r>
      <w:proofErr w:type="gramStart"/>
      <w:r w:rsidRPr="00781112">
        <w:rPr>
          <w:rFonts w:cs="Arial"/>
          <w:color w:val="000000" w:themeColor="text1"/>
          <w:szCs w:val="16"/>
        </w:rPr>
        <w:t>an</w:t>
      </w:r>
      <w:proofErr w:type="gramEnd"/>
      <w:r w:rsidRPr="00781112">
        <w:rPr>
          <w:rFonts w:cs="Arial"/>
          <w:color w:val="000000" w:themeColor="text1"/>
          <w:szCs w:val="16"/>
        </w:rPr>
        <w:t xml:space="preserve"> highly qualified, experienced coordinator from the state of Illinois. This person has completely overhauled Wyoming's dispute resolution (DR) processes to be a highly effective and responsive system. DR data now fully informs the general supervision and monitoring work, as well as helps drive TA and PD in our state. Within this new system, the coordinator has made filing a state complaint or requesting a mediation session more accessible to parents and in formats that are easier to understand. The WDE sees the increase in mediation NOT as districts are not providing FAPE in more instances, but that parents across Wyoming are better informed and the process to engage in resolving disputes is a less difficult and cumbersome process. Training to inform parents has been, and will continue to be, implemented in various regions across the state.</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2021, and OSEP accepts that revision.</w:t>
      </w:r>
      <w:r w:rsidRPr="00781112">
        <w:rPr>
          <w:rFonts w:cs="Arial"/>
          <w:color w:val="000000" w:themeColor="text1"/>
          <w:szCs w:val="16"/>
        </w:rPr>
        <w:br/>
      </w:r>
      <w:r w:rsidRPr="00781112">
        <w:rPr>
          <w:rFonts w:cs="Arial"/>
          <w:color w:val="000000" w:themeColor="text1"/>
          <w:szCs w:val="16"/>
        </w:rPr>
        <w:br/>
        <w:t>The State provided FFY 2021-2025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w:t>
      </w:r>
      <w:proofErr w:type="gramStart"/>
      <w:r w:rsidRPr="00781112">
        <w:t>percentage</w:t>
      </w:r>
      <w:proofErr w:type="gramEnd"/>
      <w:r w:rsidRPr="00781112">
        <w:t xml:space="preserve"> and which is aligned with the State-identified Measurable Result(s) for </w:t>
      </w:r>
      <w:r w:rsidR="00B00A11" w:rsidRPr="00781112">
        <w:rPr>
          <w:rFonts w:cs="Arial"/>
          <w:szCs w:val="16"/>
        </w:rPr>
        <w:t>Children with Disabilities.</w:t>
      </w:r>
    </w:p>
    <w:p w14:paraId="200B44A4" w14:textId="1EC5E359"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 xml:space="preserve">In its </w:t>
      </w:r>
      <w:r w:rsidR="0047313F">
        <w:rPr>
          <w:rFonts w:cs="Arial"/>
          <w:szCs w:val="16"/>
        </w:rPr>
        <w:t xml:space="preserve">FFY 2021 SPP/APR, due </w:t>
      </w:r>
      <w:r w:rsidR="00AD1B29">
        <w:rPr>
          <w:rFonts w:cs="Arial"/>
          <w:szCs w:val="16"/>
        </w:rPr>
        <w:t>February 1, 2023</w:t>
      </w:r>
      <w:r w:rsidR="00E101A7" w:rsidRPr="00781112">
        <w:rPr>
          <w:rFonts w:cs="Arial"/>
          <w:szCs w:val="16"/>
        </w:rPr>
        <w:t xml:space="preserve">, the State must provide measurable and rigorous targets (expressed as percentages) for each of the six years from FFY </w:t>
      </w:r>
      <w:r w:rsidR="00B21923" w:rsidRPr="00781112">
        <w:rPr>
          <w:rFonts w:cs="Arial"/>
          <w:szCs w:val="16"/>
        </w:rPr>
        <w:t>202</w:t>
      </w:r>
      <w:r w:rsidR="00B21923">
        <w:rPr>
          <w:rFonts w:cs="Arial"/>
          <w:szCs w:val="16"/>
        </w:rPr>
        <w:t>1</w:t>
      </w:r>
      <w:r w:rsidR="00B21923" w:rsidRPr="00781112">
        <w:rPr>
          <w:rFonts w:cs="Arial"/>
          <w:szCs w:val="16"/>
        </w:rPr>
        <w:t xml:space="preserve"> </w:t>
      </w:r>
      <w:r w:rsidR="00E101A7" w:rsidRPr="00781112">
        <w:rPr>
          <w:rFonts w:cs="Arial"/>
          <w:szCs w:val="16"/>
        </w:rPr>
        <w:t>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r w:rsidR="00404B50">
        <w:rPr>
          <w:rFonts w:cs="Arial"/>
          <w:szCs w:val="16"/>
        </w:rPr>
        <w:t xml:space="preserve"> </w:t>
      </w:r>
    </w:p>
    <w:p w14:paraId="6B54FC53" w14:textId="00B83E5E"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 xml:space="preserve">through FFY 2025 SPPs/APRs, due </w:t>
      </w:r>
      <w:r w:rsidR="00AD1B29">
        <w:rPr>
          <w:rFonts w:cs="Arial"/>
          <w:szCs w:val="16"/>
        </w:rPr>
        <w:t>February 1, 2023</w:t>
      </w:r>
      <w:r w:rsidR="00B00A11" w:rsidRPr="00781112">
        <w:rPr>
          <w:rFonts w:cs="Arial"/>
          <w:szCs w:val="16"/>
        </w:rPr>
        <w:t>, the State must provide updated data for that specific FFY (expressed as percentages</w:t>
      </w:r>
      <w:proofErr w:type="gramStart"/>
      <w:r w:rsidR="00B00A11" w:rsidRPr="00781112">
        <w:rPr>
          <w:rFonts w:cs="Arial"/>
          <w:szCs w:val="16"/>
        </w:rPr>
        <w:t>)</w:t>
      </w:r>
      <w:proofErr w:type="gramEnd"/>
      <w:r w:rsidR="00B00A11" w:rsidRPr="00781112">
        <w:rPr>
          <w:rFonts w:cs="Arial"/>
          <w:szCs w:val="16"/>
        </w:rPr>
        <w:t xml:space="preserve"> and that data must be aligned with the State-identified Measurable Result(s) for Children with Disabilities. In its FFYs </w:t>
      </w:r>
      <w:r w:rsidR="00B21923" w:rsidRPr="00781112">
        <w:rPr>
          <w:rFonts w:cs="Arial"/>
          <w:szCs w:val="16"/>
        </w:rPr>
        <w:t>202</w:t>
      </w:r>
      <w:r w:rsidR="00B21923">
        <w:rPr>
          <w:rFonts w:cs="Arial"/>
          <w:szCs w:val="16"/>
        </w:rPr>
        <w:t>1</w:t>
      </w:r>
      <w:r w:rsidR="00B21923" w:rsidRPr="00781112">
        <w:rPr>
          <w:rFonts w:cs="Arial"/>
          <w:szCs w:val="16"/>
        </w:rPr>
        <w:t xml:space="preserve"> </w:t>
      </w:r>
      <w:r w:rsidR="00B00A11" w:rsidRPr="00781112">
        <w:rPr>
          <w:rFonts w:cs="Arial"/>
          <w:szCs w:val="16"/>
        </w:rPr>
        <w:t>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 xml:space="preserve">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w:t>
      </w:r>
      <w:proofErr w:type="gramStart"/>
      <w:r w:rsidRPr="00781112">
        <w:rPr>
          <w:rFonts w:cs="Arial"/>
          <w:szCs w:val="16"/>
        </w:rPr>
        <w:t>be included</w:t>
      </w:r>
      <w:proofErr w:type="gramEnd"/>
      <w:r w:rsidRPr="00781112">
        <w:rPr>
          <w:rFonts w:cs="Arial"/>
          <w:szCs w:val="16"/>
        </w:rPr>
        <w:t xml:space="preserve">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 xml:space="preserve">Phase III should only include information from Phase I or Phase II if </w:t>
      </w:r>
      <w:proofErr w:type="gramStart"/>
      <w:r w:rsidRPr="00781112">
        <w:t>changes or revisions are being made by the State</w:t>
      </w:r>
      <w:proofErr w:type="gramEnd"/>
      <w:r w:rsidRPr="00781112">
        <w:t xml:space="preserv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148D91BE" w:rsidR="000063AC" w:rsidRPr="00781112" w:rsidRDefault="000063AC" w:rsidP="000063AC">
      <w:pPr>
        <w:rPr>
          <w:rFonts w:cs="Arial"/>
          <w:szCs w:val="16"/>
        </w:rPr>
      </w:pPr>
      <w:r w:rsidRPr="00781112">
        <w:rPr>
          <w:rFonts w:cs="Arial"/>
          <w:szCs w:val="16"/>
        </w:rPr>
        <w:t xml:space="preserve">As required in the Instructions for the Indicator/Measurement, in its FFYs 2021 through 2025 SPP/APR, the State must report data for that specific FFY (expressed as actual numbers and percentages) that </w:t>
      </w:r>
      <w:proofErr w:type="gramStart"/>
      <w:r w:rsidRPr="00781112">
        <w:rPr>
          <w:rFonts w:cs="Arial"/>
          <w:szCs w:val="16"/>
        </w:rPr>
        <w:t>are aligned</w:t>
      </w:r>
      <w:proofErr w:type="gramEnd"/>
      <w:r w:rsidRPr="00781112">
        <w:rPr>
          <w:rFonts w:cs="Arial"/>
          <w:szCs w:val="16"/>
        </w:rPr>
        <w:t xml:space="preserve"> with the SiMR. The State must report on whether the State met its target. In addition, the State may report on any additional data (e.g., progress monitoring data) that </w:t>
      </w:r>
      <w:proofErr w:type="gramStart"/>
      <w:r w:rsidRPr="00781112">
        <w:rPr>
          <w:rFonts w:cs="Arial"/>
          <w:szCs w:val="16"/>
        </w:rPr>
        <w:t>were collected</w:t>
      </w:r>
      <w:proofErr w:type="gramEnd"/>
      <w:r w:rsidRPr="00781112">
        <w:rPr>
          <w:rFonts w:cs="Arial"/>
          <w:szCs w:val="16"/>
        </w:rPr>
        <w:t xml:space="preserve"> and analyzed that would suggest progress toward the SiMR. States using a subset of the population from the indicator (e.g., a sample, cohort model) should describe how data </w:t>
      </w:r>
      <w:proofErr w:type="gramStart"/>
      <w:r w:rsidRPr="00781112">
        <w:rPr>
          <w:rFonts w:cs="Arial"/>
          <w:szCs w:val="16"/>
        </w:rPr>
        <w:t>are collected</w:t>
      </w:r>
      <w:proofErr w:type="gramEnd"/>
      <w:r w:rsidRPr="00781112">
        <w:rPr>
          <w:rFonts w:cs="Arial"/>
          <w:szCs w:val="16"/>
        </w:rPr>
        <w:t xml:space="preserve">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161CEC9C" w:rsidR="00AE1972" w:rsidRPr="00781112" w:rsidRDefault="00AE1972" w:rsidP="00AE1972">
      <w:r w:rsidRPr="00781112">
        <w:t xml:space="preserve">The State must provide a narrative or graphic representation, e.g., a logic model, of the principal activities, measures and outcomes that </w:t>
      </w:r>
      <w:proofErr w:type="gramStart"/>
      <w:r w:rsidRPr="00781112">
        <w:t>were implemented</w:t>
      </w:r>
      <w:proofErr w:type="gramEnd"/>
      <w:r w:rsidRPr="00781112">
        <w:t xml:space="preserve"> since the State’s last SSIP submission (i.e., </w:t>
      </w:r>
      <w:r w:rsidR="00F302A0" w:rsidRPr="00781112">
        <w:t>Feb</w:t>
      </w:r>
      <w:r w:rsidRPr="00781112">
        <w:t xml:space="preserve"> </w:t>
      </w:r>
      <w:r w:rsidR="00B21923" w:rsidRPr="00781112">
        <w:t>202</w:t>
      </w:r>
      <w:r w:rsidR="00B21923">
        <w:t>2</w:t>
      </w:r>
      <w:r w:rsidRPr="00781112">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1DB24C7F" w:rsidR="00AE1972" w:rsidRPr="00781112" w:rsidRDefault="00AE1972" w:rsidP="00AE1972">
      <w:r w:rsidRPr="00781112">
        <w:t xml:space="preserve">The State must summarize the infrastructure improvement strategies that </w:t>
      </w:r>
      <w:proofErr w:type="gramStart"/>
      <w:r w:rsidRPr="00781112">
        <w:t>were implemented</w:t>
      </w:r>
      <w:proofErr w:type="gramEnd"/>
      <w:r w:rsidRPr="00781112">
        <w:t xml:space="preserve">,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w:t>
      </w:r>
      <w:r w:rsidR="00B21923">
        <w:rPr>
          <w:rFonts w:cs="Arial"/>
          <w:szCs w:val="16"/>
        </w:rPr>
        <w:t>for the FFY 2021 APR, report on anticipated outcomes to be obtained during FFY 2022, i.e., July 1, 2022-June 30, 2023for the FFY 2021 APR, report on anticipated outcomes to be obtained during FFY 2022, i.e., July 1, 2022-June 30, 2023</w:t>
      </w:r>
      <w:r w:rsidR="00B21923" w:rsidRPr="00651E83">
        <w:rPr>
          <w:rFonts w:cs="Arial"/>
          <w:szCs w:val="16"/>
        </w:rPr>
        <w:t>).</w:t>
      </w:r>
      <w:r w:rsidRPr="00781112">
        <w:t>).</w:t>
      </w:r>
    </w:p>
    <w:p w14:paraId="6198E1D5" w14:textId="77777777" w:rsidR="00AE1972" w:rsidRPr="00781112" w:rsidRDefault="00AE1972" w:rsidP="00AE1972">
      <w:r w:rsidRPr="00781112">
        <w:t xml:space="preserve">The State must summarize the specific evidence-based practices that </w:t>
      </w:r>
      <w:proofErr w:type="gramStart"/>
      <w:r w:rsidRPr="00781112">
        <w:t>were implemented</w:t>
      </w:r>
      <w:proofErr w:type="gramEnd"/>
      <w:r w:rsidRPr="00781112">
        <w:t xml:space="preserve"> and the strategies or activities that supported their selection and ensured their use with fidelity. Describe how the evidence-based practices, and activities or strategies that support their use, </w:t>
      </w:r>
      <w:proofErr w:type="gramStart"/>
      <w:r w:rsidRPr="00781112">
        <w:t>are intended</w:t>
      </w:r>
      <w:proofErr w:type="gramEnd"/>
      <w:r w:rsidRPr="00781112">
        <w:t xml:space="preserve"> to impact the SiMR by changing program/district policies, procedures, and/or practices, teacher/provider practices (i.e., behaviors), parent/caregiver outcomes, </w:t>
      </w:r>
      <w:r w:rsidRPr="00781112">
        <w:lastRenderedPageBreak/>
        <w:t xml:space="preserve">and/or child outcomes. Describe any additional data (i.e., progress monitoring data) that </w:t>
      </w:r>
      <w:proofErr w:type="gramStart"/>
      <w:r w:rsidRPr="00781112">
        <w:t>was collected</w:t>
      </w:r>
      <w:proofErr w:type="gramEnd"/>
      <w:r w:rsidRPr="00781112">
        <w:t xml:space="preserve">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5C2D5ECE" w:rsidR="00AE1972" w:rsidRPr="00781112" w:rsidRDefault="00AE1972" w:rsidP="00AE1972">
      <w:r w:rsidRPr="00781112">
        <w:t xml:space="preserve">The State should identify any activities not already described that it intends to implement in the next fiscal year (e.g., </w:t>
      </w:r>
      <w:r w:rsidR="00B21923">
        <w:rPr>
          <w:rFonts w:cs="Arial"/>
          <w:szCs w:val="16"/>
        </w:rPr>
        <w:t>for the FFY 2021 APR, report on activities it intends to implement in FFY 2022, i.e., July 1, 2022-June 30, 2023for the FFY 2021 APR, report on activities it intends to implement in FFY 2022, i.e., July 1, 2022-June 30, 2023</w:t>
      </w:r>
      <w:r w:rsidR="00B21923" w:rsidRPr="00651E83">
        <w:rPr>
          <w:rFonts w:cs="Arial"/>
          <w:szCs w:val="16"/>
        </w:rPr>
        <w:t>)</w:t>
      </w:r>
      <w:r w:rsidRPr="00781112">
        <w:t>)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The percentage of third grade students with disabilities will increase their state test reading proficiency from 23.63% in 2017-18 to 29.00% in 2025-26</w:t>
      </w:r>
    </w:p>
    <w:p w14:paraId="43CABCA3" w14:textId="77777777" w:rsidR="00AE1972" w:rsidRPr="00781112" w:rsidRDefault="00AE1972" w:rsidP="00AE1972">
      <w:pPr>
        <w:rPr>
          <w:b/>
          <w:bCs/>
        </w:rPr>
      </w:pPr>
      <w:bookmarkStart w:id="92" w:name="_Hlk85195358"/>
      <w:r w:rsidRPr="00781112">
        <w:rPr>
          <w:b/>
          <w:bCs/>
        </w:rPr>
        <w:t>Has the SiMR changed since the last SSIP submission? (yes/no)</w:t>
      </w:r>
    </w:p>
    <w:p w14:paraId="53B392AE" w14:textId="5D60E4A2" w:rsidR="00AE1972" w:rsidRDefault="00AE1972" w:rsidP="00AE1972">
      <w:r w:rsidRPr="00781112">
        <w:t>NO</w:t>
      </w:r>
    </w:p>
    <w:bookmarkEnd w:id="92"/>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Third grade students with disabilities.</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 xml:space="preserve">https://wyominginstructionalnetwork.com/wp-content/uploads/2023/01/AppxA_WYSSIPTOA.pdf </w:t>
      </w:r>
    </w:p>
    <w:p w14:paraId="4736A5D8" w14:textId="1685348D" w:rsidR="00CF0910" w:rsidRDefault="00CF0910" w:rsidP="00A202E9"/>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2017</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23.63%</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4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5"/>
        <w:gridCol w:w="1665"/>
        <w:gridCol w:w="1665"/>
        <w:gridCol w:w="1661"/>
      </w:tblGrid>
      <w:tr w:rsidR="004158DD" w:rsidRPr="00781112" w14:paraId="6151B608" w14:textId="77777777" w:rsidTr="00451D7E">
        <w:trPr>
          <w:trHeight w:val="360"/>
        </w:trPr>
        <w:tc>
          <w:tcPr>
            <w:tcW w:w="442" w:type="pct"/>
            <w:tcBorders>
              <w:bottom w:val="single" w:sz="4" w:space="0" w:color="auto"/>
            </w:tcBorders>
            <w:shd w:val="clear" w:color="auto" w:fill="auto"/>
          </w:tcPr>
          <w:p w14:paraId="6F2EC278" w14:textId="77777777" w:rsidR="004158DD" w:rsidRPr="00781112" w:rsidRDefault="004158DD" w:rsidP="00FE5C1F">
            <w:pPr>
              <w:jc w:val="center"/>
              <w:rPr>
                <w:b/>
                <w:color w:val="000000" w:themeColor="text1"/>
              </w:rPr>
            </w:pPr>
            <w:r w:rsidRPr="00781112">
              <w:rPr>
                <w:b/>
                <w:color w:val="000000" w:themeColor="text1"/>
              </w:rPr>
              <w:t>FFY</w:t>
            </w:r>
          </w:p>
        </w:tc>
        <w:tc>
          <w:tcPr>
            <w:tcW w:w="912" w:type="pct"/>
            <w:shd w:val="clear" w:color="auto" w:fill="auto"/>
            <w:vAlign w:val="center"/>
          </w:tcPr>
          <w:p w14:paraId="6FE75FC4" w14:textId="77777777" w:rsidR="004158DD" w:rsidRPr="00781112" w:rsidRDefault="004158DD" w:rsidP="00FE5C1F">
            <w:pPr>
              <w:jc w:val="center"/>
              <w:rPr>
                <w:b/>
                <w:color w:val="000000" w:themeColor="text1"/>
              </w:rPr>
            </w:pPr>
            <w:r w:rsidRPr="00781112">
              <w:rPr>
                <w:b/>
                <w:color w:val="000000" w:themeColor="text1"/>
              </w:rPr>
              <w:t>2021</w:t>
            </w:r>
          </w:p>
        </w:tc>
        <w:tc>
          <w:tcPr>
            <w:tcW w:w="912" w:type="pct"/>
          </w:tcPr>
          <w:p w14:paraId="1A51CAE1" w14:textId="77777777" w:rsidR="004158DD" w:rsidRPr="00781112" w:rsidRDefault="004158DD" w:rsidP="00FE5C1F">
            <w:pPr>
              <w:jc w:val="center"/>
              <w:rPr>
                <w:b/>
                <w:color w:val="000000" w:themeColor="text1"/>
              </w:rPr>
            </w:pPr>
            <w:r w:rsidRPr="00781112">
              <w:rPr>
                <w:rFonts w:cs="Arial"/>
                <w:b/>
                <w:color w:val="000000" w:themeColor="text1"/>
                <w:szCs w:val="16"/>
              </w:rPr>
              <w:t>2022</w:t>
            </w:r>
          </w:p>
        </w:tc>
        <w:tc>
          <w:tcPr>
            <w:tcW w:w="912" w:type="pct"/>
          </w:tcPr>
          <w:p w14:paraId="4EE0EA23" w14:textId="77777777" w:rsidR="004158DD" w:rsidRPr="00781112" w:rsidRDefault="004158DD" w:rsidP="00FE5C1F">
            <w:pPr>
              <w:jc w:val="center"/>
              <w:rPr>
                <w:b/>
                <w:color w:val="000000" w:themeColor="text1"/>
              </w:rPr>
            </w:pPr>
            <w:r w:rsidRPr="00781112">
              <w:rPr>
                <w:rFonts w:cs="Arial"/>
                <w:b/>
                <w:color w:val="000000" w:themeColor="text1"/>
                <w:szCs w:val="16"/>
              </w:rPr>
              <w:t>2023</w:t>
            </w:r>
          </w:p>
        </w:tc>
        <w:tc>
          <w:tcPr>
            <w:tcW w:w="912" w:type="pct"/>
          </w:tcPr>
          <w:p w14:paraId="258316BC" w14:textId="77777777" w:rsidR="004158DD" w:rsidRPr="00781112" w:rsidRDefault="004158DD" w:rsidP="00FE5C1F">
            <w:pPr>
              <w:jc w:val="center"/>
              <w:rPr>
                <w:b/>
                <w:color w:val="000000" w:themeColor="text1"/>
              </w:rPr>
            </w:pPr>
            <w:r w:rsidRPr="00781112">
              <w:rPr>
                <w:rFonts w:cs="Arial"/>
                <w:b/>
                <w:color w:val="000000" w:themeColor="text1"/>
                <w:szCs w:val="16"/>
              </w:rPr>
              <w:t>2024</w:t>
            </w:r>
          </w:p>
        </w:tc>
        <w:tc>
          <w:tcPr>
            <w:tcW w:w="912" w:type="pct"/>
          </w:tcPr>
          <w:p w14:paraId="310BF1DB" w14:textId="77777777" w:rsidR="004158DD" w:rsidRPr="00781112" w:rsidRDefault="004158DD" w:rsidP="00FE5C1F">
            <w:pPr>
              <w:jc w:val="center"/>
              <w:rPr>
                <w:b/>
                <w:color w:val="000000" w:themeColor="text1"/>
              </w:rPr>
            </w:pPr>
            <w:r w:rsidRPr="00781112">
              <w:rPr>
                <w:rFonts w:cs="Arial"/>
                <w:b/>
                <w:color w:val="000000" w:themeColor="text1"/>
                <w:szCs w:val="16"/>
              </w:rPr>
              <w:t>2025</w:t>
            </w:r>
          </w:p>
        </w:tc>
      </w:tr>
      <w:tr w:rsidR="004158DD" w:rsidRPr="00781112" w14:paraId="7F5560B1" w14:textId="77777777" w:rsidTr="00451D7E">
        <w:trPr>
          <w:trHeight w:val="367"/>
        </w:trPr>
        <w:tc>
          <w:tcPr>
            <w:tcW w:w="442" w:type="pct"/>
            <w:shd w:val="clear" w:color="auto" w:fill="auto"/>
          </w:tcPr>
          <w:p w14:paraId="16C136D0" w14:textId="77777777" w:rsidR="004158DD" w:rsidRPr="00781112" w:rsidRDefault="004158DD" w:rsidP="00FE5C1F">
            <w:pPr>
              <w:rPr>
                <w:rFonts w:cs="Arial"/>
                <w:color w:val="000000" w:themeColor="text1"/>
                <w:szCs w:val="16"/>
              </w:rPr>
            </w:pPr>
            <w:r w:rsidRPr="00781112">
              <w:rPr>
                <w:rFonts w:cs="Arial"/>
                <w:color w:val="000000" w:themeColor="text1"/>
                <w:szCs w:val="16"/>
              </w:rPr>
              <w:t>Target&gt;=</w:t>
            </w:r>
          </w:p>
        </w:tc>
        <w:tc>
          <w:tcPr>
            <w:tcW w:w="912" w:type="pct"/>
            <w:shd w:val="clear" w:color="auto" w:fill="auto"/>
            <w:vAlign w:val="center"/>
          </w:tcPr>
          <w:p w14:paraId="0D607E3E" w14:textId="0FE0E0F2" w:rsidR="004158DD" w:rsidRPr="00781112" w:rsidRDefault="004158DD" w:rsidP="00FE5C1F">
            <w:pPr>
              <w:jc w:val="center"/>
              <w:rPr>
                <w:color w:val="000000" w:themeColor="text1"/>
              </w:rPr>
            </w:pPr>
            <w:r w:rsidRPr="00781112">
              <w:rPr>
                <w:color w:val="000000" w:themeColor="text1"/>
              </w:rPr>
              <w:t>23.63%</w:t>
            </w:r>
          </w:p>
        </w:tc>
        <w:tc>
          <w:tcPr>
            <w:tcW w:w="912" w:type="pct"/>
          </w:tcPr>
          <w:p w14:paraId="49D7B83C" w14:textId="5D2EEC9F" w:rsidR="004158DD" w:rsidRPr="00781112" w:rsidRDefault="004158DD" w:rsidP="00FE5C1F">
            <w:pPr>
              <w:jc w:val="center"/>
              <w:rPr>
                <w:color w:val="000000" w:themeColor="text1"/>
              </w:rPr>
            </w:pPr>
            <w:r w:rsidRPr="00781112">
              <w:rPr>
                <w:rFonts w:cs="Arial"/>
                <w:color w:val="000000" w:themeColor="text1"/>
                <w:szCs w:val="16"/>
              </w:rPr>
              <w:t>24.04%</w:t>
            </w:r>
          </w:p>
        </w:tc>
        <w:tc>
          <w:tcPr>
            <w:tcW w:w="912" w:type="pct"/>
          </w:tcPr>
          <w:p w14:paraId="73C3B9F9" w14:textId="4B324AE0" w:rsidR="004158DD" w:rsidRPr="00781112" w:rsidRDefault="004158DD" w:rsidP="00FE5C1F">
            <w:pPr>
              <w:jc w:val="center"/>
              <w:rPr>
                <w:color w:val="000000" w:themeColor="text1"/>
              </w:rPr>
            </w:pPr>
            <w:r w:rsidRPr="00781112">
              <w:rPr>
                <w:rFonts w:cs="Arial"/>
                <w:color w:val="000000" w:themeColor="text1"/>
                <w:szCs w:val="16"/>
              </w:rPr>
              <w:t>24.46%</w:t>
            </w:r>
          </w:p>
        </w:tc>
        <w:tc>
          <w:tcPr>
            <w:tcW w:w="912" w:type="pct"/>
          </w:tcPr>
          <w:p w14:paraId="36C2800A" w14:textId="411CFB34" w:rsidR="004158DD" w:rsidRPr="00781112" w:rsidRDefault="004158DD" w:rsidP="00FE5C1F">
            <w:pPr>
              <w:jc w:val="center"/>
              <w:rPr>
                <w:color w:val="000000" w:themeColor="text1"/>
              </w:rPr>
            </w:pPr>
            <w:r w:rsidRPr="00781112">
              <w:rPr>
                <w:rFonts w:cs="Arial"/>
                <w:color w:val="000000" w:themeColor="text1"/>
                <w:szCs w:val="16"/>
              </w:rPr>
              <w:t>27.35%</w:t>
            </w:r>
          </w:p>
        </w:tc>
        <w:tc>
          <w:tcPr>
            <w:tcW w:w="912" w:type="pct"/>
          </w:tcPr>
          <w:p w14:paraId="5EB6DFC4" w14:textId="4B024AC3" w:rsidR="004158DD" w:rsidRPr="00781112" w:rsidRDefault="004158DD" w:rsidP="00FE5C1F">
            <w:pPr>
              <w:jc w:val="center"/>
              <w:rPr>
                <w:color w:val="000000" w:themeColor="text1"/>
              </w:rPr>
            </w:pPr>
            <w:r w:rsidRPr="00781112">
              <w:rPr>
                <w:rFonts w:cs="Arial"/>
                <w:color w:val="000000" w:themeColor="text1"/>
                <w:szCs w:val="16"/>
              </w:rPr>
              <w:t>29.00%</w:t>
            </w:r>
          </w:p>
        </w:tc>
      </w:tr>
    </w:tbl>
    <w:p w14:paraId="096B5400" w14:textId="77777777" w:rsidR="00AE1972" w:rsidRPr="00781112" w:rsidRDefault="00AE1972" w:rsidP="00AE1972">
      <w:pPr>
        <w:pStyle w:val="Italic"/>
        <w:rPr>
          <w:rFonts w:cs="Arial"/>
          <w:i w:val="0"/>
          <w:color w:val="000000" w:themeColor="text1"/>
          <w:szCs w:val="16"/>
        </w:rPr>
      </w:pPr>
    </w:p>
    <w:p w14:paraId="7582347A" w14:textId="648DE41D" w:rsidR="00AE1972" w:rsidRPr="00781112" w:rsidRDefault="0047313F" w:rsidP="00AE1972">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B21923" w:rsidRPr="00781112" w14:paraId="6ACE308B" w14:textId="77777777" w:rsidTr="004B2960">
        <w:trPr>
          <w:trHeight w:val="354"/>
        </w:trPr>
        <w:tc>
          <w:tcPr>
            <w:tcW w:w="1165" w:type="pct"/>
            <w:shd w:val="clear" w:color="auto" w:fill="auto"/>
            <w:vAlign w:val="bottom"/>
          </w:tcPr>
          <w:p w14:paraId="1F241A2B" w14:textId="43C3BBEC" w:rsidR="00B21923" w:rsidRPr="00781112" w:rsidRDefault="00B21923" w:rsidP="00B21923">
            <w:pPr>
              <w:jc w:val="center"/>
              <w:rPr>
                <w:b/>
                <w:bCs/>
                <w:color w:val="000000" w:themeColor="text1"/>
                <w:szCs w:val="16"/>
              </w:rPr>
            </w:pPr>
            <w:r w:rsidRPr="00781112">
              <w:rPr>
                <w:b/>
                <w:bCs/>
                <w:color w:val="000000" w:themeColor="text1"/>
                <w:szCs w:val="16"/>
              </w:rPr>
              <w:t># of grade 3 SWD test-takers scoring proficient/advanced</w:t>
            </w:r>
          </w:p>
        </w:tc>
        <w:tc>
          <w:tcPr>
            <w:tcW w:w="876" w:type="pct"/>
            <w:shd w:val="clear" w:color="auto" w:fill="auto"/>
            <w:vAlign w:val="bottom"/>
          </w:tcPr>
          <w:p w14:paraId="470CA230" w14:textId="5C37C1F9" w:rsidR="00B21923" w:rsidRPr="00781112" w:rsidRDefault="00B21923" w:rsidP="00B21923">
            <w:pPr>
              <w:jc w:val="center"/>
              <w:rPr>
                <w:b/>
                <w:bCs/>
                <w:color w:val="000000" w:themeColor="text1"/>
                <w:szCs w:val="16"/>
              </w:rPr>
            </w:pPr>
            <w:r w:rsidRPr="00781112">
              <w:rPr>
                <w:b/>
                <w:bCs/>
                <w:color w:val="000000" w:themeColor="text1"/>
                <w:szCs w:val="16"/>
              </w:rPr>
              <w:t># of grade 3 SWD test-takers</w:t>
            </w:r>
          </w:p>
        </w:tc>
        <w:tc>
          <w:tcPr>
            <w:tcW w:w="667" w:type="pct"/>
            <w:shd w:val="clear" w:color="auto" w:fill="auto"/>
            <w:vAlign w:val="bottom"/>
          </w:tcPr>
          <w:p w14:paraId="4AB6D89D" w14:textId="32751A3B" w:rsidR="00B21923" w:rsidRPr="00781112" w:rsidRDefault="00B21923" w:rsidP="00B21923">
            <w:pPr>
              <w:jc w:val="center"/>
              <w:rPr>
                <w:b/>
                <w:color w:val="000000" w:themeColor="text1"/>
                <w:szCs w:val="16"/>
              </w:rPr>
            </w:pPr>
            <w:r>
              <w:t>FFY 2020</w:t>
            </w:r>
            <w:r w:rsidRPr="00C318B5">
              <w:t xml:space="preserve"> Data</w:t>
            </w:r>
          </w:p>
        </w:tc>
        <w:tc>
          <w:tcPr>
            <w:tcW w:w="626" w:type="pct"/>
            <w:shd w:val="clear" w:color="auto" w:fill="auto"/>
            <w:vAlign w:val="bottom"/>
          </w:tcPr>
          <w:p w14:paraId="63A0DC52" w14:textId="517C2046" w:rsidR="00B21923" w:rsidRPr="00781112" w:rsidRDefault="00B21923" w:rsidP="00B21923">
            <w:pPr>
              <w:jc w:val="center"/>
              <w:rPr>
                <w:b/>
                <w:color w:val="000000" w:themeColor="text1"/>
                <w:szCs w:val="16"/>
              </w:rPr>
            </w:pPr>
            <w:r>
              <w:t>FFY 2021</w:t>
            </w:r>
            <w:r w:rsidRPr="00C318B5">
              <w:t xml:space="preserve"> Target</w:t>
            </w:r>
          </w:p>
        </w:tc>
        <w:tc>
          <w:tcPr>
            <w:tcW w:w="584" w:type="pct"/>
            <w:shd w:val="clear" w:color="auto" w:fill="auto"/>
            <w:vAlign w:val="bottom"/>
          </w:tcPr>
          <w:p w14:paraId="2D311519" w14:textId="21EF0B47" w:rsidR="00B21923" w:rsidRPr="00781112" w:rsidRDefault="00B21923" w:rsidP="00B21923">
            <w:pPr>
              <w:jc w:val="center"/>
              <w:rPr>
                <w:b/>
                <w:color w:val="000000" w:themeColor="text1"/>
                <w:szCs w:val="16"/>
              </w:rPr>
            </w:pPr>
            <w:r>
              <w:t>FFY 2021</w:t>
            </w:r>
            <w:r w:rsidRPr="00C318B5">
              <w:t xml:space="preserve"> Data</w:t>
            </w:r>
          </w:p>
        </w:tc>
        <w:tc>
          <w:tcPr>
            <w:tcW w:w="584" w:type="pct"/>
            <w:shd w:val="clear" w:color="auto" w:fill="auto"/>
            <w:vAlign w:val="bottom"/>
          </w:tcPr>
          <w:p w14:paraId="4F033BB8" w14:textId="77777777" w:rsidR="00B21923" w:rsidRPr="00781112" w:rsidRDefault="00B21923" w:rsidP="00B21923">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B21923" w:rsidRPr="00781112" w:rsidRDefault="00B21923" w:rsidP="00B21923">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324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1,387</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25.70%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23.63%</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23.36%</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Did not meet target</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Slippage</w:t>
            </w:r>
          </w:p>
        </w:tc>
      </w:tr>
    </w:tbl>
    <w:p w14:paraId="41D5A2DB" w14:textId="77777777" w:rsidR="00AE1972" w:rsidRPr="00781112" w:rsidRDefault="00AE1972" w:rsidP="00AE1972">
      <w:pPr>
        <w:rPr>
          <w:rFonts w:cs="Arial"/>
          <w:b/>
          <w:i/>
          <w:color w:val="000000" w:themeColor="text1"/>
          <w:szCs w:val="16"/>
        </w:rPr>
      </w:pPr>
      <w:r w:rsidRPr="00781112">
        <w:rPr>
          <w:rFonts w:cs="Arial"/>
          <w:b/>
          <w:color w:val="000000" w:themeColor="text1"/>
          <w:szCs w:val="16"/>
        </w:rPr>
        <w:t xml:space="preserve">Provide reasons for slippage, if applicable </w:t>
      </w:r>
    </w:p>
    <w:p w14:paraId="3BD5956F" w14:textId="215BB5DA" w:rsidR="00AE1972" w:rsidRPr="00781112" w:rsidRDefault="00AE1972" w:rsidP="00AE1972">
      <w:pPr>
        <w:rPr>
          <w:color w:val="000000" w:themeColor="text1"/>
        </w:rPr>
      </w:pPr>
      <w:r w:rsidRPr="00781112">
        <w:rPr>
          <w:color w:val="000000" w:themeColor="text1"/>
        </w:rPr>
        <w:t xml:space="preserve">While slippage is present, it is important to note that the target </w:t>
      </w:r>
      <w:proofErr w:type="gramStart"/>
      <w:r w:rsidRPr="00781112">
        <w:rPr>
          <w:color w:val="000000" w:themeColor="text1"/>
        </w:rPr>
        <w:t>was missed</w:t>
      </w:r>
      <w:proofErr w:type="gramEnd"/>
      <w:r w:rsidRPr="00781112">
        <w:rPr>
          <w:color w:val="000000" w:themeColor="text1"/>
        </w:rPr>
        <w:t xml:space="preserve"> by only 0.27 percentage points; had only four more students scored proficient, the target would have been made. However, the proficiency rate did decrease by over 2.00 percentage points from spring 2021 to spring 2022, so we examined results by district to determine if this slippage was present in all or most of the </w:t>
      </w:r>
      <w:proofErr w:type="gramStart"/>
      <w:r w:rsidRPr="00781112">
        <w:rPr>
          <w:color w:val="000000" w:themeColor="text1"/>
        </w:rPr>
        <w:t>48</w:t>
      </w:r>
      <w:proofErr w:type="gramEnd"/>
      <w:r w:rsidRPr="00781112">
        <w:rPr>
          <w:color w:val="000000" w:themeColor="text1"/>
        </w:rPr>
        <w:t xml:space="preserve"> districts or if it was particular to just certain districts. Data indicated that </w:t>
      </w:r>
      <w:proofErr w:type="gramStart"/>
      <w:r w:rsidRPr="00781112">
        <w:rPr>
          <w:color w:val="000000" w:themeColor="text1"/>
        </w:rPr>
        <w:t>26</w:t>
      </w:r>
      <w:proofErr w:type="gramEnd"/>
      <w:r w:rsidRPr="00781112">
        <w:rPr>
          <w:color w:val="000000" w:themeColor="text1"/>
        </w:rPr>
        <w:t xml:space="preserve"> of the 48 districts saw a decrease in their grade 3 reading proficiency rates for SWD; and in fact, the four largest districts in the state all experienced a decrease. Further, three of the largest districts had proficiency rates below the state rate of 23.36%. However, an important caveat: </w:t>
      </w:r>
      <w:proofErr w:type="gramStart"/>
      <w:r w:rsidRPr="00781112">
        <w:rPr>
          <w:color w:val="000000" w:themeColor="text1"/>
        </w:rPr>
        <w:t>Several</w:t>
      </w:r>
      <w:proofErr w:type="gramEnd"/>
      <w:r w:rsidRPr="00781112">
        <w:rPr>
          <w:color w:val="000000" w:themeColor="text1"/>
        </w:rPr>
        <w:t xml:space="preserve"> schools in one of the largest districts have been participating in the DBI project; some schools in this district have not. For this </w:t>
      </w:r>
      <w:proofErr w:type="gramStart"/>
      <w:r w:rsidRPr="00781112">
        <w:rPr>
          <w:color w:val="000000" w:themeColor="text1"/>
        </w:rPr>
        <w:t>particular district</w:t>
      </w:r>
      <w:proofErr w:type="gramEnd"/>
      <w:r w:rsidRPr="00781112">
        <w:rPr>
          <w:color w:val="000000" w:themeColor="text1"/>
        </w:rPr>
        <w:t xml:space="preserve">, for its schools participating in the DBI project, their proficiency rate increased by about one percentage point from spring 2021 to spring 2022; and the percentage of SWD scoring below basic decreased by 10 percentage points. For the schools not participating in the DBI project, their proficiency rate also increased by about one percentage point from spring 2021 to spring 2022, but the percentage of SWD scoring below basic decreased by only </w:t>
      </w:r>
      <w:r w:rsidRPr="00781112">
        <w:rPr>
          <w:color w:val="000000" w:themeColor="text1"/>
        </w:rPr>
        <w:lastRenderedPageBreak/>
        <w:t>two percentage points. In addition, if the grade 3-6 proficiency rates are compared at the schools implementing DBI at this particular district to those of non-implementers at this district, the implementer proficiency rate increased by five percentage points from spring 2021 to spring 2022 and stayed the same for the non-implementers.</w:t>
      </w:r>
      <w:r w:rsidRPr="00781112">
        <w:rPr>
          <w:color w:val="000000" w:themeColor="text1"/>
        </w:rPr>
        <w:br/>
      </w:r>
      <w:r w:rsidRPr="00781112">
        <w:rPr>
          <w:color w:val="000000" w:themeColor="text1"/>
        </w:rPr>
        <w:br/>
        <w:t xml:space="preserve">At the state level, significance testing was done to determine which groups were least likely to score proficient on the grade 3 reading test. The purpose of this was to determine if any changes in instructional practices needed to occur for certain groups of students. This analysis showed that there were no differences by gender or race/ethnicity. There were differences by disability; students with a Speech Language Impairment were more likely to score proficient than students with an Other Health Impairment or a Specific Learning Disability. Also, students placed in the regular education environment were more likely to score proficient than students in the resource room or separate classroom. Lastly, students not on free/reduced lunch and students who were not English Learners were more likely to score proficient than those who were on free/reduced lunch and were English Learners, respectively. </w:t>
      </w:r>
    </w:p>
    <w:p w14:paraId="66E5C45A" w14:textId="77777777" w:rsidR="00AE1972" w:rsidRPr="00781112" w:rsidRDefault="00AE1972" w:rsidP="00AE1972"/>
    <w:p w14:paraId="30EFC313" w14:textId="4284CBF2" w:rsidR="005D6EB4" w:rsidRPr="00781112" w:rsidRDefault="004F3929" w:rsidP="005D6EB4">
      <w:pPr>
        <w:rPr>
          <w:b/>
          <w:bCs/>
        </w:rPr>
      </w:pPr>
      <w:r>
        <w:rPr>
          <w:b/>
          <w:bCs/>
        </w:rPr>
        <w:t>Provide the data source for the FFY 2021 data.</w:t>
      </w:r>
    </w:p>
    <w:p w14:paraId="791B79B4" w14:textId="2C5B8D5E" w:rsidR="005D6EB4" w:rsidRPr="00781112" w:rsidRDefault="005D6EB4" w:rsidP="005D6EB4">
      <w:pPr>
        <w:rPr>
          <w:color w:val="000000" w:themeColor="text1"/>
        </w:rPr>
      </w:pPr>
      <w:r w:rsidRPr="00781112">
        <w:rPr>
          <w:color w:val="000000" w:themeColor="text1"/>
        </w:rPr>
        <w:t>WY-TOPP state assessment.</w:t>
      </w:r>
    </w:p>
    <w:p w14:paraId="17AAB1A6" w14:textId="2D1007DB" w:rsidR="00AE1972" w:rsidRPr="00781112" w:rsidRDefault="00AE1972" w:rsidP="00AE1972">
      <w:r w:rsidRPr="00781112">
        <w:rPr>
          <w:b/>
          <w:bCs/>
        </w:rPr>
        <w:t xml:space="preserve">Please describe how data </w:t>
      </w:r>
      <w:proofErr w:type="gramStart"/>
      <w:r w:rsidRPr="00781112">
        <w:rPr>
          <w:b/>
          <w:bCs/>
        </w:rPr>
        <w:t>are collected</w:t>
      </w:r>
      <w:proofErr w:type="gramEnd"/>
      <w:r w:rsidRPr="00781112">
        <w:rPr>
          <w:b/>
          <w:bCs/>
        </w:rPr>
        <w:t xml:space="preserve">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 xml:space="preserve">Given that our primary data source is the State Test (i.e., WY-TOPP), data </w:t>
      </w:r>
      <w:proofErr w:type="gramStart"/>
      <w:r w:rsidRPr="00781112">
        <w:rPr>
          <w:color w:val="000000" w:themeColor="text1"/>
        </w:rPr>
        <w:t>are collected</w:t>
      </w:r>
      <w:proofErr w:type="gramEnd"/>
      <w:r w:rsidRPr="00781112">
        <w:rPr>
          <w:color w:val="000000" w:themeColor="text1"/>
        </w:rPr>
        <w:t xml:space="preserve"> and analyzed in the standardized method required by the test. For the data analysis, the proficiency rates were used</w:t>
      </w:r>
      <w:proofErr w:type="gramStart"/>
      <w:r w:rsidRPr="00781112">
        <w:rPr>
          <w:color w:val="000000" w:themeColor="text1"/>
        </w:rPr>
        <w:t xml:space="preserve">.  </w:t>
      </w:r>
      <w:proofErr w:type="gramEnd"/>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One of our evaluation measures is the DBI Weekly Implementation Log which teachers complete on students going through the DBI process</w:t>
      </w:r>
      <w:proofErr w:type="gramStart"/>
      <w:r w:rsidRPr="00781112">
        <w:rPr>
          <w:color w:val="000000" w:themeColor="text1"/>
        </w:rPr>
        <w:t xml:space="preserve">.  </w:t>
      </w:r>
      <w:proofErr w:type="gramEnd"/>
      <w:r w:rsidRPr="00781112">
        <w:rPr>
          <w:color w:val="000000" w:themeColor="text1"/>
        </w:rPr>
        <w:t xml:space="preserve">This log measures how often a student is getting an intervention, the type of intervention a student is receiving, whether modifications are needed, student engagement, if the intervention is implemented as intended (and if not, why not), and whether data indicate if an adaptation or some type of change is needed in the intervention the following week. This is </w:t>
      </w:r>
      <w:proofErr w:type="gramStart"/>
      <w:r w:rsidRPr="00781112">
        <w:rPr>
          <w:color w:val="000000" w:themeColor="text1"/>
        </w:rPr>
        <w:t>a very good</w:t>
      </w:r>
      <w:proofErr w:type="gramEnd"/>
      <w:r w:rsidRPr="00781112">
        <w:rPr>
          <w:color w:val="000000" w:themeColor="text1"/>
        </w:rPr>
        <w:t xml:space="preserve"> way to monitor interventions in real-time and see what is working well and what needs to change.</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w:t>
      </w:r>
      <w:proofErr w:type="gramStart"/>
      <w:r w:rsidRPr="00781112">
        <w:rPr>
          <w:rFonts w:cs="Arial"/>
          <w:b/>
          <w:bCs/>
        </w:rPr>
        <w:t>that</w:t>
      </w:r>
      <w:proofErr w:type="gramEnd"/>
      <w:r w:rsidRPr="00781112">
        <w:rPr>
          <w:rFonts w:cs="Arial"/>
          <w:b/>
          <w:bCs/>
        </w:rPr>
        <w:t xml:space="preserve">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 xml:space="preserve">Did the State identify any data quality concerns </w:t>
      </w:r>
      <w:proofErr w:type="gramStart"/>
      <w:r w:rsidRPr="00781112">
        <w:rPr>
          <w:b/>
          <w:bCs/>
        </w:rPr>
        <w:t>directly related</w:t>
      </w:r>
      <w:proofErr w:type="gramEnd"/>
      <w:r w:rsidRPr="00781112">
        <w:rPr>
          <w:b/>
          <w:bCs/>
        </w:rPr>
        <w:t xml:space="preserve">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NO</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https://wyominginstructionalnetwork.com/wp-content/uploads/2023/01/WYSSIP-Eval-Plan_2022-23.pdf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Intensive Technical Assistance</w:t>
      </w:r>
      <w:r w:rsidRPr="00781112">
        <w:rPr>
          <w:color w:val="000000" w:themeColor="text1"/>
        </w:rPr>
        <w:br/>
        <w:t>The WYSSIP team worked collaboratively with targeted districts’ leadership and CDC administrators in refining its staged</w:t>
      </w:r>
      <w:r w:rsidRPr="00781112">
        <w:rPr>
          <w:color w:val="000000" w:themeColor="text1"/>
        </w:rPr>
        <w:br/>
        <w:t>implementation process. In addition to the standardized training series which consists of two-full day trainings with supplemental</w:t>
      </w:r>
      <w:r w:rsidRPr="00781112">
        <w:rPr>
          <w:color w:val="000000" w:themeColor="text1"/>
        </w:rPr>
        <w:br/>
        <w:t xml:space="preserve">coaching, a third training option </w:t>
      </w:r>
      <w:proofErr w:type="gramStart"/>
      <w:r w:rsidRPr="00781112">
        <w:rPr>
          <w:color w:val="000000" w:themeColor="text1"/>
        </w:rPr>
        <w:t>was developed</w:t>
      </w:r>
      <w:proofErr w:type="gramEnd"/>
      <w:r w:rsidRPr="00781112">
        <w:rPr>
          <w:color w:val="000000" w:themeColor="text1"/>
        </w:rPr>
        <w:t xml:space="preserve"> to inform teachers of the PLC teaming process and how to make time effective</w:t>
      </w:r>
      <w:r w:rsidRPr="00781112">
        <w:rPr>
          <w:color w:val="000000" w:themeColor="text1"/>
        </w:rPr>
        <w:br/>
        <w:t>decisions based on the data collected as part of the DBI project. This professional learning model was designed and fielded in</w:t>
      </w:r>
      <w:r w:rsidRPr="00781112">
        <w:rPr>
          <w:color w:val="000000" w:themeColor="text1"/>
        </w:rPr>
        <w:br/>
        <w:t>previous implementation years and refined overtime using feedback data and direct stakeholder engagement at the state, local, and</w:t>
      </w:r>
      <w:r w:rsidRPr="00781112">
        <w:rPr>
          <w:color w:val="000000" w:themeColor="text1"/>
        </w:rPr>
        <w:br/>
        <w:t>practitioner levels.</w:t>
      </w:r>
      <w:r w:rsidRPr="00781112">
        <w:rPr>
          <w:color w:val="000000" w:themeColor="text1"/>
        </w:rPr>
        <w:br/>
        <w:t>Key items accomplished during 2021-2022 include:</w:t>
      </w:r>
      <w:r w:rsidRPr="00781112">
        <w:rPr>
          <w:color w:val="000000" w:themeColor="text1"/>
        </w:rPr>
        <w:br/>
        <w:t>*Continued support and follow up for implementing districts and practitioners</w:t>
      </w:r>
      <w:r w:rsidRPr="00781112">
        <w:rPr>
          <w:color w:val="000000" w:themeColor="text1"/>
        </w:rPr>
        <w:br/>
        <w:t>* Worked with identified districts to select and train experienced practitioners to serve as internal district coaches.</w:t>
      </w:r>
      <w:r w:rsidRPr="00781112">
        <w:rPr>
          <w:color w:val="000000" w:themeColor="text1"/>
        </w:rPr>
        <w:br/>
      </w:r>
      <w:r w:rsidRPr="00781112">
        <w:rPr>
          <w:color w:val="000000" w:themeColor="text1"/>
        </w:rPr>
        <w:br/>
        <w:t>Targeted Technical Assistance</w:t>
      </w:r>
      <w:r w:rsidRPr="00781112">
        <w:rPr>
          <w:color w:val="000000" w:themeColor="text1"/>
        </w:rPr>
        <w:br/>
        <w:t>The WDE provided targeted TA to select districts on best practices through training and a coaching Community of Practices</w:t>
      </w:r>
      <w:r w:rsidRPr="00781112">
        <w:rPr>
          <w:color w:val="000000" w:themeColor="text1"/>
        </w:rPr>
        <w:br/>
        <w:t>(CoP).To ensure educators receive needed support to implement DBI, the WDE continued to field a state-level coaching cadre</w:t>
      </w:r>
      <w:r w:rsidRPr="00781112">
        <w:rPr>
          <w:color w:val="000000" w:themeColor="text1"/>
        </w:rPr>
        <w:br/>
        <w:t xml:space="preserve">consisting of experienced practitioners. The coaching cadre </w:t>
      </w:r>
      <w:proofErr w:type="gramStart"/>
      <w:r w:rsidRPr="00781112">
        <w:rPr>
          <w:color w:val="000000" w:themeColor="text1"/>
        </w:rPr>
        <w:t>is supported</w:t>
      </w:r>
      <w:proofErr w:type="gramEnd"/>
      <w:r w:rsidRPr="00781112">
        <w:rPr>
          <w:color w:val="000000" w:themeColor="text1"/>
        </w:rPr>
        <w:t xml:space="preserve"> and directed by WDE staff through a continuing coaching</w:t>
      </w:r>
      <w:r w:rsidRPr="00781112">
        <w:rPr>
          <w:color w:val="000000" w:themeColor="text1"/>
        </w:rPr>
        <w:br/>
        <w:t>CoP. In addition to the Coaching CoP, the WDE continued to support building and district level administrators and practitioners</w:t>
      </w:r>
      <w:r w:rsidRPr="00781112">
        <w:rPr>
          <w:color w:val="000000" w:themeColor="text1"/>
        </w:rPr>
        <w:br/>
        <w:t>through a statewide CoP. The statewide CoP is designed to provide (1) knowledge of the DBI framework, intervention, and progress</w:t>
      </w:r>
      <w:r w:rsidRPr="00781112">
        <w:rPr>
          <w:color w:val="000000" w:themeColor="text1"/>
        </w:rPr>
        <w:br/>
        <w:t>monitoring tool selection and (2) the opportunity for administrators to collaborate with their peers in districts throughout the state in a</w:t>
      </w:r>
      <w:r w:rsidRPr="00781112">
        <w:rPr>
          <w:color w:val="000000" w:themeColor="text1"/>
        </w:rPr>
        <w:br/>
        <w:t>professional learning community (PLC) format.</w:t>
      </w:r>
      <w:r w:rsidRPr="00781112">
        <w:rPr>
          <w:color w:val="000000" w:themeColor="text1"/>
        </w:rPr>
        <w:br/>
        <w:t>Available supports were provided to all participating teachers and consists of the following activities: the initial training session, web-</w:t>
      </w:r>
      <w:r w:rsidRPr="00781112">
        <w:rPr>
          <w:color w:val="000000" w:themeColor="text1"/>
        </w:rPr>
        <w:br/>
        <w:t>based professional development, a monthly defined DBI PLC, quarterly district PLCs, and bi-weekly meetings with DBI project</w:t>
      </w:r>
      <w:r w:rsidRPr="00781112">
        <w:rPr>
          <w:color w:val="000000" w:themeColor="text1"/>
        </w:rPr>
        <w:br/>
        <w:t>coaches. Each participating teacher gathered and logged data on both a daily and weekly basis. The data collected includes</w:t>
      </w:r>
      <w:r w:rsidRPr="00781112">
        <w:rPr>
          <w:color w:val="000000" w:themeColor="text1"/>
        </w:rPr>
        <w:br/>
        <w:t xml:space="preserve">implementation fidelity data and student level progress data centered on a subset </w:t>
      </w:r>
      <w:proofErr w:type="gramStart"/>
      <w:r w:rsidRPr="00781112">
        <w:rPr>
          <w:color w:val="000000" w:themeColor="text1"/>
        </w:rPr>
        <w:t>skill based</w:t>
      </w:r>
      <w:proofErr w:type="gramEnd"/>
      <w:r w:rsidRPr="00781112">
        <w:rPr>
          <w:color w:val="000000" w:themeColor="text1"/>
        </w:rPr>
        <w:t xml:space="preserve"> measure. Teachers then had the</w:t>
      </w:r>
      <w:r w:rsidRPr="00781112">
        <w:rPr>
          <w:color w:val="000000" w:themeColor="text1"/>
        </w:rPr>
        <w:br/>
        <w:t>opportunity to share their findings and address strengths and challenges during the weekly coaching sessions. The continuous</w:t>
      </w:r>
      <w:r w:rsidRPr="00781112">
        <w:rPr>
          <w:color w:val="000000" w:themeColor="text1"/>
        </w:rPr>
        <w:br/>
        <w:t>review and problem-solving of student-level data has been embedded throughout the process, placing an emphasis on the need to</w:t>
      </w:r>
      <w:r w:rsidRPr="00781112">
        <w:rPr>
          <w:color w:val="000000" w:themeColor="text1"/>
        </w:rPr>
        <w:br/>
        <w:t>make timely, data-driven instructional changes that will increase the student’s reading performance.</w:t>
      </w:r>
      <w:r w:rsidRPr="00781112">
        <w:rPr>
          <w:color w:val="000000" w:themeColor="text1"/>
        </w:rPr>
        <w:br/>
        <w:t>In April 2023, the year’s DBI coaching project will come to completion with a debriefing meeting for the DBI coaches and</w:t>
      </w:r>
      <w:r w:rsidRPr="00781112">
        <w:rPr>
          <w:color w:val="000000" w:themeColor="text1"/>
        </w:rPr>
        <w:br/>
        <w:t>participating teachers. The meeting will focus on assessing the strengths and weaknesses of the DBI process and training format.</w:t>
      </w:r>
      <w:r w:rsidRPr="00781112">
        <w:rPr>
          <w:color w:val="000000" w:themeColor="text1"/>
        </w:rPr>
        <w:br/>
        <w:t>Coaches and participating teachers will work collaboratively to refine the process and improve existing documentation used for the</w:t>
      </w:r>
      <w:r w:rsidRPr="00781112">
        <w:rPr>
          <w:color w:val="000000" w:themeColor="text1"/>
        </w:rPr>
        <w:br/>
      </w:r>
      <w:r w:rsidRPr="00781112">
        <w:rPr>
          <w:color w:val="000000" w:themeColor="text1"/>
        </w:rPr>
        <w:lastRenderedPageBreak/>
        <w:t>implementation of DBI. The WYSSIP team will then meet to begin planning for the next generation of DBI implementation for the</w:t>
      </w:r>
      <w:r w:rsidRPr="00781112">
        <w:rPr>
          <w:color w:val="000000" w:themeColor="text1"/>
        </w:rPr>
        <w:br/>
        <w:t>2023-24 school year and beyond. The discussion will primarily focus on continuous improvement of the process, the identification of</w:t>
      </w:r>
      <w:r w:rsidRPr="00781112">
        <w:rPr>
          <w:color w:val="000000" w:themeColor="text1"/>
        </w:rPr>
        <w:br/>
        <w:t>a sustainable coaching cohort, the expansion of the implementation model to districts state-wide, and any additional considerations</w:t>
      </w:r>
      <w:r w:rsidRPr="00781112">
        <w:rPr>
          <w:color w:val="000000" w:themeColor="text1"/>
        </w:rPr>
        <w:br/>
        <w:t>provided through the debriefing meeting.</w:t>
      </w:r>
      <w:r w:rsidRPr="00781112">
        <w:rPr>
          <w:color w:val="000000" w:themeColor="text1"/>
        </w:rPr>
        <w:br/>
        <w:t>Key items accomplished during 2021-2022 include:</w:t>
      </w:r>
      <w:r w:rsidRPr="00781112">
        <w:rPr>
          <w:color w:val="000000" w:themeColor="text1"/>
        </w:rPr>
        <w:br/>
        <w:t>* Further refined, in collaboration with the target district and stakeholders, the state’s implementation model</w:t>
      </w:r>
      <w:r w:rsidRPr="00781112">
        <w:rPr>
          <w:color w:val="000000" w:themeColor="text1"/>
        </w:rPr>
        <w:br/>
        <w:t>* Selected, trained, and coached 1 additional internal district coach in the target district</w:t>
      </w:r>
      <w:r w:rsidRPr="00781112">
        <w:rPr>
          <w:color w:val="000000" w:themeColor="text1"/>
        </w:rPr>
        <w:br/>
        <w:t>* Trained building level staff at 2 buildings new to the DBI process</w:t>
      </w:r>
      <w:r w:rsidRPr="00781112">
        <w:rPr>
          <w:color w:val="000000" w:themeColor="text1"/>
        </w:rPr>
        <w:br/>
        <w:t>* Fielded a State-Level Coaching Cadre to support practitioners and administrators participating in the statewide Community of</w:t>
      </w:r>
      <w:r w:rsidRPr="00781112">
        <w:rPr>
          <w:color w:val="000000" w:themeColor="text1"/>
        </w:rPr>
        <w:br/>
        <w:t>Practices</w:t>
      </w:r>
      <w:r w:rsidRPr="00781112">
        <w:rPr>
          <w:color w:val="000000" w:themeColor="text1"/>
        </w:rPr>
        <w:br/>
        <w:t>* Conducted 1 training with one district new to implementation</w:t>
      </w:r>
      <w:r w:rsidRPr="00781112">
        <w:rPr>
          <w:color w:val="000000" w:themeColor="text1"/>
        </w:rPr>
        <w:br/>
      </w:r>
      <w:r w:rsidRPr="00781112">
        <w:rPr>
          <w:color w:val="000000" w:themeColor="text1"/>
        </w:rPr>
        <w:br/>
        <w:t>Universal Technical Assistance</w:t>
      </w:r>
      <w:r w:rsidRPr="00781112">
        <w:rPr>
          <w:color w:val="000000" w:themeColor="text1"/>
        </w:rPr>
        <w:br/>
        <w:t>The WDE offered Technical Assistance to all districts surrounding best practices though statewide initiatives and conferences. The</w:t>
      </w:r>
      <w:r w:rsidRPr="00781112">
        <w:rPr>
          <w:color w:val="000000" w:themeColor="text1"/>
        </w:rPr>
        <w:br/>
        <w:t>WDE continued to align its DBI work with the Wyoming Multi-Tiered System of Support (MTSS) Center to support districts in</w:t>
      </w:r>
      <w:r w:rsidRPr="00781112">
        <w:rPr>
          <w:color w:val="000000" w:themeColor="text1"/>
        </w:rPr>
        <w:br/>
        <w:t>developing and implementing MTSS. Part of this work involves incorporating and aligning Data-Based Individualization as the tier III</w:t>
      </w:r>
      <w:r w:rsidRPr="00781112">
        <w:rPr>
          <w:color w:val="000000" w:themeColor="text1"/>
        </w:rPr>
        <w:br/>
        <w:t>framework the state MTSS Center provides training on. The WDE expanded the availability of DBI modules developed during the</w:t>
      </w:r>
      <w:r w:rsidRPr="00781112">
        <w:rPr>
          <w:color w:val="000000" w:themeColor="text1"/>
        </w:rPr>
        <w:br/>
        <w:t>2019-2020SY to all educators including those not directly involved in SSIP activities. Additionally, the DBI project and MTSS Center</w:t>
      </w:r>
      <w:r w:rsidRPr="00781112">
        <w:rPr>
          <w:color w:val="000000" w:themeColor="text1"/>
        </w:rPr>
        <w:br/>
        <w:t>work was aligned to support Comprehensive State Literacy Development (CSLD) Grant grantees in developing a tiered framework</w:t>
      </w:r>
      <w:r w:rsidRPr="00781112">
        <w:rPr>
          <w:color w:val="000000" w:themeColor="text1"/>
        </w:rPr>
        <w:br/>
        <w:t>to support the literacy initiative.</w:t>
      </w:r>
      <w:r w:rsidRPr="00781112">
        <w:rPr>
          <w:color w:val="000000" w:themeColor="text1"/>
        </w:rPr>
        <w:br/>
        <w:t>Key items accomplished during 2021-2022 include:</w:t>
      </w:r>
      <w:r w:rsidRPr="00781112">
        <w:rPr>
          <w:color w:val="000000" w:themeColor="text1"/>
        </w:rPr>
        <w:br/>
        <w:t>* Aligned the 6 DBI modules to the Wyoming MTSS Center Resource Offerings</w:t>
      </w:r>
      <w:r w:rsidRPr="00781112">
        <w:rPr>
          <w:color w:val="000000" w:themeColor="text1"/>
        </w:rPr>
        <w:br/>
        <w:t>* Developed and deployed Community of Practices to support administrators, practitioners, and DBI coaches</w:t>
      </w:r>
      <w:r w:rsidRPr="00781112">
        <w:rPr>
          <w:color w:val="000000" w:themeColor="text1"/>
        </w:rPr>
        <w:br/>
        <w:t>* Fielded 8 statewide coaches from the target district and previous coaching participants to support the CoP</w:t>
      </w:r>
      <w:r w:rsidRPr="00781112">
        <w:rPr>
          <w:color w:val="000000" w:themeColor="text1"/>
        </w:rPr>
        <w:br/>
        <w:t>* Aligned DBI framework and provided trainings to Comprehensive State Literacy Development Grant (CSLD) grantees</w:t>
      </w:r>
      <w:r w:rsidRPr="00781112">
        <w:rPr>
          <w:color w:val="000000" w:themeColor="text1"/>
        </w:rPr>
        <w:br/>
      </w:r>
      <w:r w:rsidRPr="00781112">
        <w:rPr>
          <w:color w:val="000000" w:themeColor="text1"/>
        </w:rPr>
        <w:br/>
        <w:t>State Infrastructure/Capacity</w:t>
      </w:r>
      <w:r w:rsidRPr="00781112">
        <w:rPr>
          <w:color w:val="000000" w:themeColor="text1"/>
        </w:rPr>
        <w:br/>
        <w:t>The WDE aligned SSIP work to the WY MTSS Center as the tier III framework, trained WDE and MTSS Center staff on the DBI</w:t>
      </w:r>
      <w:r w:rsidRPr="00781112">
        <w:rPr>
          <w:color w:val="000000" w:themeColor="text1"/>
        </w:rPr>
        <w:br/>
        <w:t>framework, and provided updates on the short-term outcomes by implementers. The WDE selected and trained an additional staff</w:t>
      </w:r>
      <w:r w:rsidRPr="00781112">
        <w:rPr>
          <w:color w:val="000000" w:themeColor="text1"/>
        </w:rPr>
        <w:br/>
        <w:t>member to serve as an internal DBI coach to provide ongoing support to districts, administrators, and practitioners. The WDE</w:t>
      </w:r>
      <w:r w:rsidRPr="00781112">
        <w:rPr>
          <w:color w:val="000000" w:themeColor="text1"/>
        </w:rPr>
        <w:br/>
        <w:t xml:space="preserve">worked with participating districts by providing coaching training to selected coaches. Monthly coach meetings </w:t>
      </w:r>
      <w:proofErr w:type="gramStart"/>
      <w:r w:rsidRPr="00781112">
        <w:rPr>
          <w:color w:val="000000" w:themeColor="text1"/>
        </w:rPr>
        <w:t>were held</w:t>
      </w:r>
      <w:proofErr w:type="gramEnd"/>
      <w:r w:rsidRPr="00781112">
        <w:rPr>
          <w:color w:val="000000" w:themeColor="text1"/>
        </w:rPr>
        <w:t xml:space="preserve"> between</w:t>
      </w:r>
      <w:r w:rsidRPr="00781112">
        <w:rPr>
          <w:color w:val="000000" w:themeColor="text1"/>
        </w:rPr>
        <w:br/>
        <w:t>WDE and state level coaches to share information and problem solve as needed.</w:t>
      </w:r>
      <w:r w:rsidRPr="00781112">
        <w:rPr>
          <w:color w:val="000000" w:themeColor="text1"/>
        </w:rPr>
        <w:br/>
        <w:t>Key items accomplished during 2021-2022 include:</w:t>
      </w:r>
      <w:r w:rsidRPr="00781112">
        <w:rPr>
          <w:color w:val="000000" w:themeColor="text1"/>
        </w:rPr>
        <w:br/>
        <w:t>* Trained 1 additional DBI coach as part of WDE’s internal coaching cadre</w:t>
      </w:r>
      <w:r w:rsidRPr="00781112">
        <w:rPr>
          <w:color w:val="000000" w:themeColor="text1"/>
        </w:rPr>
        <w:br/>
        <w:t>* Continued alignment of DBI efforts for inclusion as the tier III process for the new statewide WYMTSS center</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Intensive Technical Assistance</w:t>
      </w:r>
      <w:r w:rsidRPr="00781112">
        <w:rPr>
          <w:color w:val="000000" w:themeColor="text1"/>
        </w:rPr>
        <w:br/>
        <w:t>In 2021-22, 13 district implementers attended three DBI trainings and completed training evaluations. 100% of survey respondents indicated that they will change what they do on the job as a result of the trainings, 100% stated that the trainings were useful, 95% stated that their work-related knowledge/skills increased, and 95% stated that the workshops will positively impact students.</w:t>
      </w:r>
      <w:r w:rsidRPr="00781112">
        <w:rPr>
          <w:color w:val="000000" w:themeColor="text1"/>
        </w:rPr>
        <w:br/>
      </w:r>
      <w:r w:rsidRPr="00781112">
        <w:rPr>
          <w:color w:val="000000" w:themeColor="text1"/>
        </w:rPr>
        <w:br/>
        <w:t xml:space="preserve">According to the DBI Weekly Implementation Logs, 86% of the logs completed indicated that the reading intervention was implemented as planned.  </w:t>
      </w:r>
      <w:r w:rsidRPr="00781112">
        <w:rPr>
          <w:color w:val="000000" w:themeColor="text1"/>
        </w:rPr>
        <w:br/>
        <w:t>The new district implementers who had attended the DBI trainings in summer 2021 completed the DBI Implementation Checklist in fall 2021</w:t>
      </w:r>
      <w:proofErr w:type="gramStart"/>
      <w:r w:rsidRPr="00781112">
        <w:rPr>
          <w:color w:val="000000" w:themeColor="text1"/>
        </w:rPr>
        <w:t>.  32%</w:t>
      </w:r>
      <w:proofErr w:type="gramEnd"/>
      <w:r w:rsidRPr="00781112">
        <w:rPr>
          <w:color w:val="000000" w:themeColor="text1"/>
        </w:rPr>
        <w:t xml:space="preserve"> of schools indicated that they are implementing DBI with fidelity.  We anticipate that their ratings will increase after the schools have had time to implement DBI. These short-term outcomes are related to technical assistance, </w:t>
      </w:r>
      <w:proofErr w:type="gramStart"/>
      <w:r w:rsidRPr="00781112">
        <w:rPr>
          <w:color w:val="000000" w:themeColor="text1"/>
        </w:rPr>
        <w:t>data</w:t>
      </w:r>
      <w:proofErr w:type="gramEnd"/>
      <w:r w:rsidRPr="00781112">
        <w:rPr>
          <w:color w:val="000000" w:themeColor="text1"/>
        </w:rPr>
        <w:t xml:space="preserve"> and the professional development area of a systems framework. Practitioners who participated in DBI </w:t>
      </w:r>
      <w:proofErr w:type="gramStart"/>
      <w:r w:rsidRPr="00781112">
        <w:rPr>
          <w:color w:val="000000" w:themeColor="text1"/>
        </w:rPr>
        <w:t>trainings</w:t>
      </w:r>
      <w:proofErr w:type="gramEnd"/>
      <w:r w:rsidRPr="00781112">
        <w:rPr>
          <w:color w:val="000000" w:themeColor="text1"/>
        </w:rPr>
        <w:t xml:space="preserve"> have a clear understanding of the framework and the components necessary to ensure sustainable implementation efforts which will positively impact student learning. Instructional coaching provides </w:t>
      </w:r>
      <w:proofErr w:type="gramStart"/>
      <w:r w:rsidRPr="00781112">
        <w:rPr>
          <w:color w:val="000000" w:themeColor="text1"/>
        </w:rPr>
        <w:t>the direct</w:t>
      </w:r>
      <w:proofErr w:type="gramEnd"/>
      <w:r w:rsidRPr="00781112">
        <w:rPr>
          <w:color w:val="000000" w:themeColor="text1"/>
        </w:rPr>
        <w:t xml:space="preserve"> support to teachers in the implementation of DBI. And supports systems change by increasing the skill level of teachers and and increase in positive academic and behavior outcomes of students.</w:t>
      </w:r>
      <w:r w:rsidRPr="00781112">
        <w:rPr>
          <w:color w:val="000000" w:themeColor="text1"/>
        </w:rPr>
        <w:br/>
      </w:r>
      <w:r w:rsidRPr="00781112">
        <w:rPr>
          <w:color w:val="000000" w:themeColor="text1"/>
        </w:rPr>
        <w:br/>
        <w:t>Targeted Technical Assistance</w:t>
      </w:r>
      <w:r w:rsidRPr="00781112">
        <w:rPr>
          <w:color w:val="000000" w:themeColor="text1"/>
        </w:rPr>
        <w:br/>
        <w:t xml:space="preserve">In 2021-22, 51 individuals attended three DBI trainings and completed training evaluations. 100% of survey respondents stated that the trainings were useful, 99% indicated that they will change what they do on the job </w:t>
      </w:r>
      <w:proofErr w:type="gramStart"/>
      <w:r w:rsidRPr="00781112">
        <w:rPr>
          <w:color w:val="000000" w:themeColor="text1"/>
        </w:rPr>
        <w:t>as a result of</w:t>
      </w:r>
      <w:proofErr w:type="gramEnd"/>
      <w:r w:rsidRPr="00781112">
        <w:rPr>
          <w:color w:val="000000" w:themeColor="text1"/>
        </w:rPr>
        <w:t xml:space="preserve"> the trainings, 96% stated that their work-related knowledge/skills increased, and 95% stated that the workshops will positively impact students. These short-term outcomes are related to both data and professional development areas of a systems framework</w:t>
      </w:r>
      <w:proofErr w:type="gramStart"/>
      <w:r w:rsidRPr="00781112">
        <w:rPr>
          <w:color w:val="000000" w:themeColor="text1"/>
        </w:rPr>
        <w:t xml:space="preserve">.  </w:t>
      </w:r>
      <w:proofErr w:type="gramEnd"/>
      <w:r w:rsidRPr="00781112">
        <w:rPr>
          <w:color w:val="000000" w:themeColor="text1"/>
        </w:rPr>
        <w:t xml:space="preserve">The educators and administrators who attended these </w:t>
      </w:r>
      <w:proofErr w:type="gramStart"/>
      <w:r w:rsidRPr="00781112">
        <w:rPr>
          <w:color w:val="000000" w:themeColor="text1"/>
        </w:rPr>
        <w:t>trainings</w:t>
      </w:r>
      <w:proofErr w:type="gramEnd"/>
      <w:r w:rsidRPr="00781112">
        <w:rPr>
          <w:color w:val="000000" w:themeColor="text1"/>
        </w:rPr>
        <w:t xml:space="preserve"> have a clearer understanding of the essential criteria of intervention selection, alignment to student subset skill deficits and the tools needed to progress monitor. Understanding these components will lead to </w:t>
      </w:r>
      <w:proofErr w:type="gramStart"/>
      <w:r w:rsidRPr="00781112">
        <w:rPr>
          <w:color w:val="000000" w:themeColor="text1"/>
        </w:rPr>
        <w:t>a better</w:t>
      </w:r>
      <w:proofErr w:type="gramEnd"/>
      <w:r w:rsidRPr="00781112">
        <w:rPr>
          <w:color w:val="000000" w:themeColor="text1"/>
        </w:rPr>
        <w:t xml:space="preserve"> alignment and delivery of interventions that </w:t>
      </w:r>
      <w:proofErr w:type="gramStart"/>
      <w:r w:rsidRPr="00781112">
        <w:rPr>
          <w:color w:val="000000" w:themeColor="text1"/>
        </w:rPr>
        <w:t>are specifically tailored</w:t>
      </w:r>
      <w:proofErr w:type="gramEnd"/>
      <w:r w:rsidRPr="00781112">
        <w:rPr>
          <w:color w:val="000000" w:themeColor="text1"/>
        </w:rPr>
        <w:t xml:space="preserve"> to student needs. Interventions delivered purposefully and with fidelity will lead to greater success </w:t>
      </w:r>
      <w:proofErr w:type="gramStart"/>
      <w:r w:rsidRPr="00781112">
        <w:rPr>
          <w:color w:val="000000" w:themeColor="text1"/>
        </w:rPr>
        <w:t>of</w:t>
      </w:r>
      <w:proofErr w:type="gramEnd"/>
      <w:r w:rsidRPr="00781112">
        <w:rPr>
          <w:color w:val="000000" w:themeColor="text1"/>
        </w:rPr>
        <w:t xml:space="preserve"> implementation and </w:t>
      </w:r>
      <w:proofErr w:type="gramStart"/>
      <w:r w:rsidRPr="00781112">
        <w:rPr>
          <w:color w:val="000000" w:themeColor="text1"/>
        </w:rPr>
        <w:t>ultimately improved</w:t>
      </w:r>
      <w:proofErr w:type="gramEnd"/>
      <w:r w:rsidRPr="00781112">
        <w:rPr>
          <w:color w:val="000000" w:themeColor="text1"/>
        </w:rPr>
        <w:t xml:space="preserve"> student outcomes. </w:t>
      </w:r>
      <w:r w:rsidRPr="00781112">
        <w:rPr>
          <w:color w:val="000000" w:themeColor="text1"/>
        </w:rPr>
        <w:br/>
      </w:r>
      <w:r w:rsidRPr="00781112">
        <w:rPr>
          <w:color w:val="000000" w:themeColor="text1"/>
        </w:rPr>
        <w:br/>
        <w:t>Universal Technical Assistance</w:t>
      </w:r>
      <w:r w:rsidRPr="00781112">
        <w:rPr>
          <w:color w:val="000000" w:themeColor="text1"/>
        </w:rPr>
        <w:br/>
        <w:t xml:space="preserve">In 2021-22, 14 individuals attended two WAVES trainings on DBI and completed training evaluations. 100% of survey respondents stated that the trainings were useful, 100% stated that their work-related knowledge/skills increased, 93% indicated that they will change what they do on the job </w:t>
      </w:r>
      <w:proofErr w:type="gramStart"/>
      <w:r w:rsidRPr="00781112">
        <w:rPr>
          <w:color w:val="000000" w:themeColor="text1"/>
        </w:rPr>
        <w:t>as a result of</w:t>
      </w:r>
      <w:proofErr w:type="gramEnd"/>
      <w:r w:rsidRPr="00781112">
        <w:rPr>
          <w:color w:val="000000" w:themeColor="text1"/>
        </w:rPr>
        <w:t xml:space="preserve"> the trainings, and 71% stated that the workshops will positively impact students. These short-term outcomes are related to the professional development area of a systems framework. Educators and administrators who attended these trainings have improved knowledge of the core components of the DBI framework and the positive impact on system sustainability and improved student outcomes.</w:t>
      </w:r>
      <w:r w:rsidRPr="00781112">
        <w:rPr>
          <w:color w:val="000000" w:themeColor="text1"/>
        </w:rPr>
        <w:br/>
      </w:r>
      <w:r w:rsidRPr="00781112">
        <w:rPr>
          <w:color w:val="000000" w:themeColor="text1"/>
        </w:rPr>
        <w:br/>
        <w:t>State Infrastructure/Capacity</w:t>
      </w:r>
      <w:r w:rsidRPr="00781112">
        <w:rPr>
          <w:color w:val="000000" w:themeColor="text1"/>
        </w:rPr>
        <w:br/>
        <w:t xml:space="preserve">In 2021-22, 78 individuals attended five statewide capacity trainings on DBI (four MTSS Center trainings and one new special education director training) and completed training evaluations. 100% of survey respondents stated that the trainings were useful, 99% stated that their work-related knowledge increased, 98% indicated that they will change what they do on the job </w:t>
      </w:r>
      <w:proofErr w:type="gramStart"/>
      <w:r w:rsidRPr="00781112">
        <w:rPr>
          <w:color w:val="000000" w:themeColor="text1"/>
        </w:rPr>
        <w:t>as a result of</w:t>
      </w:r>
      <w:proofErr w:type="gramEnd"/>
      <w:r w:rsidRPr="00781112">
        <w:rPr>
          <w:color w:val="000000" w:themeColor="text1"/>
        </w:rPr>
        <w:t xml:space="preserve"> the trainings, 96% stated that the workshops will positively impact students, and 94% stated that their work-related skills increased. These short-term outcomes are related to technical assistance, </w:t>
      </w:r>
      <w:proofErr w:type="gramStart"/>
      <w:r w:rsidRPr="00781112">
        <w:rPr>
          <w:color w:val="000000" w:themeColor="text1"/>
        </w:rPr>
        <w:t>governance</w:t>
      </w:r>
      <w:proofErr w:type="gramEnd"/>
      <w:r w:rsidRPr="00781112">
        <w:rPr>
          <w:color w:val="000000" w:themeColor="text1"/>
        </w:rPr>
        <w:t xml:space="preserve"> and the professional development areas of a systems framework. </w:t>
      </w:r>
      <w:r w:rsidRPr="00781112">
        <w:rPr>
          <w:color w:val="000000" w:themeColor="text1"/>
        </w:rPr>
        <w:br/>
      </w:r>
      <w:r w:rsidRPr="00781112">
        <w:rPr>
          <w:color w:val="000000" w:themeColor="text1"/>
        </w:rPr>
        <w:lastRenderedPageBreak/>
        <w:br/>
        <w:t xml:space="preserve">All four of these strategies contribute together to impact the professional development area of a systems framework. Providing professional development </w:t>
      </w:r>
      <w:proofErr w:type="gramStart"/>
      <w:r w:rsidRPr="00781112">
        <w:rPr>
          <w:color w:val="000000" w:themeColor="text1"/>
        </w:rPr>
        <w:t>in the area of</w:t>
      </w:r>
      <w:proofErr w:type="gramEnd"/>
      <w:r w:rsidRPr="00781112">
        <w:rPr>
          <w:color w:val="000000" w:themeColor="text1"/>
        </w:rPr>
        <w:t xml:space="preserve"> DBI supports system change by improving instructional skills for teachers, which leads to a positive impact on student outcomes. Professional development in the areas of literacy and instruction are necessary for both achievement of the SiMR and sustainability of systems improvement efforts</w:t>
      </w:r>
      <w:proofErr w:type="gramStart"/>
      <w:r w:rsidRPr="00781112">
        <w:rPr>
          <w:color w:val="000000" w:themeColor="text1"/>
        </w:rPr>
        <w:t xml:space="preserve">.  </w:t>
      </w:r>
      <w:proofErr w:type="gramEnd"/>
      <w:r w:rsidRPr="00781112">
        <w:rPr>
          <w:color w:val="000000" w:themeColor="text1"/>
        </w:rPr>
        <w:t xml:space="preserve">These four areas are also related to the technical assistance area of a systems framework. Instructional coaching provides </w:t>
      </w:r>
      <w:proofErr w:type="gramStart"/>
      <w:r w:rsidRPr="00781112">
        <w:rPr>
          <w:color w:val="000000" w:themeColor="text1"/>
        </w:rPr>
        <w:t>hands-on</w:t>
      </w:r>
      <w:proofErr w:type="gramEnd"/>
      <w:r w:rsidRPr="00781112">
        <w:rPr>
          <w:color w:val="000000" w:themeColor="text1"/>
        </w:rPr>
        <w:t xml:space="preserve">, direct support to teachers and supports system change by impacting both the skill level of the teachers and the instructional outcome of the students. Instructional coaching is necessary for both achievement of the SiMR and sustainability of systems improvement efforts.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w:t>
      </w:r>
      <w:proofErr w:type="gramStart"/>
      <w:r w:rsidRPr="00781112">
        <w:rPr>
          <w:rFonts w:cs="Arial"/>
          <w:b/>
          <w:bCs/>
        </w:rPr>
        <w:t>be attained</w:t>
      </w:r>
      <w:proofErr w:type="gramEnd"/>
      <w:r w:rsidRPr="00781112">
        <w:rPr>
          <w:rFonts w:cs="Arial"/>
          <w:b/>
          <w:bCs/>
        </w:rPr>
        <w:t xml:space="preserve"> during the next reporting period. </w:t>
      </w:r>
    </w:p>
    <w:p w14:paraId="1A03571A" w14:textId="0DF7AD96" w:rsidR="00AE1972" w:rsidRPr="00781112" w:rsidRDefault="00AE1972" w:rsidP="00AE1972">
      <w:pPr>
        <w:rPr>
          <w:b/>
          <w:bCs/>
        </w:rPr>
      </w:pPr>
      <w:r w:rsidRPr="00781112">
        <w:rPr>
          <w:color w:val="000000" w:themeColor="text1"/>
        </w:rPr>
        <w:t>Intensive Technical Assistance</w:t>
      </w:r>
      <w:r w:rsidRPr="00781112">
        <w:rPr>
          <w:color w:val="000000" w:themeColor="text1"/>
        </w:rPr>
        <w:br/>
        <w:t xml:space="preserve">The SSIP evaluation plan for the 2023-24 cohort will replicate the current DBI evaluation plan, with additional emphases in these areas: </w:t>
      </w:r>
      <w:r w:rsidRPr="00781112">
        <w:rPr>
          <w:color w:val="000000" w:themeColor="text1"/>
        </w:rPr>
        <w:br/>
        <w:t xml:space="preserve">• Increased number of students </w:t>
      </w:r>
      <w:r w:rsidRPr="00781112">
        <w:rPr>
          <w:color w:val="000000" w:themeColor="text1"/>
        </w:rPr>
        <w:br/>
        <w:t xml:space="preserve">• Increased number of teachers trained in the DBI process </w:t>
      </w:r>
      <w:r w:rsidRPr="00781112">
        <w:rPr>
          <w:color w:val="000000" w:themeColor="text1"/>
        </w:rPr>
        <w:br/>
        <w:t>• Additional collection of student-level data</w:t>
      </w:r>
      <w:r w:rsidRPr="00781112">
        <w:rPr>
          <w:color w:val="000000" w:themeColor="text1"/>
        </w:rPr>
        <w:br/>
        <w:t>• Ongoing verification of implementation fidelity</w:t>
      </w:r>
      <w:r w:rsidRPr="00781112">
        <w:rPr>
          <w:color w:val="000000" w:themeColor="text1"/>
        </w:rPr>
        <w:br/>
        <w:t>• Effectiveness of coaching</w:t>
      </w:r>
      <w:r w:rsidRPr="00781112">
        <w:rPr>
          <w:color w:val="000000" w:themeColor="text1"/>
        </w:rPr>
        <w:br/>
        <w:t>• Correlation data of the MTSS Fidelity of Implementation Checklist and the DBI Fidelity of Implementation Checklist</w:t>
      </w:r>
      <w:r w:rsidRPr="00781112">
        <w:rPr>
          <w:color w:val="000000" w:themeColor="text1"/>
        </w:rPr>
        <w:br/>
        <w:t>• Relationship between DBI daily or weekly data points and mastery of IEP goals</w:t>
      </w:r>
      <w:r w:rsidRPr="00781112">
        <w:rPr>
          <w:color w:val="000000" w:themeColor="text1"/>
        </w:rPr>
        <w:br/>
        <w:t xml:space="preserve"> </w:t>
      </w:r>
      <w:r w:rsidRPr="00781112">
        <w:rPr>
          <w:color w:val="000000" w:themeColor="text1"/>
        </w:rPr>
        <w:br/>
      </w:r>
      <w:r w:rsidRPr="00781112">
        <w:rPr>
          <w:color w:val="000000" w:themeColor="text1"/>
        </w:rPr>
        <w:br/>
        <w:t>Targeted Technical Assistance</w:t>
      </w:r>
      <w:r w:rsidRPr="00781112">
        <w:rPr>
          <w:color w:val="000000" w:themeColor="text1"/>
        </w:rPr>
        <w:br/>
        <w:t>• Support district implementation through on-going trainings to on-board new staff</w:t>
      </w:r>
      <w:r w:rsidRPr="00781112">
        <w:rPr>
          <w:color w:val="000000" w:themeColor="text1"/>
        </w:rPr>
        <w:br/>
        <w:t>• Continue to solicit additional districts and Child Development Centers (CDC) to expand the project statewide.</w:t>
      </w:r>
      <w:r w:rsidRPr="00781112">
        <w:rPr>
          <w:color w:val="000000" w:themeColor="text1"/>
        </w:rPr>
        <w:br/>
        <w:t xml:space="preserve">• WYSSIP team will continue to solicit districts and CDCs to serve as project sites for the upcoming cohort. </w:t>
      </w:r>
      <w:r w:rsidRPr="00781112">
        <w:rPr>
          <w:color w:val="000000" w:themeColor="text1"/>
        </w:rPr>
        <w:br/>
        <w:t>• Work with identified districts to select and train experienced practitioners to serve as internal district coaches.</w:t>
      </w:r>
      <w:r w:rsidRPr="00781112">
        <w:rPr>
          <w:color w:val="000000" w:themeColor="text1"/>
        </w:rPr>
        <w:br/>
      </w:r>
      <w:r w:rsidRPr="00781112">
        <w:rPr>
          <w:color w:val="000000" w:themeColor="text1"/>
        </w:rPr>
        <w:br/>
        <w:t>Universal Technical Assistance</w:t>
      </w:r>
      <w:r w:rsidRPr="00781112">
        <w:rPr>
          <w:color w:val="000000" w:themeColor="text1"/>
        </w:rPr>
        <w:br/>
        <w:t xml:space="preserve">In September 2023, the WDE will roll-out the 2023-24 cohort of DBI implementers. The WDE will continue to provide support to the first through sixth year cohort schools. Previous years’ cohort teachers will each mentor an additional special education teacher through a train-the-trainer model. In addition to broadening the cadre of DBI implementers, WDE will continue to solicit other districts interested in pursuing DBI professional development. Expanding into other districts will </w:t>
      </w:r>
      <w:proofErr w:type="gramStart"/>
      <w:r w:rsidRPr="00781112">
        <w:rPr>
          <w:color w:val="000000" w:themeColor="text1"/>
        </w:rPr>
        <w:t>be supported</w:t>
      </w:r>
      <w:proofErr w:type="gramEnd"/>
      <w:r w:rsidRPr="00781112">
        <w:rPr>
          <w:color w:val="000000" w:themeColor="text1"/>
        </w:rPr>
        <w:t xml:space="preserve"> by our designated MTSS state and district coaches. 2023-24 cohort participants, including those involved in the community of practice will complete the following activities: </w:t>
      </w:r>
      <w:r w:rsidRPr="00781112">
        <w:rPr>
          <w:color w:val="000000" w:themeColor="text1"/>
        </w:rPr>
        <w:br/>
        <w:t>• Series of DBI professional development modules</w:t>
      </w:r>
      <w:r w:rsidRPr="00781112">
        <w:rPr>
          <w:color w:val="000000" w:themeColor="text1"/>
        </w:rPr>
        <w:br/>
        <w:t>• Coaches training for identified district coaches and state-level coaching cadre</w:t>
      </w:r>
      <w:r w:rsidRPr="00781112">
        <w:rPr>
          <w:color w:val="000000" w:themeColor="text1"/>
        </w:rPr>
        <w:br/>
        <w:t>• DBI PLC sixth cohort to include new teachers and LEAs</w:t>
      </w:r>
      <w:r w:rsidRPr="00781112">
        <w:rPr>
          <w:color w:val="000000" w:themeColor="text1"/>
        </w:rPr>
        <w:br/>
        <w:t xml:space="preserve">• Annual leadership conference presentations and data share-outs </w:t>
      </w:r>
      <w:r w:rsidRPr="00781112">
        <w:rPr>
          <w:color w:val="000000" w:themeColor="text1"/>
        </w:rPr>
        <w:br/>
        <w:t>• Universal PD/TA around DBI and Best Practices in Literacy using the state Learning Management System (LMS)</w:t>
      </w:r>
      <w:r w:rsidRPr="00781112">
        <w:rPr>
          <w:color w:val="000000" w:themeColor="text1"/>
        </w:rPr>
        <w:br/>
      </w:r>
      <w:r w:rsidRPr="00781112">
        <w:rPr>
          <w:color w:val="000000" w:themeColor="text1"/>
        </w:rPr>
        <w:br/>
        <w:t>State Infrastructure/Capacity</w:t>
      </w:r>
      <w:r w:rsidRPr="00781112">
        <w:rPr>
          <w:color w:val="000000" w:themeColor="text1"/>
        </w:rPr>
        <w:br/>
        <w:t xml:space="preserve">Historically, turnover at the WDE has been a barrier to implementing the SSIP. WDE will continue to work on the following activities to overcome the turnover challenge: </w:t>
      </w:r>
      <w:r w:rsidRPr="00781112">
        <w:rPr>
          <w:color w:val="000000" w:themeColor="text1"/>
        </w:rPr>
        <w:br/>
        <w:t xml:space="preserve">• Develop a cadre of trainers across the state located within their LEA </w:t>
      </w:r>
      <w:r w:rsidRPr="00781112">
        <w:rPr>
          <w:color w:val="000000" w:themeColor="text1"/>
        </w:rPr>
        <w:br/>
        <w:t>• Obtain commitment from future cohort districts to develop, train, and maintain coaches to participate for two or more years</w:t>
      </w:r>
      <w:r w:rsidRPr="00781112">
        <w:rPr>
          <w:color w:val="000000" w:themeColor="text1"/>
        </w:rPr>
        <w:br/>
        <w:t>• Create a consistent WY SSIP team through building the requirement into established job duties</w:t>
      </w:r>
      <w:r w:rsidRPr="00781112">
        <w:rPr>
          <w:color w:val="000000" w:themeColor="text1"/>
        </w:rPr>
        <w:br/>
      </w:r>
      <w:r w:rsidRPr="00781112">
        <w:rPr>
          <w:color w:val="000000" w:themeColor="text1"/>
        </w:rPr>
        <w:br/>
        <w:t>The WDE will continue to seek support from technical assistance centers such as National Center of Intensive Instruction (NCII). The WDE currently has a contract with the American Institute for Research (AIR) to deliver DBI training and other relevant MTSS professional development.</w:t>
      </w:r>
      <w:r w:rsidRPr="00781112">
        <w:rPr>
          <w:color w:val="000000" w:themeColor="text1"/>
        </w:rPr>
        <w:br/>
      </w:r>
      <w:r w:rsidRPr="00781112">
        <w:rPr>
          <w:color w:val="000000" w:themeColor="text1"/>
        </w:rPr>
        <w:br/>
        <w:t>Based on lessons learned from the 2021-22 year, stakeholder meetings with the target district and CoP participants were held in March 2022 and the WYSSIP team is currently working to schedule trainings with interested districts. Utilizing feedback from stakeholders and participants, the Wyoming SSIP Team will determine changes or refinements to our process throughout the 2022-23 cohort</w:t>
      </w:r>
      <w:proofErr w:type="gramStart"/>
      <w:r w:rsidRPr="00781112">
        <w:rPr>
          <w:color w:val="000000" w:themeColor="text1"/>
        </w:rPr>
        <w:t xml:space="preserve">.  </w:t>
      </w:r>
      <w:proofErr w:type="gramEnd"/>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Data-Based Individualization (DBI), Community of Practice (CoP), Professional Learning Communities (PLC), coaching.</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 xml:space="preserve">Provide a summary of each evidence-based </w:t>
      </w:r>
      <w:proofErr w:type="gramStart"/>
      <w:r w:rsidRPr="00781112">
        <w:rPr>
          <w:rFonts w:cs="Arial"/>
          <w:b/>
          <w:bCs/>
        </w:rPr>
        <w:t>practices</w:t>
      </w:r>
      <w:proofErr w:type="gramEnd"/>
      <w:r w:rsidRPr="00781112">
        <w:rPr>
          <w:rFonts w:cs="Arial"/>
          <w:b/>
          <w:bCs/>
        </w:rPr>
        <w:t>.</w:t>
      </w:r>
    </w:p>
    <w:p w14:paraId="30605054" w14:textId="1313DE13" w:rsidR="00AE1972" w:rsidRPr="00781112" w:rsidRDefault="00AE1972" w:rsidP="00AE1972">
      <w:pPr>
        <w:rPr>
          <w:b/>
          <w:bCs/>
        </w:rPr>
      </w:pPr>
      <w:r w:rsidRPr="00781112">
        <w:rPr>
          <w:color w:val="000000" w:themeColor="text1"/>
        </w:rPr>
        <w:t xml:space="preserve">DBI is a systemic method for using data to determine when and how to provide more intensive intervention to students. Teachers use progress monitoring data to evaluate a student’s response to interventions and then use that information to determine if moving to the next component </w:t>
      </w:r>
      <w:proofErr w:type="gramStart"/>
      <w:r w:rsidRPr="00781112">
        <w:rPr>
          <w:color w:val="000000" w:themeColor="text1"/>
        </w:rPr>
        <w:t>is needed</w:t>
      </w:r>
      <w:proofErr w:type="gramEnd"/>
      <w:r w:rsidRPr="00781112">
        <w:rPr>
          <w:color w:val="000000" w:themeColor="text1"/>
        </w:rPr>
        <w:t xml:space="preserve">. With DBI training, teachers provide individual differentiated instruction to students who fit the Wyoming SiMR population as well as those who may be at-risk for reading difficulties once they reach the third grade. </w:t>
      </w:r>
      <w:r w:rsidRPr="00781112">
        <w:rPr>
          <w:color w:val="000000" w:themeColor="text1"/>
        </w:rPr>
        <w:br/>
      </w:r>
      <w:r w:rsidRPr="00781112">
        <w:rPr>
          <w:color w:val="000000" w:themeColor="text1"/>
        </w:rPr>
        <w:br/>
        <w:t>The WDE conducts three separate Community of Practices (CoP); Administrator, Practitioner, and Coaching, which stakeholders have identified as the three critical areas of training needed to ensure successful implementation. The established CoPs allow Administrators, Practitioners, and Coaches to be involved in a broader community of practice learning from national experts and their peers</w:t>
      </w:r>
      <w:proofErr w:type="gramStart"/>
      <w:r w:rsidRPr="00781112">
        <w:rPr>
          <w:color w:val="000000" w:themeColor="text1"/>
        </w:rPr>
        <w:t xml:space="preserve">.  </w:t>
      </w:r>
      <w:proofErr w:type="gramEnd"/>
      <w:r w:rsidRPr="00781112">
        <w:rPr>
          <w:color w:val="000000" w:themeColor="text1"/>
        </w:rPr>
        <w:t xml:space="preserve"> Administrators participate to examine the </w:t>
      </w:r>
      <w:proofErr w:type="gramStart"/>
      <w:r w:rsidRPr="00781112">
        <w:rPr>
          <w:color w:val="000000" w:themeColor="text1"/>
        </w:rPr>
        <w:t>supports</w:t>
      </w:r>
      <w:proofErr w:type="gramEnd"/>
      <w:r w:rsidRPr="00781112">
        <w:rPr>
          <w:color w:val="000000" w:themeColor="text1"/>
        </w:rPr>
        <w:t xml:space="preserve"> needed for practitioners to maximize the effectiveness of the framework. Coaches </w:t>
      </w:r>
      <w:proofErr w:type="gramStart"/>
      <w:r w:rsidRPr="00781112">
        <w:rPr>
          <w:color w:val="000000" w:themeColor="text1"/>
        </w:rPr>
        <w:t>are involved in</w:t>
      </w:r>
      <w:proofErr w:type="gramEnd"/>
      <w:r w:rsidRPr="00781112">
        <w:rPr>
          <w:color w:val="000000" w:themeColor="text1"/>
        </w:rPr>
        <w:t xml:space="preserve"> their own CoP to learn from national experts, share experience and increase their capacity and maximize their effectiveness in supporting practitioners. Practitioners learn from experts about the data-based individualization (DBI) process, its essential features and how to deliver intensifying interventions for students with intensive needs, including students with disabilities.</w:t>
      </w:r>
      <w:r w:rsidRPr="00781112">
        <w:rPr>
          <w:color w:val="000000" w:themeColor="text1"/>
        </w:rPr>
        <w:br/>
        <w:t xml:space="preserve">Professional Learning Communities (PLC), take place during the CoPs. PLCs provide </w:t>
      </w:r>
      <w:proofErr w:type="gramStart"/>
      <w:r w:rsidRPr="00781112">
        <w:rPr>
          <w:color w:val="000000" w:themeColor="text1"/>
        </w:rPr>
        <w:t>the networking</w:t>
      </w:r>
      <w:proofErr w:type="gramEnd"/>
      <w:r w:rsidRPr="00781112">
        <w:rPr>
          <w:color w:val="000000" w:themeColor="text1"/>
        </w:rPr>
        <w:t xml:space="preserve"> opportunities for participants to learn from each other. Participants discuss barriers to implementation, assist each other in problem-solving, and plan for sustainability</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r>
      <w:r w:rsidRPr="00781112">
        <w:rPr>
          <w:color w:val="000000" w:themeColor="text1"/>
        </w:rPr>
        <w:lastRenderedPageBreak/>
        <w:t xml:space="preserve">The coaching process takes advantage of experienced educators who have been implementing the DBI framework for </w:t>
      </w:r>
      <w:proofErr w:type="gramStart"/>
      <w:r w:rsidRPr="00781112">
        <w:rPr>
          <w:color w:val="000000" w:themeColor="text1"/>
        </w:rPr>
        <w:t>a number of</w:t>
      </w:r>
      <w:proofErr w:type="gramEnd"/>
      <w:r w:rsidRPr="00781112">
        <w:rPr>
          <w:color w:val="000000" w:themeColor="text1"/>
        </w:rPr>
        <w:t xml:space="preserve"> years and provided the framework to support practitioners who are new to the DBI process. The coaches provide insight on the process, assist with the development of a student intervention plan, assist in reviewing student level data, guide educators in adapting instruction to improve the quality and focus of an intervention, and assist in problem solving around challenges and barriers to implementation.</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93" w:name="_Hlk88409387"/>
      <w:r w:rsidRPr="00781112">
        <w:rPr>
          <w:rFonts w:cs="Arial"/>
          <w:b/>
          <w:bCs/>
        </w:rPr>
        <w:t>Provide a summary of how each evidence-based practice and activities or strategies that support its use, is intended to impact the SiMR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93"/>
    <w:p w14:paraId="3E043DB7" w14:textId="7C3B2CD4" w:rsidR="00AE1972" w:rsidRPr="00781112" w:rsidRDefault="00AE1972" w:rsidP="00AE1972">
      <w:pPr>
        <w:rPr>
          <w:b/>
          <w:bCs/>
        </w:rPr>
      </w:pPr>
      <w:r w:rsidRPr="00781112">
        <w:rPr>
          <w:color w:val="000000" w:themeColor="text1"/>
        </w:rPr>
        <w:t>The implementation of DBI, along with our state’s coherent improvement strategies (Intensive Technical Assistance, Targeted Technical Assistance, Universal Technical Assistance, and continued development of state infrastructure/capacity), will result in progress toward the SiMR goal. The purpose of providing administrators and practitioners with professional development on DBI and ongoing differentiated supports is to change building practices and teacher capacity to provide accurate and timely interventions to students in need of intensive and individualized support</w:t>
      </w:r>
      <w:proofErr w:type="gramStart"/>
      <w:r w:rsidRPr="00781112">
        <w:rPr>
          <w:color w:val="000000" w:themeColor="text1"/>
        </w:rPr>
        <w:t xml:space="preserve">.  </w:t>
      </w:r>
      <w:proofErr w:type="gramEnd"/>
      <w:r w:rsidRPr="00781112">
        <w:rPr>
          <w:color w:val="000000" w:themeColor="text1"/>
        </w:rPr>
        <w:t xml:space="preserve">The alignment of the SSIP work to the WY MTSS Center ensures that the DBI process does not exist in isolation, instead, it </w:t>
      </w:r>
      <w:proofErr w:type="gramStart"/>
      <w:r w:rsidRPr="00781112">
        <w:rPr>
          <w:color w:val="000000" w:themeColor="text1"/>
        </w:rPr>
        <w:t>is delivered</w:t>
      </w:r>
      <w:proofErr w:type="gramEnd"/>
      <w:r w:rsidRPr="00781112">
        <w:rPr>
          <w:color w:val="000000" w:themeColor="text1"/>
        </w:rPr>
        <w:t xml:space="preserve"> as part of the larger tiered framework, as a full continuum of intervention </w:t>
      </w:r>
      <w:proofErr w:type="gramStart"/>
      <w:r w:rsidRPr="00781112">
        <w:rPr>
          <w:color w:val="000000" w:themeColor="text1"/>
        </w:rPr>
        <w:t>supports</w:t>
      </w:r>
      <w:proofErr w:type="gramEnd"/>
      <w:r w:rsidRPr="00781112">
        <w:rPr>
          <w:color w:val="000000" w:themeColor="text1"/>
        </w:rPr>
        <w:t>. A solid multi-tiered system of support will lend itself to successful, effective, and sustainable implementation of DBI</w:t>
      </w:r>
      <w:proofErr w:type="gramStart"/>
      <w:r w:rsidRPr="00781112">
        <w:rPr>
          <w:color w:val="000000" w:themeColor="text1"/>
        </w:rPr>
        <w:t xml:space="preserve">.  </w:t>
      </w:r>
      <w:proofErr w:type="gramEnd"/>
      <w:r w:rsidRPr="00781112">
        <w:rPr>
          <w:color w:val="000000" w:themeColor="text1"/>
        </w:rPr>
        <w:br/>
      </w:r>
      <w:r w:rsidRPr="00781112">
        <w:rPr>
          <w:color w:val="000000" w:themeColor="text1"/>
        </w:rPr>
        <w:br/>
        <w:t xml:space="preserve">The established community of practices are designed to create a broad network of support for participants, by providing access to peers who </w:t>
      </w:r>
      <w:proofErr w:type="gramStart"/>
      <w:r w:rsidRPr="00781112">
        <w:rPr>
          <w:color w:val="000000" w:themeColor="text1"/>
        </w:rPr>
        <w:t>are involved in</w:t>
      </w:r>
      <w:proofErr w:type="gramEnd"/>
      <w:r w:rsidRPr="00781112">
        <w:rPr>
          <w:color w:val="000000" w:themeColor="text1"/>
        </w:rPr>
        <w:t xml:space="preserve"> DBI implementation. </w:t>
      </w:r>
      <w:r w:rsidRPr="00781112">
        <w:rPr>
          <w:color w:val="000000" w:themeColor="text1"/>
        </w:rPr>
        <w:br/>
      </w:r>
      <w:r w:rsidRPr="00781112">
        <w:rPr>
          <w:color w:val="000000" w:themeColor="text1"/>
        </w:rPr>
        <w:br/>
        <w:t xml:space="preserve">Coaching </w:t>
      </w:r>
      <w:proofErr w:type="gramStart"/>
      <w:r w:rsidRPr="00781112">
        <w:rPr>
          <w:color w:val="000000" w:themeColor="text1"/>
        </w:rPr>
        <w:t>allows for</w:t>
      </w:r>
      <w:proofErr w:type="gramEnd"/>
      <w:r w:rsidRPr="00781112">
        <w:rPr>
          <w:color w:val="000000" w:themeColor="text1"/>
        </w:rPr>
        <w:t xml:space="preserve"> participants new to the process to improve their understanding of the framework and provide them with additional support as they work through the stages of implementation. The coaching process provides continuing support to teachers in increasing the intentionality and quality of their instruction so that it better aligns with students’ specific needs increasing the chances of academic and behavioral success . </w:t>
      </w:r>
      <w:r w:rsidRPr="00781112">
        <w:rPr>
          <w:color w:val="000000" w:themeColor="text1"/>
        </w:rPr>
        <w:br/>
      </w:r>
      <w:r w:rsidRPr="00781112">
        <w:rPr>
          <w:color w:val="000000" w:themeColor="text1"/>
        </w:rPr>
        <w:br/>
        <w:t>The PLC process allows participants to share knowledge and build better practices accelerating professional development across the state. Combining professional development and differentiated supports results in a better understanding of the DBI process and its application, while advancing skills through individualized coaching. This ensures that educators are able to meet the individualized needs of students resulting in improved learning outcomes for those students with the most intensive learning needs, including students with disabilities.</w:t>
      </w:r>
      <w:r w:rsidRPr="00781112">
        <w:rPr>
          <w:color w:val="000000" w:themeColor="text1"/>
        </w:rPr>
        <w:br/>
      </w:r>
      <w:r w:rsidRPr="00781112">
        <w:rPr>
          <w:color w:val="000000" w:themeColor="text1"/>
        </w:rPr>
        <w:br/>
        <w:t xml:space="preserve">The on-going work of the WY DBI project, to include major adjustments and milestones, has been highlighted by the National Center on Intensive Intervention (NCII):  https://intensiveintervention.org/data-based-individualization/state-stories/wyoming. </w:t>
      </w:r>
      <w:r w:rsidRPr="00781112">
        <w:rPr>
          <w:color w:val="000000" w:themeColor="text1"/>
        </w:rPr>
        <w:br/>
        <w:t xml:space="preserve">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 xml:space="preserve">DBI Implementation Checklist </w:t>
      </w:r>
      <w:proofErr w:type="gramStart"/>
      <w:r w:rsidRPr="00781112">
        <w:rPr>
          <w:color w:val="000000" w:themeColor="text1"/>
        </w:rPr>
        <w:t>is used</w:t>
      </w:r>
      <w:proofErr w:type="gramEnd"/>
      <w:r w:rsidRPr="00781112">
        <w:rPr>
          <w:color w:val="000000" w:themeColor="text1"/>
        </w:rPr>
        <w:t xml:space="preserve"> to determine the extent to which school personnel are implementing the essential components of school-level implementation of data-based individualization for students who need intensive intervention. Additionally, individual practitioners </w:t>
      </w:r>
      <w:proofErr w:type="gramStart"/>
      <w:r w:rsidRPr="00781112">
        <w:rPr>
          <w:color w:val="000000" w:themeColor="text1"/>
        </w:rPr>
        <w:t>are asked</w:t>
      </w:r>
      <w:proofErr w:type="gramEnd"/>
      <w:r w:rsidRPr="00781112">
        <w:rPr>
          <w:color w:val="000000" w:themeColor="text1"/>
        </w:rPr>
        <w:t xml:space="preserve"> to complete weekly fidelity logs of their intervention and data collection fidelity.</w:t>
      </w:r>
      <w:r w:rsidRPr="00781112">
        <w:rPr>
          <w:color w:val="000000" w:themeColor="text1"/>
        </w:rPr>
        <w:br/>
      </w:r>
      <w:r w:rsidRPr="00781112">
        <w:rPr>
          <w:color w:val="000000" w:themeColor="text1"/>
        </w:rPr>
        <w:br/>
        <w:t>2021-22 DBI Implementation Checklist Results:</w:t>
      </w:r>
      <w:r w:rsidRPr="00781112">
        <w:rPr>
          <w:color w:val="000000" w:themeColor="text1"/>
        </w:rPr>
        <w:br/>
        <w:t>In fall 2021, 32% of schools indicated that they are implementing DBI with fidelity. Below are the scores by section.</w:t>
      </w:r>
      <w:r w:rsidRPr="00781112">
        <w:rPr>
          <w:color w:val="000000" w:themeColor="text1"/>
        </w:rPr>
        <w:br/>
        <w:t xml:space="preserve">I. System Features to Support DBI Readiness and Implementation: </w:t>
      </w:r>
      <w:proofErr w:type="gramStart"/>
      <w:r w:rsidRPr="00781112">
        <w:rPr>
          <w:color w:val="000000" w:themeColor="text1"/>
        </w:rPr>
        <w:t>44</w:t>
      </w:r>
      <w:proofErr w:type="gramEnd"/>
      <w:r w:rsidRPr="00781112">
        <w:rPr>
          <w:color w:val="000000" w:themeColor="text1"/>
        </w:rPr>
        <w:t>%</w:t>
      </w:r>
      <w:r w:rsidRPr="00781112">
        <w:rPr>
          <w:color w:val="000000" w:themeColor="text1"/>
        </w:rPr>
        <w:br/>
        <w:t xml:space="preserve">II. Data and Decision Making: </w:t>
      </w:r>
      <w:proofErr w:type="gramStart"/>
      <w:r w:rsidRPr="00781112">
        <w:rPr>
          <w:color w:val="000000" w:themeColor="text1"/>
        </w:rPr>
        <w:t>37</w:t>
      </w:r>
      <w:proofErr w:type="gramEnd"/>
      <w:r w:rsidRPr="00781112">
        <w:rPr>
          <w:color w:val="000000" w:themeColor="text1"/>
        </w:rPr>
        <w:t>%</w:t>
      </w:r>
      <w:r w:rsidRPr="00781112">
        <w:rPr>
          <w:color w:val="000000" w:themeColor="text1"/>
        </w:rPr>
        <w:br/>
        <w:t xml:space="preserve">III. Intervention: </w:t>
      </w:r>
      <w:proofErr w:type="gramStart"/>
      <w:r w:rsidRPr="00781112">
        <w:rPr>
          <w:color w:val="000000" w:themeColor="text1"/>
        </w:rPr>
        <w:t>40</w:t>
      </w:r>
      <w:proofErr w:type="gramEnd"/>
      <w:r w:rsidRPr="00781112">
        <w:rPr>
          <w:color w:val="000000" w:themeColor="text1"/>
        </w:rPr>
        <w:t>%</w:t>
      </w:r>
      <w:r w:rsidRPr="00781112">
        <w:rPr>
          <w:color w:val="000000" w:themeColor="text1"/>
        </w:rPr>
        <w:br/>
        <w:t xml:space="preserve">IV. DBI Process: </w:t>
      </w:r>
      <w:proofErr w:type="gramStart"/>
      <w:r w:rsidRPr="00781112">
        <w:rPr>
          <w:color w:val="000000" w:themeColor="text1"/>
        </w:rPr>
        <w:t>12</w:t>
      </w:r>
      <w:proofErr w:type="gramEnd"/>
      <w:r w:rsidRPr="00781112">
        <w:rPr>
          <w:color w:val="000000" w:themeColor="text1"/>
        </w:rPr>
        <w:t>%</w:t>
      </w:r>
      <w:r w:rsidRPr="00781112">
        <w:rPr>
          <w:color w:val="000000" w:themeColor="text1"/>
        </w:rPr>
        <w:br/>
        <w:t>V. DBI Evaluation: 0%</w:t>
      </w:r>
      <w:r w:rsidRPr="00781112">
        <w:rPr>
          <w:color w:val="000000" w:themeColor="text1"/>
        </w:rPr>
        <w:br/>
      </w:r>
      <w:r w:rsidRPr="00781112">
        <w:rPr>
          <w:color w:val="000000" w:themeColor="text1"/>
        </w:rPr>
        <w:br/>
        <w:t xml:space="preserve">2021-22 DBI Weekly Implementation Log Results: </w:t>
      </w:r>
      <w:r w:rsidRPr="00781112">
        <w:rPr>
          <w:color w:val="000000" w:themeColor="text1"/>
        </w:rPr>
        <w:br/>
        <w:t xml:space="preserve">-86% of participants indicated that they are implementing the reading interventions as planned.  </w:t>
      </w:r>
      <w:r w:rsidRPr="00781112">
        <w:rPr>
          <w:color w:val="000000" w:themeColor="text1"/>
        </w:rPr>
        <w:br/>
        <w:t>-81% of participants indicated that the interventions are between 15-45 minutes and occur between 3-5 times per week</w:t>
      </w:r>
      <w:proofErr w:type="gramStart"/>
      <w:r w:rsidRPr="00781112">
        <w:rPr>
          <w:color w:val="000000" w:themeColor="text1"/>
        </w:rPr>
        <w:t xml:space="preserve">.  </w:t>
      </w:r>
      <w:proofErr w:type="gramEnd"/>
      <w:r w:rsidRPr="00781112">
        <w:rPr>
          <w:color w:val="000000" w:themeColor="text1"/>
        </w:rPr>
        <w:br/>
        <w:t xml:space="preserve">-78% of participants indicated that students were engaged during the interventions. </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The Wyoming Department of Education (WDE) collects additional data to monitor the effectiveness of the </w:t>
      </w:r>
      <w:proofErr w:type="gramStart"/>
      <w:r w:rsidRPr="00781112">
        <w:rPr>
          <w:color w:val="000000" w:themeColor="text1"/>
        </w:rPr>
        <w:t>evidence based</w:t>
      </w:r>
      <w:proofErr w:type="gramEnd"/>
      <w:r w:rsidRPr="00781112">
        <w:rPr>
          <w:color w:val="000000" w:themeColor="text1"/>
        </w:rPr>
        <w:t xml:space="preserve"> practice, Data-Based Individualization (DBI), its overall implementation, fidelity of delivery, and the extent to which the framework is sustainable within participating districts. The department asks practitioners and staff to complete implementation checklists, pre and post implementation year, to determine areas of focus and need, and the extent to which DBI is being implemented with fidelity</w:t>
      </w:r>
      <w:proofErr w:type="gramStart"/>
      <w:r w:rsidRPr="00781112">
        <w:rPr>
          <w:color w:val="000000" w:themeColor="text1"/>
        </w:rPr>
        <w:t xml:space="preserve">.  </w:t>
      </w:r>
      <w:proofErr w:type="gramEnd"/>
      <w:r w:rsidRPr="00781112">
        <w:rPr>
          <w:color w:val="000000" w:themeColor="text1"/>
        </w:rPr>
        <w:t xml:space="preserve">Recent data suggests that current and new practitioners need continuing support in intervention and progress monitoring tool selection, alignment student to subset skill deficits, intervention intensification, goal setting and the data-based </w:t>
      </w:r>
      <w:proofErr w:type="gramStart"/>
      <w:r w:rsidRPr="00781112">
        <w:rPr>
          <w:color w:val="000000" w:themeColor="text1"/>
        </w:rPr>
        <w:t>decision making</w:t>
      </w:r>
      <w:proofErr w:type="gramEnd"/>
      <w:r w:rsidRPr="00781112">
        <w:rPr>
          <w:color w:val="000000" w:themeColor="text1"/>
        </w:rPr>
        <w:t xml:space="preserve"> process. </w:t>
      </w:r>
      <w:r w:rsidRPr="00781112">
        <w:rPr>
          <w:color w:val="000000" w:themeColor="text1"/>
        </w:rPr>
        <w:br/>
      </w:r>
      <w:r w:rsidRPr="00781112">
        <w:rPr>
          <w:color w:val="000000" w:themeColor="text1"/>
        </w:rPr>
        <w:br/>
        <w:t xml:space="preserve">As part of the SSIP project, practitioners </w:t>
      </w:r>
      <w:proofErr w:type="gramStart"/>
      <w:r w:rsidRPr="00781112">
        <w:rPr>
          <w:color w:val="000000" w:themeColor="text1"/>
        </w:rPr>
        <w:t>are asked</w:t>
      </w:r>
      <w:proofErr w:type="gramEnd"/>
      <w:r w:rsidRPr="00781112">
        <w:rPr>
          <w:color w:val="000000" w:themeColor="text1"/>
        </w:rPr>
        <w:t xml:space="preserve"> to collect weekly fidelity logs. Weekly fidelity logs provide student level data that assists teachers in making timely, data-</w:t>
      </w:r>
      <w:proofErr w:type="gramStart"/>
      <w:r w:rsidRPr="00781112">
        <w:rPr>
          <w:color w:val="000000" w:themeColor="text1"/>
        </w:rPr>
        <w:t>based,</w:t>
      </w:r>
      <w:proofErr w:type="gramEnd"/>
      <w:r w:rsidRPr="00781112">
        <w:rPr>
          <w:color w:val="000000" w:themeColor="text1"/>
        </w:rPr>
        <w:t xml:space="preserve"> decisions on the instructional needs of their students. The information contained in the weekly fidelity log also informs the department </w:t>
      </w:r>
      <w:proofErr w:type="gramStart"/>
      <w:r w:rsidRPr="00781112">
        <w:rPr>
          <w:color w:val="000000" w:themeColor="text1"/>
        </w:rPr>
        <w:t>on</w:t>
      </w:r>
      <w:proofErr w:type="gramEnd"/>
      <w:r w:rsidRPr="00781112">
        <w:rPr>
          <w:color w:val="000000" w:themeColor="text1"/>
        </w:rPr>
        <w:t xml:space="preserve"> the extent to which each individual practitioner is implementing and what challenges are present. The most recent fidelity log data indicates the need to refine and expand the trainings offered to administrators to support their understanding of available resources and practitioner needs to ensure the sustainable implementation of DBI within their districts and buildings. In addition to the tools </w:t>
      </w:r>
      <w:proofErr w:type="gramStart"/>
      <w:r w:rsidRPr="00781112">
        <w:rPr>
          <w:color w:val="000000" w:themeColor="text1"/>
        </w:rPr>
        <w:t>being used</w:t>
      </w:r>
      <w:proofErr w:type="gramEnd"/>
      <w:r w:rsidRPr="00781112">
        <w:rPr>
          <w:color w:val="000000" w:themeColor="text1"/>
        </w:rPr>
        <w:t xml:space="preserve"> to track fidelity, they were also used to determine ongoing use of EBPs.</w:t>
      </w:r>
      <w:r w:rsidRPr="00781112">
        <w:rPr>
          <w:color w:val="000000" w:themeColor="text1"/>
        </w:rPr>
        <w:br/>
      </w:r>
      <w:r w:rsidRPr="00781112">
        <w:rPr>
          <w:color w:val="000000" w:themeColor="text1"/>
        </w:rPr>
        <w:br/>
        <w:t xml:space="preserve">Sustainability Surveys are used to gauge the level of implementation of current and past cohorts. As part of the survey, practitioners </w:t>
      </w:r>
      <w:proofErr w:type="gramStart"/>
      <w:r w:rsidRPr="00781112">
        <w:rPr>
          <w:color w:val="000000" w:themeColor="text1"/>
        </w:rPr>
        <w:t>are asked</w:t>
      </w:r>
      <w:proofErr w:type="gramEnd"/>
      <w:r w:rsidRPr="00781112">
        <w:rPr>
          <w:color w:val="000000" w:themeColor="text1"/>
        </w:rPr>
        <w:t xml:space="preserve"> about the impact on student performance from their perspective using student level progress monitoring data. The most current data provided by practitioners indicated that </w:t>
      </w:r>
      <w:proofErr w:type="gramStart"/>
      <w:r w:rsidRPr="00781112">
        <w:rPr>
          <w:color w:val="000000" w:themeColor="text1"/>
        </w:rPr>
        <w:t>the majority of</w:t>
      </w:r>
      <w:proofErr w:type="gramEnd"/>
      <w:r w:rsidRPr="00781112">
        <w:rPr>
          <w:color w:val="000000" w:themeColor="text1"/>
        </w:rPr>
        <w:t xml:space="preserve"> students participating in the DBI process are making positive academic growth compared to those who are not participating in the DBI process. This is consistent with our state level data. </w:t>
      </w:r>
      <w:r w:rsidRPr="00781112">
        <w:rPr>
          <w:color w:val="000000" w:themeColor="text1"/>
        </w:rPr>
        <w:br/>
      </w:r>
      <w:r w:rsidRPr="00781112">
        <w:rPr>
          <w:color w:val="000000" w:themeColor="text1"/>
        </w:rPr>
        <w:br/>
        <w:t xml:space="preserve">Additionally, state level data </w:t>
      </w:r>
      <w:proofErr w:type="gramStart"/>
      <w:r w:rsidRPr="00781112">
        <w:rPr>
          <w:color w:val="000000" w:themeColor="text1"/>
        </w:rPr>
        <w:t>is used</w:t>
      </w:r>
      <w:proofErr w:type="gramEnd"/>
      <w:r w:rsidRPr="00781112">
        <w:rPr>
          <w:color w:val="000000" w:themeColor="text1"/>
        </w:rPr>
        <w:t xml:space="preserve"> to inform the need to continue the ongoing use of the DBI. Current data shows that those schools in the department’s established demonstration district that are participating in the DBI project (the “implementers”)  are realizing positive outcomes</w:t>
      </w:r>
      <w:proofErr w:type="gramStart"/>
      <w:r w:rsidRPr="00781112">
        <w:rPr>
          <w:color w:val="000000" w:themeColor="text1"/>
        </w:rPr>
        <w:t xml:space="preserve">.  </w:t>
      </w:r>
      <w:proofErr w:type="gramEnd"/>
      <w:r w:rsidRPr="00781112">
        <w:rPr>
          <w:color w:val="000000" w:themeColor="text1"/>
        </w:rPr>
        <w:t xml:space="preserve">Compared to district schools not participating in DBI, the implementers are seeing a greater decrease in the percentage of grade 3 students scoring below basic on the statewide reading test and are experiencing greater increases in proficiency rates for their students in grades 3-6. </w:t>
      </w:r>
      <w:r w:rsidRPr="00781112">
        <w:rPr>
          <w:color w:val="000000" w:themeColor="text1"/>
        </w:rPr>
        <w:br/>
      </w:r>
      <w:r w:rsidRPr="00781112">
        <w:rPr>
          <w:color w:val="000000" w:themeColor="text1"/>
        </w:rPr>
        <w:lastRenderedPageBreak/>
        <w:br/>
        <w:t xml:space="preserve">As a result of the 2021-22 DBI/PM trainings: </w:t>
      </w:r>
      <w:r w:rsidRPr="00781112">
        <w:rPr>
          <w:color w:val="000000" w:themeColor="text1"/>
        </w:rPr>
        <w:br/>
        <w:t>-100% of participants indicated that the trainings helped them identify evidence-based practices that they can implement at their school/district.</w:t>
      </w:r>
      <w:r w:rsidRPr="00781112">
        <w:rPr>
          <w:color w:val="000000" w:themeColor="text1"/>
        </w:rPr>
        <w:br/>
        <w:t xml:space="preserve">-98% of participants indicated that they </w:t>
      </w:r>
      <w:proofErr w:type="gramStart"/>
      <w:r w:rsidRPr="00781112">
        <w:rPr>
          <w:color w:val="000000" w:themeColor="text1"/>
        </w:rPr>
        <w:t>will</w:t>
      </w:r>
      <w:proofErr w:type="gramEnd"/>
      <w:r w:rsidRPr="00781112">
        <w:rPr>
          <w:color w:val="000000" w:themeColor="text1"/>
        </w:rPr>
        <w:t xml:space="preserve"> change what they do on the job. </w:t>
      </w:r>
      <w:r w:rsidRPr="00781112">
        <w:rPr>
          <w:color w:val="000000" w:themeColor="text1"/>
        </w:rPr>
        <w:br/>
        <w:t xml:space="preserve">-97% of participants indicated that they would recommend the </w:t>
      </w:r>
      <w:proofErr w:type="gramStart"/>
      <w:r w:rsidRPr="00781112">
        <w:rPr>
          <w:color w:val="000000" w:themeColor="text1"/>
        </w:rPr>
        <w:t>trainings</w:t>
      </w:r>
      <w:proofErr w:type="gramEnd"/>
      <w:r w:rsidRPr="00781112">
        <w:rPr>
          <w:color w:val="000000" w:themeColor="text1"/>
        </w:rPr>
        <w:t xml:space="preserve"> to others. </w:t>
      </w:r>
      <w:r w:rsidRPr="00781112">
        <w:rPr>
          <w:color w:val="000000" w:themeColor="text1"/>
        </w:rPr>
        <w:br/>
        <w:t>-95% of participants indicated that their knowledge increased.</w:t>
      </w:r>
      <w:r w:rsidRPr="00781112">
        <w:rPr>
          <w:color w:val="000000" w:themeColor="text1"/>
        </w:rPr>
        <w:br/>
        <w:t>-95% of participants indicated that their skills increased.</w:t>
      </w:r>
      <w:r w:rsidRPr="00781112">
        <w:rPr>
          <w:color w:val="000000" w:themeColor="text1"/>
        </w:rPr>
        <w:br/>
        <w:t xml:space="preserve">-95% of participants indicated that the trainings </w:t>
      </w:r>
      <w:proofErr w:type="gramStart"/>
      <w:r w:rsidRPr="00781112">
        <w:rPr>
          <w:color w:val="000000" w:themeColor="text1"/>
        </w:rPr>
        <w:t>will</w:t>
      </w:r>
      <w:proofErr w:type="gramEnd"/>
      <w:r w:rsidRPr="00781112">
        <w:rPr>
          <w:color w:val="000000" w:themeColor="text1"/>
        </w:rPr>
        <w:t xml:space="preserve"> impact students. </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w:t>
      </w:r>
      <w:proofErr w:type="gramStart"/>
      <w:r w:rsidRPr="00730C62">
        <w:rPr>
          <w:b/>
          <w:bCs/>
          <w:color w:val="000000" w:themeColor="text1"/>
        </w:rPr>
        <w:t>practices</w:t>
      </w:r>
      <w:proofErr w:type="gramEnd"/>
      <w:r w:rsidRPr="00730C62">
        <w:rPr>
          <w:b/>
          <w:bCs/>
          <w:color w:val="000000" w:themeColor="text1"/>
        </w:rPr>
        <w:t xml:space="preserve"> and the anticipated outcomes to </w:t>
      </w:r>
      <w:proofErr w:type="gramStart"/>
      <w:r w:rsidRPr="00730C62">
        <w:rPr>
          <w:b/>
          <w:bCs/>
          <w:color w:val="000000" w:themeColor="text1"/>
        </w:rPr>
        <w:t>be attained</w:t>
      </w:r>
      <w:proofErr w:type="gramEnd"/>
      <w:r w:rsidRPr="00730C62">
        <w:rPr>
          <w:b/>
          <w:bCs/>
          <w:color w:val="000000" w:themeColor="text1"/>
        </w:rPr>
        <w:t xml:space="preserve"> during the next reporting period. </w:t>
      </w:r>
    </w:p>
    <w:p w14:paraId="3EDD1FBC" w14:textId="4546113E" w:rsidR="00C87801" w:rsidRDefault="00C87801" w:rsidP="00C87801">
      <w:pPr>
        <w:rPr>
          <w:color w:val="000000" w:themeColor="text1"/>
        </w:rPr>
      </w:pPr>
      <w:r w:rsidRPr="00781112">
        <w:rPr>
          <w:color w:val="000000" w:themeColor="text1"/>
        </w:rPr>
        <w:t xml:space="preserve">May 2022 marked the end of WDE’s sixth cohort of DBI implementation in nine districts (35 schools, 105 teachers across all six of the cohorts) and two CDCs. Based on lessons learned from the 2021-22 school year, stakeholder meetings with the target district </w:t>
      </w:r>
      <w:proofErr w:type="gramStart"/>
      <w:r w:rsidRPr="00781112">
        <w:rPr>
          <w:color w:val="000000" w:themeColor="text1"/>
        </w:rPr>
        <w:t>were held</w:t>
      </w:r>
      <w:proofErr w:type="gramEnd"/>
      <w:r w:rsidRPr="00781112">
        <w:rPr>
          <w:color w:val="000000" w:themeColor="text1"/>
        </w:rPr>
        <w:t xml:space="preserve"> in May 2022 and the WYSSIP team scheduled trainings with other interested districts. Utilizing feedback from stakeholders and participants, the Wyoming SSIP Team determined changes or refinements to the process for the 2022-23 school year.</w:t>
      </w:r>
      <w:r w:rsidRPr="00781112">
        <w:rPr>
          <w:color w:val="000000" w:themeColor="text1"/>
        </w:rPr>
        <w:br/>
      </w:r>
      <w:r w:rsidRPr="00781112">
        <w:rPr>
          <w:color w:val="000000" w:themeColor="text1"/>
        </w:rPr>
        <w:br/>
        <w:t xml:space="preserve">In September 2022, the WDE rolled out the 2022-23 cohort of DBI implementers. The WDE will continue to provide support to the first through sixth year cohort schools. Previous years’ cohort teachers will each mentor an additional special education teacher and general education teachers through a train-the-trainer model. In addition to broadening the cadre of DBI implementers in the </w:t>
      </w:r>
      <w:proofErr w:type="gramStart"/>
      <w:r w:rsidRPr="00781112">
        <w:rPr>
          <w:color w:val="000000" w:themeColor="text1"/>
        </w:rPr>
        <w:t>35</w:t>
      </w:r>
      <w:proofErr w:type="gramEnd"/>
      <w:r w:rsidRPr="00781112">
        <w:rPr>
          <w:color w:val="000000" w:themeColor="text1"/>
        </w:rPr>
        <w:t xml:space="preserve"> schools from the first through sixth cohorts, WDE continues to solicit other districts interested in pursuing DBI professional development. WDE continues to draw on existing district coaches to function as state coaches to support the continued rollout of an expanded Community of Practice framework. </w:t>
      </w:r>
      <w:r w:rsidRPr="00781112">
        <w:rPr>
          <w:color w:val="000000" w:themeColor="text1"/>
        </w:rPr>
        <w:br/>
      </w:r>
      <w:r w:rsidRPr="00781112">
        <w:rPr>
          <w:color w:val="000000" w:themeColor="text1"/>
        </w:rPr>
        <w:br/>
        <w:t xml:space="preserve">Expanding into other districts will </w:t>
      </w:r>
      <w:proofErr w:type="gramStart"/>
      <w:r w:rsidRPr="00781112">
        <w:rPr>
          <w:color w:val="000000" w:themeColor="text1"/>
        </w:rPr>
        <w:t>be supported</w:t>
      </w:r>
      <w:proofErr w:type="gramEnd"/>
      <w:r w:rsidRPr="00781112">
        <w:rPr>
          <w:color w:val="000000" w:themeColor="text1"/>
        </w:rPr>
        <w:t xml:space="preserve"> by the designated MTSS state and district coaches. 2022-23 cohort participants will complete the following activities: </w:t>
      </w:r>
      <w:r w:rsidRPr="00781112">
        <w:rPr>
          <w:color w:val="000000" w:themeColor="text1"/>
        </w:rPr>
        <w:br/>
        <w:t xml:space="preserve">* Complete readiness checklist to assess areas of need  </w:t>
      </w:r>
      <w:r w:rsidRPr="00781112">
        <w:rPr>
          <w:color w:val="000000" w:themeColor="text1"/>
        </w:rPr>
        <w:br/>
        <w:t>* DBI professional development modules as part of either district initiative or as a participant in the statewide CoP.</w:t>
      </w:r>
      <w:r w:rsidRPr="00781112">
        <w:rPr>
          <w:color w:val="000000" w:themeColor="text1"/>
        </w:rPr>
        <w:br/>
        <w:t>* Identify students who are in need of the DBI process.</w:t>
      </w:r>
      <w:r w:rsidRPr="00781112">
        <w:rPr>
          <w:color w:val="000000" w:themeColor="text1"/>
        </w:rPr>
        <w:br/>
        <w:t>* Actively meet with and engage with assigned coach.</w:t>
      </w:r>
      <w:r w:rsidRPr="00781112">
        <w:rPr>
          <w:color w:val="000000" w:themeColor="text1"/>
        </w:rPr>
        <w:br/>
        <w:t>* Share learned information and outcomes with their building and district leadership.</w:t>
      </w:r>
      <w:r w:rsidRPr="00781112">
        <w:rPr>
          <w:color w:val="000000" w:themeColor="text1"/>
        </w:rPr>
        <w:br/>
        <w:t xml:space="preserve">* Select teachers will be asked to present their experience and student outcomes at the state annual leadership conference data share-outs. </w:t>
      </w:r>
      <w:r w:rsidRPr="00781112">
        <w:rPr>
          <w:color w:val="000000" w:themeColor="text1"/>
        </w:rPr>
        <w:br/>
        <w:t>* Participate in stakeholder feedback group to assist in the Refinement of the existing practitioner and administrator Community of Practice.</w:t>
      </w:r>
    </w:p>
    <w:p w14:paraId="0555DA84" w14:textId="3045F812" w:rsidR="00C87801" w:rsidRDefault="00C87801" w:rsidP="00AE1972">
      <w:pPr>
        <w:rPr>
          <w:color w:val="000000" w:themeColor="text1"/>
        </w:rPr>
      </w:pPr>
    </w:p>
    <w:p w14:paraId="6D882D9B" w14:textId="77777777" w:rsidR="00987BD2" w:rsidRDefault="00987BD2" w:rsidP="00987BD2">
      <w:pPr>
        <w:rPr>
          <w:b/>
          <w:bCs/>
        </w:rPr>
      </w:pPr>
      <w:r w:rsidRPr="00730C62">
        <w:rPr>
          <w:b/>
          <w:bCs/>
        </w:rPr>
        <w:t>Does the State intend to continue implementing the SSIP without modifications? (yes/no)</w:t>
      </w:r>
    </w:p>
    <w:p w14:paraId="1C4A7F35" w14:textId="77777777" w:rsidR="00987BD2" w:rsidRDefault="00987BD2" w:rsidP="00987BD2">
      <w:r w:rsidRPr="00781112">
        <w:t>YES</w:t>
      </w:r>
    </w:p>
    <w:p w14:paraId="37EC807A" w14:textId="77777777" w:rsidR="00987BD2" w:rsidRPr="00730C62" w:rsidRDefault="00987BD2" w:rsidP="00987BD2">
      <w:pPr>
        <w:rPr>
          <w:b/>
          <w:bCs/>
        </w:rPr>
      </w:pPr>
      <w:r w:rsidRPr="00730C62">
        <w:rPr>
          <w:b/>
          <w:bCs/>
          <w:szCs w:val="16"/>
        </w:rPr>
        <w:t xml:space="preserve">If yes, describe how evaluation data </w:t>
      </w:r>
      <w:proofErr w:type="gramStart"/>
      <w:r w:rsidRPr="00730C62">
        <w:rPr>
          <w:b/>
          <w:bCs/>
          <w:szCs w:val="16"/>
        </w:rPr>
        <w:t>support</w:t>
      </w:r>
      <w:proofErr w:type="gramEnd"/>
      <w:r w:rsidRPr="00730C62">
        <w:rPr>
          <w:b/>
          <w:bCs/>
          <w:szCs w:val="16"/>
        </w:rPr>
        <w:t xml:space="preserve"> the decision to implement without any modifications to the SSIP.</w:t>
      </w:r>
    </w:p>
    <w:p w14:paraId="0709A4EF" w14:textId="77777777" w:rsidR="00987BD2" w:rsidRDefault="00987BD2" w:rsidP="00987BD2">
      <w:r w:rsidRPr="00781112">
        <w:t>While the overall grade 3 proficiency rate shows a decrease from the previous year, data from the schools who are implementing DBI show slight increases in proficiency rates, so WY believes that the SSIP should continue and expand to additional schools and teachers</w:t>
      </w:r>
      <w:proofErr w:type="gramStart"/>
      <w:r w:rsidRPr="00781112">
        <w:t xml:space="preserve">.  </w:t>
      </w:r>
      <w:proofErr w:type="gramEnd"/>
      <w:r w:rsidRPr="00781112">
        <w:t>Teachers who are implementing DBI and using the DBI Weekly Log are experiencing success and WY wants to replicate this on a larger scale</w:t>
      </w:r>
      <w:proofErr w:type="gramStart"/>
      <w:r w:rsidRPr="00781112">
        <w:t xml:space="preserve">.  </w:t>
      </w:r>
      <w:proofErr w:type="gramEnd"/>
    </w:p>
    <w:p w14:paraId="074AA68E" w14:textId="77777777" w:rsidR="00987BD2" w:rsidRPr="00781112" w:rsidRDefault="00987BD2"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 xml:space="preserve">For the SPP/APR FFY 2021, stakeholders </w:t>
      </w:r>
      <w:proofErr w:type="gramStart"/>
      <w:r w:rsidRPr="00781112">
        <w:rPr>
          <w:color w:val="000000" w:themeColor="text1"/>
        </w:rPr>
        <w:t>were again asked</w:t>
      </w:r>
      <w:proofErr w:type="gramEnd"/>
      <w:r w:rsidRPr="00781112">
        <w:rPr>
          <w:color w:val="000000" w:themeColor="text1"/>
        </w:rPr>
        <w:t xml:space="preserve"> to assist the WDE in setting targets for two indicators. </w:t>
      </w:r>
      <w:r w:rsidRPr="00781112">
        <w:rPr>
          <w:color w:val="000000" w:themeColor="text1"/>
        </w:rPr>
        <w:br/>
        <w:t xml:space="preserve">For indicator </w:t>
      </w:r>
      <w:proofErr w:type="gramStart"/>
      <w:r w:rsidRPr="00781112">
        <w:rPr>
          <w:color w:val="000000" w:themeColor="text1"/>
        </w:rPr>
        <w:t>8</w:t>
      </w:r>
      <w:proofErr w:type="gramEnd"/>
      <w:r w:rsidRPr="00781112">
        <w:rPr>
          <w:color w:val="000000" w:themeColor="text1"/>
        </w:rPr>
        <w:t xml:space="preserve"> [Parent Involvement] the State is setting </w:t>
      </w:r>
      <w:proofErr w:type="gramStart"/>
      <w:r w:rsidRPr="00781112">
        <w:rPr>
          <w:color w:val="000000" w:themeColor="text1"/>
        </w:rPr>
        <w:t>new</w:t>
      </w:r>
      <w:proofErr w:type="gramEnd"/>
      <w:r w:rsidRPr="00781112">
        <w:rPr>
          <w:color w:val="000000" w:themeColor="text1"/>
        </w:rPr>
        <w:t xml:space="preserve"> baseline data set because of a change in methodology in the way the data is gathered. In the past, the WDE hired an outside entity to send out parent surveys. Now, the districts are solely responsible for sending out and obtaining the completed parent surveys without the assistance of WDE. That </w:t>
      </w:r>
      <w:proofErr w:type="gramStart"/>
      <w:r w:rsidRPr="00781112">
        <w:rPr>
          <w:color w:val="000000" w:themeColor="text1"/>
        </w:rPr>
        <w:t>is considered</w:t>
      </w:r>
      <w:proofErr w:type="gramEnd"/>
      <w:r w:rsidRPr="00781112">
        <w:rPr>
          <w:color w:val="000000" w:themeColor="text1"/>
        </w:rPr>
        <w:t xml:space="preserve"> a change in methodology. The original group of stakeholders utilized in FFY 2020 </w:t>
      </w:r>
      <w:proofErr w:type="gramStart"/>
      <w:r w:rsidRPr="00781112">
        <w:rPr>
          <w:color w:val="000000" w:themeColor="text1"/>
        </w:rPr>
        <w:t>was used</w:t>
      </w:r>
      <w:proofErr w:type="gramEnd"/>
      <w:r w:rsidRPr="00781112">
        <w:rPr>
          <w:color w:val="000000" w:themeColor="text1"/>
        </w:rPr>
        <w:t>, a stakeholder meeting was held, and input gathered.</w:t>
      </w:r>
      <w:r w:rsidRPr="00781112">
        <w:rPr>
          <w:color w:val="000000" w:themeColor="text1"/>
        </w:rPr>
        <w:br/>
        <w:t xml:space="preserve">Indicator 16 [Mediations Held that Resulted in Agreements] needed targets set. The State had not set targets or reported data on this indicator because it had not reached an n-size of </w:t>
      </w:r>
      <w:proofErr w:type="gramStart"/>
      <w:r w:rsidRPr="00781112">
        <w:rPr>
          <w:color w:val="000000" w:themeColor="text1"/>
        </w:rPr>
        <w:t>10</w:t>
      </w:r>
      <w:proofErr w:type="gramEnd"/>
      <w:r w:rsidRPr="00781112">
        <w:rPr>
          <w:color w:val="000000" w:themeColor="text1"/>
        </w:rPr>
        <w:t xml:space="preserve"> medications held in one year for the past several years. This year there were </w:t>
      </w:r>
      <w:proofErr w:type="gramStart"/>
      <w:r w:rsidRPr="00781112">
        <w:rPr>
          <w:color w:val="000000" w:themeColor="text1"/>
        </w:rPr>
        <w:t>12</w:t>
      </w:r>
      <w:proofErr w:type="gramEnd"/>
      <w:r w:rsidRPr="00781112">
        <w:rPr>
          <w:color w:val="000000" w:themeColor="text1"/>
        </w:rPr>
        <w:t xml:space="preserve"> mediations held, thus the need to set targets and report data. The original group of stakeholders utilized in FFY 2020 was used, a stakeholder meeting was held and input gathered.</w:t>
      </w:r>
      <w:r w:rsidRPr="00781112">
        <w:rPr>
          <w:color w:val="000000" w:themeColor="text1"/>
        </w:rPr>
        <w:br/>
        <w:t xml:space="preserve">Since target setting going forward for the next few years MAY be minimal (targets were set last year and may or may not need to be adjusted), the WDE wanted to focus more on building the capacity and informed meaningful participation of stakeholders to provide feedback and give input for improvement strategies. To this end, the WDE contract with TAESE (Technical Assistance for Excellence in Special Education) from the University of Utah to provide a training to a group of stakeholders who do </w:t>
      </w:r>
      <w:proofErr w:type="gramStart"/>
      <w:r w:rsidRPr="00781112">
        <w:rPr>
          <w:color w:val="000000" w:themeColor="text1"/>
        </w:rPr>
        <w:t>work</w:t>
      </w:r>
      <w:proofErr w:type="gramEnd"/>
      <w:r w:rsidRPr="00781112">
        <w:rPr>
          <w:color w:val="000000" w:themeColor="text1"/>
        </w:rPr>
        <w:t xml:space="preserve"> with us to improve data, services, and outcomes for students with disabilities. This two-day training’s agenda included how to increase your skills in reviewing data, using your perspective and experience to give your voice in group discussions, norms when working with a diverse group, how to help identify priority topics, identifying other partners to add to the group, and how/where to access resources for further learning. </w:t>
      </w:r>
      <w:r w:rsidRPr="00781112">
        <w:rPr>
          <w:color w:val="000000" w:themeColor="text1"/>
        </w:rPr>
        <w:br/>
        <w:t xml:space="preserve">Also, for FFY 2021, stakeholders </w:t>
      </w:r>
      <w:proofErr w:type="gramStart"/>
      <w:r w:rsidRPr="00781112">
        <w:rPr>
          <w:color w:val="000000" w:themeColor="text1"/>
        </w:rPr>
        <w:t>were involved in</w:t>
      </w:r>
      <w:proofErr w:type="gramEnd"/>
      <w:r w:rsidRPr="00781112">
        <w:rPr>
          <w:color w:val="000000" w:themeColor="text1"/>
        </w:rPr>
        <w:t xml:space="preserve"> analyzing current data, evaluating progress, and giving input on improvement strategies. The WDE invited stakeholders to attend a comprehensive meeting in which all data points for each of the </w:t>
      </w:r>
      <w:proofErr w:type="gramStart"/>
      <w:r w:rsidRPr="00781112">
        <w:rPr>
          <w:color w:val="000000" w:themeColor="text1"/>
        </w:rPr>
        <w:t>17</w:t>
      </w:r>
      <w:proofErr w:type="gramEnd"/>
      <w:r w:rsidRPr="00781112">
        <w:rPr>
          <w:color w:val="000000" w:themeColor="text1"/>
        </w:rPr>
        <w:t xml:space="preserve"> indicators were explained, reviewed, and discussed. Data </w:t>
      </w:r>
      <w:proofErr w:type="gramStart"/>
      <w:r w:rsidRPr="00781112">
        <w:rPr>
          <w:color w:val="000000" w:themeColor="text1"/>
        </w:rPr>
        <w:t>was displayed</w:t>
      </w:r>
      <w:proofErr w:type="gramEnd"/>
      <w:r w:rsidRPr="00781112">
        <w:rPr>
          <w:color w:val="000000" w:themeColor="text1"/>
        </w:rPr>
        <w:t xml:space="preserve"> on how the State performed against the targets that were set the previous year. Targets were revisited to assess </w:t>
      </w:r>
      <w:proofErr w:type="gramStart"/>
      <w:r w:rsidRPr="00781112">
        <w:rPr>
          <w:color w:val="000000" w:themeColor="text1"/>
        </w:rPr>
        <w:t>whether or not</w:t>
      </w:r>
      <w:proofErr w:type="gramEnd"/>
      <w:r w:rsidRPr="00781112">
        <w:rPr>
          <w:color w:val="000000" w:themeColor="text1"/>
        </w:rPr>
        <w:t xml:space="preserve"> the stakeholders continue to deem each one appropriate. The group determined that one year is not enough time to consider altering the targets. This year’s stakeholder meeting included representation from LEAs, Behavioral Health Division of the Wyoming Department of Health, WAPSD, Parent Information Center, Regional 619 providers, WASEA, general education administrators, Department of Family Services, and Wyoming Workforce Services. Also, from the Wyoming Department of Education, was the entire Special Education Division, the Chief Policy Officer, consultants from the Assessment Division, and consultants from Accreditation Division. Representation from the Wind River Indian Reservation </w:t>
      </w:r>
      <w:proofErr w:type="gramStart"/>
      <w:r w:rsidRPr="00781112">
        <w:rPr>
          <w:color w:val="000000" w:themeColor="text1"/>
        </w:rPr>
        <w:t>was sought</w:t>
      </w:r>
      <w:proofErr w:type="gramEnd"/>
      <w:r w:rsidRPr="00781112">
        <w:rPr>
          <w:color w:val="000000" w:themeColor="text1"/>
        </w:rPr>
        <w:t xml:space="preserve">. Materials </w:t>
      </w:r>
      <w:proofErr w:type="gramStart"/>
      <w:r w:rsidRPr="00781112">
        <w:rPr>
          <w:color w:val="000000" w:themeColor="text1"/>
        </w:rPr>
        <w:t>were provided</w:t>
      </w:r>
      <w:proofErr w:type="gramEnd"/>
      <w:r w:rsidRPr="00781112">
        <w:rPr>
          <w:color w:val="000000" w:themeColor="text1"/>
        </w:rPr>
        <w:t xml:space="preserve"> ahead of time to be embossed to Braille to a blind participant. </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The WDE SSIP team has had the opportunity to reach out to a variety of interested parties during regular stakeholder group meetings. These groups have provided </w:t>
      </w:r>
      <w:proofErr w:type="gramStart"/>
      <w:r w:rsidRPr="00781112">
        <w:rPr>
          <w:color w:val="000000" w:themeColor="text1"/>
        </w:rPr>
        <w:t>feedback</w:t>
      </w:r>
      <w:proofErr w:type="gramEnd"/>
      <w:r w:rsidRPr="00781112">
        <w:rPr>
          <w:color w:val="000000" w:themeColor="text1"/>
        </w:rPr>
        <w:t xml:space="preserve"> most notably in developing the theory of action. The following groups have supported the SSIP team through stakeholder feedback:</w:t>
      </w:r>
      <w:r w:rsidRPr="00781112">
        <w:rPr>
          <w:color w:val="000000" w:themeColor="text1"/>
        </w:rPr>
        <w:br/>
        <w:t>· Wyoming Association of Special Education Administrators (WASEA)</w:t>
      </w:r>
      <w:r w:rsidRPr="00781112">
        <w:rPr>
          <w:color w:val="000000" w:themeColor="text1"/>
        </w:rPr>
        <w:br/>
      </w:r>
      <w:r w:rsidRPr="00781112">
        <w:rPr>
          <w:color w:val="000000" w:themeColor="text1"/>
        </w:rPr>
        <w:lastRenderedPageBreak/>
        <w:t>· Wyoming Advisory Panel for Students with Disabilities (WAPSD)</w:t>
      </w:r>
      <w:r w:rsidRPr="00781112">
        <w:rPr>
          <w:color w:val="000000" w:themeColor="text1"/>
        </w:rPr>
        <w:br/>
        <w:t>· Wyoming Early Intervention Council (WYEIC)</w:t>
      </w:r>
      <w:r w:rsidRPr="00781112">
        <w:rPr>
          <w:color w:val="000000" w:themeColor="text1"/>
        </w:rPr>
        <w:br/>
        <w:t>· Wyoming Parent Information Center (PIC)</w:t>
      </w:r>
      <w:r w:rsidRPr="00781112">
        <w:rPr>
          <w:color w:val="000000" w:themeColor="text1"/>
        </w:rPr>
        <w:br/>
        <w:t>· Wyoming Department of Education- Division updates</w:t>
      </w:r>
      <w:r w:rsidRPr="00781112">
        <w:rPr>
          <w:color w:val="000000" w:themeColor="text1"/>
        </w:rPr>
        <w:br/>
        <w:t>· Project WIN</w:t>
      </w:r>
      <w:r w:rsidRPr="00781112">
        <w:rPr>
          <w:color w:val="000000" w:themeColor="text1"/>
        </w:rPr>
        <w:br/>
        <w:t>· State MTSS Coaching Project</w:t>
      </w:r>
      <w:r w:rsidRPr="00781112">
        <w:rPr>
          <w:color w:val="000000" w:themeColor="text1"/>
        </w:rPr>
        <w:br/>
        <w:t>· University of Wyoming (UW)</w:t>
      </w:r>
      <w:r w:rsidRPr="00781112">
        <w:rPr>
          <w:color w:val="000000" w:themeColor="text1"/>
        </w:rPr>
        <w:br/>
        <w:t>WAPSD has been particularly vocal in providing feedback for the future of DBI implementation. The council was clear that they would like to see the DBI implementation project expanded to include additional districts as well as the regional CDCs that provide IDEA Section 619 services. As a result, the SSIP interagency team identified and established an additional CDC during the 2022-23 school year.</w:t>
      </w:r>
      <w:r w:rsidRPr="00781112">
        <w:rPr>
          <w:color w:val="000000" w:themeColor="text1"/>
        </w:rPr>
        <w:br/>
      </w:r>
      <w:r w:rsidRPr="00781112">
        <w:rPr>
          <w:color w:val="000000" w:themeColor="text1"/>
        </w:rPr>
        <w:br/>
        <w:t>To ensure stakeholder engagement in SSIP implementation, current DBI coaches, participating teachers in the coaching project, and identified Local Education Agencies (LEAs) have had the opportunity to participate in the SSIP team’s decision-making process through onsite meetings, phone conversations, and webinars designed to provide guidance, address concerns or questions, and aid in identifying potential implementation barriers. As a result of these meetings, LEAs and the SSIP team were able to recruit the most appropriate pilot schools and participating teachers.</w:t>
      </w:r>
      <w:r w:rsidRPr="00781112">
        <w:rPr>
          <w:color w:val="000000" w:themeColor="text1"/>
        </w:rPr>
        <w:br/>
      </w:r>
      <w:proofErr w:type="gramStart"/>
      <w:r w:rsidRPr="00781112">
        <w:rPr>
          <w:color w:val="000000" w:themeColor="text1"/>
        </w:rPr>
        <w:t>1</w:t>
      </w:r>
      <w:proofErr w:type="gramEnd"/>
      <w:r w:rsidRPr="00781112">
        <w:rPr>
          <w:color w:val="000000" w:themeColor="text1"/>
        </w:rPr>
        <w:t>. The Wyoming SSIP Team will hold meetings with targeted districts and CDCs three times a year.</w:t>
      </w:r>
      <w:r w:rsidRPr="00781112">
        <w:rPr>
          <w:color w:val="000000" w:themeColor="text1"/>
        </w:rPr>
        <w:br/>
      </w:r>
      <w:proofErr w:type="gramStart"/>
      <w:r w:rsidRPr="00781112">
        <w:rPr>
          <w:color w:val="000000" w:themeColor="text1"/>
        </w:rPr>
        <w:t>2</w:t>
      </w:r>
      <w:proofErr w:type="gramEnd"/>
      <w:r w:rsidRPr="00781112">
        <w:rPr>
          <w:color w:val="000000" w:themeColor="text1"/>
        </w:rPr>
        <w:t xml:space="preserve">. Coaches will use email, phone, and webinars to frequently communicate with targeted </w:t>
      </w:r>
      <w:proofErr w:type="gramStart"/>
      <w:r w:rsidRPr="00781112">
        <w:rPr>
          <w:color w:val="000000" w:themeColor="text1"/>
        </w:rPr>
        <w:t>practitioners</w:t>
      </w:r>
      <w:proofErr w:type="gramEnd"/>
      <w:r w:rsidRPr="00781112">
        <w:rPr>
          <w:color w:val="000000" w:themeColor="text1"/>
        </w:rPr>
        <w:t xml:space="preserve"> in-between meetings. An “open door” policy will be followed.</w:t>
      </w:r>
      <w:r w:rsidRPr="00781112">
        <w:rPr>
          <w:color w:val="000000" w:themeColor="text1"/>
        </w:rPr>
        <w:br/>
      </w:r>
      <w:proofErr w:type="gramStart"/>
      <w:r w:rsidRPr="00781112">
        <w:rPr>
          <w:color w:val="000000" w:themeColor="text1"/>
        </w:rPr>
        <w:t>3</w:t>
      </w:r>
      <w:proofErr w:type="gramEnd"/>
      <w:r w:rsidRPr="00781112">
        <w:rPr>
          <w:color w:val="000000" w:themeColor="text1"/>
        </w:rPr>
        <w:t>. The Wyoming SSIP Team will provide annual updates to WAPSD on the SSIP evaluation and seek input from the advisory panel members.</w:t>
      </w:r>
      <w:r w:rsidRPr="00781112">
        <w:rPr>
          <w:color w:val="000000" w:themeColor="text1"/>
        </w:rPr>
        <w:br/>
      </w:r>
      <w:r w:rsidRPr="00781112">
        <w:rPr>
          <w:color w:val="000000" w:themeColor="text1"/>
        </w:rPr>
        <w:br/>
        <w:t xml:space="preserve">The last annual SSIP stakeholder meeting was held on </w:t>
      </w:r>
      <w:proofErr w:type="gramStart"/>
      <w:r w:rsidRPr="00781112">
        <w:rPr>
          <w:color w:val="000000" w:themeColor="text1"/>
        </w:rPr>
        <w:t>April,</w:t>
      </w:r>
      <w:proofErr w:type="gramEnd"/>
      <w:r w:rsidRPr="00781112">
        <w:rPr>
          <w:color w:val="000000" w:themeColor="text1"/>
        </w:rPr>
        <w:t xml:space="preserve"> 2022. At that meeting, the following was decided:</w:t>
      </w:r>
      <w:r w:rsidRPr="00781112">
        <w:rPr>
          <w:color w:val="000000" w:themeColor="text1"/>
        </w:rPr>
        <w:br/>
        <w:t>1</w:t>
      </w:r>
      <w:proofErr w:type="gramStart"/>
      <w:r w:rsidRPr="00781112">
        <w:rPr>
          <w:color w:val="000000" w:themeColor="text1"/>
        </w:rPr>
        <w:t xml:space="preserve">.  </w:t>
      </w:r>
      <w:proofErr w:type="gramEnd"/>
      <w:r w:rsidRPr="00781112">
        <w:rPr>
          <w:color w:val="000000" w:themeColor="text1"/>
        </w:rPr>
        <w:t xml:space="preserve">     The Wyoming SSIP Team will have meetings with targeted districts and CDCs three times a year.</w:t>
      </w:r>
      <w:r w:rsidRPr="00781112">
        <w:rPr>
          <w:color w:val="000000" w:themeColor="text1"/>
        </w:rPr>
        <w:br/>
        <w:t>2</w:t>
      </w:r>
      <w:proofErr w:type="gramStart"/>
      <w:r w:rsidRPr="00781112">
        <w:rPr>
          <w:color w:val="000000" w:themeColor="text1"/>
        </w:rPr>
        <w:t xml:space="preserve">.  </w:t>
      </w:r>
      <w:proofErr w:type="gramEnd"/>
      <w:r w:rsidRPr="00781112">
        <w:rPr>
          <w:color w:val="000000" w:themeColor="text1"/>
        </w:rPr>
        <w:t xml:space="preserve">     Coaches will use email, phone, and webinars to frequently communicate with targeted districts and CDCs in-between meetings</w:t>
      </w:r>
      <w:proofErr w:type="gramStart"/>
      <w:r w:rsidRPr="00781112">
        <w:rPr>
          <w:color w:val="000000" w:themeColor="text1"/>
        </w:rPr>
        <w:t xml:space="preserve">.  </w:t>
      </w:r>
      <w:proofErr w:type="gramEnd"/>
      <w:r w:rsidRPr="00781112">
        <w:rPr>
          <w:color w:val="000000" w:themeColor="text1"/>
        </w:rPr>
        <w:t>An “open door” policy will be followed.</w:t>
      </w:r>
      <w:r w:rsidRPr="00781112">
        <w:rPr>
          <w:color w:val="000000" w:themeColor="text1"/>
        </w:rPr>
        <w:br/>
        <w:t>3</w:t>
      </w:r>
      <w:proofErr w:type="gramStart"/>
      <w:r w:rsidRPr="00781112">
        <w:rPr>
          <w:color w:val="000000" w:themeColor="text1"/>
        </w:rPr>
        <w:t xml:space="preserve">.  </w:t>
      </w:r>
      <w:proofErr w:type="gramEnd"/>
      <w:r w:rsidRPr="00781112">
        <w:rPr>
          <w:color w:val="000000" w:themeColor="text1"/>
        </w:rPr>
        <w:t xml:space="preserve">     The Wyoming SSIP Team will provide annual updates to WAPSD on the SSIP evaluation and seek input from the advisory panel members.</w:t>
      </w:r>
      <w:r w:rsidRPr="00781112">
        <w:rPr>
          <w:color w:val="000000" w:themeColor="text1"/>
        </w:rPr>
        <w:br/>
        <w:t>4</w:t>
      </w:r>
      <w:proofErr w:type="gramStart"/>
      <w:r w:rsidRPr="00781112">
        <w:rPr>
          <w:color w:val="000000" w:themeColor="text1"/>
        </w:rPr>
        <w:t xml:space="preserve">.  </w:t>
      </w:r>
      <w:proofErr w:type="gramEnd"/>
      <w:r w:rsidRPr="00781112">
        <w:rPr>
          <w:color w:val="000000" w:themeColor="text1"/>
        </w:rPr>
        <w:t xml:space="preserve">     All local special education directors will have the opportunity to provide input  at quarterly association meetings through the Wyoming Association of Special Education Administrators (WASEA)</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7B375F38" w:rsidR="00AE1972" w:rsidRDefault="00AE1972" w:rsidP="00AE1972">
      <w:pPr>
        <w:rPr>
          <w:color w:val="000000" w:themeColor="text1"/>
        </w:rPr>
      </w:pPr>
      <w:r w:rsidRPr="00781112">
        <w:rPr>
          <w:color w:val="000000" w:themeColor="text1"/>
        </w:rPr>
        <w:t>NO</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xml:space="preserve">All current activities have </w:t>
      </w:r>
      <w:proofErr w:type="gramStart"/>
      <w:r w:rsidRPr="00781112">
        <w:rPr>
          <w:color w:val="000000" w:themeColor="text1"/>
        </w:rPr>
        <w:t>been described</w:t>
      </w:r>
      <w:proofErr w:type="gramEnd"/>
      <w:r w:rsidRPr="00781112">
        <w:rPr>
          <w:color w:val="000000" w:themeColor="text1"/>
        </w:rPr>
        <w:t xml:space="preserve">. Any changes to the current implementation model or activities will </w:t>
      </w:r>
      <w:proofErr w:type="gramStart"/>
      <w:r w:rsidRPr="00781112">
        <w:rPr>
          <w:color w:val="000000" w:themeColor="text1"/>
        </w:rPr>
        <w:t>be decided</w:t>
      </w:r>
      <w:proofErr w:type="gramEnd"/>
      <w:r w:rsidRPr="00781112">
        <w:rPr>
          <w:color w:val="000000" w:themeColor="text1"/>
        </w:rPr>
        <w:t xml:space="preserve"> at the  WYSSIP team and  stakeholders at the annual WYSSIP meeting to be held in May 2023.</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 xml:space="preserve">The WDE has made publicly available the 2020-21 SSIP, which can </w:t>
      </w:r>
      <w:proofErr w:type="gramStart"/>
      <w:r w:rsidRPr="00781112">
        <w:rPr>
          <w:color w:val="000000" w:themeColor="text1"/>
        </w:rPr>
        <w:t>be found</w:t>
      </w:r>
      <w:proofErr w:type="gramEnd"/>
      <w:r w:rsidRPr="00781112">
        <w:rPr>
          <w:color w:val="000000" w:themeColor="text1"/>
        </w:rPr>
        <w:t xml:space="preserve"> here: https://wyominginstructionalnetwork.com/idea-special-education-resources/idea/indicators-osep/2020-21-ssip/ </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In the FFY 2021 SPP/APR, the State must describe the specific strategies implemented to engage stakeholders in key improvement efforts.</w:t>
      </w:r>
    </w:p>
    <w:p w14:paraId="107AC5A3" w14:textId="7B90CF6A" w:rsidR="00AE1972" w:rsidRPr="00781112" w:rsidRDefault="007639D7" w:rsidP="00AE1972">
      <w:pPr>
        <w:rPr>
          <w:color w:val="000000" w:themeColor="text1"/>
        </w:rPr>
      </w:pPr>
      <w:r>
        <w:rPr>
          <w:b/>
          <w:color w:val="000000" w:themeColor="text1"/>
        </w:rPr>
        <w:t>Response to actions required in FFY 2020 SPP/APR</w:t>
      </w:r>
      <w:r w:rsidR="00AE1972" w:rsidRPr="00781112">
        <w:rPr>
          <w:color w:val="000000" w:themeColor="text1"/>
        </w:rPr>
        <w:t xml:space="preserve"> </w:t>
      </w:r>
    </w:p>
    <w:p w14:paraId="50FCC9E4" w14:textId="068F706F" w:rsidR="00AE1972" w:rsidRPr="00781112" w:rsidRDefault="00AE1972" w:rsidP="00AE1972">
      <w:pPr>
        <w:rPr>
          <w:color w:val="000000" w:themeColor="text1"/>
        </w:rPr>
      </w:pPr>
      <w:r w:rsidRPr="00781112">
        <w:rPr>
          <w:color w:val="000000" w:themeColor="text1"/>
        </w:rPr>
        <w:t>This is addressed above where we (1) list the stakeholder groups who have provided input, (2) indicate the ways in which participants can provide feedback, (3) describe the "reach-out to stakeholder" efforts by the WDE, and (4) describe the decisions that were made as a result of collecting stakeholder input in 2021-22.</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94"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Shipley</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Part B Data Manager</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susan.shipley@wyo.gov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3077772925</w:t>
      </w:r>
    </w:p>
    <w:bookmarkEnd w:id="94"/>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5487A8BD" w:rsidR="00371FAA" w:rsidRPr="00395B6C" w:rsidRDefault="006879FA" w:rsidP="00371FAA">
      <w:r w:rsidRPr="00395B6C">
        <w:t>04/26/23  8:18:13 PM</w:t>
      </w:r>
    </w:p>
    <w:p w14:paraId="137CE14B" w14:textId="38DBB8E3" w:rsidR="00371FAA" w:rsidRPr="00395B6C" w:rsidRDefault="00D12506" w:rsidP="00D12506">
      <w:pPr>
        <w:spacing w:before="0" w:after="200" w:line="276" w:lineRule="auto"/>
      </w:pPr>
      <w:r w:rsidRPr="00395B6C">
        <w:br w:type="page"/>
      </w:r>
    </w:p>
    <w:p w14:paraId="66D36872" w14:textId="52ECB6DB" w:rsidR="00BE0EEF" w:rsidRPr="00395B6C" w:rsidRDefault="00AF2BDA" w:rsidP="00AF2BDA">
      <w:pPr>
        <w:pStyle w:val="Heading1"/>
        <w:rPr>
          <w:color w:val="000000" w:themeColor="text1"/>
        </w:rPr>
      </w:pPr>
      <w:r w:rsidRPr="00395B6C">
        <w:rPr>
          <w:color w:val="000000" w:themeColor="text1"/>
        </w:rPr>
        <w:lastRenderedPageBreak/>
        <w:t>Determination Enclosures</w:t>
      </w:r>
    </w:p>
    <w:p w14:paraId="7F6A87DA" w14:textId="7873ABE7" w:rsidR="00BE0EEF" w:rsidRDefault="00BE0EEF" w:rsidP="00BE0EEF">
      <w:pPr>
        <w:pStyle w:val="Heading2"/>
      </w:pPr>
      <w:r w:rsidRPr="00395B6C">
        <w:t>RDA Matrix</w:t>
      </w:r>
    </w:p>
    <w:p w14:paraId="03C5E358" w14:textId="3BCD5D40" w:rsidR="00421B4F" w:rsidRPr="00421B4F" w:rsidRDefault="00421B4F" w:rsidP="00421B4F">
      <w:pPr>
        <w:rPr>
          <w:b/>
          <w:bCs/>
          <w:sz w:val="20"/>
          <w:szCs w:val="28"/>
        </w:rPr>
      </w:pPr>
      <w:r w:rsidRPr="00421B4F">
        <w:rPr>
          <w:b/>
          <w:bCs/>
          <w:sz w:val="20"/>
          <w:szCs w:val="28"/>
        </w:rPr>
        <w:t>Wyoming</w:t>
      </w:r>
    </w:p>
    <w:p w14:paraId="34FD6914" w14:textId="4D3F485E" w:rsidR="00824D00" w:rsidRPr="00824D00" w:rsidRDefault="00BE0EEF" w:rsidP="00824D00">
      <w:pPr>
        <w:jc w:val="center"/>
        <w:rPr>
          <w:sz w:val="32"/>
          <w:szCs w:val="32"/>
        </w:rPr>
      </w:pPr>
      <w:r w:rsidRPr="00395B6C">
        <w:rPr>
          <w:sz w:val="32"/>
          <w:szCs w:val="32"/>
        </w:rPr>
        <w:br/>
      </w:r>
      <w:r w:rsidRPr="00824D00">
        <w:rPr>
          <w:sz w:val="32"/>
          <w:szCs w:val="32"/>
        </w:rPr>
        <w:t xml:space="preserve">2023 Part B </w:t>
      </w:r>
      <w:proofErr w:type="gramStart"/>
      <w:r w:rsidRPr="00824D00">
        <w:rPr>
          <w:sz w:val="32"/>
          <w:szCs w:val="32"/>
        </w:rPr>
        <w:t>Results-Driven</w:t>
      </w:r>
      <w:proofErr w:type="gramEnd"/>
      <w:r w:rsidRPr="00824D00">
        <w:rPr>
          <w:sz w:val="32"/>
          <w:szCs w:val="32"/>
        </w:rPr>
        <w:t xml:space="preserve"> Accountability Matrix</w:t>
      </w:r>
    </w:p>
    <w:p w14:paraId="2A7E4326" w14:textId="77777777" w:rsidR="00BE0EEF" w:rsidRPr="00210AC6" w:rsidRDefault="00BE0EEF" w:rsidP="00BE0EEF">
      <w:pPr>
        <w:rPr>
          <w:rFonts w:cs="Arial"/>
          <w:b/>
          <w:bCs/>
          <w:szCs w:val="16"/>
        </w:rPr>
      </w:pPr>
      <w:proofErr w:type="gramStart"/>
      <w:r w:rsidRPr="00210AC6">
        <w:rPr>
          <w:rFonts w:cs="Arial"/>
          <w:b/>
          <w:bCs/>
          <w:szCs w:val="16"/>
        </w:rPr>
        <w:t>Results-Driven</w:t>
      </w:r>
      <w:proofErr w:type="gramEnd"/>
      <w:r w:rsidRPr="00210AC6">
        <w:rPr>
          <w:rFonts w:cs="Arial"/>
          <w:b/>
          <w:bCs/>
          <w:szCs w:val="16"/>
        </w:rPr>
        <w:t xml:space="preserve"> Accountability Percentage and Determination</w:t>
      </w:r>
      <w:r w:rsidRPr="00210AC6">
        <w:rPr>
          <w:rStyle w:val="FootnoteReference"/>
          <w:rFonts w:cs="Arial"/>
          <w:b/>
          <w:bCs/>
          <w:szCs w:val="16"/>
        </w:rPr>
        <w:footnoteReference w:id="4"/>
      </w:r>
    </w:p>
    <w:tbl>
      <w:tblPr>
        <w:tblStyle w:val="TableGrid1"/>
        <w:tblW w:w="5009" w:type="pct"/>
        <w:tblLook w:val="04A0" w:firstRow="1" w:lastRow="0" w:firstColumn="1" w:lastColumn="0" w:noHBand="0" w:noVBand="1"/>
        <w:tblCaption w:val="BENNSRSTRDACFFYSTAT"/>
      </w:tblPr>
      <w:tblGrid>
        <w:gridCol w:w="5404"/>
        <w:gridCol w:w="5405"/>
      </w:tblGrid>
      <w:tr w:rsidR="00BE0EEF" w:rsidRPr="00210AC6" w14:paraId="441F44A8" w14:textId="77777777" w:rsidTr="0064778E">
        <w:trPr>
          <w:tblHeader/>
        </w:trPr>
        <w:tc>
          <w:tcPr>
            <w:tcW w:w="2500" w:type="pct"/>
          </w:tcPr>
          <w:p w14:paraId="48E2D994" w14:textId="77777777" w:rsidR="00BE0EEF" w:rsidRPr="00210AC6" w:rsidRDefault="00BE0EEF" w:rsidP="002C333C">
            <w:pPr>
              <w:rPr>
                <w:rFonts w:cs="Arial"/>
                <w:b/>
                <w:bCs/>
                <w:szCs w:val="16"/>
              </w:rPr>
            </w:pPr>
            <w:r w:rsidRPr="00210AC6">
              <w:rPr>
                <w:rFonts w:cs="Arial"/>
                <w:b/>
                <w:bCs/>
                <w:szCs w:val="16"/>
              </w:rPr>
              <w:t>Percentage (%)</w:t>
            </w:r>
          </w:p>
        </w:tc>
        <w:tc>
          <w:tcPr>
            <w:tcW w:w="2500" w:type="pct"/>
          </w:tcPr>
          <w:p w14:paraId="41C1D543" w14:textId="77777777" w:rsidR="00BE0EEF" w:rsidRPr="00210AC6" w:rsidRDefault="00BE0EEF" w:rsidP="002C333C">
            <w:pPr>
              <w:rPr>
                <w:rFonts w:cs="Arial"/>
                <w:b/>
                <w:bCs/>
                <w:szCs w:val="16"/>
              </w:rPr>
            </w:pPr>
            <w:r w:rsidRPr="00210AC6">
              <w:rPr>
                <w:rFonts w:cs="Arial"/>
                <w:b/>
                <w:bCs/>
                <w:szCs w:val="16"/>
              </w:rPr>
              <w:t>Determination</w:t>
            </w:r>
          </w:p>
        </w:tc>
      </w:tr>
      <w:tr w:rsidR="00416463" w:rsidRPr="00210AC6" w14:paraId="2EA9543B" w14:textId="77777777" w:rsidTr="00FB3F34">
        <w:tc>
          <w:tcPr>
            <w:tcW w:w="2500" w:type="pct"/>
          </w:tcPr>
          <w:p w14:paraId="7E99A849" w14:textId="1196736B" w:rsidR="00416463" w:rsidRPr="00210AC6" w:rsidRDefault="00416463" w:rsidP="00416463">
            <w:pPr>
              <w:rPr>
                <w:rFonts w:cs="Arial"/>
                <w:szCs w:val="16"/>
              </w:rPr>
            </w:pPr>
            <w:r w:rsidRPr="00210AC6">
              <w:rPr>
                <w:rFonts w:cs="Arial"/>
                <w:szCs w:val="16"/>
              </w:rPr>
              <w:t>82.92%</w:t>
            </w:r>
          </w:p>
        </w:tc>
        <w:tc>
          <w:tcPr>
            <w:tcW w:w="2500" w:type="pct"/>
          </w:tcPr>
          <w:p w14:paraId="67D9EEC1" w14:textId="53D67E7A" w:rsidR="00416463" w:rsidRPr="00210AC6" w:rsidRDefault="00416463" w:rsidP="00416463">
            <w:pPr>
              <w:rPr>
                <w:rFonts w:cs="Arial"/>
                <w:szCs w:val="16"/>
              </w:rPr>
            </w:pPr>
            <w:r w:rsidRPr="00210AC6">
              <w:rPr>
                <w:rFonts w:cs="Arial"/>
                <w:noProof/>
                <w:szCs w:val="16"/>
              </w:rPr>
              <w:t>Meets Requirements</w:t>
            </w:r>
          </w:p>
        </w:tc>
      </w:tr>
    </w:tbl>
    <w:p w14:paraId="3111276A" w14:textId="77777777" w:rsidR="00BE0EEF" w:rsidRPr="00210AC6" w:rsidRDefault="00BE0EEF" w:rsidP="00BE0EEF">
      <w:pPr>
        <w:rPr>
          <w:rFonts w:cs="Arial"/>
          <w:b/>
          <w:bCs/>
          <w:szCs w:val="16"/>
        </w:rPr>
      </w:pPr>
      <w:r w:rsidRPr="00210AC6">
        <w:rPr>
          <w:rFonts w:cs="Arial"/>
          <w:b/>
          <w:bCs/>
          <w:szCs w:val="16"/>
        </w:rPr>
        <w:t>Results and Compliance Overall Scoring</w:t>
      </w:r>
    </w:p>
    <w:tbl>
      <w:tblPr>
        <w:tblStyle w:val="TableGrid1"/>
        <w:tblW w:w="5005" w:type="pct"/>
        <w:tblLayout w:type="fixed"/>
        <w:tblLook w:val="04A0" w:firstRow="1" w:lastRow="0" w:firstColumn="1" w:lastColumn="0" w:noHBand="0" w:noVBand="1"/>
        <w:tblCaption w:val="BENNSRSTCMPCFFYSTAT"/>
      </w:tblPr>
      <w:tblGrid>
        <w:gridCol w:w="2724"/>
        <w:gridCol w:w="2724"/>
        <w:gridCol w:w="2722"/>
        <w:gridCol w:w="2631"/>
      </w:tblGrid>
      <w:tr w:rsidR="00BE0EEF" w:rsidRPr="00210AC6" w14:paraId="171A34FE" w14:textId="77777777" w:rsidTr="00851F98">
        <w:trPr>
          <w:tblHeader/>
        </w:trPr>
        <w:tc>
          <w:tcPr>
            <w:tcW w:w="1261" w:type="pct"/>
          </w:tcPr>
          <w:p w14:paraId="7A21C806" w14:textId="77777777" w:rsidR="00BE0EEF" w:rsidRPr="00210AC6" w:rsidRDefault="00BE0EEF" w:rsidP="002C333C">
            <w:pPr>
              <w:rPr>
                <w:rFonts w:cs="Arial"/>
                <w:b/>
                <w:bCs/>
                <w:szCs w:val="16"/>
              </w:rPr>
            </w:pPr>
          </w:p>
        </w:tc>
        <w:tc>
          <w:tcPr>
            <w:tcW w:w="1261" w:type="pct"/>
          </w:tcPr>
          <w:p w14:paraId="7D03890F" w14:textId="77777777" w:rsidR="00BE0EEF" w:rsidRPr="00210AC6" w:rsidRDefault="00BE0EEF" w:rsidP="002C333C">
            <w:pPr>
              <w:rPr>
                <w:rFonts w:cs="Arial"/>
                <w:b/>
                <w:bCs/>
                <w:szCs w:val="16"/>
              </w:rPr>
            </w:pPr>
            <w:r w:rsidRPr="00210AC6">
              <w:rPr>
                <w:rFonts w:cs="Arial"/>
                <w:b/>
                <w:bCs/>
                <w:szCs w:val="16"/>
              </w:rPr>
              <w:t>Total Points Available</w:t>
            </w:r>
          </w:p>
        </w:tc>
        <w:tc>
          <w:tcPr>
            <w:tcW w:w="1260" w:type="pct"/>
          </w:tcPr>
          <w:p w14:paraId="0BAE0076" w14:textId="77777777" w:rsidR="00BE0EEF" w:rsidRPr="00210AC6" w:rsidRDefault="00BE0EEF" w:rsidP="002C333C">
            <w:pPr>
              <w:rPr>
                <w:rFonts w:cs="Arial"/>
                <w:b/>
                <w:bCs/>
                <w:szCs w:val="16"/>
              </w:rPr>
            </w:pPr>
            <w:r w:rsidRPr="00210AC6">
              <w:rPr>
                <w:rFonts w:cs="Arial"/>
                <w:b/>
                <w:bCs/>
                <w:szCs w:val="16"/>
              </w:rPr>
              <w:t>Points Earned</w:t>
            </w:r>
          </w:p>
        </w:tc>
        <w:tc>
          <w:tcPr>
            <w:tcW w:w="1218" w:type="pct"/>
          </w:tcPr>
          <w:p w14:paraId="2D5453A9" w14:textId="77777777" w:rsidR="00BE0EEF" w:rsidRPr="00210AC6" w:rsidRDefault="00BE0EEF" w:rsidP="002C333C">
            <w:pPr>
              <w:rPr>
                <w:rFonts w:cs="Arial"/>
                <w:b/>
                <w:bCs/>
                <w:szCs w:val="16"/>
              </w:rPr>
            </w:pPr>
            <w:r w:rsidRPr="00210AC6">
              <w:rPr>
                <w:rFonts w:cs="Arial"/>
                <w:b/>
                <w:bCs/>
                <w:szCs w:val="16"/>
              </w:rPr>
              <w:t>Score (%)</w:t>
            </w:r>
          </w:p>
        </w:tc>
      </w:tr>
      <w:tr w:rsidR="00E1330D" w:rsidRPr="00210AC6" w14:paraId="24CD0491" w14:textId="77777777" w:rsidTr="00851F98">
        <w:tc>
          <w:tcPr>
            <w:tcW w:w="1261" w:type="pct"/>
          </w:tcPr>
          <w:p w14:paraId="636FA965" w14:textId="77777777" w:rsidR="00E1330D" w:rsidRPr="00210AC6" w:rsidRDefault="00E1330D" w:rsidP="00E1330D">
            <w:pPr>
              <w:rPr>
                <w:rFonts w:cs="Arial"/>
                <w:b/>
                <w:bCs/>
                <w:szCs w:val="16"/>
              </w:rPr>
            </w:pPr>
            <w:r w:rsidRPr="00210AC6">
              <w:rPr>
                <w:rFonts w:cs="Arial"/>
                <w:b/>
                <w:bCs/>
                <w:szCs w:val="16"/>
              </w:rPr>
              <w:t>Results</w:t>
            </w:r>
          </w:p>
        </w:tc>
        <w:tc>
          <w:tcPr>
            <w:tcW w:w="1261" w:type="pct"/>
          </w:tcPr>
          <w:p w14:paraId="4DC27F93" w14:textId="2A310F59" w:rsidR="00E1330D" w:rsidRPr="00210AC6" w:rsidRDefault="00E1330D" w:rsidP="00E1330D">
            <w:pPr>
              <w:rPr>
                <w:rFonts w:cs="Arial"/>
                <w:noProof/>
                <w:szCs w:val="16"/>
              </w:rPr>
            </w:pPr>
            <w:r w:rsidRPr="00210AC6">
              <w:rPr>
                <w:rFonts w:cs="Arial"/>
                <w:szCs w:val="16"/>
              </w:rPr>
              <w:t>24</w:t>
            </w:r>
          </w:p>
        </w:tc>
        <w:tc>
          <w:tcPr>
            <w:tcW w:w="1260" w:type="pct"/>
          </w:tcPr>
          <w:p w14:paraId="39A51C38" w14:textId="16E843D2" w:rsidR="00E1330D" w:rsidRPr="00210AC6" w:rsidRDefault="00E1330D" w:rsidP="00E1330D">
            <w:pPr>
              <w:rPr>
                <w:rFonts w:cs="Arial"/>
                <w:szCs w:val="16"/>
              </w:rPr>
            </w:pPr>
            <w:r w:rsidRPr="00210AC6">
              <w:rPr>
                <w:rFonts w:cs="Arial"/>
                <w:szCs w:val="16"/>
              </w:rPr>
              <w:t>17</w:t>
            </w:r>
          </w:p>
        </w:tc>
        <w:tc>
          <w:tcPr>
            <w:tcW w:w="1218" w:type="pct"/>
          </w:tcPr>
          <w:p w14:paraId="0E3866D0" w14:textId="74D5D84B" w:rsidR="00E1330D" w:rsidRPr="00210AC6" w:rsidRDefault="00E1330D" w:rsidP="00E1330D">
            <w:pPr>
              <w:rPr>
                <w:rFonts w:cs="Arial"/>
                <w:szCs w:val="16"/>
              </w:rPr>
            </w:pPr>
            <w:r w:rsidRPr="00210AC6">
              <w:rPr>
                <w:rFonts w:cs="Arial"/>
                <w:szCs w:val="16"/>
              </w:rPr>
              <w:t>70.83%</w:t>
            </w:r>
          </w:p>
        </w:tc>
      </w:tr>
      <w:tr w:rsidR="00E1330D" w:rsidRPr="00210AC6" w14:paraId="6160CFE2" w14:textId="77777777" w:rsidTr="00851F98">
        <w:tc>
          <w:tcPr>
            <w:tcW w:w="1261" w:type="pct"/>
          </w:tcPr>
          <w:p w14:paraId="683501B2" w14:textId="77777777" w:rsidR="00E1330D" w:rsidRPr="00210AC6" w:rsidRDefault="00E1330D" w:rsidP="00E1330D">
            <w:pPr>
              <w:rPr>
                <w:rFonts w:cs="Arial"/>
                <w:b/>
                <w:bCs/>
                <w:szCs w:val="16"/>
              </w:rPr>
            </w:pPr>
            <w:r w:rsidRPr="00210AC6">
              <w:rPr>
                <w:rFonts w:cs="Arial"/>
                <w:b/>
                <w:bCs/>
                <w:szCs w:val="16"/>
              </w:rPr>
              <w:t>Compliance</w:t>
            </w:r>
          </w:p>
        </w:tc>
        <w:tc>
          <w:tcPr>
            <w:tcW w:w="1261" w:type="pct"/>
          </w:tcPr>
          <w:p w14:paraId="548EED65" w14:textId="52CD3569" w:rsidR="00E1330D" w:rsidRPr="00210AC6" w:rsidRDefault="00E1330D" w:rsidP="00E1330D">
            <w:pPr>
              <w:rPr>
                <w:rFonts w:cs="Arial"/>
                <w:szCs w:val="16"/>
              </w:rPr>
            </w:pPr>
            <w:r w:rsidRPr="00210AC6">
              <w:rPr>
                <w:rFonts w:cs="Arial"/>
                <w:szCs w:val="16"/>
              </w:rPr>
              <w:t>20</w:t>
            </w:r>
          </w:p>
        </w:tc>
        <w:tc>
          <w:tcPr>
            <w:tcW w:w="1260" w:type="pct"/>
          </w:tcPr>
          <w:p w14:paraId="0A360C78" w14:textId="7DE98E29" w:rsidR="00E1330D" w:rsidRPr="00210AC6" w:rsidRDefault="00E1330D" w:rsidP="00E1330D">
            <w:pPr>
              <w:rPr>
                <w:rFonts w:cs="Arial"/>
                <w:szCs w:val="16"/>
              </w:rPr>
            </w:pPr>
            <w:r w:rsidRPr="00210AC6">
              <w:rPr>
                <w:rFonts w:cs="Arial"/>
                <w:szCs w:val="16"/>
              </w:rPr>
              <w:t>19</w:t>
            </w:r>
          </w:p>
        </w:tc>
        <w:tc>
          <w:tcPr>
            <w:tcW w:w="1218" w:type="pct"/>
          </w:tcPr>
          <w:p w14:paraId="568903BA" w14:textId="193CF7F1" w:rsidR="00E1330D" w:rsidRPr="00210AC6" w:rsidRDefault="00E1330D" w:rsidP="00E1330D">
            <w:pPr>
              <w:rPr>
                <w:rFonts w:cs="Arial"/>
                <w:szCs w:val="16"/>
              </w:rPr>
            </w:pPr>
            <w:r w:rsidRPr="00210AC6">
              <w:rPr>
                <w:rFonts w:cs="Arial"/>
                <w:szCs w:val="16"/>
              </w:rPr>
              <w:t>95.00%</w:t>
            </w:r>
          </w:p>
        </w:tc>
      </w:tr>
    </w:tbl>
    <w:p w14:paraId="5A13FEB8" w14:textId="650D2B71" w:rsidR="00BE0EEF" w:rsidRDefault="00BE0EEF" w:rsidP="00BE0EEF">
      <w:pPr>
        <w:rPr>
          <w:rFonts w:cs="Arial"/>
          <w:b/>
          <w:bCs/>
          <w:szCs w:val="16"/>
        </w:rPr>
      </w:pPr>
      <w:r w:rsidRPr="00210AC6">
        <w:rPr>
          <w:rFonts w:cs="Arial"/>
          <w:b/>
          <w:bCs/>
          <w:szCs w:val="16"/>
        </w:rPr>
        <w:t>2023 Part B Results Matrix</w:t>
      </w:r>
    </w:p>
    <w:p w14:paraId="54FF45BF" w14:textId="4C5619B9" w:rsidR="00353EB1" w:rsidRPr="00210AC6" w:rsidRDefault="00353EB1" w:rsidP="00353EB1">
      <w:pPr>
        <w:rPr>
          <w:rFonts w:cs="Arial"/>
          <w:b/>
          <w:bCs/>
          <w:szCs w:val="16"/>
        </w:rPr>
      </w:pPr>
      <w:r w:rsidRPr="00210AC6">
        <w:rPr>
          <w:rFonts w:cs="Arial"/>
          <w:b/>
          <w:bCs/>
          <w:szCs w:val="16"/>
        </w:rPr>
        <w:t>Reading Assessment Elements</w:t>
      </w:r>
    </w:p>
    <w:tbl>
      <w:tblPr>
        <w:tblStyle w:val="TableGrid1"/>
        <w:tblW w:w="5009" w:type="pct"/>
        <w:tblLayout w:type="fixed"/>
        <w:tblLook w:val="04A0" w:firstRow="1" w:lastRow="0" w:firstColumn="1" w:lastColumn="0" w:noHBand="0" w:noVBand="1"/>
        <w:tblCaption w:val="BRLAENNSRSTCFFY"/>
      </w:tblPr>
      <w:tblGrid>
        <w:gridCol w:w="7207"/>
        <w:gridCol w:w="1801"/>
        <w:gridCol w:w="1801"/>
      </w:tblGrid>
      <w:tr w:rsidR="00BE0EEF" w:rsidRPr="00210AC6" w14:paraId="6C98717E" w14:textId="77777777" w:rsidTr="0064778E">
        <w:trPr>
          <w:tblHeader/>
        </w:trPr>
        <w:tc>
          <w:tcPr>
            <w:tcW w:w="3334" w:type="pct"/>
          </w:tcPr>
          <w:p w14:paraId="7B58243A" w14:textId="77777777" w:rsidR="00BE0EEF" w:rsidRPr="00210AC6" w:rsidRDefault="00BE0EEF" w:rsidP="002C333C">
            <w:pPr>
              <w:rPr>
                <w:rFonts w:cs="Arial"/>
                <w:b/>
                <w:bCs/>
                <w:szCs w:val="16"/>
              </w:rPr>
            </w:pPr>
            <w:r w:rsidRPr="00210AC6">
              <w:rPr>
                <w:rFonts w:cs="Arial"/>
                <w:b/>
                <w:bCs/>
                <w:szCs w:val="16"/>
              </w:rPr>
              <w:t>Reading Assessment Elements</w:t>
            </w:r>
          </w:p>
        </w:tc>
        <w:tc>
          <w:tcPr>
            <w:tcW w:w="833" w:type="pct"/>
          </w:tcPr>
          <w:p w14:paraId="7F72CFD5"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729C2DDD" w14:textId="77777777" w:rsidR="00BE0EEF" w:rsidRPr="00210AC6" w:rsidRDefault="00BE0EEF" w:rsidP="002C333C">
            <w:pPr>
              <w:rPr>
                <w:rFonts w:cs="Arial"/>
                <w:b/>
                <w:bCs/>
                <w:szCs w:val="16"/>
              </w:rPr>
            </w:pPr>
            <w:r w:rsidRPr="00210AC6">
              <w:rPr>
                <w:rFonts w:cs="Arial"/>
                <w:b/>
                <w:bCs/>
                <w:szCs w:val="16"/>
              </w:rPr>
              <w:t>Score</w:t>
            </w:r>
          </w:p>
        </w:tc>
      </w:tr>
      <w:tr w:rsidR="00AC185D" w:rsidRPr="00210AC6" w14:paraId="66509352" w14:textId="77777777" w:rsidTr="00FB3F34">
        <w:tc>
          <w:tcPr>
            <w:tcW w:w="3334" w:type="pct"/>
          </w:tcPr>
          <w:p w14:paraId="2F46D281" w14:textId="77777777" w:rsidR="00AC185D" w:rsidRPr="00210AC6" w:rsidRDefault="00AC185D" w:rsidP="00AC185D">
            <w:pPr>
              <w:rPr>
                <w:rFonts w:cs="Arial"/>
                <w:b/>
                <w:bCs/>
                <w:szCs w:val="16"/>
              </w:rPr>
            </w:pPr>
            <w:r w:rsidRPr="00210AC6">
              <w:rPr>
                <w:rFonts w:cs="Arial"/>
                <w:b/>
                <w:bCs/>
                <w:szCs w:val="16"/>
              </w:rPr>
              <w:t>Percentage of 4th Grade Children with Disabilities Participating in Regular Statewide Assessments</w:t>
            </w:r>
          </w:p>
        </w:tc>
        <w:tc>
          <w:tcPr>
            <w:tcW w:w="833" w:type="pct"/>
          </w:tcPr>
          <w:p w14:paraId="4B066FB6" w14:textId="065EED21" w:rsidR="00AC185D" w:rsidRPr="00210AC6" w:rsidRDefault="00AC185D" w:rsidP="00AC185D">
            <w:pPr>
              <w:rPr>
                <w:rFonts w:cs="Arial"/>
                <w:szCs w:val="16"/>
              </w:rPr>
            </w:pPr>
            <w:r w:rsidRPr="00210AC6">
              <w:rPr>
                <w:rFonts w:cs="Arial"/>
                <w:szCs w:val="16"/>
              </w:rPr>
              <w:t>93%</w:t>
            </w:r>
          </w:p>
        </w:tc>
        <w:tc>
          <w:tcPr>
            <w:tcW w:w="833" w:type="pct"/>
          </w:tcPr>
          <w:p w14:paraId="50F87295" w14:textId="3E5BE83B" w:rsidR="00AC185D" w:rsidRPr="00210AC6" w:rsidRDefault="00AC185D" w:rsidP="00AC185D">
            <w:pPr>
              <w:rPr>
                <w:rFonts w:cs="Arial"/>
                <w:szCs w:val="16"/>
              </w:rPr>
            </w:pPr>
            <w:r w:rsidRPr="00210AC6">
              <w:rPr>
                <w:rFonts w:cs="Arial"/>
                <w:szCs w:val="16"/>
              </w:rPr>
              <w:t>2</w:t>
            </w:r>
          </w:p>
        </w:tc>
      </w:tr>
      <w:tr w:rsidR="00AC185D" w:rsidRPr="00210AC6" w14:paraId="3550FF4A" w14:textId="77777777" w:rsidTr="00FB3F34">
        <w:tc>
          <w:tcPr>
            <w:tcW w:w="3334" w:type="pct"/>
          </w:tcPr>
          <w:p w14:paraId="3C309EC9" w14:textId="77777777" w:rsidR="00AC185D" w:rsidRPr="00210AC6" w:rsidRDefault="00AC185D" w:rsidP="00AC185D">
            <w:pPr>
              <w:rPr>
                <w:rFonts w:cs="Arial"/>
                <w:b/>
                <w:bCs/>
                <w:szCs w:val="16"/>
              </w:rPr>
            </w:pPr>
            <w:r w:rsidRPr="00210AC6">
              <w:rPr>
                <w:rFonts w:cs="Arial"/>
                <w:b/>
                <w:bCs/>
                <w:szCs w:val="16"/>
              </w:rPr>
              <w:t>Percentage of 8th Grade Children with Disabilities Participating in Regular Statewide Assessments</w:t>
            </w:r>
          </w:p>
        </w:tc>
        <w:tc>
          <w:tcPr>
            <w:tcW w:w="833" w:type="pct"/>
          </w:tcPr>
          <w:p w14:paraId="3048515F" w14:textId="76393BE7" w:rsidR="00AC185D" w:rsidRPr="00210AC6" w:rsidRDefault="00AC185D" w:rsidP="00AC185D">
            <w:pPr>
              <w:rPr>
                <w:rFonts w:cs="Arial"/>
                <w:szCs w:val="16"/>
              </w:rPr>
            </w:pPr>
            <w:r w:rsidRPr="00210AC6">
              <w:rPr>
                <w:rFonts w:cs="Arial"/>
                <w:szCs w:val="16"/>
              </w:rPr>
              <w:t>89%</w:t>
            </w:r>
          </w:p>
        </w:tc>
        <w:tc>
          <w:tcPr>
            <w:tcW w:w="833" w:type="pct"/>
          </w:tcPr>
          <w:p w14:paraId="616686DF" w14:textId="143C7242" w:rsidR="00AC185D" w:rsidRPr="00210AC6" w:rsidRDefault="00AC185D" w:rsidP="00AC185D">
            <w:pPr>
              <w:rPr>
                <w:rFonts w:cs="Arial"/>
                <w:szCs w:val="16"/>
              </w:rPr>
            </w:pPr>
            <w:r w:rsidRPr="00210AC6">
              <w:rPr>
                <w:rFonts w:cs="Arial"/>
                <w:szCs w:val="16"/>
              </w:rPr>
              <w:t>1</w:t>
            </w:r>
          </w:p>
        </w:tc>
      </w:tr>
      <w:tr w:rsidR="00AC185D" w:rsidRPr="00210AC6" w14:paraId="3DAECFCC" w14:textId="77777777" w:rsidTr="00FB3F34">
        <w:tc>
          <w:tcPr>
            <w:tcW w:w="3334" w:type="pct"/>
          </w:tcPr>
          <w:p w14:paraId="7F5E9165" w14:textId="77777777" w:rsidR="00AC185D" w:rsidRPr="00210AC6" w:rsidRDefault="00AC185D" w:rsidP="00AC185D">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3" w:type="pct"/>
          </w:tcPr>
          <w:p w14:paraId="69FCD5E3" w14:textId="2225AB69" w:rsidR="00AC185D" w:rsidRPr="00210AC6" w:rsidRDefault="00AC185D" w:rsidP="00AC185D">
            <w:pPr>
              <w:rPr>
                <w:rFonts w:cs="Arial"/>
                <w:szCs w:val="16"/>
              </w:rPr>
            </w:pPr>
            <w:r w:rsidRPr="00210AC6">
              <w:rPr>
                <w:rFonts w:cs="Arial"/>
                <w:szCs w:val="16"/>
              </w:rPr>
              <w:t>28%</w:t>
            </w:r>
          </w:p>
        </w:tc>
        <w:tc>
          <w:tcPr>
            <w:tcW w:w="833" w:type="pct"/>
          </w:tcPr>
          <w:p w14:paraId="23A64B98" w14:textId="5F4E05F3" w:rsidR="00AC185D" w:rsidRPr="00210AC6" w:rsidRDefault="00AC185D" w:rsidP="00AC185D">
            <w:pPr>
              <w:rPr>
                <w:rFonts w:cs="Arial"/>
                <w:szCs w:val="16"/>
              </w:rPr>
            </w:pPr>
            <w:r w:rsidRPr="00210AC6">
              <w:rPr>
                <w:rFonts w:cs="Arial"/>
                <w:szCs w:val="16"/>
              </w:rPr>
              <w:t>2</w:t>
            </w:r>
          </w:p>
        </w:tc>
      </w:tr>
      <w:tr w:rsidR="00AC185D" w:rsidRPr="00210AC6" w14:paraId="2B48B4E0" w14:textId="77777777" w:rsidTr="00FB3F34">
        <w:tc>
          <w:tcPr>
            <w:tcW w:w="3334" w:type="pct"/>
          </w:tcPr>
          <w:p w14:paraId="7666AD2F" w14:textId="77777777" w:rsidR="00AC185D" w:rsidRPr="00210AC6" w:rsidRDefault="00AC185D" w:rsidP="00AC185D">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3" w:type="pct"/>
          </w:tcPr>
          <w:p w14:paraId="5C0EC960" w14:textId="61075875" w:rsidR="00AC185D" w:rsidRPr="00210AC6" w:rsidRDefault="00AC185D" w:rsidP="00AC185D">
            <w:pPr>
              <w:rPr>
                <w:rFonts w:cs="Arial"/>
                <w:szCs w:val="16"/>
              </w:rPr>
            </w:pPr>
            <w:r w:rsidRPr="00210AC6">
              <w:rPr>
                <w:rFonts w:cs="Arial"/>
                <w:szCs w:val="16"/>
              </w:rPr>
              <w:t>90%</w:t>
            </w:r>
          </w:p>
        </w:tc>
        <w:tc>
          <w:tcPr>
            <w:tcW w:w="833" w:type="pct"/>
          </w:tcPr>
          <w:p w14:paraId="3E5057E5" w14:textId="74D3F3A3" w:rsidR="00AC185D" w:rsidRPr="00210AC6" w:rsidRDefault="00AC185D" w:rsidP="00AC185D">
            <w:pPr>
              <w:rPr>
                <w:rFonts w:cs="Arial"/>
                <w:szCs w:val="16"/>
              </w:rPr>
            </w:pPr>
            <w:r w:rsidRPr="00210AC6">
              <w:rPr>
                <w:rFonts w:cs="Arial"/>
                <w:szCs w:val="16"/>
              </w:rPr>
              <w:t>1</w:t>
            </w:r>
          </w:p>
        </w:tc>
      </w:tr>
      <w:tr w:rsidR="00AC185D" w:rsidRPr="00210AC6" w14:paraId="558A8BBA" w14:textId="77777777" w:rsidTr="00FB3F34">
        <w:tc>
          <w:tcPr>
            <w:tcW w:w="3334" w:type="pct"/>
          </w:tcPr>
          <w:p w14:paraId="1F4FB032" w14:textId="77777777" w:rsidR="00AC185D" w:rsidRPr="00210AC6" w:rsidRDefault="00AC185D" w:rsidP="00AC185D">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3" w:type="pct"/>
          </w:tcPr>
          <w:p w14:paraId="4F273831" w14:textId="3D65715F" w:rsidR="00AC185D" w:rsidRPr="00210AC6" w:rsidRDefault="00AC185D" w:rsidP="00AC185D">
            <w:pPr>
              <w:rPr>
                <w:rFonts w:cs="Arial"/>
                <w:szCs w:val="16"/>
              </w:rPr>
            </w:pPr>
            <w:r w:rsidRPr="00210AC6">
              <w:rPr>
                <w:rFonts w:cs="Arial"/>
                <w:szCs w:val="16"/>
              </w:rPr>
              <w:t>26%</w:t>
            </w:r>
          </w:p>
        </w:tc>
        <w:tc>
          <w:tcPr>
            <w:tcW w:w="833" w:type="pct"/>
          </w:tcPr>
          <w:p w14:paraId="2EA39B53" w14:textId="06051205" w:rsidR="00AC185D" w:rsidRPr="00210AC6" w:rsidRDefault="00AC185D" w:rsidP="00AC185D">
            <w:pPr>
              <w:rPr>
                <w:rFonts w:cs="Arial"/>
                <w:szCs w:val="16"/>
              </w:rPr>
            </w:pPr>
            <w:r w:rsidRPr="00210AC6">
              <w:rPr>
                <w:rFonts w:cs="Arial"/>
                <w:szCs w:val="16"/>
              </w:rPr>
              <w:t>1</w:t>
            </w:r>
          </w:p>
        </w:tc>
      </w:tr>
      <w:tr w:rsidR="00AC185D" w:rsidRPr="00210AC6" w14:paraId="13947FC1" w14:textId="77777777" w:rsidTr="00FB3F34">
        <w:tc>
          <w:tcPr>
            <w:tcW w:w="3334" w:type="pct"/>
          </w:tcPr>
          <w:p w14:paraId="3F1F50D6" w14:textId="77777777" w:rsidR="00AC185D" w:rsidRPr="00210AC6" w:rsidRDefault="00AC185D" w:rsidP="00AC185D">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3" w:type="pct"/>
          </w:tcPr>
          <w:p w14:paraId="2F6CFBA8" w14:textId="5E8AA4EC" w:rsidR="00AC185D" w:rsidRPr="00210AC6" w:rsidRDefault="00AC185D" w:rsidP="00AC185D">
            <w:pPr>
              <w:rPr>
                <w:rFonts w:cs="Arial"/>
                <w:szCs w:val="16"/>
              </w:rPr>
            </w:pPr>
            <w:r w:rsidRPr="00210AC6">
              <w:rPr>
                <w:rFonts w:cs="Arial"/>
                <w:szCs w:val="16"/>
              </w:rPr>
              <w:t>90%</w:t>
            </w:r>
          </w:p>
        </w:tc>
        <w:tc>
          <w:tcPr>
            <w:tcW w:w="833" w:type="pct"/>
          </w:tcPr>
          <w:p w14:paraId="02FF34AD" w14:textId="55F2DC29" w:rsidR="00AC185D" w:rsidRPr="00210AC6" w:rsidRDefault="00AC185D" w:rsidP="00AC185D">
            <w:pPr>
              <w:rPr>
                <w:rFonts w:cs="Arial"/>
                <w:szCs w:val="16"/>
              </w:rPr>
            </w:pPr>
            <w:r w:rsidRPr="00210AC6">
              <w:rPr>
                <w:rFonts w:cs="Arial"/>
                <w:szCs w:val="16"/>
              </w:rPr>
              <w:t>1</w:t>
            </w:r>
          </w:p>
        </w:tc>
      </w:tr>
    </w:tbl>
    <w:p w14:paraId="07CD2882" w14:textId="5840DCDF" w:rsidR="00353EB1" w:rsidRDefault="00395B6C" w:rsidP="00BE0EEF">
      <w:pPr>
        <w:rPr>
          <w:rFonts w:cs="Arial"/>
          <w:b/>
          <w:bCs/>
          <w:szCs w:val="16"/>
        </w:rPr>
      </w:pPr>
      <w:r w:rsidRPr="00395B6C">
        <w:rPr>
          <w:rFonts w:cs="Arial"/>
          <w:b/>
          <w:bCs/>
          <w:szCs w:val="16"/>
        </w:rPr>
        <w:t>Math Assessment Elements</w:t>
      </w:r>
    </w:p>
    <w:tbl>
      <w:tblPr>
        <w:tblStyle w:val="TableGrid1"/>
        <w:tblW w:w="5009" w:type="pct"/>
        <w:tblLayout w:type="fixed"/>
        <w:tblLook w:val="04A0" w:firstRow="1" w:lastRow="0" w:firstColumn="1" w:lastColumn="0" w:noHBand="0" w:noVBand="1"/>
        <w:tblCaption w:val="BMTHENNSRSTCFFY"/>
      </w:tblPr>
      <w:tblGrid>
        <w:gridCol w:w="7205"/>
        <w:gridCol w:w="1803"/>
        <w:gridCol w:w="1801"/>
      </w:tblGrid>
      <w:tr w:rsidR="00BE0EEF" w:rsidRPr="00210AC6" w14:paraId="469D669E" w14:textId="77777777" w:rsidTr="00C74568">
        <w:trPr>
          <w:tblHeader/>
        </w:trPr>
        <w:tc>
          <w:tcPr>
            <w:tcW w:w="3333" w:type="pct"/>
          </w:tcPr>
          <w:p w14:paraId="6D4794B6" w14:textId="77777777" w:rsidR="00BE0EEF" w:rsidRPr="00210AC6" w:rsidRDefault="00BE0EEF" w:rsidP="002C333C">
            <w:pPr>
              <w:rPr>
                <w:rFonts w:cs="Arial"/>
                <w:b/>
                <w:bCs/>
                <w:szCs w:val="16"/>
              </w:rPr>
            </w:pPr>
            <w:r w:rsidRPr="00210AC6">
              <w:rPr>
                <w:rFonts w:cs="Arial"/>
                <w:b/>
                <w:bCs/>
                <w:szCs w:val="16"/>
              </w:rPr>
              <w:t>Math Assessment Elements</w:t>
            </w:r>
          </w:p>
        </w:tc>
        <w:tc>
          <w:tcPr>
            <w:tcW w:w="834" w:type="pct"/>
          </w:tcPr>
          <w:p w14:paraId="6E210526" w14:textId="77777777" w:rsidR="00BE0EEF" w:rsidRPr="00210AC6" w:rsidRDefault="00BE0EEF" w:rsidP="002C333C">
            <w:pPr>
              <w:rPr>
                <w:rFonts w:cs="Arial"/>
                <w:b/>
                <w:bCs/>
                <w:szCs w:val="16"/>
              </w:rPr>
            </w:pPr>
            <w:r w:rsidRPr="00210AC6">
              <w:rPr>
                <w:rFonts w:cs="Arial"/>
                <w:b/>
                <w:bCs/>
                <w:szCs w:val="16"/>
              </w:rPr>
              <w:t>Performance (%)</w:t>
            </w:r>
          </w:p>
        </w:tc>
        <w:tc>
          <w:tcPr>
            <w:tcW w:w="833" w:type="pct"/>
          </w:tcPr>
          <w:p w14:paraId="03CF668A" w14:textId="77777777" w:rsidR="00BE0EEF" w:rsidRPr="00210AC6" w:rsidRDefault="00BE0EEF" w:rsidP="002C333C">
            <w:pPr>
              <w:rPr>
                <w:rFonts w:cs="Arial"/>
                <w:b/>
                <w:bCs/>
                <w:szCs w:val="16"/>
              </w:rPr>
            </w:pPr>
            <w:r w:rsidRPr="00210AC6">
              <w:rPr>
                <w:rFonts w:cs="Arial"/>
                <w:b/>
                <w:bCs/>
                <w:szCs w:val="16"/>
              </w:rPr>
              <w:t>Score</w:t>
            </w:r>
          </w:p>
        </w:tc>
      </w:tr>
      <w:tr w:rsidR="0019671E" w:rsidRPr="00210AC6" w14:paraId="64DF3CC7" w14:textId="77777777" w:rsidTr="00FB3F34">
        <w:tc>
          <w:tcPr>
            <w:tcW w:w="3333" w:type="pct"/>
          </w:tcPr>
          <w:p w14:paraId="1F7694DD" w14:textId="77777777" w:rsidR="0019671E" w:rsidRPr="00210AC6" w:rsidRDefault="0019671E" w:rsidP="0019671E">
            <w:pPr>
              <w:rPr>
                <w:rFonts w:cs="Arial"/>
                <w:b/>
                <w:bCs/>
                <w:szCs w:val="16"/>
              </w:rPr>
            </w:pPr>
            <w:r w:rsidRPr="00210AC6">
              <w:rPr>
                <w:rFonts w:cs="Arial"/>
                <w:b/>
                <w:bCs/>
                <w:szCs w:val="16"/>
              </w:rPr>
              <w:t>Percentage of 4th Grade Children with Disabilities Participating in Regular Statewide Assessments</w:t>
            </w:r>
          </w:p>
        </w:tc>
        <w:tc>
          <w:tcPr>
            <w:tcW w:w="834" w:type="pct"/>
          </w:tcPr>
          <w:p w14:paraId="2339B77B" w14:textId="2D4D0198" w:rsidR="0019671E" w:rsidRPr="00210AC6" w:rsidRDefault="0019671E" w:rsidP="0019671E">
            <w:pPr>
              <w:rPr>
                <w:rFonts w:cs="Arial"/>
                <w:szCs w:val="16"/>
              </w:rPr>
            </w:pPr>
            <w:r w:rsidRPr="00210AC6">
              <w:rPr>
                <w:rFonts w:cs="Arial"/>
                <w:szCs w:val="16"/>
              </w:rPr>
              <w:t>93%</w:t>
            </w:r>
          </w:p>
        </w:tc>
        <w:tc>
          <w:tcPr>
            <w:tcW w:w="833" w:type="pct"/>
          </w:tcPr>
          <w:p w14:paraId="7840B150" w14:textId="6A0FC50C" w:rsidR="0019671E" w:rsidRPr="00210AC6" w:rsidRDefault="0019671E" w:rsidP="0019671E">
            <w:pPr>
              <w:rPr>
                <w:rFonts w:cs="Arial"/>
                <w:szCs w:val="16"/>
              </w:rPr>
            </w:pPr>
            <w:r w:rsidRPr="00210AC6">
              <w:rPr>
                <w:rFonts w:cs="Arial"/>
                <w:szCs w:val="16"/>
              </w:rPr>
              <w:t>2</w:t>
            </w:r>
          </w:p>
        </w:tc>
      </w:tr>
      <w:tr w:rsidR="0019671E" w:rsidRPr="00210AC6" w14:paraId="76362DFE" w14:textId="77777777" w:rsidTr="00FB3F34">
        <w:tc>
          <w:tcPr>
            <w:tcW w:w="3333" w:type="pct"/>
          </w:tcPr>
          <w:p w14:paraId="632B7BBA" w14:textId="77777777" w:rsidR="0019671E" w:rsidRPr="00210AC6" w:rsidRDefault="0019671E" w:rsidP="0019671E">
            <w:pPr>
              <w:rPr>
                <w:rFonts w:cs="Arial"/>
                <w:b/>
                <w:bCs/>
                <w:szCs w:val="16"/>
              </w:rPr>
            </w:pPr>
            <w:r w:rsidRPr="00210AC6">
              <w:rPr>
                <w:rFonts w:cs="Arial"/>
                <w:b/>
                <w:bCs/>
                <w:szCs w:val="16"/>
              </w:rPr>
              <w:t>Percentage of 8th Grade Children with Disabilities Participating in Regular Statewide Assessments</w:t>
            </w:r>
          </w:p>
        </w:tc>
        <w:tc>
          <w:tcPr>
            <w:tcW w:w="834" w:type="pct"/>
          </w:tcPr>
          <w:p w14:paraId="16367BD2" w14:textId="6986E939" w:rsidR="0019671E" w:rsidRPr="00210AC6" w:rsidRDefault="0019671E" w:rsidP="0019671E">
            <w:pPr>
              <w:rPr>
                <w:rFonts w:cs="Arial"/>
                <w:szCs w:val="16"/>
              </w:rPr>
            </w:pPr>
            <w:r w:rsidRPr="00210AC6">
              <w:rPr>
                <w:rFonts w:cs="Arial"/>
                <w:szCs w:val="16"/>
              </w:rPr>
              <w:t>89%</w:t>
            </w:r>
          </w:p>
        </w:tc>
        <w:tc>
          <w:tcPr>
            <w:tcW w:w="833" w:type="pct"/>
          </w:tcPr>
          <w:p w14:paraId="4338D452" w14:textId="060DA0F7" w:rsidR="0019671E" w:rsidRPr="00210AC6" w:rsidRDefault="0019671E" w:rsidP="0019671E">
            <w:pPr>
              <w:rPr>
                <w:rFonts w:cs="Arial"/>
                <w:szCs w:val="16"/>
              </w:rPr>
            </w:pPr>
            <w:r w:rsidRPr="00210AC6">
              <w:rPr>
                <w:rFonts w:cs="Arial"/>
                <w:szCs w:val="16"/>
              </w:rPr>
              <w:t>1</w:t>
            </w:r>
          </w:p>
        </w:tc>
      </w:tr>
      <w:tr w:rsidR="0019671E" w:rsidRPr="00210AC6" w14:paraId="6ACA5C8B" w14:textId="77777777" w:rsidTr="00FB3F34">
        <w:tc>
          <w:tcPr>
            <w:tcW w:w="3333" w:type="pct"/>
          </w:tcPr>
          <w:p w14:paraId="178F722C" w14:textId="77777777" w:rsidR="0019671E" w:rsidRPr="00210AC6" w:rsidRDefault="0019671E" w:rsidP="0019671E">
            <w:pPr>
              <w:rPr>
                <w:rFonts w:cs="Arial"/>
                <w:b/>
                <w:bCs/>
                <w:szCs w:val="16"/>
              </w:rPr>
            </w:pPr>
            <w:r w:rsidRPr="00210AC6">
              <w:rPr>
                <w:rFonts w:cs="Arial"/>
                <w:b/>
                <w:bCs/>
                <w:szCs w:val="16"/>
              </w:rPr>
              <w:t>Percentage of 4th Grade Children with Disabilities Scoring at Basic or Above on the National Assessment of Educational Progress</w:t>
            </w:r>
          </w:p>
        </w:tc>
        <w:tc>
          <w:tcPr>
            <w:tcW w:w="834" w:type="pct"/>
          </w:tcPr>
          <w:p w14:paraId="751BB010" w14:textId="709ECD3F" w:rsidR="0019671E" w:rsidRPr="00210AC6" w:rsidRDefault="0019671E" w:rsidP="0019671E">
            <w:pPr>
              <w:rPr>
                <w:rFonts w:cs="Arial"/>
                <w:szCs w:val="16"/>
              </w:rPr>
            </w:pPr>
            <w:r w:rsidRPr="00210AC6">
              <w:rPr>
                <w:rFonts w:cs="Arial"/>
                <w:szCs w:val="16"/>
              </w:rPr>
              <w:t>49%</w:t>
            </w:r>
          </w:p>
        </w:tc>
        <w:tc>
          <w:tcPr>
            <w:tcW w:w="833" w:type="pct"/>
          </w:tcPr>
          <w:p w14:paraId="423E4ADA" w14:textId="0CADE31A" w:rsidR="0019671E" w:rsidRPr="00210AC6" w:rsidRDefault="0019671E" w:rsidP="0019671E">
            <w:pPr>
              <w:rPr>
                <w:rFonts w:cs="Arial"/>
                <w:szCs w:val="16"/>
              </w:rPr>
            </w:pPr>
            <w:r w:rsidRPr="00210AC6">
              <w:rPr>
                <w:rFonts w:cs="Arial"/>
                <w:szCs w:val="16"/>
              </w:rPr>
              <w:t>2</w:t>
            </w:r>
          </w:p>
        </w:tc>
      </w:tr>
      <w:tr w:rsidR="0019671E" w:rsidRPr="00210AC6" w14:paraId="3940F80A" w14:textId="77777777" w:rsidTr="00FB3F34">
        <w:tc>
          <w:tcPr>
            <w:tcW w:w="3333" w:type="pct"/>
          </w:tcPr>
          <w:p w14:paraId="704D280B" w14:textId="77777777" w:rsidR="0019671E" w:rsidRPr="00210AC6" w:rsidRDefault="0019671E" w:rsidP="0019671E">
            <w:pPr>
              <w:rPr>
                <w:rFonts w:cs="Arial"/>
                <w:b/>
                <w:bCs/>
                <w:szCs w:val="16"/>
              </w:rPr>
            </w:pPr>
            <w:r w:rsidRPr="00210AC6">
              <w:rPr>
                <w:rFonts w:cs="Arial"/>
                <w:b/>
                <w:bCs/>
                <w:szCs w:val="16"/>
              </w:rPr>
              <w:t>Percentage of 4th Grade Children with Disabilities Included in Testing on the National Assessment of Educational Progress</w:t>
            </w:r>
          </w:p>
        </w:tc>
        <w:tc>
          <w:tcPr>
            <w:tcW w:w="834" w:type="pct"/>
          </w:tcPr>
          <w:p w14:paraId="5B062F65" w14:textId="5FD7F636" w:rsidR="0019671E" w:rsidRPr="00210AC6" w:rsidRDefault="0019671E" w:rsidP="0019671E">
            <w:pPr>
              <w:rPr>
                <w:rFonts w:cs="Arial"/>
                <w:szCs w:val="16"/>
              </w:rPr>
            </w:pPr>
            <w:r w:rsidRPr="00210AC6">
              <w:rPr>
                <w:rFonts w:cs="Arial"/>
                <w:szCs w:val="16"/>
              </w:rPr>
              <w:t>93%</w:t>
            </w:r>
          </w:p>
        </w:tc>
        <w:tc>
          <w:tcPr>
            <w:tcW w:w="833" w:type="pct"/>
          </w:tcPr>
          <w:p w14:paraId="17552A35" w14:textId="1A894F87" w:rsidR="0019671E" w:rsidRPr="00210AC6" w:rsidRDefault="0019671E" w:rsidP="0019671E">
            <w:pPr>
              <w:rPr>
                <w:rFonts w:cs="Arial"/>
                <w:szCs w:val="16"/>
              </w:rPr>
            </w:pPr>
            <w:r w:rsidRPr="00210AC6">
              <w:rPr>
                <w:rFonts w:cs="Arial"/>
                <w:szCs w:val="16"/>
              </w:rPr>
              <w:t>1</w:t>
            </w:r>
          </w:p>
        </w:tc>
      </w:tr>
      <w:tr w:rsidR="0019671E" w:rsidRPr="00210AC6" w14:paraId="3328409B" w14:textId="77777777" w:rsidTr="00FB3F34">
        <w:tc>
          <w:tcPr>
            <w:tcW w:w="3333" w:type="pct"/>
          </w:tcPr>
          <w:p w14:paraId="0C7867BC" w14:textId="77777777" w:rsidR="0019671E" w:rsidRPr="00210AC6" w:rsidRDefault="0019671E" w:rsidP="0019671E">
            <w:pPr>
              <w:rPr>
                <w:rFonts w:cs="Arial"/>
                <w:b/>
                <w:bCs/>
                <w:szCs w:val="16"/>
              </w:rPr>
            </w:pPr>
            <w:r w:rsidRPr="00210AC6">
              <w:rPr>
                <w:rFonts w:cs="Arial"/>
                <w:b/>
                <w:bCs/>
                <w:szCs w:val="16"/>
              </w:rPr>
              <w:t>Percentage of 8th Grade Children with Disabilities Scoring at Basic or Above on the National Assessment of Educational Progress</w:t>
            </w:r>
          </w:p>
        </w:tc>
        <w:tc>
          <w:tcPr>
            <w:tcW w:w="834" w:type="pct"/>
          </w:tcPr>
          <w:p w14:paraId="02305172" w14:textId="6F908621" w:rsidR="0019671E" w:rsidRPr="00210AC6" w:rsidRDefault="0019671E" w:rsidP="0019671E">
            <w:pPr>
              <w:rPr>
                <w:rFonts w:cs="Arial"/>
                <w:szCs w:val="16"/>
              </w:rPr>
            </w:pPr>
            <w:r w:rsidRPr="00210AC6">
              <w:rPr>
                <w:rFonts w:cs="Arial"/>
                <w:szCs w:val="16"/>
              </w:rPr>
              <w:t>32%</w:t>
            </w:r>
          </w:p>
        </w:tc>
        <w:tc>
          <w:tcPr>
            <w:tcW w:w="833" w:type="pct"/>
          </w:tcPr>
          <w:p w14:paraId="12B13418" w14:textId="014DA8D1" w:rsidR="0019671E" w:rsidRPr="00210AC6" w:rsidRDefault="0019671E" w:rsidP="0019671E">
            <w:pPr>
              <w:rPr>
                <w:rFonts w:cs="Arial"/>
                <w:szCs w:val="16"/>
              </w:rPr>
            </w:pPr>
            <w:r w:rsidRPr="00210AC6">
              <w:rPr>
                <w:rFonts w:cs="Arial"/>
                <w:szCs w:val="16"/>
              </w:rPr>
              <w:t>2</w:t>
            </w:r>
          </w:p>
        </w:tc>
      </w:tr>
      <w:tr w:rsidR="0019671E" w:rsidRPr="00210AC6" w14:paraId="7EE431B9" w14:textId="77777777" w:rsidTr="00FB3F34">
        <w:tc>
          <w:tcPr>
            <w:tcW w:w="3333" w:type="pct"/>
          </w:tcPr>
          <w:p w14:paraId="2A435A85" w14:textId="77777777" w:rsidR="0019671E" w:rsidRPr="00210AC6" w:rsidRDefault="0019671E" w:rsidP="0019671E">
            <w:pPr>
              <w:rPr>
                <w:rFonts w:cs="Arial"/>
                <w:b/>
                <w:bCs/>
                <w:szCs w:val="16"/>
              </w:rPr>
            </w:pPr>
            <w:r w:rsidRPr="00210AC6">
              <w:rPr>
                <w:rFonts w:cs="Arial"/>
                <w:b/>
                <w:bCs/>
                <w:szCs w:val="16"/>
              </w:rPr>
              <w:t>Percentage of 8th Grade Children with Disabilities Included in Testing on the National Assessment of Educational Progress</w:t>
            </w:r>
          </w:p>
        </w:tc>
        <w:tc>
          <w:tcPr>
            <w:tcW w:w="834" w:type="pct"/>
          </w:tcPr>
          <w:p w14:paraId="74F45C7B" w14:textId="79EE0E57" w:rsidR="0019671E" w:rsidRPr="00210AC6" w:rsidRDefault="0019671E" w:rsidP="0019671E">
            <w:pPr>
              <w:rPr>
                <w:rFonts w:cs="Arial"/>
                <w:szCs w:val="16"/>
              </w:rPr>
            </w:pPr>
            <w:r w:rsidRPr="00210AC6">
              <w:rPr>
                <w:rFonts w:cs="Arial"/>
                <w:szCs w:val="16"/>
              </w:rPr>
              <w:t>90%</w:t>
            </w:r>
          </w:p>
        </w:tc>
        <w:tc>
          <w:tcPr>
            <w:tcW w:w="833" w:type="pct"/>
          </w:tcPr>
          <w:p w14:paraId="5D8CD56A" w14:textId="372C2AD5" w:rsidR="0019671E" w:rsidRPr="00210AC6" w:rsidRDefault="0019671E" w:rsidP="0019671E">
            <w:pPr>
              <w:rPr>
                <w:rFonts w:cs="Arial"/>
                <w:szCs w:val="16"/>
              </w:rPr>
            </w:pPr>
            <w:r w:rsidRPr="00210AC6">
              <w:rPr>
                <w:rFonts w:cs="Arial"/>
                <w:szCs w:val="16"/>
              </w:rPr>
              <w:t>1</w:t>
            </w:r>
          </w:p>
        </w:tc>
      </w:tr>
    </w:tbl>
    <w:p w14:paraId="26B2A12B" w14:textId="1CD408FC" w:rsidR="00570930" w:rsidRDefault="00570930">
      <w:pPr>
        <w:spacing w:before="0" w:after="200" w:line="276" w:lineRule="auto"/>
        <w:rPr>
          <w:rFonts w:cs="Arial"/>
          <w:b/>
          <w:bCs/>
          <w:szCs w:val="16"/>
        </w:rPr>
      </w:pPr>
      <w:r>
        <w:rPr>
          <w:rFonts w:cs="Arial"/>
          <w:b/>
          <w:bCs/>
          <w:szCs w:val="16"/>
        </w:rPr>
        <w:br w:type="page"/>
      </w:r>
    </w:p>
    <w:p w14:paraId="575750B6" w14:textId="01189256" w:rsidR="004613BA" w:rsidRDefault="00BE0EEF" w:rsidP="00BE0EEF">
      <w:pPr>
        <w:rPr>
          <w:rFonts w:cs="Arial"/>
          <w:b/>
          <w:bCs/>
          <w:szCs w:val="16"/>
        </w:rPr>
      </w:pPr>
      <w:r w:rsidRPr="00210AC6">
        <w:rPr>
          <w:rFonts w:cs="Arial"/>
          <w:b/>
          <w:bCs/>
          <w:szCs w:val="16"/>
        </w:rPr>
        <w:lastRenderedPageBreak/>
        <w:t>Exiting Data Elements</w:t>
      </w:r>
    </w:p>
    <w:tbl>
      <w:tblPr>
        <w:tblStyle w:val="TableGrid1"/>
        <w:tblW w:w="5000" w:type="pct"/>
        <w:tblLook w:val="04A0" w:firstRow="1" w:lastRow="0" w:firstColumn="1" w:lastColumn="0" w:noHBand="0" w:noVBand="1"/>
        <w:tblCaption w:val="BENNSRSTCFFYEXIT"/>
      </w:tblPr>
      <w:tblGrid>
        <w:gridCol w:w="4939"/>
        <w:gridCol w:w="2877"/>
        <w:gridCol w:w="2974"/>
      </w:tblGrid>
      <w:tr w:rsidR="0075626F" w14:paraId="7384A561" w14:textId="77777777">
        <w:trPr>
          <w:divId w:val="380713603"/>
          <w:tblHeader/>
        </w:trPr>
        <w:tc>
          <w:tcPr>
            <w:tcW w:w="2289" w:type="pct"/>
            <w:tcBorders>
              <w:top w:val="single" w:sz="4" w:space="0" w:color="auto"/>
              <w:left w:val="single" w:sz="4" w:space="0" w:color="auto"/>
              <w:bottom w:val="single" w:sz="4" w:space="0" w:color="auto"/>
              <w:right w:val="single" w:sz="4" w:space="0" w:color="auto"/>
            </w:tcBorders>
            <w:hideMark/>
          </w:tcPr>
          <w:p w14:paraId="7D74420D" w14:textId="77777777" w:rsidR="0075626F" w:rsidRDefault="0075626F" w:rsidP="0075626F">
            <w:pPr>
              <w:rPr>
                <w:rFonts w:cs="Arial"/>
                <w:b/>
                <w:bCs/>
                <w:szCs w:val="16"/>
              </w:rPr>
            </w:pPr>
            <w:r>
              <w:rPr>
                <w:rFonts w:cs="Arial"/>
                <w:b/>
                <w:bCs/>
                <w:szCs w:val="16"/>
              </w:rPr>
              <w:t>Exiting Data Elements</w:t>
            </w:r>
          </w:p>
        </w:tc>
        <w:tc>
          <w:tcPr>
            <w:tcW w:w="1333" w:type="pct"/>
            <w:tcBorders>
              <w:top w:val="single" w:sz="4" w:space="0" w:color="auto"/>
              <w:left w:val="single" w:sz="4" w:space="0" w:color="auto"/>
              <w:bottom w:val="single" w:sz="4" w:space="0" w:color="auto"/>
              <w:right w:val="single" w:sz="4" w:space="0" w:color="auto"/>
            </w:tcBorders>
            <w:hideMark/>
          </w:tcPr>
          <w:p w14:paraId="7016EA73" w14:textId="77777777" w:rsidR="0075626F" w:rsidRDefault="0075626F" w:rsidP="0075626F">
            <w:pPr>
              <w:rPr>
                <w:rFonts w:cs="Arial"/>
                <w:b/>
                <w:bCs/>
                <w:szCs w:val="16"/>
              </w:rPr>
            </w:pPr>
            <w:r>
              <w:rPr>
                <w:rFonts w:cs="Arial"/>
                <w:b/>
                <w:bCs/>
                <w:szCs w:val="16"/>
              </w:rPr>
              <w:t>Performance (%)</w:t>
            </w:r>
          </w:p>
        </w:tc>
        <w:tc>
          <w:tcPr>
            <w:tcW w:w="1378" w:type="pct"/>
            <w:tcBorders>
              <w:top w:val="single" w:sz="4" w:space="0" w:color="auto"/>
              <w:left w:val="single" w:sz="4" w:space="0" w:color="auto"/>
              <w:bottom w:val="single" w:sz="4" w:space="0" w:color="auto"/>
              <w:right w:val="single" w:sz="4" w:space="0" w:color="auto"/>
            </w:tcBorders>
            <w:hideMark/>
          </w:tcPr>
          <w:p w14:paraId="3A2D3630" w14:textId="77777777" w:rsidR="0075626F" w:rsidRDefault="0075626F" w:rsidP="0075626F">
            <w:pPr>
              <w:rPr>
                <w:rFonts w:cs="Arial"/>
                <w:b/>
                <w:bCs/>
                <w:szCs w:val="16"/>
              </w:rPr>
            </w:pPr>
            <w:r>
              <w:rPr>
                <w:rFonts w:cs="Arial"/>
                <w:b/>
                <w:bCs/>
                <w:szCs w:val="16"/>
              </w:rPr>
              <w:t>Score</w:t>
            </w:r>
          </w:p>
        </w:tc>
      </w:tr>
      <w:tr w:rsidR="0075626F" w14:paraId="47FF2742"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42C96131" w14:textId="77777777" w:rsidR="0075626F" w:rsidRDefault="0075626F" w:rsidP="0075626F">
            <w:pPr>
              <w:rPr>
                <w:rFonts w:cs="Arial"/>
                <w:b/>
                <w:bCs/>
                <w:szCs w:val="16"/>
              </w:rPr>
            </w:pPr>
            <w:r>
              <w:rPr>
                <w:rFonts w:cs="Arial"/>
                <w:b/>
                <w:bCs/>
                <w:szCs w:val="16"/>
              </w:rPr>
              <w:t>Percentage of Children with Disabilities who Dropped Out</w:t>
            </w:r>
          </w:p>
        </w:tc>
        <w:tc>
          <w:tcPr>
            <w:tcW w:w="1333" w:type="pct"/>
            <w:tcBorders>
              <w:top w:val="single" w:sz="4" w:space="0" w:color="auto"/>
              <w:left w:val="single" w:sz="4" w:space="0" w:color="auto"/>
              <w:bottom w:val="single" w:sz="4" w:space="0" w:color="auto"/>
              <w:right w:val="single" w:sz="4" w:space="0" w:color="auto"/>
            </w:tcBorders>
            <w:hideMark/>
          </w:tcPr>
          <w:p w14:paraId="42A25E75" w14:textId="77777777" w:rsidR="0075626F" w:rsidRDefault="0075626F" w:rsidP="0075626F">
            <w:pPr>
              <w:rPr>
                <w:rFonts w:cs="Arial"/>
                <w:szCs w:val="16"/>
              </w:rPr>
            </w:pPr>
            <w:r>
              <w:rPr>
                <w:rFonts w:cs="Arial"/>
                <w:szCs w:val="16"/>
              </w:rPr>
              <w:t>33</w:t>
            </w:r>
          </w:p>
        </w:tc>
        <w:tc>
          <w:tcPr>
            <w:tcW w:w="1378" w:type="pct"/>
            <w:tcBorders>
              <w:top w:val="single" w:sz="4" w:space="0" w:color="auto"/>
              <w:left w:val="single" w:sz="4" w:space="0" w:color="auto"/>
              <w:bottom w:val="single" w:sz="4" w:space="0" w:color="auto"/>
              <w:right w:val="single" w:sz="4" w:space="0" w:color="auto"/>
            </w:tcBorders>
            <w:hideMark/>
          </w:tcPr>
          <w:p w14:paraId="6A0E772F" w14:textId="77777777" w:rsidR="0075626F" w:rsidRDefault="0075626F" w:rsidP="0075626F">
            <w:pPr>
              <w:rPr>
                <w:rFonts w:cs="Arial"/>
                <w:szCs w:val="16"/>
              </w:rPr>
            </w:pPr>
            <w:r>
              <w:rPr>
                <w:rFonts w:cs="Arial"/>
                <w:szCs w:val="16"/>
              </w:rPr>
              <w:t>0</w:t>
            </w:r>
          </w:p>
        </w:tc>
      </w:tr>
      <w:tr w:rsidR="0075626F" w14:paraId="7946F4E5" w14:textId="77777777">
        <w:trPr>
          <w:divId w:val="380713603"/>
        </w:trPr>
        <w:tc>
          <w:tcPr>
            <w:tcW w:w="2289" w:type="pct"/>
            <w:tcBorders>
              <w:top w:val="single" w:sz="4" w:space="0" w:color="auto"/>
              <w:left w:val="single" w:sz="4" w:space="0" w:color="auto"/>
              <w:bottom w:val="single" w:sz="4" w:space="0" w:color="auto"/>
              <w:right w:val="single" w:sz="4" w:space="0" w:color="auto"/>
            </w:tcBorders>
            <w:hideMark/>
          </w:tcPr>
          <w:p w14:paraId="2291D902" w14:textId="2BEE28A5" w:rsidR="0075626F" w:rsidRDefault="0075626F" w:rsidP="0075626F">
            <w:pPr>
              <w:rPr>
                <w:rFonts w:cs="Arial"/>
                <w:b/>
                <w:bCs/>
                <w:szCs w:val="16"/>
              </w:rPr>
            </w:pPr>
            <w:r>
              <w:rPr>
                <w:rFonts w:cs="Arial"/>
                <w:b/>
                <w:bCs/>
                <w:szCs w:val="16"/>
              </w:rPr>
              <w:t>Percentage of Children with Disabilities who Graduated with a Regular High School Diploma**</w:t>
            </w:r>
          </w:p>
        </w:tc>
        <w:tc>
          <w:tcPr>
            <w:tcW w:w="1333" w:type="pct"/>
            <w:tcBorders>
              <w:top w:val="single" w:sz="4" w:space="0" w:color="auto"/>
              <w:left w:val="single" w:sz="4" w:space="0" w:color="auto"/>
              <w:bottom w:val="single" w:sz="4" w:space="0" w:color="auto"/>
              <w:right w:val="single" w:sz="4" w:space="0" w:color="auto"/>
            </w:tcBorders>
            <w:hideMark/>
          </w:tcPr>
          <w:p w14:paraId="503EE6E2" w14:textId="77777777" w:rsidR="0075626F" w:rsidRDefault="0075626F" w:rsidP="0075626F">
            <w:pPr>
              <w:rPr>
                <w:rFonts w:cs="Arial"/>
                <w:szCs w:val="16"/>
              </w:rPr>
            </w:pPr>
            <w:r>
              <w:rPr>
                <w:rFonts w:cs="Arial"/>
                <w:szCs w:val="16"/>
              </w:rPr>
              <w:t>56</w:t>
            </w:r>
          </w:p>
        </w:tc>
        <w:tc>
          <w:tcPr>
            <w:tcW w:w="1378" w:type="pct"/>
            <w:tcBorders>
              <w:top w:val="single" w:sz="4" w:space="0" w:color="auto"/>
              <w:left w:val="single" w:sz="4" w:space="0" w:color="auto"/>
              <w:bottom w:val="single" w:sz="4" w:space="0" w:color="auto"/>
              <w:right w:val="single" w:sz="4" w:space="0" w:color="auto"/>
            </w:tcBorders>
            <w:hideMark/>
          </w:tcPr>
          <w:p w14:paraId="182C5F0B" w14:textId="77777777" w:rsidR="0075626F" w:rsidRDefault="0075626F" w:rsidP="0075626F">
            <w:pPr>
              <w:rPr>
                <w:rFonts w:cs="Arial"/>
                <w:szCs w:val="16"/>
              </w:rPr>
            </w:pPr>
            <w:r>
              <w:rPr>
                <w:rFonts w:cs="Arial"/>
                <w:szCs w:val="16"/>
              </w:rPr>
              <w:t>0</w:t>
            </w:r>
          </w:p>
        </w:tc>
      </w:tr>
    </w:tbl>
    <w:p w14:paraId="0C2E315C" w14:textId="00ACC19C" w:rsidR="00D12506" w:rsidRDefault="00C56EE8" w:rsidP="00BE0EEF">
      <w:pPr>
        <w:rPr>
          <w:rFonts w:cstheme="minorHAnsi"/>
          <w:szCs w:val="16"/>
        </w:rPr>
      </w:pPr>
      <w:r>
        <w:rPr>
          <w:rFonts w:cstheme="minorHAnsi"/>
          <w:szCs w:val="16"/>
        </w:rPr>
        <w:t xml:space="preserve">**When providing exiting data under section 618 of the IDEA, States </w:t>
      </w:r>
      <w:proofErr w:type="gramStart"/>
      <w:r>
        <w:rPr>
          <w:rFonts w:cstheme="minorHAnsi"/>
          <w:szCs w:val="16"/>
        </w:rPr>
        <w:t>are required</w:t>
      </w:r>
      <w:proofErr w:type="gramEnd"/>
      <w:r>
        <w:rPr>
          <w:rFonts w:cstheme="minorHAnsi"/>
          <w:szCs w:val="16"/>
        </w:rPr>
        <w:t xml:space="preserve"> to report on the number of students with disabilities who exited an educational program through receipt of a regular high school diploma. These students meet the same standards for graduation as those for students without disabilities. As explained in 34 C.F.R. § 300.102(a)(3)(iv), in effect June 30, 2017, “the term regular high school diploma means the standard high school diploma awarded to the preponderance of students in the State that is fully aligned with State standards, or a higher diploma, except that a regular high school diploma shall not be aligned to the alternate academic achievement standards described in section 1111(b)(1)(E) of the ESEA. A regular high school diploma does not include a recognized equivalent of a diploma, such as a general equivalency diploma, certificate of completion, certificate of attendance, or similar lesser credential.”</w:t>
      </w:r>
    </w:p>
    <w:p w14:paraId="0F9F6077" w14:textId="77777777" w:rsidR="00D12506" w:rsidRDefault="00D12506" w:rsidP="00BE0EEF">
      <w:pPr>
        <w:rPr>
          <w:rFonts w:cs="Arial"/>
          <w:b/>
          <w:bCs/>
          <w:szCs w:val="16"/>
        </w:rPr>
      </w:pPr>
    </w:p>
    <w:p w14:paraId="472B8AF6" w14:textId="67D424CA" w:rsidR="00BE0EEF" w:rsidRPr="00210AC6" w:rsidRDefault="00D12506" w:rsidP="00D12506">
      <w:pPr>
        <w:spacing w:before="0" w:after="200" w:line="276" w:lineRule="auto"/>
        <w:rPr>
          <w:rFonts w:cs="Arial"/>
          <w:b/>
          <w:bCs/>
          <w:szCs w:val="16"/>
        </w:rPr>
      </w:pPr>
      <w:r>
        <w:rPr>
          <w:rFonts w:cs="Arial"/>
          <w:b/>
          <w:bCs/>
          <w:szCs w:val="16"/>
        </w:rPr>
        <w:br w:type="page"/>
      </w:r>
      <w:r w:rsidR="00BE0EEF" w:rsidRPr="00210AC6">
        <w:rPr>
          <w:rFonts w:cs="Arial"/>
          <w:b/>
          <w:bCs/>
          <w:szCs w:val="16"/>
        </w:rPr>
        <w:lastRenderedPageBreak/>
        <w:t>2023 Part B Compliance Matrix</w:t>
      </w:r>
    </w:p>
    <w:tbl>
      <w:tblPr>
        <w:tblStyle w:val="TableGrid1"/>
        <w:tblW w:w="5004" w:type="pct"/>
        <w:tblLayout w:type="fixed"/>
        <w:tblLook w:val="04A0" w:firstRow="1" w:lastRow="0" w:firstColumn="1" w:lastColumn="0" w:noHBand="0" w:noVBand="1"/>
        <w:tblCaption w:val="BENNSRSTCFFYCMP"/>
      </w:tblPr>
      <w:tblGrid>
        <w:gridCol w:w="5408"/>
        <w:gridCol w:w="1797"/>
        <w:gridCol w:w="1797"/>
        <w:gridCol w:w="1797"/>
      </w:tblGrid>
      <w:tr w:rsidR="00BE0EEF" w:rsidRPr="00210AC6" w14:paraId="5D2BF1AF" w14:textId="77777777" w:rsidTr="00C74568">
        <w:trPr>
          <w:tblHeader/>
        </w:trPr>
        <w:tc>
          <w:tcPr>
            <w:tcW w:w="2504" w:type="pct"/>
          </w:tcPr>
          <w:p w14:paraId="6C7ED070" w14:textId="77777777" w:rsidR="00BE0EEF" w:rsidRPr="00210AC6" w:rsidRDefault="00BE0EEF" w:rsidP="002C333C">
            <w:pPr>
              <w:rPr>
                <w:rFonts w:cs="Arial"/>
                <w:b/>
                <w:bCs/>
                <w:szCs w:val="16"/>
              </w:rPr>
            </w:pPr>
            <w:r w:rsidRPr="00210AC6">
              <w:rPr>
                <w:rFonts w:cs="Arial"/>
                <w:b/>
                <w:bCs/>
                <w:szCs w:val="16"/>
              </w:rPr>
              <w:t>Part B Compliance Indicator</w:t>
            </w:r>
            <w:r w:rsidRPr="00210AC6">
              <w:rPr>
                <w:rStyle w:val="FootnoteReference"/>
                <w:rFonts w:cs="Arial"/>
                <w:b/>
                <w:bCs/>
                <w:szCs w:val="16"/>
              </w:rPr>
              <w:footnoteReference w:id="5"/>
            </w:r>
          </w:p>
        </w:tc>
        <w:tc>
          <w:tcPr>
            <w:tcW w:w="832" w:type="pct"/>
          </w:tcPr>
          <w:p w14:paraId="580F470E" w14:textId="77777777" w:rsidR="00BE0EEF" w:rsidRPr="00210AC6" w:rsidRDefault="00BE0EEF" w:rsidP="002C333C">
            <w:pPr>
              <w:rPr>
                <w:rFonts w:cs="Arial"/>
                <w:b/>
                <w:bCs/>
                <w:szCs w:val="16"/>
              </w:rPr>
            </w:pPr>
            <w:r w:rsidRPr="00210AC6">
              <w:rPr>
                <w:rFonts w:cs="Arial"/>
                <w:b/>
                <w:bCs/>
                <w:szCs w:val="16"/>
              </w:rPr>
              <w:t xml:space="preserve">Performance (%) </w:t>
            </w:r>
          </w:p>
        </w:tc>
        <w:tc>
          <w:tcPr>
            <w:tcW w:w="832" w:type="pct"/>
          </w:tcPr>
          <w:p w14:paraId="5D25D35A" w14:textId="77777777" w:rsidR="00BE0EEF" w:rsidRPr="00210AC6" w:rsidRDefault="00BE0EEF" w:rsidP="002C333C">
            <w:pPr>
              <w:rPr>
                <w:rFonts w:cs="Arial"/>
                <w:b/>
                <w:bCs/>
                <w:szCs w:val="16"/>
              </w:rPr>
            </w:pPr>
            <w:r w:rsidRPr="00210AC6">
              <w:rPr>
                <w:rFonts w:cs="Arial"/>
                <w:b/>
                <w:bCs/>
                <w:szCs w:val="16"/>
              </w:rPr>
              <w:t>Full Correction of Findings of Noncompliance Identified in FFY 2020</w:t>
            </w:r>
          </w:p>
        </w:tc>
        <w:tc>
          <w:tcPr>
            <w:tcW w:w="832" w:type="pct"/>
          </w:tcPr>
          <w:p w14:paraId="0F2A19C9" w14:textId="77777777" w:rsidR="00BE0EEF" w:rsidRPr="00210AC6" w:rsidRDefault="00BE0EEF" w:rsidP="002C333C">
            <w:pPr>
              <w:rPr>
                <w:rFonts w:cs="Arial"/>
                <w:b/>
                <w:bCs/>
                <w:szCs w:val="16"/>
              </w:rPr>
            </w:pPr>
            <w:r w:rsidRPr="00210AC6">
              <w:rPr>
                <w:rFonts w:cs="Arial"/>
                <w:b/>
                <w:bCs/>
                <w:szCs w:val="16"/>
              </w:rPr>
              <w:t>Score</w:t>
            </w:r>
          </w:p>
        </w:tc>
      </w:tr>
      <w:tr w:rsidR="00AA1152" w:rsidRPr="00210AC6" w14:paraId="58EE7EBF" w14:textId="77777777" w:rsidTr="00FB3F34">
        <w:tc>
          <w:tcPr>
            <w:tcW w:w="2504" w:type="pct"/>
          </w:tcPr>
          <w:p w14:paraId="79E3B338" w14:textId="77777777" w:rsidR="00AA1152" w:rsidRPr="00210AC6" w:rsidRDefault="00AA1152" w:rsidP="00AA1152">
            <w:pPr>
              <w:rPr>
                <w:rFonts w:cs="Arial"/>
                <w:b/>
                <w:bCs/>
                <w:szCs w:val="16"/>
              </w:rPr>
            </w:pPr>
            <w:r w:rsidRPr="00210AC6">
              <w:rPr>
                <w:rFonts w:cs="Arial"/>
                <w:b/>
                <w:bCs/>
                <w:szCs w:val="16"/>
              </w:rPr>
              <w:t>Indicator 4B: Significant discrepancy, by race and ethnicity, in the rate of suspension and expulsion, and policies, procedures or practices that contribute to the significant discrepancy and do not comply with specified requirements.</w:t>
            </w:r>
          </w:p>
        </w:tc>
        <w:tc>
          <w:tcPr>
            <w:tcW w:w="832" w:type="pct"/>
          </w:tcPr>
          <w:p w14:paraId="2F5F53B8" w14:textId="72EE73B0" w:rsidR="00AA1152" w:rsidRPr="00210AC6" w:rsidRDefault="00AA1152" w:rsidP="00AA1152">
            <w:pPr>
              <w:rPr>
                <w:rFonts w:cs="Arial"/>
                <w:szCs w:val="16"/>
              </w:rPr>
            </w:pPr>
            <w:r w:rsidRPr="00210AC6">
              <w:rPr>
                <w:rFonts w:cs="Arial"/>
                <w:szCs w:val="16"/>
              </w:rPr>
              <w:t>0.00%</w:t>
            </w:r>
          </w:p>
        </w:tc>
        <w:tc>
          <w:tcPr>
            <w:tcW w:w="832" w:type="pct"/>
          </w:tcPr>
          <w:p w14:paraId="771B94BB" w14:textId="4E9D5A8F" w:rsidR="00AA1152" w:rsidRPr="00210AC6" w:rsidRDefault="00AA1152" w:rsidP="00AA1152">
            <w:pPr>
              <w:rPr>
                <w:rFonts w:cs="Arial"/>
                <w:szCs w:val="16"/>
              </w:rPr>
            </w:pPr>
            <w:r w:rsidRPr="00210AC6">
              <w:rPr>
                <w:rFonts w:cs="Arial"/>
                <w:szCs w:val="16"/>
              </w:rPr>
              <w:t>N/A</w:t>
            </w:r>
          </w:p>
        </w:tc>
        <w:tc>
          <w:tcPr>
            <w:tcW w:w="832" w:type="pct"/>
          </w:tcPr>
          <w:p w14:paraId="7825B06F" w14:textId="05A81092" w:rsidR="00AA1152" w:rsidRPr="00210AC6" w:rsidRDefault="00AA1152" w:rsidP="00AA1152">
            <w:pPr>
              <w:rPr>
                <w:rFonts w:cs="Arial"/>
                <w:szCs w:val="16"/>
              </w:rPr>
            </w:pPr>
            <w:r w:rsidRPr="00210AC6">
              <w:rPr>
                <w:rFonts w:cs="Arial"/>
                <w:szCs w:val="16"/>
              </w:rPr>
              <w:t>2</w:t>
            </w:r>
          </w:p>
        </w:tc>
      </w:tr>
      <w:tr w:rsidR="00AA1152" w:rsidRPr="00210AC6" w14:paraId="21C2980E" w14:textId="77777777" w:rsidTr="00FB3F34">
        <w:tc>
          <w:tcPr>
            <w:tcW w:w="2504" w:type="pct"/>
          </w:tcPr>
          <w:p w14:paraId="508138EE" w14:textId="77777777" w:rsidR="00AA1152" w:rsidRPr="00210AC6" w:rsidRDefault="00AA1152" w:rsidP="00AA1152">
            <w:pPr>
              <w:rPr>
                <w:rFonts w:cs="Arial"/>
                <w:b/>
                <w:bCs/>
                <w:szCs w:val="16"/>
              </w:rPr>
            </w:pPr>
            <w:r w:rsidRPr="00210AC6">
              <w:rPr>
                <w:rFonts w:cs="Arial"/>
                <w:b/>
                <w:bCs/>
                <w:szCs w:val="16"/>
              </w:rPr>
              <w:t>Indicator 9: Disproportionate representation of racial and ethnic groups in special education and related services due to inappropriate identification.</w:t>
            </w:r>
          </w:p>
        </w:tc>
        <w:tc>
          <w:tcPr>
            <w:tcW w:w="832" w:type="pct"/>
          </w:tcPr>
          <w:p w14:paraId="0871F09C" w14:textId="625E28D3" w:rsidR="00AA1152" w:rsidRPr="00210AC6" w:rsidRDefault="00AA1152" w:rsidP="00AA1152">
            <w:pPr>
              <w:rPr>
                <w:rFonts w:cs="Arial"/>
                <w:szCs w:val="16"/>
              </w:rPr>
            </w:pPr>
            <w:r w:rsidRPr="00210AC6">
              <w:rPr>
                <w:rFonts w:cs="Arial"/>
                <w:szCs w:val="16"/>
              </w:rPr>
              <w:t>0.00%</w:t>
            </w:r>
          </w:p>
        </w:tc>
        <w:tc>
          <w:tcPr>
            <w:tcW w:w="832" w:type="pct"/>
          </w:tcPr>
          <w:p w14:paraId="1628449A" w14:textId="0D758D3E" w:rsidR="00AA1152" w:rsidRPr="00210AC6" w:rsidRDefault="00AA1152" w:rsidP="00AA1152">
            <w:pPr>
              <w:rPr>
                <w:rFonts w:cs="Arial"/>
                <w:szCs w:val="16"/>
              </w:rPr>
            </w:pPr>
            <w:r w:rsidRPr="00210AC6">
              <w:rPr>
                <w:rFonts w:cs="Arial"/>
                <w:szCs w:val="16"/>
              </w:rPr>
              <w:t>N/A</w:t>
            </w:r>
          </w:p>
        </w:tc>
        <w:tc>
          <w:tcPr>
            <w:tcW w:w="832" w:type="pct"/>
          </w:tcPr>
          <w:p w14:paraId="21DC76B4" w14:textId="71B82A2F" w:rsidR="00AA1152" w:rsidRPr="00210AC6" w:rsidRDefault="00AA1152" w:rsidP="00AA1152">
            <w:pPr>
              <w:rPr>
                <w:rFonts w:cs="Arial"/>
                <w:szCs w:val="16"/>
              </w:rPr>
            </w:pPr>
            <w:r w:rsidRPr="00210AC6">
              <w:rPr>
                <w:rFonts w:cs="Arial"/>
                <w:szCs w:val="16"/>
              </w:rPr>
              <w:t>2</w:t>
            </w:r>
          </w:p>
        </w:tc>
      </w:tr>
      <w:tr w:rsidR="00AA1152" w:rsidRPr="00210AC6" w14:paraId="03A38C11" w14:textId="77777777" w:rsidTr="00FB3F34">
        <w:tc>
          <w:tcPr>
            <w:tcW w:w="2504" w:type="pct"/>
          </w:tcPr>
          <w:p w14:paraId="4150218F" w14:textId="77777777" w:rsidR="00AA1152" w:rsidRPr="00210AC6" w:rsidRDefault="00AA1152" w:rsidP="00AA1152">
            <w:pPr>
              <w:rPr>
                <w:rFonts w:cs="Arial"/>
                <w:b/>
                <w:bCs/>
                <w:szCs w:val="16"/>
              </w:rPr>
            </w:pPr>
            <w:r w:rsidRPr="00210AC6">
              <w:rPr>
                <w:rFonts w:cs="Arial"/>
                <w:b/>
                <w:bCs/>
                <w:szCs w:val="16"/>
              </w:rPr>
              <w:t>Indicator 10: Disproportionate representation of racial and ethnic groups in specific disability categories due to inappropriate identification.</w:t>
            </w:r>
          </w:p>
        </w:tc>
        <w:tc>
          <w:tcPr>
            <w:tcW w:w="832" w:type="pct"/>
          </w:tcPr>
          <w:p w14:paraId="3A2447F0" w14:textId="2F7DA60E" w:rsidR="00AA1152" w:rsidRPr="00210AC6" w:rsidRDefault="00AA1152" w:rsidP="00AA1152">
            <w:pPr>
              <w:rPr>
                <w:rFonts w:cs="Arial"/>
                <w:szCs w:val="16"/>
              </w:rPr>
            </w:pPr>
            <w:r w:rsidRPr="00210AC6">
              <w:rPr>
                <w:rFonts w:cs="Arial"/>
                <w:szCs w:val="16"/>
              </w:rPr>
              <w:t>0.00%</w:t>
            </w:r>
          </w:p>
        </w:tc>
        <w:tc>
          <w:tcPr>
            <w:tcW w:w="832" w:type="pct"/>
          </w:tcPr>
          <w:p w14:paraId="1CE885A0" w14:textId="000A00A6" w:rsidR="00AA1152" w:rsidRPr="00210AC6" w:rsidRDefault="00AA1152" w:rsidP="00AA1152">
            <w:pPr>
              <w:rPr>
                <w:rFonts w:cs="Arial"/>
                <w:szCs w:val="16"/>
              </w:rPr>
            </w:pPr>
            <w:r w:rsidRPr="00210AC6">
              <w:rPr>
                <w:rFonts w:cs="Arial"/>
                <w:szCs w:val="16"/>
              </w:rPr>
              <w:t>N/A</w:t>
            </w:r>
          </w:p>
        </w:tc>
        <w:tc>
          <w:tcPr>
            <w:tcW w:w="832" w:type="pct"/>
          </w:tcPr>
          <w:p w14:paraId="1F5B10E3" w14:textId="1AC79BCD" w:rsidR="00AA1152" w:rsidRPr="00210AC6" w:rsidRDefault="00AA1152" w:rsidP="00AA1152">
            <w:pPr>
              <w:rPr>
                <w:rFonts w:cs="Arial"/>
                <w:szCs w:val="16"/>
              </w:rPr>
            </w:pPr>
            <w:r w:rsidRPr="00210AC6">
              <w:rPr>
                <w:rFonts w:cs="Arial"/>
                <w:szCs w:val="16"/>
              </w:rPr>
              <w:t>2</w:t>
            </w:r>
          </w:p>
        </w:tc>
      </w:tr>
      <w:tr w:rsidR="00AA1152" w:rsidRPr="00210AC6" w14:paraId="785C2AF8" w14:textId="77777777" w:rsidTr="00FB3F34">
        <w:tc>
          <w:tcPr>
            <w:tcW w:w="2504" w:type="pct"/>
          </w:tcPr>
          <w:p w14:paraId="3441131C" w14:textId="77777777" w:rsidR="00AA1152" w:rsidRPr="00210AC6" w:rsidRDefault="00AA1152" w:rsidP="00AA1152">
            <w:pPr>
              <w:rPr>
                <w:rFonts w:cs="Arial"/>
                <w:b/>
                <w:bCs/>
                <w:szCs w:val="16"/>
              </w:rPr>
            </w:pPr>
            <w:r w:rsidRPr="00210AC6">
              <w:rPr>
                <w:rFonts w:cs="Arial"/>
                <w:b/>
                <w:bCs/>
                <w:szCs w:val="16"/>
              </w:rPr>
              <w:t>Indicator 11: Timely initial evaluation</w:t>
            </w:r>
          </w:p>
        </w:tc>
        <w:tc>
          <w:tcPr>
            <w:tcW w:w="832" w:type="pct"/>
          </w:tcPr>
          <w:p w14:paraId="3F86F615" w14:textId="0AA0A53C" w:rsidR="00AA1152" w:rsidRPr="00210AC6" w:rsidRDefault="00AA1152" w:rsidP="00AA1152">
            <w:pPr>
              <w:rPr>
                <w:rFonts w:cs="Arial"/>
                <w:szCs w:val="16"/>
              </w:rPr>
            </w:pPr>
            <w:r w:rsidRPr="00210AC6">
              <w:rPr>
                <w:rFonts w:cs="Arial"/>
                <w:szCs w:val="16"/>
              </w:rPr>
              <w:t>97.45%</w:t>
            </w:r>
          </w:p>
        </w:tc>
        <w:tc>
          <w:tcPr>
            <w:tcW w:w="832" w:type="pct"/>
          </w:tcPr>
          <w:p w14:paraId="379B6676" w14:textId="76488CD7" w:rsidR="00AA1152" w:rsidRPr="00210AC6" w:rsidRDefault="00AA1152" w:rsidP="00AA1152">
            <w:pPr>
              <w:rPr>
                <w:rFonts w:cs="Arial"/>
                <w:szCs w:val="16"/>
              </w:rPr>
            </w:pPr>
            <w:r w:rsidRPr="00210AC6">
              <w:rPr>
                <w:rFonts w:cs="Arial"/>
                <w:szCs w:val="16"/>
              </w:rPr>
              <w:t>YES</w:t>
            </w:r>
          </w:p>
        </w:tc>
        <w:tc>
          <w:tcPr>
            <w:tcW w:w="832" w:type="pct"/>
          </w:tcPr>
          <w:p w14:paraId="5FB686BF" w14:textId="58500CD0" w:rsidR="00AA1152" w:rsidRPr="00210AC6" w:rsidRDefault="00AA1152" w:rsidP="00AA1152">
            <w:pPr>
              <w:rPr>
                <w:rFonts w:cs="Arial"/>
                <w:szCs w:val="16"/>
              </w:rPr>
            </w:pPr>
            <w:r w:rsidRPr="00210AC6">
              <w:rPr>
                <w:rFonts w:cs="Arial"/>
                <w:szCs w:val="16"/>
              </w:rPr>
              <w:t>2</w:t>
            </w:r>
          </w:p>
        </w:tc>
      </w:tr>
      <w:tr w:rsidR="00AA1152" w:rsidRPr="00210AC6" w14:paraId="02526753" w14:textId="77777777" w:rsidTr="00FB3F34">
        <w:tc>
          <w:tcPr>
            <w:tcW w:w="2504" w:type="pct"/>
          </w:tcPr>
          <w:p w14:paraId="02E96748" w14:textId="77777777" w:rsidR="00AA1152" w:rsidRPr="00210AC6" w:rsidRDefault="00AA1152" w:rsidP="00AA1152">
            <w:pPr>
              <w:rPr>
                <w:rFonts w:cs="Arial"/>
                <w:b/>
                <w:bCs/>
                <w:szCs w:val="16"/>
              </w:rPr>
            </w:pPr>
            <w:r w:rsidRPr="00210AC6">
              <w:rPr>
                <w:rFonts w:cs="Arial"/>
                <w:b/>
                <w:bCs/>
                <w:szCs w:val="16"/>
              </w:rPr>
              <w:t>Indicator 12: IEP developed and implemented by third birthday</w:t>
            </w:r>
          </w:p>
        </w:tc>
        <w:tc>
          <w:tcPr>
            <w:tcW w:w="832" w:type="pct"/>
          </w:tcPr>
          <w:p w14:paraId="4F2BD9F2" w14:textId="398FC4CF" w:rsidR="00AA1152" w:rsidRPr="00210AC6" w:rsidRDefault="00AA1152" w:rsidP="00AA1152">
            <w:pPr>
              <w:rPr>
                <w:rFonts w:cs="Arial"/>
                <w:szCs w:val="16"/>
              </w:rPr>
            </w:pPr>
            <w:r w:rsidRPr="00210AC6">
              <w:rPr>
                <w:rFonts w:cs="Arial"/>
                <w:szCs w:val="16"/>
              </w:rPr>
              <w:t>88.54%</w:t>
            </w:r>
          </w:p>
        </w:tc>
        <w:tc>
          <w:tcPr>
            <w:tcW w:w="832" w:type="pct"/>
          </w:tcPr>
          <w:p w14:paraId="6054F9DF" w14:textId="6A2554B4" w:rsidR="00AA1152" w:rsidRPr="00210AC6" w:rsidRDefault="00AA1152" w:rsidP="00AA1152">
            <w:pPr>
              <w:rPr>
                <w:rFonts w:cs="Arial"/>
                <w:szCs w:val="16"/>
              </w:rPr>
            </w:pPr>
            <w:r w:rsidRPr="00210AC6">
              <w:rPr>
                <w:rFonts w:cs="Arial"/>
                <w:szCs w:val="16"/>
              </w:rPr>
              <w:t>YES</w:t>
            </w:r>
          </w:p>
        </w:tc>
        <w:tc>
          <w:tcPr>
            <w:tcW w:w="832" w:type="pct"/>
          </w:tcPr>
          <w:p w14:paraId="3702D281" w14:textId="352F6EC2" w:rsidR="00AA1152" w:rsidRPr="00210AC6" w:rsidRDefault="00AA1152" w:rsidP="00AA1152">
            <w:pPr>
              <w:rPr>
                <w:rFonts w:cs="Arial"/>
                <w:szCs w:val="16"/>
              </w:rPr>
            </w:pPr>
            <w:r w:rsidRPr="00210AC6">
              <w:rPr>
                <w:rFonts w:cs="Arial"/>
                <w:szCs w:val="16"/>
              </w:rPr>
              <w:t>1</w:t>
            </w:r>
          </w:p>
        </w:tc>
      </w:tr>
      <w:tr w:rsidR="00AA1152" w:rsidRPr="00210AC6" w14:paraId="74763DC8" w14:textId="77777777" w:rsidTr="00FB3F34">
        <w:tc>
          <w:tcPr>
            <w:tcW w:w="2504" w:type="pct"/>
          </w:tcPr>
          <w:p w14:paraId="2E528111" w14:textId="77777777" w:rsidR="00AA1152" w:rsidRPr="00210AC6" w:rsidRDefault="00AA1152" w:rsidP="00AA1152">
            <w:pPr>
              <w:rPr>
                <w:rFonts w:cs="Arial"/>
                <w:b/>
                <w:bCs/>
                <w:szCs w:val="16"/>
              </w:rPr>
            </w:pPr>
            <w:r w:rsidRPr="00210AC6">
              <w:rPr>
                <w:rFonts w:cs="Arial"/>
                <w:b/>
                <w:bCs/>
                <w:szCs w:val="16"/>
              </w:rPr>
              <w:t>Indicator 13: Secondary transition</w:t>
            </w:r>
          </w:p>
        </w:tc>
        <w:tc>
          <w:tcPr>
            <w:tcW w:w="832" w:type="pct"/>
          </w:tcPr>
          <w:p w14:paraId="2E2E3F92" w14:textId="0CE14D00" w:rsidR="00AA1152" w:rsidRPr="00210AC6" w:rsidRDefault="00AA1152" w:rsidP="00AA1152">
            <w:pPr>
              <w:rPr>
                <w:rFonts w:cs="Arial"/>
                <w:szCs w:val="16"/>
              </w:rPr>
            </w:pPr>
            <w:r w:rsidRPr="00210AC6">
              <w:rPr>
                <w:rFonts w:cs="Arial"/>
                <w:szCs w:val="16"/>
              </w:rPr>
              <w:t>95.17%</w:t>
            </w:r>
          </w:p>
        </w:tc>
        <w:tc>
          <w:tcPr>
            <w:tcW w:w="832" w:type="pct"/>
          </w:tcPr>
          <w:p w14:paraId="3F499F14" w14:textId="09C97ADF" w:rsidR="00AA1152" w:rsidRPr="00210AC6" w:rsidRDefault="00AA1152" w:rsidP="00AA1152">
            <w:pPr>
              <w:rPr>
                <w:rFonts w:cs="Arial"/>
                <w:szCs w:val="16"/>
              </w:rPr>
            </w:pPr>
            <w:r w:rsidRPr="00210AC6">
              <w:rPr>
                <w:rFonts w:cs="Arial"/>
                <w:szCs w:val="16"/>
              </w:rPr>
              <w:t>YES</w:t>
            </w:r>
          </w:p>
        </w:tc>
        <w:tc>
          <w:tcPr>
            <w:tcW w:w="832" w:type="pct"/>
          </w:tcPr>
          <w:p w14:paraId="06689058" w14:textId="117B6780" w:rsidR="00AA1152" w:rsidRPr="00210AC6" w:rsidRDefault="00AA1152" w:rsidP="00AA1152">
            <w:pPr>
              <w:rPr>
                <w:rFonts w:cs="Arial"/>
                <w:szCs w:val="16"/>
              </w:rPr>
            </w:pPr>
            <w:r w:rsidRPr="00210AC6">
              <w:rPr>
                <w:rFonts w:cs="Arial"/>
                <w:szCs w:val="16"/>
              </w:rPr>
              <w:t>2</w:t>
            </w:r>
          </w:p>
        </w:tc>
      </w:tr>
      <w:tr w:rsidR="00AA1152" w:rsidRPr="00210AC6" w14:paraId="5B73C8AC" w14:textId="77777777" w:rsidTr="00AA1152">
        <w:tc>
          <w:tcPr>
            <w:tcW w:w="2504" w:type="pct"/>
          </w:tcPr>
          <w:p w14:paraId="772D1C3C" w14:textId="77777777" w:rsidR="00AA1152" w:rsidRPr="00210AC6" w:rsidRDefault="00AA1152" w:rsidP="00AA1152">
            <w:pPr>
              <w:rPr>
                <w:rFonts w:cs="Arial"/>
                <w:b/>
                <w:bCs/>
                <w:szCs w:val="16"/>
              </w:rPr>
            </w:pPr>
            <w:r w:rsidRPr="00210AC6">
              <w:rPr>
                <w:rFonts w:cs="Arial"/>
                <w:b/>
                <w:bCs/>
                <w:szCs w:val="16"/>
              </w:rPr>
              <w:t>Timely and Accurate State-Reported Data</w:t>
            </w:r>
          </w:p>
        </w:tc>
        <w:tc>
          <w:tcPr>
            <w:tcW w:w="832" w:type="pct"/>
          </w:tcPr>
          <w:p w14:paraId="18A1304C" w14:textId="765F1D9B"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AC688E1" w14:textId="77777777" w:rsidR="00AA1152" w:rsidRPr="00210AC6" w:rsidRDefault="00AA1152" w:rsidP="00AA1152">
            <w:pPr>
              <w:rPr>
                <w:rFonts w:cs="Arial"/>
                <w:szCs w:val="16"/>
              </w:rPr>
            </w:pPr>
          </w:p>
        </w:tc>
        <w:tc>
          <w:tcPr>
            <w:tcW w:w="832" w:type="pct"/>
          </w:tcPr>
          <w:p w14:paraId="2D7E2590" w14:textId="5F40EEE6" w:rsidR="00AA1152" w:rsidRPr="00210AC6" w:rsidRDefault="00AA1152" w:rsidP="00AA1152">
            <w:pPr>
              <w:rPr>
                <w:rFonts w:cs="Arial"/>
                <w:szCs w:val="16"/>
              </w:rPr>
            </w:pPr>
            <w:r w:rsidRPr="00210AC6">
              <w:rPr>
                <w:rFonts w:cs="Arial"/>
                <w:szCs w:val="16"/>
              </w:rPr>
              <w:t>2</w:t>
            </w:r>
          </w:p>
        </w:tc>
      </w:tr>
      <w:tr w:rsidR="00AA1152" w:rsidRPr="00210AC6" w14:paraId="5B2DC82D" w14:textId="77777777" w:rsidTr="00AA1152">
        <w:tc>
          <w:tcPr>
            <w:tcW w:w="2504" w:type="pct"/>
          </w:tcPr>
          <w:p w14:paraId="03E653A4" w14:textId="77777777" w:rsidR="00AA1152" w:rsidRPr="00210AC6" w:rsidRDefault="00AA1152" w:rsidP="00AA1152">
            <w:pPr>
              <w:rPr>
                <w:rFonts w:cs="Arial"/>
                <w:b/>
                <w:bCs/>
                <w:szCs w:val="16"/>
              </w:rPr>
            </w:pPr>
            <w:r w:rsidRPr="00210AC6">
              <w:rPr>
                <w:rFonts w:cs="Arial"/>
                <w:b/>
                <w:bCs/>
                <w:szCs w:val="16"/>
              </w:rPr>
              <w:t>Timely State Complaint Decisions</w:t>
            </w:r>
          </w:p>
        </w:tc>
        <w:tc>
          <w:tcPr>
            <w:tcW w:w="832" w:type="pct"/>
          </w:tcPr>
          <w:p w14:paraId="3623764C" w14:textId="2150291E"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097E1289" w14:textId="77777777" w:rsidR="00AA1152" w:rsidRPr="00210AC6" w:rsidRDefault="00AA1152" w:rsidP="00AA1152">
            <w:pPr>
              <w:rPr>
                <w:rFonts w:cs="Arial"/>
                <w:szCs w:val="16"/>
              </w:rPr>
            </w:pPr>
          </w:p>
        </w:tc>
        <w:tc>
          <w:tcPr>
            <w:tcW w:w="832" w:type="pct"/>
          </w:tcPr>
          <w:p w14:paraId="4499CBD7" w14:textId="4E7EAE4B" w:rsidR="00AA1152" w:rsidRPr="00210AC6" w:rsidRDefault="00AA1152" w:rsidP="00AA1152">
            <w:pPr>
              <w:rPr>
                <w:rFonts w:cs="Arial"/>
                <w:szCs w:val="16"/>
              </w:rPr>
            </w:pPr>
            <w:r w:rsidRPr="00210AC6">
              <w:rPr>
                <w:rFonts w:cs="Arial"/>
                <w:szCs w:val="16"/>
              </w:rPr>
              <w:t>2</w:t>
            </w:r>
          </w:p>
        </w:tc>
      </w:tr>
      <w:tr w:rsidR="00AA1152" w:rsidRPr="00210AC6" w14:paraId="4BFA68EF" w14:textId="77777777" w:rsidTr="00AA1152">
        <w:tc>
          <w:tcPr>
            <w:tcW w:w="2504" w:type="pct"/>
          </w:tcPr>
          <w:p w14:paraId="066554B9" w14:textId="77777777" w:rsidR="00AA1152" w:rsidRPr="00210AC6" w:rsidRDefault="00AA1152" w:rsidP="00AA1152">
            <w:pPr>
              <w:rPr>
                <w:rFonts w:cs="Arial"/>
                <w:b/>
                <w:bCs/>
                <w:szCs w:val="16"/>
              </w:rPr>
            </w:pPr>
            <w:r w:rsidRPr="00210AC6">
              <w:rPr>
                <w:rFonts w:cs="Arial"/>
                <w:b/>
                <w:bCs/>
                <w:szCs w:val="16"/>
              </w:rPr>
              <w:t>Timely Due Process Hearing Decisions</w:t>
            </w:r>
          </w:p>
        </w:tc>
        <w:tc>
          <w:tcPr>
            <w:tcW w:w="832" w:type="pct"/>
          </w:tcPr>
          <w:p w14:paraId="786FDFAC" w14:textId="6F373ECA" w:rsidR="00AA1152" w:rsidRPr="00210AC6" w:rsidRDefault="00AA1152" w:rsidP="00AA1152">
            <w:pPr>
              <w:rPr>
                <w:rFonts w:cs="Arial"/>
                <w:szCs w:val="16"/>
              </w:rPr>
            </w:pPr>
            <w:r w:rsidRPr="00210AC6">
              <w:rPr>
                <w:rFonts w:cs="Arial"/>
                <w:szCs w:val="16"/>
              </w:rPr>
              <w:t>100.00%</w:t>
            </w:r>
          </w:p>
        </w:tc>
        <w:tc>
          <w:tcPr>
            <w:tcW w:w="832" w:type="pct"/>
            <w:shd w:val="clear" w:color="auto" w:fill="D9D9D9" w:themeFill="background1" w:themeFillShade="D9"/>
          </w:tcPr>
          <w:p w14:paraId="76E4B89A" w14:textId="77777777" w:rsidR="00AA1152" w:rsidRPr="00210AC6" w:rsidRDefault="00AA1152" w:rsidP="00AA1152">
            <w:pPr>
              <w:rPr>
                <w:rFonts w:cs="Arial"/>
                <w:szCs w:val="16"/>
              </w:rPr>
            </w:pPr>
          </w:p>
        </w:tc>
        <w:tc>
          <w:tcPr>
            <w:tcW w:w="832" w:type="pct"/>
          </w:tcPr>
          <w:p w14:paraId="3F8AD42C" w14:textId="7F0D6356" w:rsidR="00AA1152" w:rsidRPr="00210AC6" w:rsidRDefault="00AA1152" w:rsidP="00AA1152">
            <w:pPr>
              <w:rPr>
                <w:rFonts w:cs="Arial"/>
                <w:szCs w:val="16"/>
              </w:rPr>
            </w:pPr>
            <w:r w:rsidRPr="00210AC6">
              <w:rPr>
                <w:rFonts w:cs="Arial"/>
                <w:szCs w:val="16"/>
              </w:rPr>
              <w:t>2</w:t>
            </w:r>
          </w:p>
        </w:tc>
      </w:tr>
      <w:tr w:rsidR="00AA1152" w:rsidRPr="00210AC6" w14:paraId="26770970" w14:textId="77777777" w:rsidTr="00AA1152">
        <w:tc>
          <w:tcPr>
            <w:tcW w:w="2504" w:type="pct"/>
          </w:tcPr>
          <w:p w14:paraId="60988791" w14:textId="77777777" w:rsidR="00AA1152" w:rsidRPr="00210AC6" w:rsidRDefault="00AA1152" w:rsidP="00AA1152">
            <w:pPr>
              <w:rPr>
                <w:rFonts w:cs="Arial"/>
                <w:b/>
                <w:bCs/>
                <w:szCs w:val="16"/>
              </w:rPr>
            </w:pPr>
            <w:r w:rsidRPr="00210AC6">
              <w:rPr>
                <w:rFonts w:cs="Arial"/>
                <w:b/>
                <w:bCs/>
                <w:szCs w:val="16"/>
              </w:rPr>
              <w:t>Longstanding Noncompliance</w:t>
            </w:r>
          </w:p>
        </w:tc>
        <w:tc>
          <w:tcPr>
            <w:tcW w:w="832" w:type="pct"/>
            <w:shd w:val="clear" w:color="auto" w:fill="D9D9D9" w:themeFill="background1" w:themeFillShade="D9"/>
          </w:tcPr>
          <w:p w14:paraId="5695B159" w14:textId="77777777" w:rsidR="00AA1152" w:rsidRPr="00210AC6" w:rsidRDefault="00AA1152" w:rsidP="00AA1152">
            <w:pPr>
              <w:rPr>
                <w:rFonts w:cs="Arial"/>
                <w:szCs w:val="16"/>
              </w:rPr>
            </w:pPr>
          </w:p>
        </w:tc>
        <w:tc>
          <w:tcPr>
            <w:tcW w:w="832" w:type="pct"/>
            <w:shd w:val="clear" w:color="auto" w:fill="D9D9D9" w:themeFill="background1" w:themeFillShade="D9"/>
          </w:tcPr>
          <w:p w14:paraId="47C17DD8" w14:textId="77777777" w:rsidR="00AA1152" w:rsidRPr="00210AC6" w:rsidRDefault="00AA1152" w:rsidP="00AA1152">
            <w:pPr>
              <w:rPr>
                <w:rFonts w:cs="Arial"/>
                <w:szCs w:val="16"/>
              </w:rPr>
            </w:pPr>
          </w:p>
        </w:tc>
        <w:tc>
          <w:tcPr>
            <w:tcW w:w="832" w:type="pct"/>
          </w:tcPr>
          <w:p w14:paraId="6505B17E" w14:textId="4908393C" w:rsidR="00AA1152" w:rsidRPr="00210AC6" w:rsidRDefault="00AA1152" w:rsidP="00AA1152">
            <w:pPr>
              <w:rPr>
                <w:rFonts w:cs="Arial"/>
                <w:szCs w:val="16"/>
              </w:rPr>
            </w:pPr>
            <w:r w:rsidRPr="00210AC6">
              <w:rPr>
                <w:rFonts w:cs="Arial"/>
                <w:szCs w:val="16"/>
              </w:rPr>
              <w:t>2</w:t>
            </w:r>
          </w:p>
        </w:tc>
      </w:tr>
      <w:tr w:rsidR="00210AC6" w:rsidRPr="00210AC6" w14:paraId="37FD1A53" w14:textId="77777777" w:rsidTr="00AA1152">
        <w:tc>
          <w:tcPr>
            <w:tcW w:w="2504" w:type="pct"/>
          </w:tcPr>
          <w:p w14:paraId="3FB1DF49" w14:textId="77777777" w:rsidR="00AA1152" w:rsidRPr="00210AC6" w:rsidRDefault="00AA1152" w:rsidP="00FB3CF2">
            <w:pPr>
              <w:ind w:left="720"/>
              <w:rPr>
                <w:rFonts w:cs="Arial"/>
                <w:b/>
                <w:bCs/>
                <w:szCs w:val="16"/>
              </w:rPr>
            </w:pPr>
            <w:r w:rsidRPr="00210AC6">
              <w:rPr>
                <w:rFonts w:cs="Arial"/>
                <w:b/>
                <w:bCs/>
                <w:szCs w:val="16"/>
              </w:rPr>
              <w:t>Specific Conditions</w:t>
            </w:r>
          </w:p>
        </w:tc>
        <w:tc>
          <w:tcPr>
            <w:tcW w:w="832" w:type="pct"/>
          </w:tcPr>
          <w:p w14:paraId="25CFC5F1" w14:textId="52880491"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2EE980E6" w14:textId="77777777" w:rsidR="00AA1152" w:rsidRPr="00210AC6" w:rsidRDefault="00AA1152" w:rsidP="00AA1152">
            <w:pPr>
              <w:rPr>
                <w:rFonts w:cs="Arial"/>
                <w:szCs w:val="16"/>
              </w:rPr>
            </w:pPr>
          </w:p>
        </w:tc>
        <w:tc>
          <w:tcPr>
            <w:tcW w:w="832" w:type="pct"/>
            <w:shd w:val="clear" w:color="auto" w:fill="D9D9D9" w:themeFill="background1" w:themeFillShade="D9"/>
          </w:tcPr>
          <w:p w14:paraId="4F02C2EF" w14:textId="77777777" w:rsidR="00AA1152" w:rsidRPr="00210AC6" w:rsidRDefault="00AA1152" w:rsidP="00AA1152">
            <w:pPr>
              <w:rPr>
                <w:rFonts w:cs="Arial"/>
                <w:szCs w:val="16"/>
              </w:rPr>
            </w:pPr>
          </w:p>
        </w:tc>
      </w:tr>
      <w:tr w:rsidR="00AA1152" w:rsidRPr="00210AC6" w14:paraId="280FAD4D" w14:textId="77777777" w:rsidTr="00AA1152">
        <w:tc>
          <w:tcPr>
            <w:tcW w:w="2504" w:type="pct"/>
          </w:tcPr>
          <w:p w14:paraId="03E7B148" w14:textId="77777777" w:rsidR="00AA1152" w:rsidRPr="00210AC6" w:rsidRDefault="00AA1152" w:rsidP="00FB3CF2">
            <w:pPr>
              <w:ind w:left="720"/>
              <w:rPr>
                <w:rFonts w:cs="Arial"/>
                <w:b/>
                <w:bCs/>
                <w:szCs w:val="16"/>
              </w:rPr>
            </w:pPr>
            <w:r w:rsidRPr="00210AC6">
              <w:rPr>
                <w:rFonts w:cs="Arial"/>
                <w:b/>
                <w:bCs/>
                <w:szCs w:val="16"/>
              </w:rPr>
              <w:t>Uncorrected identified noncompliance</w:t>
            </w:r>
          </w:p>
        </w:tc>
        <w:tc>
          <w:tcPr>
            <w:tcW w:w="832" w:type="pct"/>
          </w:tcPr>
          <w:p w14:paraId="6A88C370" w14:textId="640AB405" w:rsidR="00AA1152" w:rsidRPr="00210AC6" w:rsidRDefault="00AA1152" w:rsidP="00AA1152">
            <w:pPr>
              <w:rPr>
                <w:rFonts w:cs="Arial"/>
                <w:szCs w:val="16"/>
              </w:rPr>
            </w:pPr>
            <w:r w:rsidRPr="00210AC6">
              <w:rPr>
                <w:rFonts w:cs="Arial"/>
                <w:szCs w:val="16"/>
              </w:rPr>
              <w:t>None</w:t>
            </w:r>
          </w:p>
        </w:tc>
        <w:tc>
          <w:tcPr>
            <w:tcW w:w="832" w:type="pct"/>
            <w:shd w:val="clear" w:color="auto" w:fill="D9D9D9" w:themeFill="background1" w:themeFillShade="D9"/>
          </w:tcPr>
          <w:p w14:paraId="1BBE86F1" w14:textId="77777777" w:rsidR="00AA1152" w:rsidRPr="00210AC6" w:rsidRDefault="00AA1152" w:rsidP="00AA1152">
            <w:pPr>
              <w:rPr>
                <w:rFonts w:cs="Arial"/>
                <w:szCs w:val="16"/>
              </w:rPr>
            </w:pPr>
          </w:p>
        </w:tc>
        <w:tc>
          <w:tcPr>
            <w:tcW w:w="832" w:type="pct"/>
            <w:shd w:val="clear" w:color="auto" w:fill="D9D9D9" w:themeFill="background1" w:themeFillShade="D9"/>
          </w:tcPr>
          <w:p w14:paraId="774B8A90" w14:textId="77777777" w:rsidR="00AA1152" w:rsidRPr="00210AC6" w:rsidRDefault="00AA1152" w:rsidP="00AA1152">
            <w:pPr>
              <w:rPr>
                <w:rFonts w:cs="Arial"/>
                <w:szCs w:val="16"/>
              </w:rPr>
            </w:pPr>
          </w:p>
        </w:tc>
      </w:tr>
    </w:tbl>
    <w:p w14:paraId="72E10240" w14:textId="77777777" w:rsidR="00B42C5F" w:rsidRPr="00210AC6" w:rsidRDefault="00B42C5F" w:rsidP="00BE0EEF">
      <w:pPr>
        <w:rPr>
          <w:rFonts w:cs="Arial"/>
          <w:b/>
          <w:szCs w:val="16"/>
        </w:rPr>
      </w:pPr>
    </w:p>
    <w:p w14:paraId="329F2F2C" w14:textId="77777777" w:rsidR="006A44D8" w:rsidRDefault="006A44D8">
      <w:pPr>
        <w:spacing w:before="0" w:after="200" w:line="276" w:lineRule="auto"/>
        <w:rPr>
          <w:rFonts w:eastAsiaTheme="majorEastAsia" w:cstheme="majorBidi"/>
          <w:b/>
          <w:bCs/>
          <w:sz w:val="20"/>
          <w:szCs w:val="26"/>
        </w:rPr>
      </w:pPr>
      <w:r>
        <w:br w:type="page"/>
      </w:r>
    </w:p>
    <w:p w14:paraId="594193B2" w14:textId="16D7A99F" w:rsidR="00BE0EEF" w:rsidRDefault="00BE0EEF" w:rsidP="00BE0EEF">
      <w:pPr>
        <w:pStyle w:val="Heading2"/>
      </w:pPr>
      <w:r w:rsidRPr="003E43D9">
        <w:lastRenderedPageBreak/>
        <w:t>Data Rubric</w:t>
      </w:r>
    </w:p>
    <w:p w14:paraId="70614850" w14:textId="77777777" w:rsidR="00421B4F" w:rsidRPr="00421B4F" w:rsidRDefault="00421B4F" w:rsidP="00421B4F">
      <w:pPr>
        <w:rPr>
          <w:b/>
          <w:bCs/>
          <w:sz w:val="20"/>
          <w:szCs w:val="28"/>
        </w:rPr>
      </w:pPr>
      <w:r w:rsidRPr="00421B4F">
        <w:rPr>
          <w:b/>
          <w:bCs/>
          <w:sz w:val="20"/>
          <w:szCs w:val="28"/>
        </w:rPr>
        <w:t>Wyoming</w:t>
      </w:r>
    </w:p>
    <w:p w14:paraId="0E410B75" w14:textId="77777777" w:rsidR="00421B4F" w:rsidRPr="00421B4F" w:rsidRDefault="00421B4F" w:rsidP="00421B4F"/>
    <w:p w14:paraId="27E7D5D5" w14:textId="314242AE" w:rsidR="00110BB6" w:rsidRDefault="00110BB6" w:rsidP="00110BB6">
      <w:pPr>
        <w:jc w:val="center"/>
      </w:pPr>
      <w:r>
        <w:t>FFY 2021 APR</w:t>
      </w:r>
      <w:r w:rsidR="00A47134">
        <w:rPr>
          <w:rStyle w:val="FootnoteReference"/>
        </w:rPr>
        <w:footnoteReference w:id="6"/>
      </w:r>
    </w:p>
    <w:tbl>
      <w:tblPr>
        <w:tblStyle w:val="TableGrid1"/>
        <w:tblW w:w="9824" w:type="dxa"/>
        <w:tblLook w:val="04A0" w:firstRow="1" w:lastRow="0" w:firstColumn="1" w:lastColumn="0" w:noHBand="0" w:noVBand="1"/>
        <w:tblCaption w:val="BRUBCFFYINDVRSTAT"/>
      </w:tblPr>
      <w:tblGrid>
        <w:gridCol w:w="1866"/>
        <w:gridCol w:w="5260"/>
        <w:gridCol w:w="2698"/>
      </w:tblGrid>
      <w:tr w:rsidR="00FB3F34" w:rsidRPr="00210AC6" w14:paraId="1EDB9080" w14:textId="77777777" w:rsidTr="00E31D6F">
        <w:trPr>
          <w:trHeight w:val="432"/>
          <w:tblHeader/>
        </w:trPr>
        <w:tc>
          <w:tcPr>
            <w:tcW w:w="1866" w:type="dxa"/>
            <w:hideMark/>
          </w:tcPr>
          <w:p w14:paraId="7CCEA6CA" w14:textId="68305EB8" w:rsidR="00FB3F34" w:rsidRPr="00210AC6" w:rsidRDefault="00371FAA" w:rsidP="006620B0">
            <w:pPr>
              <w:spacing w:before="0" w:after="0"/>
              <w:jc w:val="center"/>
              <w:rPr>
                <w:rFonts w:eastAsia="Times New Roman" w:cs="Arial"/>
                <w:szCs w:val="16"/>
              </w:rPr>
            </w:pPr>
            <w:r>
              <w:tab/>
            </w:r>
          </w:p>
        </w:tc>
        <w:tc>
          <w:tcPr>
            <w:tcW w:w="5260" w:type="dxa"/>
          </w:tcPr>
          <w:p w14:paraId="1EE18FEA" w14:textId="2E861024" w:rsidR="00FB3F34" w:rsidRPr="00210AC6" w:rsidRDefault="00FB3F34" w:rsidP="006620B0">
            <w:pPr>
              <w:spacing w:before="0" w:after="0"/>
              <w:jc w:val="center"/>
              <w:rPr>
                <w:rFonts w:eastAsia="Times New Roman" w:cs="Arial"/>
                <w:szCs w:val="16"/>
              </w:rPr>
            </w:pPr>
            <w:r w:rsidRPr="00210AC6">
              <w:rPr>
                <w:rFonts w:eastAsia="Times New Roman" w:cs="Arial"/>
                <w:b/>
                <w:bCs/>
                <w:szCs w:val="16"/>
              </w:rPr>
              <w:t>Part B Timely and Accurate Data -- SPP/APR Data</w:t>
            </w:r>
          </w:p>
        </w:tc>
        <w:tc>
          <w:tcPr>
            <w:tcW w:w="2698" w:type="dxa"/>
          </w:tcPr>
          <w:p w14:paraId="2C283DE7" w14:textId="471B490F" w:rsidR="00FB3F34" w:rsidRPr="00210AC6" w:rsidRDefault="00FB3F34" w:rsidP="006620B0">
            <w:pPr>
              <w:spacing w:before="0" w:after="0"/>
              <w:jc w:val="center"/>
              <w:rPr>
                <w:rFonts w:eastAsia="Times New Roman" w:cs="Arial"/>
                <w:b/>
                <w:bCs/>
                <w:szCs w:val="16"/>
              </w:rPr>
            </w:pPr>
          </w:p>
        </w:tc>
      </w:tr>
      <w:tr w:rsidR="00BE0EEF" w:rsidRPr="00210AC6" w14:paraId="3A3A0C16" w14:textId="77777777" w:rsidTr="00E31D6F">
        <w:trPr>
          <w:trHeight w:val="432"/>
        </w:trPr>
        <w:tc>
          <w:tcPr>
            <w:tcW w:w="1866" w:type="dxa"/>
            <w:hideMark/>
          </w:tcPr>
          <w:p w14:paraId="68434036"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APR Indicator</w:t>
            </w:r>
          </w:p>
        </w:tc>
        <w:tc>
          <w:tcPr>
            <w:tcW w:w="5260" w:type="dxa"/>
            <w:hideMark/>
          </w:tcPr>
          <w:p w14:paraId="77033CE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 xml:space="preserve">Valid and </w:t>
            </w:r>
            <w:proofErr w:type="gramStart"/>
            <w:r w:rsidRPr="00210AC6">
              <w:rPr>
                <w:rFonts w:eastAsia="Times New Roman" w:cs="Arial"/>
                <w:b/>
                <w:bCs/>
                <w:szCs w:val="16"/>
              </w:rPr>
              <w:t>Reliable</w:t>
            </w:r>
            <w:proofErr w:type="gramEnd"/>
          </w:p>
        </w:tc>
        <w:tc>
          <w:tcPr>
            <w:tcW w:w="2698" w:type="dxa"/>
            <w:hideMark/>
          </w:tcPr>
          <w:p w14:paraId="5244F363"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7135ED" w:rsidRPr="00210AC6" w14:paraId="67229BAC" w14:textId="77777777" w:rsidTr="00E31D6F">
        <w:trPr>
          <w:trHeight w:val="432"/>
        </w:trPr>
        <w:tc>
          <w:tcPr>
            <w:tcW w:w="1866" w:type="dxa"/>
            <w:hideMark/>
          </w:tcPr>
          <w:p w14:paraId="5FEE69C7"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w:t>
            </w:r>
          </w:p>
        </w:tc>
        <w:tc>
          <w:tcPr>
            <w:tcW w:w="5260" w:type="dxa"/>
            <w:hideMark/>
          </w:tcPr>
          <w:p w14:paraId="585CE390" w14:textId="7E251BE0"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92F735" w14:textId="595A48A0"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3EB60AC4" w14:textId="77777777" w:rsidTr="00E31D6F">
        <w:trPr>
          <w:trHeight w:val="432"/>
        </w:trPr>
        <w:tc>
          <w:tcPr>
            <w:tcW w:w="1866" w:type="dxa"/>
            <w:hideMark/>
          </w:tcPr>
          <w:p w14:paraId="35BAF33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2</w:t>
            </w:r>
          </w:p>
        </w:tc>
        <w:tc>
          <w:tcPr>
            <w:tcW w:w="5260" w:type="dxa"/>
            <w:hideMark/>
          </w:tcPr>
          <w:p w14:paraId="60118E19" w14:textId="7A45D84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1C853E5C" w14:textId="79D75765"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5CF8C38" w14:textId="77777777" w:rsidTr="00E31D6F">
        <w:trPr>
          <w:trHeight w:val="432"/>
        </w:trPr>
        <w:tc>
          <w:tcPr>
            <w:tcW w:w="1866" w:type="dxa"/>
            <w:hideMark/>
          </w:tcPr>
          <w:p w14:paraId="68C7D5A5"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3A</w:t>
            </w:r>
          </w:p>
        </w:tc>
        <w:tc>
          <w:tcPr>
            <w:tcW w:w="5260" w:type="dxa"/>
            <w:hideMark/>
          </w:tcPr>
          <w:p w14:paraId="555C0FFA" w14:textId="1DF093A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DDDF62" w14:textId="2D82E5CE"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B04E7EB" w14:textId="77777777" w:rsidTr="00E31D6F">
        <w:trPr>
          <w:trHeight w:val="432"/>
        </w:trPr>
        <w:tc>
          <w:tcPr>
            <w:tcW w:w="1866" w:type="dxa"/>
            <w:hideMark/>
          </w:tcPr>
          <w:p w14:paraId="2642FD1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3B</w:t>
            </w:r>
          </w:p>
        </w:tc>
        <w:tc>
          <w:tcPr>
            <w:tcW w:w="5260" w:type="dxa"/>
            <w:hideMark/>
          </w:tcPr>
          <w:p w14:paraId="72F500EC" w14:textId="0E1B423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315133" w14:textId="2F329A6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3E4959E" w14:textId="77777777" w:rsidTr="00E31D6F">
        <w:trPr>
          <w:trHeight w:val="432"/>
        </w:trPr>
        <w:tc>
          <w:tcPr>
            <w:tcW w:w="1866" w:type="dxa"/>
            <w:hideMark/>
          </w:tcPr>
          <w:p w14:paraId="16420CC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3C</w:t>
            </w:r>
          </w:p>
        </w:tc>
        <w:tc>
          <w:tcPr>
            <w:tcW w:w="5260" w:type="dxa"/>
            <w:hideMark/>
          </w:tcPr>
          <w:p w14:paraId="7EF0B8B4" w14:textId="2E5673A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3EADB1B" w14:textId="0322801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844CEDC" w14:textId="77777777" w:rsidTr="00E31D6F">
        <w:trPr>
          <w:trHeight w:val="432"/>
        </w:trPr>
        <w:tc>
          <w:tcPr>
            <w:tcW w:w="1866" w:type="dxa"/>
            <w:hideMark/>
          </w:tcPr>
          <w:p w14:paraId="434C9D26"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3D</w:t>
            </w:r>
          </w:p>
        </w:tc>
        <w:tc>
          <w:tcPr>
            <w:tcW w:w="5260" w:type="dxa"/>
            <w:hideMark/>
          </w:tcPr>
          <w:p w14:paraId="6D3590F8" w14:textId="33166A7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B0775F3" w14:textId="492F13B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C388C09" w14:textId="77777777" w:rsidTr="00E31D6F">
        <w:trPr>
          <w:trHeight w:val="432"/>
        </w:trPr>
        <w:tc>
          <w:tcPr>
            <w:tcW w:w="1866" w:type="dxa"/>
            <w:hideMark/>
          </w:tcPr>
          <w:p w14:paraId="72C090C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4A</w:t>
            </w:r>
          </w:p>
        </w:tc>
        <w:tc>
          <w:tcPr>
            <w:tcW w:w="5260" w:type="dxa"/>
            <w:hideMark/>
          </w:tcPr>
          <w:p w14:paraId="607E3D37" w14:textId="1D2D59CA"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5FF3F9E" w14:textId="6929A481"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189D00EB" w14:textId="77777777" w:rsidTr="00E31D6F">
        <w:trPr>
          <w:trHeight w:val="432"/>
        </w:trPr>
        <w:tc>
          <w:tcPr>
            <w:tcW w:w="1866" w:type="dxa"/>
            <w:hideMark/>
          </w:tcPr>
          <w:p w14:paraId="7060DD8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4B</w:t>
            </w:r>
          </w:p>
        </w:tc>
        <w:tc>
          <w:tcPr>
            <w:tcW w:w="5260" w:type="dxa"/>
            <w:hideMark/>
          </w:tcPr>
          <w:p w14:paraId="4F1E8C75" w14:textId="28AF972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1FF423D" w14:textId="69E7F43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06E39B" w14:textId="77777777" w:rsidTr="00E31D6F">
        <w:trPr>
          <w:trHeight w:val="432"/>
        </w:trPr>
        <w:tc>
          <w:tcPr>
            <w:tcW w:w="1866" w:type="dxa"/>
            <w:hideMark/>
          </w:tcPr>
          <w:p w14:paraId="5A38FA4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5</w:t>
            </w:r>
          </w:p>
        </w:tc>
        <w:tc>
          <w:tcPr>
            <w:tcW w:w="5260" w:type="dxa"/>
            <w:hideMark/>
          </w:tcPr>
          <w:p w14:paraId="56E67DDD" w14:textId="62C7A4C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63775BBA" w14:textId="3962637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377F841" w14:textId="77777777" w:rsidTr="00E31D6F">
        <w:trPr>
          <w:trHeight w:val="432"/>
        </w:trPr>
        <w:tc>
          <w:tcPr>
            <w:tcW w:w="1866" w:type="dxa"/>
            <w:hideMark/>
          </w:tcPr>
          <w:p w14:paraId="2456A6E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6</w:t>
            </w:r>
          </w:p>
        </w:tc>
        <w:tc>
          <w:tcPr>
            <w:tcW w:w="5260" w:type="dxa"/>
            <w:hideMark/>
          </w:tcPr>
          <w:p w14:paraId="2B4C92B4" w14:textId="1001CA64"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A4C720" w14:textId="210A767D"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2AB6FF3A" w14:textId="77777777" w:rsidTr="00E31D6F">
        <w:trPr>
          <w:trHeight w:val="432"/>
        </w:trPr>
        <w:tc>
          <w:tcPr>
            <w:tcW w:w="1866" w:type="dxa"/>
            <w:hideMark/>
          </w:tcPr>
          <w:p w14:paraId="3C7BC974"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7</w:t>
            </w:r>
          </w:p>
        </w:tc>
        <w:tc>
          <w:tcPr>
            <w:tcW w:w="5260" w:type="dxa"/>
            <w:hideMark/>
          </w:tcPr>
          <w:p w14:paraId="73EC39EF" w14:textId="2AD790D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8777B03" w14:textId="55F47E9C"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779C23E" w14:textId="77777777" w:rsidTr="00E31D6F">
        <w:trPr>
          <w:trHeight w:val="432"/>
        </w:trPr>
        <w:tc>
          <w:tcPr>
            <w:tcW w:w="1866" w:type="dxa"/>
            <w:hideMark/>
          </w:tcPr>
          <w:p w14:paraId="496A257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8</w:t>
            </w:r>
          </w:p>
        </w:tc>
        <w:tc>
          <w:tcPr>
            <w:tcW w:w="5260" w:type="dxa"/>
            <w:hideMark/>
          </w:tcPr>
          <w:p w14:paraId="082B43EF" w14:textId="5ACD387E"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ED9E02B" w14:textId="568C62A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AB1D469" w14:textId="77777777" w:rsidTr="00E31D6F">
        <w:trPr>
          <w:trHeight w:val="432"/>
        </w:trPr>
        <w:tc>
          <w:tcPr>
            <w:tcW w:w="1866" w:type="dxa"/>
            <w:hideMark/>
          </w:tcPr>
          <w:p w14:paraId="651D784C"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9</w:t>
            </w:r>
          </w:p>
        </w:tc>
        <w:tc>
          <w:tcPr>
            <w:tcW w:w="5260" w:type="dxa"/>
            <w:hideMark/>
          </w:tcPr>
          <w:p w14:paraId="369CE928" w14:textId="448F558C"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CA96C70" w14:textId="4C654E07"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9A1B919" w14:textId="77777777" w:rsidTr="00E31D6F">
        <w:trPr>
          <w:trHeight w:val="432"/>
        </w:trPr>
        <w:tc>
          <w:tcPr>
            <w:tcW w:w="1866" w:type="dxa"/>
            <w:hideMark/>
          </w:tcPr>
          <w:p w14:paraId="232EA42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10</w:t>
            </w:r>
          </w:p>
        </w:tc>
        <w:tc>
          <w:tcPr>
            <w:tcW w:w="5260" w:type="dxa"/>
            <w:noWrap/>
            <w:hideMark/>
          </w:tcPr>
          <w:p w14:paraId="4F5D18A1" w14:textId="0D0667C6"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186C0DD" w14:textId="7A9F886A"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8A1305C" w14:textId="77777777" w:rsidTr="00E31D6F">
        <w:trPr>
          <w:trHeight w:val="432"/>
        </w:trPr>
        <w:tc>
          <w:tcPr>
            <w:tcW w:w="1866" w:type="dxa"/>
            <w:hideMark/>
          </w:tcPr>
          <w:p w14:paraId="7C46D39D"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11</w:t>
            </w:r>
          </w:p>
        </w:tc>
        <w:tc>
          <w:tcPr>
            <w:tcW w:w="5260" w:type="dxa"/>
            <w:hideMark/>
          </w:tcPr>
          <w:p w14:paraId="44311E94" w14:textId="0EFD9CD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2B6EE703" w14:textId="4141437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00BEC1BD" w14:textId="77777777" w:rsidTr="00E31D6F">
        <w:trPr>
          <w:trHeight w:val="432"/>
        </w:trPr>
        <w:tc>
          <w:tcPr>
            <w:tcW w:w="1866" w:type="dxa"/>
            <w:hideMark/>
          </w:tcPr>
          <w:p w14:paraId="3AC9243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12</w:t>
            </w:r>
          </w:p>
        </w:tc>
        <w:tc>
          <w:tcPr>
            <w:tcW w:w="5260" w:type="dxa"/>
            <w:noWrap/>
            <w:hideMark/>
          </w:tcPr>
          <w:p w14:paraId="517E65C9" w14:textId="22367138"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9139EC4" w14:textId="58B023D9"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6208F430" w14:textId="77777777" w:rsidTr="00E31D6F">
        <w:trPr>
          <w:trHeight w:val="432"/>
        </w:trPr>
        <w:tc>
          <w:tcPr>
            <w:tcW w:w="1866" w:type="dxa"/>
            <w:hideMark/>
          </w:tcPr>
          <w:p w14:paraId="311B1EF1"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13</w:t>
            </w:r>
          </w:p>
        </w:tc>
        <w:tc>
          <w:tcPr>
            <w:tcW w:w="5260" w:type="dxa"/>
            <w:hideMark/>
          </w:tcPr>
          <w:p w14:paraId="787ECEA1" w14:textId="72BB8351"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33C9DBFB" w14:textId="006A7124"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755669C6" w14:textId="77777777" w:rsidTr="00E31D6F">
        <w:trPr>
          <w:trHeight w:val="432"/>
        </w:trPr>
        <w:tc>
          <w:tcPr>
            <w:tcW w:w="1866" w:type="dxa"/>
            <w:hideMark/>
          </w:tcPr>
          <w:p w14:paraId="0C8CC4A2"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14</w:t>
            </w:r>
          </w:p>
        </w:tc>
        <w:tc>
          <w:tcPr>
            <w:tcW w:w="5260" w:type="dxa"/>
            <w:hideMark/>
          </w:tcPr>
          <w:p w14:paraId="0F60439C" w14:textId="6F9A8D8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7B0E7975" w14:textId="5A277488"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5017B468" w14:textId="77777777" w:rsidTr="00E31D6F">
        <w:trPr>
          <w:trHeight w:val="432"/>
        </w:trPr>
        <w:tc>
          <w:tcPr>
            <w:tcW w:w="1866" w:type="dxa"/>
            <w:hideMark/>
          </w:tcPr>
          <w:p w14:paraId="0F24BCE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15</w:t>
            </w:r>
          </w:p>
        </w:tc>
        <w:tc>
          <w:tcPr>
            <w:tcW w:w="5260" w:type="dxa"/>
            <w:hideMark/>
          </w:tcPr>
          <w:p w14:paraId="0F6FBA05" w14:textId="68CE842F"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C400BF6" w14:textId="5BEBC59F"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80B321C" w14:textId="77777777" w:rsidTr="00E31D6F">
        <w:trPr>
          <w:trHeight w:val="432"/>
        </w:trPr>
        <w:tc>
          <w:tcPr>
            <w:tcW w:w="1866" w:type="dxa"/>
            <w:hideMark/>
          </w:tcPr>
          <w:p w14:paraId="3870E408"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16</w:t>
            </w:r>
          </w:p>
        </w:tc>
        <w:tc>
          <w:tcPr>
            <w:tcW w:w="5260" w:type="dxa"/>
            <w:hideMark/>
          </w:tcPr>
          <w:p w14:paraId="5DE8D01C" w14:textId="2664D1F2"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784ADC5" w14:textId="255F35D2" w:rsidR="007135ED" w:rsidRPr="00210AC6" w:rsidRDefault="007135ED" w:rsidP="006620B0">
            <w:pPr>
              <w:spacing w:before="0" w:after="0"/>
              <w:jc w:val="center"/>
              <w:rPr>
                <w:rFonts w:eastAsia="Times New Roman" w:cs="Arial"/>
                <w:szCs w:val="16"/>
              </w:rPr>
            </w:pPr>
            <w:r w:rsidRPr="00210AC6">
              <w:rPr>
                <w:rFonts w:cs="Arial"/>
                <w:szCs w:val="16"/>
              </w:rPr>
              <w:t>1</w:t>
            </w:r>
          </w:p>
        </w:tc>
      </w:tr>
      <w:tr w:rsidR="007135ED" w:rsidRPr="00210AC6" w14:paraId="496B687B" w14:textId="77777777" w:rsidTr="00E31D6F">
        <w:trPr>
          <w:trHeight w:val="432"/>
        </w:trPr>
        <w:tc>
          <w:tcPr>
            <w:tcW w:w="1866" w:type="dxa"/>
            <w:hideMark/>
          </w:tcPr>
          <w:p w14:paraId="708E4A50" w14:textId="77777777" w:rsidR="007135ED" w:rsidRPr="00210AC6" w:rsidRDefault="007135ED" w:rsidP="006620B0">
            <w:pPr>
              <w:spacing w:before="0" w:after="0"/>
              <w:jc w:val="center"/>
              <w:rPr>
                <w:rFonts w:eastAsia="Times New Roman" w:cs="Arial"/>
                <w:b/>
                <w:bCs/>
                <w:szCs w:val="16"/>
              </w:rPr>
            </w:pPr>
            <w:r w:rsidRPr="00210AC6">
              <w:rPr>
                <w:rFonts w:eastAsia="Times New Roman" w:cs="Arial"/>
                <w:b/>
                <w:bCs/>
                <w:szCs w:val="16"/>
              </w:rPr>
              <w:t>17</w:t>
            </w:r>
          </w:p>
        </w:tc>
        <w:tc>
          <w:tcPr>
            <w:tcW w:w="5260" w:type="dxa"/>
            <w:hideMark/>
          </w:tcPr>
          <w:p w14:paraId="1DC5DFB7" w14:textId="43E1F80B" w:rsidR="007135ED" w:rsidRPr="00210AC6" w:rsidRDefault="007135ED" w:rsidP="006620B0">
            <w:pPr>
              <w:spacing w:before="0" w:after="0"/>
              <w:jc w:val="center"/>
              <w:rPr>
                <w:rFonts w:eastAsia="Times New Roman" w:cs="Arial"/>
                <w:szCs w:val="16"/>
              </w:rPr>
            </w:pPr>
            <w:r w:rsidRPr="00210AC6">
              <w:rPr>
                <w:rFonts w:cs="Arial"/>
                <w:szCs w:val="16"/>
              </w:rPr>
              <w:t>1</w:t>
            </w:r>
          </w:p>
        </w:tc>
        <w:tc>
          <w:tcPr>
            <w:tcW w:w="2698" w:type="dxa"/>
            <w:hideMark/>
          </w:tcPr>
          <w:p w14:paraId="4B2444AC" w14:textId="3739D8B3" w:rsidR="007135ED" w:rsidRPr="00210AC6" w:rsidRDefault="007135ED" w:rsidP="006620B0">
            <w:pPr>
              <w:spacing w:before="0" w:after="0"/>
              <w:jc w:val="center"/>
              <w:rPr>
                <w:rFonts w:eastAsia="Times New Roman" w:cs="Arial"/>
                <w:szCs w:val="16"/>
              </w:rPr>
            </w:pPr>
            <w:r w:rsidRPr="00210AC6">
              <w:rPr>
                <w:rFonts w:cs="Arial"/>
                <w:szCs w:val="16"/>
              </w:rPr>
              <w:t>1</w:t>
            </w:r>
          </w:p>
        </w:tc>
      </w:tr>
      <w:tr w:rsidR="0031684C" w:rsidRPr="00210AC6" w14:paraId="1E8447AE" w14:textId="77777777" w:rsidTr="00E31D6F">
        <w:trPr>
          <w:trHeight w:val="432"/>
        </w:trPr>
        <w:tc>
          <w:tcPr>
            <w:tcW w:w="1866" w:type="dxa"/>
            <w:hideMark/>
          </w:tcPr>
          <w:p w14:paraId="38940309" w14:textId="5B5AFDBC" w:rsidR="0031684C" w:rsidRPr="00210AC6" w:rsidRDefault="0031684C" w:rsidP="006620B0">
            <w:pPr>
              <w:spacing w:before="0" w:after="0"/>
              <w:jc w:val="center"/>
              <w:rPr>
                <w:rFonts w:eastAsia="Times New Roman" w:cs="Arial"/>
                <w:szCs w:val="16"/>
              </w:rPr>
            </w:pPr>
          </w:p>
        </w:tc>
        <w:tc>
          <w:tcPr>
            <w:tcW w:w="5260" w:type="dxa"/>
            <w:hideMark/>
          </w:tcPr>
          <w:p w14:paraId="7ABFFFC3" w14:textId="4C46E094" w:rsidR="0031684C" w:rsidRPr="00210AC6" w:rsidRDefault="0031684C" w:rsidP="006620B0">
            <w:pPr>
              <w:spacing w:before="0" w:after="0"/>
              <w:jc w:val="center"/>
              <w:rPr>
                <w:rFonts w:eastAsia="Times New Roman" w:cs="Arial"/>
                <w:b/>
                <w:bCs/>
                <w:szCs w:val="16"/>
              </w:rPr>
            </w:pPr>
            <w:r w:rsidRPr="00210AC6">
              <w:rPr>
                <w:rFonts w:eastAsia="Times New Roman" w:cs="Arial"/>
                <w:b/>
                <w:bCs/>
                <w:szCs w:val="16"/>
              </w:rPr>
              <w:t>Subtotal</w:t>
            </w:r>
          </w:p>
        </w:tc>
        <w:tc>
          <w:tcPr>
            <w:tcW w:w="2698" w:type="dxa"/>
            <w:hideMark/>
          </w:tcPr>
          <w:p w14:paraId="32C3D9B8" w14:textId="670D0C95" w:rsidR="0031684C" w:rsidRPr="00210AC6" w:rsidRDefault="0031684C" w:rsidP="006620B0">
            <w:pPr>
              <w:spacing w:before="0" w:after="0"/>
              <w:jc w:val="center"/>
              <w:rPr>
                <w:rFonts w:eastAsia="Times New Roman" w:cs="Arial"/>
                <w:szCs w:val="16"/>
              </w:rPr>
            </w:pPr>
            <w:r w:rsidRPr="00210AC6">
              <w:rPr>
                <w:rFonts w:cs="Arial"/>
                <w:szCs w:val="16"/>
              </w:rPr>
              <w:t>21</w:t>
            </w:r>
          </w:p>
        </w:tc>
      </w:tr>
      <w:tr w:rsidR="007135ED" w:rsidRPr="00210AC6" w14:paraId="485EA517" w14:textId="77777777" w:rsidTr="00E31D6F">
        <w:trPr>
          <w:trHeight w:val="432"/>
        </w:trPr>
        <w:tc>
          <w:tcPr>
            <w:tcW w:w="1866" w:type="dxa"/>
            <w:hideMark/>
          </w:tcPr>
          <w:p w14:paraId="53BE9DE6" w14:textId="77777777" w:rsidR="007135ED" w:rsidRPr="00210AC6" w:rsidRDefault="007135ED" w:rsidP="003A7B67">
            <w:pPr>
              <w:spacing w:before="0" w:after="0"/>
              <w:jc w:val="center"/>
              <w:rPr>
                <w:rFonts w:eastAsia="Times New Roman" w:cs="Arial"/>
                <w:b/>
                <w:bCs/>
                <w:szCs w:val="16"/>
              </w:rPr>
            </w:pPr>
            <w:r w:rsidRPr="00210AC6">
              <w:rPr>
                <w:rFonts w:eastAsia="Times New Roman" w:cs="Arial"/>
                <w:b/>
                <w:bCs/>
                <w:szCs w:val="16"/>
              </w:rPr>
              <w:t>APR Score Calculation</w:t>
            </w:r>
          </w:p>
        </w:tc>
        <w:tc>
          <w:tcPr>
            <w:tcW w:w="5260" w:type="dxa"/>
            <w:hideMark/>
          </w:tcPr>
          <w:p w14:paraId="52BC6987" w14:textId="08F58127" w:rsidR="007135ED" w:rsidRPr="00210AC6" w:rsidRDefault="007135ED" w:rsidP="003A7B67">
            <w:pPr>
              <w:spacing w:before="0" w:after="0"/>
              <w:rPr>
                <w:rFonts w:eastAsia="Times New Roman" w:cs="Arial"/>
                <w:b/>
                <w:bCs/>
                <w:szCs w:val="16"/>
              </w:rPr>
            </w:pPr>
            <w:r w:rsidRPr="00210AC6">
              <w:rPr>
                <w:rFonts w:eastAsia="Times New Roman" w:cs="Arial"/>
                <w:b/>
                <w:bCs/>
                <w:szCs w:val="16"/>
              </w:rPr>
              <w:t xml:space="preserve">Timely Submission Points </w:t>
            </w:r>
            <w:r w:rsidRPr="00210AC6">
              <w:rPr>
                <w:rFonts w:eastAsia="Times New Roman" w:cs="Arial"/>
                <w:szCs w:val="16"/>
              </w:rPr>
              <w:t xml:space="preserve">-  If the FFY 2021 APR </w:t>
            </w:r>
            <w:proofErr w:type="gramStart"/>
            <w:r w:rsidRPr="00210AC6">
              <w:rPr>
                <w:rFonts w:eastAsia="Times New Roman" w:cs="Arial"/>
                <w:szCs w:val="16"/>
              </w:rPr>
              <w:t>was submitted</w:t>
            </w:r>
            <w:proofErr w:type="gramEnd"/>
            <w:r w:rsidRPr="00210AC6">
              <w:rPr>
                <w:rFonts w:eastAsia="Times New Roman" w:cs="Arial"/>
                <w:szCs w:val="16"/>
              </w:rPr>
              <w:t xml:space="preserve"> on-time, place the number 5 in the cell on the right.</w:t>
            </w:r>
          </w:p>
        </w:tc>
        <w:tc>
          <w:tcPr>
            <w:tcW w:w="2698" w:type="dxa"/>
            <w:hideMark/>
          </w:tcPr>
          <w:p w14:paraId="21294C3E" w14:textId="25337D8A" w:rsidR="007135ED" w:rsidRPr="00210AC6" w:rsidRDefault="007135ED" w:rsidP="006620B0">
            <w:pPr>
              <w:spacing w:before="0" w:after="0"/>
              <w:jc w:val="center"/>
              <w:rPr>
                <w:rFonts w:eastAsia="Times New Roman" w:cs="Arial"/>
                <w:szCs w:val="16"/>
              </w:rPr>
            </w:pPr>
            <w:r w:rsidRPr="00210AC6">
              <w:rPr>
                <w:rFonts w:cs="Arial"/>
                <w:szCs w:val="16"/>
              </w:rPr>
              <w:t>5</w:t>
            </w:r>
          </w:p>
        </w:tc>
      </w:tr>
      <w:tr w:rsidR="007135ED" w:rsidRPr="00210AC6" w14:paraId="5A856B2E" w14:textId="77777777" w:rsidTr="00E31D6F">
        <w:trPr>
          <w:trHeight w:val="432"/>
        </w:trPr>
        <w:tc>
          <w:tcPr>
            <w:tcW w:w="1866" w:type="dxa"/>
            <w:hideMark/>
          </w:tcPr>
          <w:p w14:paraId="71F03087" w14:textId="77777777" w:rsidR="007135ED" w:rsidRPr="00210AC6" w:rsidRDefault="007135ED" w:rsidP="003A7B67">
            <w:pPr>
              <w:spacing w:before="0" w:after="0"/>
              <w:rPr>
                <w:rFonts w:eastAsia="Times New Roman" w:cs="Arial"/>
                <w:b/>
                <w:bCs/>
                <w:szCs w:val="16"/>
              </w:rPr>
            </w:pPr>
          </w:p>
        </w:tc>
        <w:tc>
          <w:tcPr>
            <w:tcW w:w="5260" w:type="dxa"/>
            <w:hideMark/>
          </w:tcPr>
          <w:p w14:paraId="2682AEB2" w14:textId="3292F875" w:rsidR="007135ED" w:rsidRPr="00210AC6" w:rsidRDefault="007135ED" w:rsidP="003A7B67">
            <w:pPr>
              <w:spacing w:before="0" w:after="0"/>
              <w:rPr>
                <w:rFonts w:eastAsia="Times New Roman" w:cs="Arial"/>
                <w:b/>
                <w:bCs/>
                <w:szCs w:val="16"/>
              </w:rPr>
            </w:pPr>
            <w:r w:rsidRPr="00210AC6">
              <w:rPr>
                <w:rFonts w:eastAsia="Times New Roman" w:cs="Arial"/>
                <w:b/>
                <w:bCs/>
                <w:szCs w:val="16"/>
              </w:rPr>
              <w:t>Grand Total</w:t>
            </w:r>
            <w:r w:rsidRPr="00210AC6">
              <w:rPr>
                <w:rFonts w:eastAsia="Times New Roman" w:cs="Arial"/>
                <w:szCs w:val="16"/>
              </w:rPr>
              <w:t xml:space="preserve"> - (Sum of </w:t>
            </w:r>
            <w:r w:rsidR="00214749">
              <w:rPr>
                <w:rFonts w:eastAsia="Times New Roman" w:cs="Arial"/>
                <w:szCs w:val="16"/>
              </w:rPr>
              <w:t>S</w:t>
            </w:r>
            <w:r w:rsidRPr="00210AC6">
              <w:rPr>
                <w:rFonts w:eastAsia="Times New Roman" w:cs="Arial"/>
                <w:szCs w:val="16"/>
              </w:rPr>
              <w:t>ubtotal and Timely Submission Points) =</w:t>
            </w:r>
          </w:p>
        </w:tc>
        <w:tc>
          <w:tcPr>
            <w:tcW w:w="2698" w:type="dxa"/>
            <w:hideMark/>
          </w:tcPr>
          <w:p w14:paraId="7E749BAE" w14:textId="4363CF1B" w:rsidR="007135ED" w:rsidRPr="00210AC6" w:rsidRDefault="007135ED" w:rsidP="006620B0">
            <w:pPr>
              <w:spacing w:before="0" w:after="0"/>
              <w:jc w:val="center"/>
              <w:rPr>
                <w:rFonts w:eastAsia="Times New Roman" w:cs="Arial"/>
                <w:szCs w:val="16"/>
              </w:rPr>
            </w:pPr>
            <w:r w:rsidRPr="00210AC6">
              <w:rPr>
                <w:rFonts w:cs="Arial"/>
                <w:szCs w:val="16"/>
              </w:rPr>
              <w:t>26</w:t>
            </w:r>
          </w:p>
        </w:tc>
      </w:tr>
    </w:tbl>
    <w:p w14:paraId="4B6D9F0C" w14:textId="295BC79F" w:rsidR="00570930" w:rsidRDefault="00570930" w:rsidP="00BE0EEF">
      <w:pPr>
        <w:rPr>
          <w:rFonts w:cs="Arial"/>
          <w:szCs w:val="16"/>
        </w:rPr>
      </w:pPr>
    </w:p>
    <w:p w14:paraId="4105F8D3" w14:textId="77777777" w:rsidR="00570930" w:rsidRDefault="00570930">
      <w:pPr>
        <w:spacing w:before="0" w:after="200" w:line="276" w:lineRule="auto"/>
        <w:rPr>
          <w:rFonts w:cs="Arial"/>
          <w:szCs w:val="16"/>
        </w:rPr>
      </w:pPr>
      <w:r>
        <w:rPr>
          <w:rFonts w:cs="Arial"/>
          <w:szCs w:val="16"/>
        </w:rPr>
        <w:br w:type="page"/>
      </w:r>
    </w:p>
    <w:p w14:paraId="0BF0A0F6" w14:textId="77777777" w:rsidR="00BE0EEF" w:rsidRPr="00210AC6" w:rsidRDefault="00BE0EEF" w:rsidP="00BE0EEF">
      <w:pPr>
        <w:rPr>
          <w:rFonts w:cs="Arial"/>
          <w:szCs w:val="16"/>
        </w:rPr>
      </w:pPr>
    </w:p>
    <w:tbl>
      <w:tblPr>
        <w:tblStyle w:val="TableGrid1"/>
        <w:tblW w:w="9841" w:type="dxa"/>
        <w:tblLayout w:type="fixed"/>
        <w:tblLook w:val="04A0" w:firstRow="1" w:lastRow="0" w:firstColumn="1" w:lastColumn="0" w:noHBand="0" w:noVBand="1"/>
        <w:tblCaption w:val="BRUBCFFYCOLLSTAT"/>
      </w:tblPr>
      <w:tblGrid>
        <w:gridCol w:w="1968"/>
        <w:gridCol w:w="1968"/>
        <w:gridCol w:w="1968"/>
        <w:gridCol w:w="1968"/>
        <w:gridCol w:w="1969"/>
      </w:tblGrid>
      <w:tr w:rsidR="00B42E51" w:rsidRPr="00210AC6" w14:paraId="66E99F64" w14:textId="77777777" w:rsidTr="00E31D6F">
        <w:trPr>
          <w:trHeight w:val="576"/>
          <w:tblHeader/>
        </w:trPr>
        <w:tc>
          <w:tcPr>
            <w:tcW w:w="1968" w:type="dxa"/>
            <w:noWrap/>
            <w:hideMark/>
          </w:tcPr>
          <w:p w14:paraId="484326CB" w14:textId="5FAEFBC5" w:rsidR="00B42E51" w:rsidRPr="00210AC6" w:rsidRDefault="00B42E51" w:rsidP="006620B0">
            <w:pPr>
              <w:spacing w:before="0" w:after="0"/>
              <w:jc w:val="center"/>
              <w:rPr>
                <w:rFonts w:eastAsia="Times New Roman" w:cs="Arial"/>
                <w:b/>
                <w:bCs/>
                <w:szCs w:val="16"/>
              </w:rPr>
            </w:pPr>
          </w:p>
        </w:tc>
        <w:tc>
          <w:tcPr>
            <w:tcW w:w="1968" w:type="dxa"/>
          </w:tcPr>
          <w:p w14:paraId="5334141C" w14:textId="77777777" w:rsidR="00B42E51" w:rsidRPr="00210AC6" w:rsidRDefault="00B42E51" w:rsidP="006620B0">
            <w:pPr>
              <w:spacing w:before="0" w:after="0"/>
              <w:jc w:val="center"/>
              <w:rPr>
                <w:rFonts w:eastAsia="Times New Roman" w:cs="Arial"/>
                <w:b/>
                <w:bCs/>
                <w:szCs w:val="16"/>
              </w:rPr>
            </w:pPr>
          </w:p>
        </w:tc>
        <w:tc>
          <w:tcPr>
            <w:tcW w:w="1968" w:type="dxa"/>
          </w:tcPr>
          <w:p w14:paraId="0FF45243" w14:textId="2E0FEF71" w:rsidR="00B42E51" w:rsidRPr="00210AC6" w:rsidRDefault="00B42E51" w:rsidP="006620B0">
            <w:pPr>
              <w:spacing w:before="0" w:after="0"/>
              <w:jc w:val="center"/>
              <w:rPr>
                <w:rFonts w:eastAsia="Times New Roman" w:cs="Arial"/>
                <w:b/>
                <w:bCs/>
                <w:szCs w:val="16"/>
              </w:rPr>
            </w:pPr>
            <w:r w:rsidRPr="00210AC6">
              <w:rPr>
                <w:rFonts w:eastAsia="Times New Roman" w:cs="Arial"/>
                <w:b/>
                <w:bCs/>
                <w:szCs w:val="16"/>
              </w:rPr>
              <w:t>618 Data</w:t>
            </w:r>
            <w:r w:rsidR="002F6CB6">
              <w:rPr>
                <w:rStyle w:val="FootnoteReference"/>
                <w:rFonts w:eastAsia="Times New Roman" w:cs="Arial"/>
                <w:b/>
                <w:bCs/>
                <w:szCs w:val="16"/>
              </w:rPr>
              <w:footnoteReference w:id="7"/>
            </w:r>
          </w:p>
        </w:tc>
        <w:tc>
          <w:tcPr>
            <w:tcW w:w="1968" w:type="dxa"/>
          </w:tcPr>
          <w:p w14:paraId="2B0490E2" w14:textId="77777777" w:rsidR="00B42E51" w:rsidRPr="00210AC6" w:rsidRDefault="00B42E51" w:rsidP="006620B0">
            <w:pPr>
              <w:spacing w:before="0" w:after="0"/>
              <w:jc w:val="center"/>
              <w:rPr>
                <w:rFonts w:eastAsia="Times New Roman" w:cs="Arial"/>
                <w:b/>
                <w:bCs/>
                <w:szCs w:val="16"/>
              </w:rPr>
            </w:pPr>
          </w:p>
        </w:tc>
        <w:tc>
          <w:tcPr>
            <w:tcW w:w="1969" w:type="dxa"/>
          </w:tcPr>
          <w:p w14:paraId="477B794F" w14:textId="52DB75CD" w:rsidR="00B42E51" w:rsidRPr="00210AC6" w:rsidRDefault="00B42E51" w:rsidP="006620B0">
            <w:pPr>
              <w:spacing w:before="0" w:after="0"/>
              <w:jc w:val="center"/>
              <w:rPr>
                <w:rFonts w:eastAsia="Times New Roman" w:cs="Arial"/>
                <w:b/>
                <w:bCs/>
                <w:szCs w:val="16"/>
              </w:rPr>
            </w:pPr>
          </w:p>
        </w:tc>
      </w:tr>
      <w:tr w:rsidR="00210AC6" w:rsidRPr="00210AC6" w14:paraId="1B30C60F" w14:textId="77777777" w:rsidTr="00E31D6F">
        <w:trPr>
          <w:trHeight w:val="576"/>
        </w:trPr>
        <w:tc>
          <w:tcPr>
            <w:tcW w:w="1968" w:type="dxa"/>
            <w:hideMark/>
          </w:tcPr>
          <w:p w14:paraId="2B94BB69"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Table</w:t>
            </w:r>
          </w:p>
        </w:tc>
        <w:tc>
          <w:tcPr>
            <w:tcW w:w="1968" w:type="dxa"/>
            <w:hideMark/>
          </w:tcPr>
          <w:p w14:paraId="03E67D32"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Timely</w:t>
            </w:r>
          </w:p>
        </w:tc>
        <w:tc>
          <w:tcPr>
            <w:tcW w:w="1968" w:type="dxa"/>
            <w:hideMark/>
          </w:tcPr>
          <w:p w14:paraId="3C5D96AB"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Complete Data</w:t>
            </w:r>
          </w:p>
        </w:tc>
        <w:tc>
          <w:tcPr>
            <w:tcW w:w="1968" w:type="dxa"/>
            <w:hideMark/>
          </w:tcPr>
          <w:p w14:paraId="6D69FE1A"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Passed Edit Check</w:t>
            </w:r>
          </w:p>
        </w:tc>
        <w:tc>
          <w:tcPr>
            <w:tcW w:w="1969" w:type="dxa"/>
            <w:hideMark/>
          </w:tcPr>
          <w:p w14:paraId="16461F70" w14:textId="77777777" w:rsidR="00BE0EEF" w:rsidRPr="00210AC6" w:rsidRDefault="00BE0EEF" w:rsidP="006620B0">
            <w:pPr>
              <w:spacing w:before="0" w:after="0"/>
              <w:jc w:val="center"/>
              <w:rPr>
                <w:rFonts w:eastAsia="Times New Roman" w:cs="Arial"/>
                <w:b/>
                <w:bCs/>
                <w:szCs w:val="16"/>
              </w:rPr>
            </w:pPr>
            <w:r w:rsidRPr="00210AC6">
              <w:rPr>
                <w:rFonts w:eastAsia="Times New Roman" w:cs="Arial"/>
                <w:b/>
                <w:bCs/>
                <w:szCs w:val="16"/>
              </w:rPr>
              <w:t>Total</w:t>
            </w:r>
          </w:p>
        </w:tc>
      </w:tr>
      <w:tr w:rsidR="00934DC4" w:rsidRPr="00210AC6" w14:paraId="732EE18E" w14:textId="77777777" w:rsidTr="00E31D6F">
        <w:trPr>
          <w:trHeight w:val="576"/>
        </w:trPr>
        <w:tc>
          <w:tcPr>
            <w:tcW w:w="1968" w:type="dxa"/>
            <w:hideMark/>
          </w:tcPr>
          <w:p w14:paraId="27C353F2" w14:textId="77777777" w:rsidR="006F0B24" w:rsidRDefault="00934DC4" w:rsidP="006620B0">
            <w:pPr>
              <w:spacing w:before="0" w:after="0"/>
              <w:jc w:val="center"/>
              <w:rPr>
                <w:rFonts w:eastAsia="Times New Roman" w:cs="Arial"/>
                <w:b/>
                <w:bCs/>
                <w:szCs w:val="16"/>
              </w:rPr>
            </w:pPr>
            <w:r w:rsidRPr="00210AC6">
              <w:rPr>
                <w:rFonts w:eastAsia="Times New Roman" w:cs="Arial"/>
                <w:b/>
                <w:bCs/>
                <w:szCs w:val="16"/>
              </w:rPr>
              <w:t>Child Count/</w:t>
            </w:r>
          </w:p>
          <w:p w14:paraId="7C54D2F1" w14:textId="4B527F37" w:rsidR="009926E2" w:rsidRDefault="006F0B24" w:rsidP="006620B0">
            <w:pPr>
              <w:spacing w:before="0" w:after="0"/>
              <w:jc w:val="center"/>
              <w:rPr>
                <w:rFonts w:eastAsia="Times New Roman" w:cs="Arial"/>
                <w:b/>
                <w:bCs/>
                <w:szCs w:val="16"/>
              </w:rPr>
            </w:pPr>
            <w:r w:rsidRPr="00B742B0">
              <w:rPr>
                <w:rFonts w:eastAsia="Times New Roman" w:cs="Arial"/>
                <w:b/>
                <w:bCs/>
                <w:szCs w:val="16"/>
              </w:rPr>
              <w:t>Ed Envs</w:t>
            </w:r>
            <w:r w:rsidR="00934DC4" w:rsidRPr="00210AC6">
              <w:rPr>
                <w:rFonts w:eastAsia="Times New Roman" w:cs="Arial"/>
                <w:b/>
                <w:bCs/>
                <w:szCs w:val="16"/>
              </w:rPr>
              <w:t xml:space="preserve"> </w:t>
            </w:r>
          </w:p>
          <w:p w14:paraId="392AF408" w14:textId="435A5AA9"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Due Date: 4/6/22</w:t>
            </w:r>
          </w:p>
        </w:tc>
        <w:tc>
          <w:tcPr>
            <w:tcW w:w="1968" w:type="dxa"/>
            <w:hideMark/>
          </w:tcPr>
          <w:p w14:paraId="3FE0B4CB" w14:textId="303091E9"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A849A14" w14:textId="6E5106C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3C17ABEF" w14:textId="5D0E9314"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732BD247" w14:textId="5D8F0535"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5D4F6C8" w14:textId="77777777" w:rsidTr="00E31D6F">
        <w:trPr>
          <w:trHeight w:val="576"/>
        </w:trPr>
        <w:tc>
          <w:tcPr>
            <w:tcW w:w="1968" w:type="dxa"/>
            <w:hideMark/>
          </w:tcPr>
          <w:p w14:paraId="688FF6D9" w14:textId="3A12EC22"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Personnel Due Date: 11/2/22</w:t>
            </w:r>
          </w:p>
        </w:tc>
        <w:tc>
          <w:tcPr>
            <w:tcW w:w="1968" w:type="dxa"/>
            <w:hideMark/>
          </w:tcPr>
          <w:p w14:paraId="75FDE32E" w14:textId="4B79AC8A"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280161AF" w14:textId="5A729EB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80D47B8" w14:textId="53025EBE"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1085532F" w14:textId="524E2D44"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4B088669" w14:textId="77777777" w:rsidTr="00E31D6F">
        <w:trPr>
          <w:trHeight w:val="576"/>
        </w:trPr>
        <w:tc>
          <w:tcPr>
            <w:tcW w:w="1968" w:type="dxa"/>
            <w:hideMark/>
          </w:tcPr>
          <w:p w14:paraId="360C4627" w14:textId="02F99DB6"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Exiting Due Date: 11/2/22</w:t>
            </w:r>
          </w:p>
        </w:tc>
        <w:tc>
          <w:tcPr>
            <w:tcW w:w="1968" w:type="dxa"/>
            <w:hideMark/>
          </w:tcPr>
          <w:p w14:paraId="0FEC0470" w14:textId="2CF7216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6C72EDFD" w14:textId="1E759C5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020F0AF" w14:textId="6F5307B8"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5ABE2118" w14:textId="4699A88C"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674E0C51" w14:textId="77777777" w:rsidTr="00E31D6F">
        <w:trPr>
          <w:trHeight w:val="576"/>
        </w:trPr>
        <w:tc>
          <w:tcPr>
            <w:tcW w:w="1968" w:type="dxa"/>
            <w:hideMark/>
          </w:tcPr>
          <w:p w14:paraId="21194B2E" w14:textId="3D23FBED"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Discipline Due Date: 11/2/22</w:t>
            </w:r>
          </w:p>
        </w:tc>
        <w:tc>
          <w:tcPr>
            <w:tcW w:w="1968" w:type="dxa"/>
            <w:hideMark/>
          </w:tcPr>
          <w:p w14:paraId="6265DFCD" w14:textId="6A7295B1"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7947AF3C" w14:textId="2C130027"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E1A82FD" w14:textId="5429E23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6A1FF6DB" w14:textId="36203379"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143C193C" w14:textId="77777777" w:rsidTr="00E31D6F">
        <w:trPr>
          <w:trHeight w:val="576"/>
        </w:trPr>
        <w:tc>
          <w:tcPr>
            <w:tcW w:w="1968" w:type="dxa"/>
            <w:hideMark/>
          </w:tcPr>
          <w:p w14:paraId="383B7AAF" w14:textId="28847E68"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State Assessment Due Date: 12/21/2022</w:t>
            </w:r>
          </w:p>
        </w:tc>
        <w:tc>
          <w:tcPr>
            <w:tcW w:w="1968" w:type="dxa"/>
            <w:hideMark/>
          </w:tcPr>
          <w:p w14:paraId="5CDE5DB2" w14:textId="26881A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9BD5280" w14:textId="7E58B5E0"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F12D45D" w14:textId="2261B7ED"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069C1CA" w14:textId="5EF430EB"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210AC6" w:rsidRPr="00210AC6" w14:paraId="4565B1AE" w14:textId="77777777" w:rsidTr="00E31D6F">
        <w:trPr>
          <w:trHeight w:val="576"/>
        </w:trPr>
        <w:tc>
          <w:tcPr>
            <w:tcW w:w="1968" w:type="dxa"/>
            <w:hideMark/>
          </w:tcPr>
          <w:p w14:paraId="60A0C4C6" w14:textId="7DF214F3"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Dispute Resolution Due Date: 11/2/22</w:t>
            </w:r>
          </w:p>
        </w:tc>
        <w:tc>
          <w:tcPr>
            <w:tcW w:w="1968" w:type="dxa"/>
            <w:hideMark/>
          </w:tcPr>
          <w:p w14:paraId="12A9BFB1" w14:textId="52DD7DF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152BA206" w14:textId="30A77AAB"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45F386E9" w14:textId="08993D3F"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2A8B8478" w14:textId="4853CB93"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5866F31F" w14:textId="77777777" w:rsidTr="00E31D6F">
        <w:trPr>
          <w:trHeight w:val="576"/>
        </w:trPr>
        <w:tc>
          <w:tcPr>
            <w:tcW w:w="1968" w:type="dxa"/>
            <w:hideMark/>
          </w:tcPr>
          <w:p w14:paraId="695E41FD"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MOE/CEIS Due Date:  5/4/22</w:t>
            </w:r>
          </w:p>
        </w:tc>
        <w:tc>
          <w:tcPr>
            <w:tcW w:w="1968" w:type="dxa"/>
            <w:hideMark/>
          </w:tcPr>
          <w:p w14:paraId="601688AF" w14:textId="21FA0D66"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B86927D" w14:textId="186FEAC5"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8" w:type="dxa"/>
            <w:hideMark/>
          </w:tcPr>
          <w:p w14:paraId="54AEBB59" w14:textId="24F195DC" w:rsidR="00934DC4" w:rsidRPr="00210AC6" w:rsidRDefault="00934DC4" w:rsidP="006620B0">
            <w:pPr>
              <w:spacing w:before="0" w:after="0"/>
              <w:jc w:val="center"/>
              <w:rPr>
                <w:rFonts w:eastAsia="Times New Roman" w:cs="Arial"/>
                <w:b/>
                <w:bCs/>
                <w:szCs w:val="16"/>
              </w:rPr>
            </w:pPr>
            <w:r w:rsidRPr="00210AC6">
              <w:rPr>
                <w:rFonts w:cs="Arial"/>
                <w:szCs w:val="16"/>
              </w:rPr>
              <w:t>1</w:t>
            </w:r>
          </w:p>
        </w:tc>
        <w:tc>
          <w:tcPr>
            <w:tcW w:w="1969" w:type="dxa"/>
            <w:noWrap/>
            <w:hideMark/>
          </w:tcPr>
          <w:p w14:paraId="4E561B6D" w14:textId="41132DB6" w:rsidR="00934DC4" w:rsidRPr="00210AC6" w:rsidRDefault="00934DC4" w:rsidP="006620B0">
            <w:pPr>
              <w:spacing w:before="0" w:after="0"/>
              <w:jc w:val="center"/>
              <w:rPr>
                <w:rFonts w:eastAsia="Times New Roman" w:cs="Arial"/>
                <w:b/>
                <w:bCs/>
                <w:szCs w:val="16"/>
              </w:rPr>
            </w:pPr>
            <w:r w:rsidRPr="00210AC6">
              <w:rPr>
                <w:rFonts w:cs="Arial"/>
                <w:szCs w:val="16"/>
              </w:rPr>
              <w:t>3</w:t>
            </w:r>
          </w:p>
        </w:tc>
      </w:tr>
      <w:tr w:rsidR="00934DC4" w:rsidRPr="00210AC6" w14:paraId="3BA4D322" w14:textId="77777777" w:rsidTr="00E31D6F">
        <w:trPr>
          <w:trHeight w:val="576"/>
        </w:trPr>
        <w:tc>
          <w:tcPr>
            <w:tcW w:w="1968" w:type="dxa"/>
            <w:hideMark/>
          </w:tcPr>
          <w:p w14:paraId="595DE473" w14:textId="44DED396" w:rsidR="00934DC4" w:rsidRPr="00210AC6" w:rsidRDefault="00934DC4" w:rsidP="006620B0">
            <w:pPr>
              <w:spacing w:before="0" w:after="0"/>
              <w:jc w:val="center"/>
              <w:rPr>
                <w:rFonts w:eastAsia="Times New Roman" w:cs="Arial"/>
                <w:szCs w:val="16"/>
              </w:rPr>
            </w:pPr>
          </w:p>
        </w:tc>
        <w:tc>
          <w:tcPr>
            <w:tcW w:w="1968" w:type="dxa"/>
          </w:tcPr>
          <w:p w14:paraId="558DD658" w14:textId="33680D9D" w:rsidR="00934DC4" w:rsidRPr="00210AC6" w:rsidRDefault="00934DC4" w:rsidP="006620B0">
            <w:pPr>
              <w:spacing w:before="0" w:after="0"/>
              <w:jc w:val="center"/>
              <w:rPr>
                <w:rFonts w:eastAsia="Times New Roman" w:cs="Arial"/>
                <w:szCs w:val="16"/>
              </w:rPr>
            </w:pPr>
          </w:p>
        </w:tc>
        <w:tc>
          <w:tcPr>
            <w:tcW w:w="1968" w:type="dxa"/>
          </w:tcPr>
          <w:p w14:paraId="0B44652D" w14:textId="39DF1DFF" w:rsidR="00934DC4" w:rsidRPr="00210AC6" w:rsidRDefault="00934DC4" w:rsidP="006620B0">
            <w:pPr>
              <w:spacing w:before="0" w:after="0"/>
              <w:jc w:val="center"/>
              <w:rPr>
                <w:rFonts w:eastAsia="Times New Roman" w:cs="Arial"/>
                <w:szCs w:val="16"/>
              </w:rPr>
            </w:pPr>
          </w:p>
        </w:tc>
        <w:tc>
          <w:tcPr>
            <w:tcW w:w="1968" w:type="dxa"/>
            <w:hideMark/>
          </w:tcPr>
          <w:p w14:paraId="59EA1AE1"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Subtotal</w:t>
            </w:r>
          </w:p>
        </w:tc>
        <w:tc>
          <w:tcPr>
            <w:tcW w:w="1969" w:type="dxa"/>
            <w:noWrap/>
            <w:hideMark/>
          </w:tcPr>
          <w:p w14:paraId="05161809" w14:textId="4066E385" w:rsidR="00934DC4" w:rsidRPr="00210AC6" w:rsidRDefault="00934DC4" w:rsidP="006620B0">
            <w:pPr>
              <w:spacing w:before="0" w:after="0"/>
              <w:jc w:val="center"/>
              <w:rPr>
                <w:rFonts w:eastAsia="Times New Roman" w:cs="Arial"/>
                <w:szCs w:val="16"/>
              </w:rPr>
            </w:pPr>
            <w:r w:rsidRPr="00210AC6">
              <w:rPr>
                <w:rFonts w:cs="Arial"/>
                <w:szCs w:val="16"/>
              </w:rPr>
              <w:t>21</w:t>
            </w:r>
          </w:p>
        </w:tc>
      </w:tr>
      <w:tr w:rsidR="00934DC4" w:rsidRPr="00210AC6" w14:paraId="75034E7A" w14:textId="77777777" w:rsidTr="00E31D6F">
        <w:trPr>
          <w:trHeight w:val="576"/>
        </w:trPr>
        <w:tc>
          <w:tcPr>
            <w:tcW w:w="1968" w:type="dxa"/>
            <w:hideMark/>
          </w:tcPr>
          <w:p w14:paraId="212D4E0B" w14:textId="77777777"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618 Score Calculation</w:t>
            </w:r>
          </w:p>
        </w:tc>
        <w:tc>
          <w:tcPr>
            <w:tcW w:w="1968" w:type="dxa"/>
          </w:tcPr>
          <w:p w14:paraId="6217AD4C" w14:textId="77777777" w:rsidR="00934DC4" w:rsidRPr="00210AC6" w:rsidRDefault="00934DC4" w:rsidP="006620B0">
            <w:pPr>
              <w:spacing w:before="0" w:after="0"/>
              <w:jc w:val="center"/>
              <w:rPr>
                <w:rFonts w:eastAsia="Times New Roman" w:cs="Arial"/>
                <w:b/>
                <w:bCs/>
                <w:szCs w:val="16"/>
              </w:rPr>
            </w:pPr>
          </w:p>
        </w:tc>
        <w:tc>
          <w:tcPr>
            <w:tcW w:w="1968" w:type="dxa"/>
          </w:tcPr>
          <w:p w14:paraId="3D448C3A" w14:textId="084D867E" w:rsidR="00934DC4" w:rsidRPr="00210AC6" w:rsidRDefault="00934DC4" w:rsidP="006620B0">
            <w:pPr>
              <w:spacing w:before="0" w:after="0"/>
              <w:jc w:val="center"/>
              <w:rPr>
                <w:rFonts w:eastAsia="Times New Roman" w:cs="Arial"/>
                <w:b/>
                <w:bCs/>
                <w:szCs w:val="16"/>
              </w:rPr>
            </w:pPr>
          </w:p>
        </w:tc>
        <w:tc>
          <w:tcPr>
            <w:tcW w:w="1968" w:type="dxa"/>
            <w:hideMark/>
          </w:tcPr>
          <w:p w14:paraId="09C474DA" w14:textId="3F8E90EF" w:rsidR="00934DC4" w:rsidRPr="00210AC6" w:rsidRDefault="00934DC4" w:rsidP="006620B0">
            <w:pPr>
              <w:spacing w:before="0" w:after="0"/>
              <w:jc w:val="center"/>
              <w:rPr>
                <w:rFonts w:eastAsia="Times New Roman" w:cs="Arial"/>
                <w:b/>
                <w:bCs/>
                <w:szCs w:val="16"/>
              </w:rPr>
            </w:pPr>
            <w:r w:rsidRPr="00210AC6">
              <w:rPr>
                <w:rFonts w:eastAsia="Times New Roman" w:cs="Arial"/>
                <w:b/>
                <w:bCs/>
                <w:szCs w:val="16"/>
              </w:rPr>
              <w:t xml:space="preserve">Grand Total </w:t>
            </w:r>
            <w:r w:rsidRPr="00210AC6">
              <w:rPr>
                <w:rFonts w:eastAsia="Times New Roman" w:cs="Arial"/>
                <w:szCs w:val="16"/>
              </w:rPr>
              <w:t>(Subtotal X 1.23809524) =</w:t>
            </w:r>
          </w:p>
        </w:tc>
        <w:tc>
          <w:tcPr>
            <w:tcW w:w="1969" w:type="dxa"/>
            <w:noWrap/>
            <w:hideMark/>
          </w:tcPr>
          <w:p w14:paraId="50C37243" w14:textId="39101BED" w:rsidR="00934DC4" w:rsidRPr="00210AC6" w:rsidRDefault="00934DC4" w:rsidP="006620B0">
            <w:pPr>
              <w:spacing w:before="0" w:after="0"/>
              <w:jc w:val="center"/>
              <w:rPr>
                <w:rFonts w:eastAsia="Times New Roman" w:cs="Arial"/>
                <w:szCs w:val="16"/>
              </w:rPr>
            </w:pPr>
            <w:r w:rsidRPr="00210AC6">
              <w:rPr>
                <w:rFonts w:cs="Arial"/>
                <w:szCs w:val="16"/>
              </w:rPr>
              <w:t>26.00</w:t>
            </w:r>
          </w:p>
        </w:tc>
      </w:tr>
    </w:tbl>
    <w:p w14:paraId="19908CB5" w14:textId="6E565737" w:rsidR="00570930" w:rsidRDefault="00570930" w:rsidP="00BE0EEF">
      <w:pPr>
        <w:rPr>
          <w:rFonts w:cs="Arial"/>
          <w:color w:val="000000" w:themeColor="text1"/>
          <w:szCs w:val="16"/>
        </w:rPr>
      </w:pPr>
    </w:p>
    <w:p w14:paraId="015CC089" w14:textId="77777777" w:rsidR="00570930" w:rsidRDefault="00570930">
      <w:pPr>
        <w:spacing w:before="0" w:after="200" w:line="276" w:lineRule="auto"/>
        <w:rPr>
          <w:rFonts w:cs="Arial"/>
          <w:color w:val="000000" w:themeColor="text1"/>
          <w:szCs w:val="16"/>
        </w:rPr>
      </w:pPr>
      <w:r>
        <w:rPr>
          <w:rFonts w:cs="Arial"/>
          <w:color w:val="000000" w:themeColor="text1"/>
          <w:szCs w:val="16"/>
        </w:rPr>
        <w:br w:type="page"/>
      </w:r>
    </w:p>
    <w:p w14:paraId="13C7AD77" w14:textId="77777777" w:rsidR="00BE0EEF" w:rsidRDefault="00BE0EEF" w:rsidP="00BE0EEF">
      <w:pPr>
        <w:rPr>
          <w:rFonts w:cs="Arial"/>
          <w:color w:val="000000" w:themeColor="text1"/>
          <w:szCs w:val="16"/>
        </w:rPr>
      </w:pPr>
    </w:p>
    <w:tbl>
      <w:tblPr>
        <w:tblStyle w:val="TableGrid1"/>
        <w:tblW w:w="9839" w:type="dxa"/>
        <w:tblLook w:val="04A0" w:firstRow="1" w:lastRow="0" w:firstColumn="1" w:lastColumn="0" w:noHBand="0" w:noVBand="1"/>
        <w:tblCaption w:val="BRUBCFFYINDCALC"/>
      </w:tblPr>
      <w:tblGrid>
        <w:gridCol w:w="4919"/>
        <w:gridCol w:w="4920"/>
      </w:tblGrid>
      <w:tr w:rsidR="003521AD" w:rsidRPr="00210AC6" w14:paraId="204BD583" w14:textId="77777777" w:rsidTr="00714F02">
        <w:trPr>
          <w:trHeight w:val="432"/>
          <w:tblHeader/>
        </w:trPr>
        <w:tc>
          <w:tcPr>
            <w:tcW w:w="4919" w:type="dxa"/>
            <w:hideMark/>
          </w:tcPr>
          <w:p w14:paraId="59C2C8B0" w14:textId="6E3F554B" w:rsidR="003521AD" w:rsidRDefault="00E31D6F" w:rsidP="003521AD">
            <w:pPr>
              <w:spacing w:before="0" w:after="0"/>
              <w:jc w:val="center"/>
              <w:rPr>
                <w:rFonts w:eastAsia="Times New Roman" w:cs="Arial"/>
                <w:b/>
                <w:bCs/>
                <w:szCs w:val="16"/>
              </w:rPr>
            </w:pPr>
            <w:r>
              <w:rPr>
                <w:rFonts w:cs="Arial"/>
                <w:color w:val="000000" w:themeColor="text1"/>
                <w:szCs w:val="16"/>
              </w:rPr>
              <w:br w:type="page"/>
            </w:r>
            <w:r w:rsidR="003521AD" w:rsidRPr="00210AC6">
              <w:rPr>
                <w:rFonts w:eastAsia="Times New Roman" w:cs="Arial"/>
                <w:b/>
                <w:bCs/>
                <w:szCs w:val="16"/>
              </w:rPr>
              <w:t>Indicator Calculation</w:t>
            </w:r>
          </w:p>
        </w:tc>
        <w:tc>
          <w:tcPr>
            <w:tcW w:w="4920" w:type="dxa"/>
          </w:tcPr>
          <w:p w14:paraId="5972B30D" w14:textId="2CF704DA" w:rsidR="003521AD" w:rsidRPr="00210AC6" w:rsidRDefault="003521AD" w:rsidP="003521AD">
            <w:pPr>
              <w:spacing w:before="0" w:after="0"/>
              <w:rPr>
                <w:rFonts w:eastAsia="Times New Roman" w:cs="Arial"/>
                <w:b/>
                <w:bCs/>
                <w:szCs w:val="16"/>
              </w:rPr>
            </w:pPr>
          </w:p>
        </w:tc>
      </w:tr>
      <w:tr w:rsidR="00435E51" w:rsidRPr="00210AC6" w14:paraId="2A6102B0" w14:textId="77777777" w:rsidTr="00714F02">
        <w:trPr>
          <w:trHeight w:val="432"/>
        </w:trPr>
        <w:tc>
          <w:tcPr>
            <w:tcW w:w="4919" w:type="dxa"/>
            <w:hideMark/>
          </w:tcPr>
          <w:p w14:paraId="184AC9A0" w14:textId="77777777" w:rsidR="00435E51" w:rsidRPr="00210AC6" w:rsidRDefault="00435E51" w:rsidP="00435E51">
            <w:pPr>
              <w:spacing w:before="0" w:after="0"/>
              <w:rPr>
                <w:rFonts w:eastAsia="Times New Roman" w:cs="Arial"/>
                <w:szCs w:val="16"/>
              </w:rPr>
            </w:pPr>
            <w:r w:rsidRPr="00210AC6">
              <w:rPr>
                <w:rFonts w:eastAsia="Times New Roman" w:cs="Arial"/>
                <w:szCs w:val="16"/>
              </w:rPr>
              <w:t>A. APR Grand Total</w:t>
            </w:r>
          </w:p>
        </w:tc>
        <w:tc>
          <w:tcPr>
            <w:tcW w:w="4920" w:type="dxa"/>
            <w:hideMark/>
          </w:tcPr>
          <w:p w14:paraId="0825BA19" w14:textId="54223086" w:rsidR="00435E51" w:rsidRPr="00210AC6" w:rsidRDefault="00435E51" w:rsidP="00435E51">
            <w:pPr>
              <w:spacing w:before="0" w:after="0"/>
              <w:rPr>
                <w:rFonts w:eastAsia="Times New Roman" w:cs="Arial"/>
                <w:szCs w:val="16"/>
              </w:rPr>
            </w:pPr>
            <w:r w:rsidRPr="00210AC6">
              <w:rPr>
                <w:rFonts w:cs="Arial"/>
                <w:szCs w:val="16"/>
              </w:rPr>
              <w:t>26</w:t>
            </w:r>
          </w:p>
        </w:tc>
      </w:tr>
      <w:tr w:rsidR="00435E51" w:rsidRPr="00210AC6" w14:paraId="190B3554" w14:textId="77777777" w:rsidTr="00714F02">
        <w:trPr>
          <w:trHeight w:val="432"/>
        </w:trPr>
        <w:tc>
          <w:tcPr>
            <w:tcW w:w="4919" w:type="dxa"/>
            <w:hideMark/>
          </w:tcPr>
          <w:p w14:paraId="66B0D6DA" w14:textId="77777777" w:rsidR="00435E51" w:rsidRPr="00210AC6" w:rsidRDefault="00435E51" w:rsidP="00435E51">
            <w:pPr>
              <w:spacing w:before="0" w:after="0"/>
              <w:rPr>
                <w:rFonts w:eastAsia="Times New Roman" w:cs="Arial"/>
                <w:szCs w:val="16"/>
              </w:rPr>
            </w:pPr>
            <w:r w:rsidRPr="00210AC6">
              <w:rPr>
                <w:rFonts w:eastAsia="Times New Roman" w:cs="Arial"/>
                <w:szCs w:val="16"/>
              </w:rPr>
              <w:t>B. 618 Grand Total</w:t>
            </w:r>
          </w:p>
        </w:tc>
        <w:tc>
          <w:tcPr>
            <w:tcW w:w="4920" w:type="dxa"/>
            <w:hideMark/>
          </w:tcPr>
          <w:p w14:paraId="292F5CE3" w14:textId="3D2DF12B" w:rsidR="00435E51" w:rsidRPr="00210AC6" w:rsidRDefault="00435E51" w:rsidP="00435E51">
            <w:pPr>
              <w:spacing w:before="0" w:after="0"/>
              <w:rPr>
                <w:rFonts w:eastAsia="Times New Roman" w:cs="Arial"/>
                <w:szCs w:val="16"/>
              </w:rPr>
            </w:pPr>
            <w:r w:rsidRPr="00435E51">
              <w:t>26.00</w:t>
            </w:r>
          </w:p>
        </w:tc>
      </w:tr>
      <w:tr w:rsidR="00435E51" w:rsidRPr="00210AC6" w14:paraId="7044E659" w14:textId="77777777" w:rsidTr="00714F02">
        <w:trPr>
          <w:trHeight w:val="432"/>
        </w:trPr>
        <w:tc>
          <w:tcPr>
            <w:tcW w:w="4919" w:type="dxa"/>
            <w:hideMark/>
          </w:tcPr>
          <w:p w14:paraId="5E098838" w14:textId="77777777" w:rsidR="00435E51" w:rsidRPr="00210AC6" w:rsidRDefault="00435E51" w:rsidP="00435E51">
            <w:pPr>
              <w:spacing w:before="0" w:after="0"/>
              <w:rPr>
                <w:rFonts w:eastAsia="Times New Roman" w:cs="Arial"/>
                <w:szCs w:val="16"/>
              </w:rPr>
            </w:pPr>
            <w:r w:rsidRPr="00210AC6">
              <w:rPr>
                <w:rFonts w:eastAsia="Times New Roman" w:cs="Arial"/>
                <w:szCs w:val="16"/>
              </w:rPr>
              <w:t>C. APR Grand Total (A) + 618 Grand Total (B) =</w:t>
            </w:r>
          </w:p>
        </w:tc>
        <w:tc>
          <w:tcPr>
            <w:tcW w:w="4920" w:type="dxa"/>
            <w:hideMark/>
          </w:tcPr>
          <w:p w14:paraId="2EBBA8BB" w14:textId="582D281B" w:rsidR="00435E51" w:rsidRPr="00210AC6" w:rsidRDefault="00435E51" w:rsidP="00435E51">
            <w:pPr>
              <w:spacing w:before="0" w:after="0"/>
              <w:rPr>
                <w:rFonts w:eastAsia="Times New Roman" w:cs="Arial"/>
                <w:szCs w:val="16"/>
              </w:rPr>
            </w:pPr>
            <w:r w:rsidRPr="00C1283C">
              <w:t>52.00</w:t>
            </w:r>
          </w:p>
        </w:tc>
      </w:tr>
      <w:tr w:rsidR="00435E51" w:rsidRPr="00210AC6" w14:paraId="6E235E7C" w14:textId="77777777" w:rsidTr="00714F02">
        <w:trPr>
          <w:trHeight w:val="432"/>
        </w:trPr>
        <w:tc>
          <w:tcPr>
            <w:tcW w:w="4919" w:type="dxa"/>
            <w:hideMark/>
          </w:tcPr>
          <w:p w14:paraId="1E45CB10" w14:textId="36E72B3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APR Data Table Subtracted from Denominator</w:t>
            </w:r>
          </w:p>
        </w:tc>
        <w:tc>
          <w:tcPr>
            <w:tcW w:w="4920" w:type="dxa"/>
            <w:hideMark/>
          </w:tcPr>
          <w:p w14:paraId="768BD97C" w14:textId="60485CAD" w:rsidR="00435E51" w:rsidRPr="00210AC6" w:rsidRDefault="00435E51" w:rsidP="00435E51">
            <w:pPr>
              <w:spacing w:before="0" w:after="0"/>
              <w:rPr>
                <w:rFonts w:eastAsia="Times New Roman" w:cs="Arial"/>
                <w:szCs w:val="16"/>
              </w:rPr>
            </w:pPr>
            <w:r w:rsidRPr="00C1283C">
              <w:t>0</w:t>
            </w:r>
          </w:p>
        </w:tc>
      </w:tr>
      <w:tr w:rsidR="00435E51" w:rsidRPr="00210AC6" w14:paraId="1162D2AC" w14:textId="77777777" w:rsidTr="00714F02">
        <w:trPr>
          <w:trHeight w:val="432"/>
        </w:trPr>
        <w:tc>
          <w:tcPr>
            <w:tcW w:w="4919" w:type="dxa"/>
            <w:hideMark/>
          </w:tcPr>
          <w:p w14:paraId="5DEC9F60" w14:textId="5D7276DC" w:rsidR="00435E51" w:rsidRPr="00210AC6" w:rsidRDefault="00435E51" w:rsidP="00435E51">
            <w:pPr>
              <w:spacing w:before="0" w:after="0"/>
              <w:jc w:val="right"/>
              <w:rPr>
                <w:rFonts w:eastAsia="Times New Roman" w:cs="Arial"/>
                <w:szCs w:val="16"/>
              </w:rPr>
            </w:pPr>
            <w:r w:rsidRPr="00210AC6">
              <w:rPr>
                <w:rFonts w:eastAsia="Times New Roman" w:cs="Arial"/>
                <w:szCs w:val="16"/>
              </w:rPr>
              <w:t>Total N/A Points in 618 Data Table Subtracted from Denominator</w:t>
            </w:r>
          </w:p>
        </w:tc>
        <w:tc>
          <w:tcPr>
            <w:tcW w:w="4920" w:type="dxa"/>
            <w:hideMark/>
          </w:tcPr>
          <w:p w14:paraId="59AB081B" w14:textId="0EC0F562" w:rsidR="00435E51" w:rsidRPr="00210AC6" w:rsidRDefault="00435E51" w:rsidP="00435E51">
            <w:pPr>
              <w:spacing w:before="0" w:after="0"/>
              <w:rPr>
                <w:rFonts w:eastAsia="Times New Roman" w:cs="Arial"/>
                <w:szCs w:val="16"/>
              </w:rPr>
            </w:pPr>
            <w:r w:rsidRPr="00C1283C">
              <w:t>0.00</w:t>
            </w:r>
          </w:p>
        </w:tc>
      </w:tr>
      <w:tr w:rsidR="00435E51" w:rsidRPr="00210AC6" w14:paraId="028FED6F" w14:textId="77777777" w:rsidTr="00714F02">
        <w:trPr>
          <w:trHeight w:val="432"/>
        </w:trPr>
        <w:tc>
          <w:tcPr>
            <w:tcW w:w="4919" w:type="dxa"/>
            <w:hideMark/>
          </w:tcPr>
          <w:p w14:paraId="1738C251" w14:textId="1F807C1C" w:rsidR="00435E51" w:rsidRPr="00210AC6" w:rsidRDefault="00E31D6F" w:rsidP="00435E51">
            <w:pPr>
              <w:spacing w:before="0" w:after="0"/>
              <w:jc w:val="right"/>
              <w:rPr>
                <w:rFonts w:eastAsia="Times New Roman" w:cs="Arial"/>
                <w:b/>
                <w:bCs/>
                <w:szCs w:val="16"/>
              </w:rPr>
            </w:pPr>
            <w:r>
              <w:rPr>
                <w:rFonts w:eastAsia="Times New Roman" w:cs="Arial"/>
                <w:b/>
                <w:bCs/>
                <w:szCs w:val="16"/>
              </w:rPr>
              <w:t>Denominator</w:t>
            </w:r>
          </w:p>
        </w:tc>
        <w:tc>
          <w:tcPr>
            <w:tcW w:w="4920" w:type="dxa"/>
            <w:hideMark/>
          </w:tcPr>
          <w:p w14:paraId="778348E2" w14:textId="6564F030" w:rsidR="00435E51" w:rsidRPr="00210AC6" w:rsidRDefault="00435E51" w:rsidP="00435E51">
            <w:pPr>
              <w:spacing w:before="0" w:after="0"/>
              <w:rPr>
                <w:rFonts w:eastAsia="Times New Roman" w:cs="Arial"/>
                <w:szCs w:val="16"/>
              </w:rPr>
            </w:pPr>
            <w:r w:rsidRPr="00C1283C">
              <w:t>52.00</w:t>
            </w:r>
          </w:p>
        </w:tc>
      </w:tr>
      <w:tr w:rsidR="00435E51" w:rsidRPr="00210AC6" w14:paraId="6982C8B2" w14:textId="77777777" w:rsidTr="00714F02">
        <w:trPr>
          <w:trHeight w:val="432"/>
        </w:trPr>
        <w:tc>
          <w:tcPr>
            <w:tcW w:w="4919" w:type="dxa"/>
            <w:hideMark/>
          </w:tcPr>
          <w:p w14:paraId="66945B04" w14:textId="5A297E13" w:rsidR="00435E51" w:rsidRPr="00210AC6" w:rsidRDefault="00435E51" w:rsidP="00435E51">
            <w:pPr>
              <w:spacing w:before="0" w:after="0"/>
              <w:rPr>
                <w:rFonts w:eastAsia="Times New Roman" w:cs="Arial"/>
                <w:szCs w:val="16"/>
              </w:rPr>
            </w:pPr>
            <w:r w:rsidRPr="00210AC6">
              <w:rPr>
                <w:rFonts w:eastAsia="Times New Roman" w:cs="Arial"/>
                <w:szCs w:val="16"/>
              </w:rPr>
              <w:t>D. Subtotal (C divided by Denominator*) =</w:t>
            </w:r>
          </w:p>
        </w:tc>
        <w:tc>
          <w:tcPr>
            <w:tcW w:w="4920" w:type="dxa"/>
            <w:hideMark/>
          </w:tcPr>
          <w:p w14:paraId="6474A249" w14:textId="2043387F" w:rsidR="00435E51" w:rsidRPr="00210AC6" w:rsidRDefault="00435E51" w:rsidP="00435E51">
            <w:pPr>
              <w:spacing w:before="0" w:after="0"/>
              <w:rPr>
                <w:rFonts w:eastAsia="Times New Roman" w:cs="Arial"/>
                <w:szCs w:val="16"/>
              </w:rPr>
            </w:pPr>
            <w:r w:rsidRPr="00C1283C">
              <w:t>1.0000</w:t>
            </w:r>
          </w:p>
        </w:tc>
      </w:tr>
      <w:tr w:rsidR="00435E51" w:rsidRPr="00210AC6" w14:paraId="7D8A43BC" w14:textId="77777777" w:rsidTr="00714F02">
        <w:trPr>
          <w:trHeight w:val="432"/>
        </w:trPr>
        <w:tc>
          <w:tcPr>
            <w:tcW w:w="4919" w:type="dxa"/>
            <w:hideMark/>
          </w:tcPr>
          <w:p w14:paraId="595A505F" w14:textId="77777777" w:rsidR="00435E51" w:rsidRPr="00210AC6" w:rsidRDefault="00435E51" w:rsidP="00435E51">
            <w:pPr>
              <w:spacing w:before="0" w:after="0"/>
              <w:rPr>
                <w:rFonts w:eastAsia="Times New Roman" w:cs="Arial"/>
                <w:szCs w:val="16"/>
              </w:rPr>
            </w:pPr>
            <w:r w:rsidRPr="00210AC6">
              <w:rPr>
                <w:rFonts w:eastAsia="Times New Roman" w:cs="Arial"/>
                <w:szCs w:val="16"/>
              </w:rPr>
              <w:t>E. Indicator Score (Subtotal D x 100) =</w:t>
            </w:r>
          </w:p>
        </w:tc>
        <w:tc>
          <w:tcPr>
            <w:tcW w:w="4920" w:type="dxa"/>
            <w:hideMark/>
          </w:tcPr>
          <w:p w14:paraId="78CA2214" w14:textId="6B3E20AB" w:rsidR="00435E51" w:rsidRPr="00210AC6" w:rsidRDefault="00435E51" w:rsidP="00435E51">
            <w:pPr>
              <w:spacing w:before="0" w:after="0"/>
              <w:rPr>
                <w:rFonts w:eastAsia="Times New Roman" w:cs="Arial"/>
                <w:szCs w:val="16"/>
              </w:rPr>
            </w:pPr>
            <w:r w:rsidRPr="00C1283C">
              <w:t>100.00</w:t>
            </w:r>
          </w:p>
        </w:tc>
      </w:tr>
    </w:tbl>
    <w:p w14:paraId="769E196A" w14:textId="77777777" w:rsidR="001853BF" w:rsidRDefault="001853BF" w:rsidP="00B42C5F">
      <w:pPr>
        <w:rPr>
          <w:rFonts w:eastAsia="Times New Roman" w:cs="Arial"/>
          <w:b/>
          <w:bCs/>
          <w:szCs w:val="16"/>
        </w:rPr>
      </w:pPr>
    </w:p>
    <w:p w14:paraId="5EFBC357" w14:textId="33BA4787" w:rsidR="00F02F41" w:rsidRDefault="001853BF" w:rsidP="00D12506">
      <w:pPr>
        <w:rPr>
          <w:rFonts w:eastAsia="Times New Roman" w:cs="Arial"/>
          <w:b/>
          <w:bCs/>
          <w:szCs w:val="16"/>
        </w:rPr>
      </w:pPr>
      <w:r w:rsidRPr="00210AC6">
        <w:rPr>
          <w:rFonts w:eastAsia="Times New Roman" w:cs="Arial"/>
          <w:b/>
          <w:bCs/>
          <w:szCs w:val="16"/>
        </w:rPr>
        <w:t xml:space="preserve">*Note that any cell marked as N/A in the APR Data Table will decrease the denominator by </w:t>
      </w:r>
      <w:proofErr w:type="gramStart"/>
      <w:r w:rsidRPr="00210AC6">
        <w:rPr>
          <w:rFonts w:eastAsia="Times New Roman" w:cs="Arial"/>
          <w:b/>
          <w:bCs/>
          <w:szCs w:val="16"/>
        </w:rPr>
        <w:t>1</w:t>
      </w:r>
      <w:proofErr w:type="gramEnd"/>
      <w:r w:rsidRPr="00210AC6">
        <w:rPr>
          <w:rFonts w:eastAsia="Times New Roman" w:cs="Arial"/>
          <w:b/>
          <w:bCs/>
          <w:szCs w:val="16"/>
        </w:rPr>
        <w:t>, and any cell marked as N/A in the 618 Data Table will decrease the denominator by 1.23809524.</w:t>
      </w:r>
    </w:p>
    <w:p w14:paraId="78EE533A" w14:textId="403F6F0A" w:rsidR="0078594A" w:rsidRDefault="00D8678D" w:rsidP="00D12506">
      <w:pPr>
        <w:rPr>
          <w:rFonts w:eastAsia="Times New Roman" w:cs="Arial"/>
          <w:b/>
          <w:bCs/>
          <w:szCs w:val="16"/>
        </w:rPr>
      </w:pPr>
      <w:r>
        <w:rPr>
          <w:rFonts w:eastAsia="Times New Roman" w:cs="Arial"/>
          <w:b/>
          <w:bCs/>
          <w:szCs w:val="16"/>
        </w:rPr>
        <w:t>_________________________________________________________________________________________________________________________</w:t>
      </w:r>
    </w:p>
    <w:p w14:paraId="7D8DC835" w14:textId="77777777" w:rsidR="0078594A" w:rsidRDefault="0078594A" w:rsidP="00D12506">
      <w:pPr>
        <w:rPr>
          <w:rFonts w:eastAsia="Times New Roman" w:cs="Arial"/>
          <w:b/>
          <w:bCs/>
          <w:szCs w:val="16"/>
        </w:rPr>
      </w:pPr>
    </w:p>
    <w:p w14:paraId="7BAA8128" w14:textId="77777777" w:rsidR="0078594A" w:rsidRDefault="0078594A" w:rsidP="00D12506">
      <w:pPr>
        <w:rPr>
          <w:rFonts w:eastAsia="Times New Roman" w:cs="Arial"/>
          <w:b/>
          <w:bCs/>
          <w:szCs w:val="16"/>
        </w:rPr>
      </w:pPr>
    </w:p>
    <w:p w14:paraId="1680CB83" w14:textId="77777777" w:rsidR="0078594A" w:rsidRDefault="0078594A" w:rsidP="00D12506"/>
    <w:p w14:paraId="6EA24703" w14:textId="77777777" w:rsidR="00D84A0A" w:rsidRDefault="00D84A0A" w:rsidP="00D84A0A">
      <w:pPr>
        <w:spacing w:before="0" w:after="200" w:line="276" w:lineRule="auto"/>
      </w:pPr>
    </w:p>
    <w:p w14:paraId="130C5698" w14:textId="7694A105" w:rsidR="00D84A0A" w:rsidRPr="003A34C1" w:rsidRDefault="00D84A0A" w:rsidP="00D84A0A">
      <w:pPr>
        <w:spacing w:before="0" w:after="200" w:line="276" w:lineRule="auto"/>
      </w:pPr>
      <w:r>
        <w:br w:type="page"/>
      </w:r>
    </w:p>
    <w:p w14:paraId="37CA7204" w14:textId="77777777" w:rsidR="004777CA" w:rsidRPr="008A41E6" w:rsidRDefault="004777CA" w:rsidP="004777CA">
      <w:pPr>
        <w:rPr>
          <w:b/>
          <w:bCs/>
          <w:sz w:val="20"/>
          <w:szCs w:val="28"/>
        </w:rPr>
      </w:pPr>
      <w:r w:rsidRPr="008A41E6">
        <w:rPr>
          <w:b/>
          <w:bCs/>
          <w:sz w:val="20"/>
          <w:szCs w:val="28"/>
        </w:rPr>
        <w:lastRenderedPageBreak/>
        <w:t>APR and 618 -Timely and Accurate State Reported Data</w:t>
      </w:r>
    </w:p>
    <w:p w14:paraId="6C84D9C5" w14:textId="77777777" w:rsidR="004777CA" w:rsidRDefault="004777CA" w:rsidP="004777CA"/>
    <w:p w14:paraId="3FA33DFF" w14:textId="77777777" w:rsidR="004777CA" w:rsidRPr="008A41E6" w:rsidRDefault="004777CA" w:rsidP="004777CA">
      <w:pPr>
        <w:rPr>
          <w:b/>
          <w:bCs/>
        </w:rPr>
      </w:pPr>
      <w:r w:rsidRPr="008A41E6">
        <w:rPr>
          <w:b/>
          <w:bCs/>
        </w:rPr>
        <w:t>DATE: February 2023 Submission</w:t>
      </w:r>
    </w:p>
    <w:p w14:paraId="748E3AF9" w14:textId="77777777" w:rsidR="004777CA" w:rsidRDefault="004777CA" w:rsidP="004777CA"/>
    <w:p w14:paraId="51D89716" w14:textId="30A47721" w:rsidR="00EF6405" w:rsidRPr="00EF6405" w:rsidRDefault="00EF6405" w:rsidP="004777CA">
      <w:pPr>
        <w:rPr>
          <w:b/>
          <w:bCs/>
        </w:rPr>
      </w:pPr>
      <w:r w:rsidRPr="00EF6405">
        <w:rPr>
          <w:b/>
          <w:bCs/>
        </w:rPr>
        <w:t>SPP/APR Data</w:t>
      </w:r>
    </w:p>
    <w:p w14:paraId="2BC0BE25" w14:textId="77777777" w:rsidR="00EF6405" w:rsidRDefault="00EF6405" w:rsidP="004777CA"/>
    <w:p w14:paraId="0F794C69" w14:textId="77777777" w:rsidR="004777CA" w:rsidRDefault="004777CA" w:rsidP="004777CA">
      <w:r w:rsidRPr="008A41E6">
        <w:rPr>
          <w:b/>
          <w:bCs/>
        </w:rPr>
        <w:t>1) Valid and Reliable Data</w:t>
      </w:r>
      <w:r w:rsidRPr="008A41E6">
        <w:t xml:space="preserve"> - Data provided </w:t>
      </w:r>
      <w:proofErr w:type="gramStart"/>
      <w:r w:rsidRPr="008A41E6">
        <w:t>are</w:t>
      </w:r>
      <w:proofErr w:type="gramEnd"/>
      <w:r w:rsidRPr="008A41E6">
        <w:t xml:space="preserve"> from the correct time period, are consistent with 618 (when appropriate) and the </w:t>
      </w:r>
      <w:proofErr w:type="gramStart"/>
      <w:r w:rsidRPr="008A41E6">
        <w:t>measurement, and</w:t>
      </w:r>
      <w:proofErr w:type="gramEnd"/>
      <w:r w:rsidRPr="008A41E6">
        <w:t xml:space="preserve"> are consistent with previous indicator data (unless explained).</w:t>
      </w:r>
    </w:p>
    <w:p w14:paraId="3B7505A0" w14:textId="77777777" w:rsidR="004777CA" w:rsidRDefault="004777CA" w:rsidP="004777CA"/>
    <w:p w14:paraId="1365AEC8" w14:textId="77944949" w:rsidR="004777CA" w:rsidRDefault="004777CA" w:rsidP="004777CA">
      <w:r w:rsidRPr="008A41E6">
        <w:rPr>
          <w:b/>
          <w:bCs/>
        </w:rPr>
        <w:t>Part B 618 Data</w:t>
      </w:r>
    </w:p>
    <w:p w14:paraId="3EEEF876" w14:textId="77777777" w:rsidR="004777CA" w:rsidRDefault="004777CA" w:rsidP="004777CA"/>
    <w:p w14:paraId="5BAC76FC" w14:textId="005D8856" w:rsidR="004777CA" w:rsidRPr="004777CA" w:rsidRDefault="004777CA" w:rsidP="004777CA">
      <w:r w:rsidRPr="004777CA">
        <w:rPr>
          <w:b/>
          <w:bCs/>
        </w:rPr>
        <w:t xml:space="preserve">1) Timely </w:t>
      </w:r>
      <w:r w:rsidRPr="004777CA">
        <w:t>–   A State will receive one point if it submits all EDFacts files or the entire EMAPS survey associated with the IDEA Section 618 data collection to ED by the initial due date for that collection (as described the table below)</w:t>
      </w:r>
      <w:proofErr w:type="gramStart"/>
      <w:r w:rsidRPr="004777CA">
        <w:t xml:space="preserve">.  </w:t>
      </w:r>
      <w:proofErr w:type="gramEnd"/>
      <w:r w:rsidRPr="004777CA">
        <w:t xml:space="preserve">  </w:t>
      </w:r>
    </w:p>
    <w:p w14:paraId="1F43F1D5" w14:textId="77777777" w:rsidR="004777CA" w:rsidRDefault="004777CA" w:rsidP="004777CA"/>
    <w:tbl>
      <w:tblPr>
        <w:tblStyle w:val="TableGrid"/>
        <w:tblW w:w="0" w:type="auto"/>
        <w:tblLook w:val="04A0" w:firstRow="1" w:lastRow="0" w:firstColumn="1" w:lastColumn="0" w:noHBand="0" w:noVBand="1"/>
        <w:tblCaption w:val="BRUBCFFYREADME"/>
      </w:tblPr>
      <w:tblGrid>
        <w:gridCol w:w="2605"/>
        <w:gridCol w:w="3617"/>
        <w:gridCol w:w="3618"/>
      </w:tblGrid>
      <w:tr w:rsidR="004777CA" w:rsidRPr="004777CA" w14:paraId="4472B9F9" w14:textId="77777777" w:rsidTr="004777CA">
        <w:trPr>
          <w:trHeight w:val="20"/>
        </w:trPr>
        <w:tc>
          <w:tcPr>
            <w:tcW w:w="2605" w:type="dxa"/>
            <w:hideMark/>
          </w:tcPr>
          <w:p w14:paraId="1648227D" w14:textId="77777777" w:rsidR="004777CA" w:rsidRPr="004777CA" w:rsidRDefault="004777CA" w:rsidP="004777CA">
            <w:pPr>
              <w:rPr>
                <w:b/>
                <w:bCs/>
              </w:rPr>
            </w:pPr>
            <w:r w:rsidRPr="004777CA">
              <w:rPr>
                <w:b/>
                <w:bCs/>
              </w:rPr>
              <w:t>618 Data Collection</w:t>
            </w:r>
          </w:p>
        </w:tc>
        <w:tc>
          <w:tcPr>
            <w:tcW w:w="3617" w:type="dxa"/>
            <w:hideMark/>
          </w:tcPr>
          <w:p w14:paraId="685FDACB" w14:textId="77777777" w:rsidR="004777CA" w:rsidRPr="004777CA" w:rsidRDefault="004777CA">
            <w:pPr>
              <w:rPr>
                <w:b/>
                <w:bCs/>
              </w:rPr>
            </w:pPr>
            <w:r w:rsidRPr="004777CA">
              <w:rPr>
                <w:b/>
                <w:bCs/>
              </w:rPr>
              <w:t>EDFacts Files/ EMAPS Survey</w:t>
            </w:r>
          </w:p>
        </w:tc>
        <w:tc>
          <w:tcPr>
            <w:tcW w:w="3618" w:type="dxa"/>
            <w:hideMark/>
          </w:tcPr>
          <w:p w14:paraId="40597F3A" w14:textId="77777777" w:rsidR="004777CA" w:rsidRPr="004777CA" w:rsidRDefault="004777CA">
            <w:pPr>
              <w:rPr>
                <w:b/>
                <w:bCs/>
              </w:rPr>
            </w:pPr>
            <w:r w:rsidRPr="004777CA">
              <w:rPr>
                <w:b/>
                <w:bCs/>
              </w:rPr>
              <w:t>Due Date</w:t>
            </w:r>
          </w:p>
        </w:tc>
      </w:tr>
      <w:tr w:rsidR="004777CA" w:rsidRPr="004777CA" w14:paraId="5AB489B7" w14:textId="77777777" w:rsidTr="004777CA">
        <w:trPr>
          <w:trHeight w:val="20"/>
        </w:trPr>
        <w:tc>
          <w:tcPr>
            <w:tcW w:w="2605" w:type="dxa"/>
            <w:hideMark/>
          </w:tcPr>
          <w:p w14:paraId="00556080" w14:textId="77777777" w:rsidR="004777CA" w:rsidRPr="004777CA" w:rsidRDefault="004777CA">
            <w:r w:rsidRPr="004777CA">
              <w:t>Part B Child Count and Educational Environments</w:t>
            </w:r>
          </w:p>
        </w:tc>
        <w:tc>
          <w:tcPr>
            <w:tcW w:w="3617" w:type="dxa"/>
            <w:hideMark/>
          </w:tcPr>
          <w:p w14:paraId="6663B636" w14:textId="77777777" w:rsidR="004777CA" w:rsidRPr="004777CA" w:rsidRDefault="004777CA">
            <w:r w:rsidRPr="004777CA">
              <w:t>C002 &amp; C089</w:t>
            </w:r>
          </w:p>
        </w:tc>
        <w:tc>
          <w:tcPr>
            <w:tcW w:w="3618" w:type="dxa"/>
            <w:hideMark/>
          </w:tcPr>
          <w:p w14:paraId="1A5219CD" w14:textId="77777777" w:rsidR="004777CA" w:rsidRPr="004777CA" w:rsidRDefault="004777CA">
            <w:r w:rsidRPr="004777CA">
              <w:t>1</w:t>
            </w:r>
            <w:r w:rsidRPr="004777CA">
              <w:rPr>
                <w:vertAlign w:val="superscript"/>
              </w:rPr>
              <w:t>st</w:t>
            </w:r>
            <w:r w:rsidRPr="004777CA">
              <w:t xml:space="preserve"> Wednesday in April</w:t>
            </w:r>
          </w:p>
        </w:tc>
      </w:tr>
      <w:tr w:rsidR="004777CA" w:rsidRPr="004777CA" w14:paraId="34F5C842" w14:textId="77777777" w:rsidTr="004777CA">
        <w:trPr>
          <w:trHeight w:val="20"/>
        </w:trPr>
        <w:tc>
          <w:tcPr>
            <w:tcW w:w="2605" w:type="dxa"/>
            <w:hideMark/>
          </w:tcPr>
          <w:p w14:paraId="5B140CD1" w14:textId="77777777" w:rsidR="004777CA" w:rsidRPr="004777CA" w:rsidRDefault="004777CA">
            <w:r w:rsidRPr="004777CA">
              <w:t xml:space="preserve">Part B Personnel </w:t>
            </w:r>
          </w:p>
        </w:tc>
        <w:tc>
          <w:tcPr>
            <w:tcW w:w="3617" w:type="dxa"/>
            <w:hideMark/>
          </w:tcPr>
          <w:p w14:paraId="2B3C97E0" w14:textId="77777777" w:rsidR="004777CA" w:rsidRPr="004777CA" w:rsidRDefault="004777CA">
            <w:r w:rsidRPr="004777CA">
              <w:t>C070, C099, C112</w:t>
            </w:r>
          </w:p>
        </w:tc>
        <w:tc>
          <w:tcPr>
            <w:tcW w:w="3618" w:type="dxa"/>
            <w:hideMark/>
          </w:tcPr>
          <w:p w14:paraId="4E9B4012"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A4CEB99" w14:textId="77777777" w:rsidTr="004777CA">
        <w:trPr>
          <w:trHeight w:val="20"/>
        </w:trPr>
        <w:tc>
          <w:tcPr>
            <w:tcW w:w="2605" w:type="dxa"/>
            <w:hideMark/>
          </w:tcPr>
          <w:p w14:paraId="54105E06" w14:textId="77777777" w:rsidR="004777CA" w:rsidRPr="004777CA" w:rsidRDefault="004777CA">
            <w:r w:rsidRPr="004777CA">
              <w:t>Part B Exiting</w:t>
            </w:r>
          </w:p>
        </w:tc>
        <w:tc>
          <w:tcPr>
            <w:tcW w:w="3617" w:type="dxa"/>
            <w:hideMark/>
          </w:tcPr>
          <w:p w14:paraId="12F3E20D" w14:textId="77777777" w:rsidR="004777CA" w:rsidRPr="004777CA" w:rsidRDefault="004777CA">
            <w:r w:rsidRPr="004777CA">
              <w:t>C009</w:t>
            </w:r>
          </w:p>
        </w:tc>
        <w:tc>
          <w:tcPr>
            <w:tcW w:w="3618" w:type="dxa"/>
            <w:hideMark/>
          </w:tcPr>
          <w:p w14:paraId="3133C65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1D5C68C" w14:textId="77777777" w:rsidTr="004777CA">
        <w:trPr>
          <w:trHeight w:val="20"/>
        </w:trPr>
        <w:tc>
          <w:tcPr>
            <w:tcW w:w="2605" w:type="dxa"/>
            <w:hideMark/>
          </w:tcPr>
          <w:p w14:paraId="63F706F3" w14:textId="77777777" w:rsidR="004777CA" w:rsidRPr="004777CA" w:rsidRDefault="004777CA">
            <w:r w:rsidRPr="004777CA">
              <w:t xml:space="preserve">Part B Discipline </w:t>
            </w:r>
          </w:p>
        </w:tc>
        <w:tc>
          <w:tcPr>
            <w:tcW w:w="3617" w:type="dxa"/>
            <w:hideMark/>
          </w:tcPr>
          <w:p w14:paraId="16D2853A" w14:textId="77777777" w:rsidR="004777CA" w:rsidRPr="004777CA" w:rsidRDefault="004777CA">
            <w:r w:rsidRPr="004777CA">
              <w:t>C005, C006, C007, C088, C143, C144</w:t>
            </w:r>
          </w:p>
        </w:tc>
        <w:tc>
          <w:tcPr>
            <w:tcW w:w="3618" w:type="dxa"/>
            <w:hideMark/>
          </w:tcPr>
          <w:p w14:paraId="254DB998"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2E5FB44E" w14:textId="77777777" w:rsidTr="004777CA">
        <w:trPr>
          <w:trHeight w:val="20"/>
        </w:trPr>
        <w:tc>
          <w:tcPr>
            <w:tcW w:w="2605" w:type="dxa"/>
            <w:hideMark/>
          </w:tcPr>
          <w:p w14:paraId="712EC9E4" w14:textId="77777777" w:rsidR="004777CA" w:rsidRPr="004777CA" w:rsidRDefault="004777CA">
            <w:r w:rsidRPr="004777CA">
              <w:t>Part B Assessment</w:t>
            </w:r>
          </w:p>
        </w:tc>
        <w:tc>
          <w:tcPr>
            <w:tcW w:w="3617" w:type="dxa"/>
            <w:hideMark/>
          </w:tcPr>
          <w:p w14:paraId="2B041249" w14:textId="77777777" w:rsidR="004777CA" w:rsidRPr="004777CA" w:rsidRDefault="004777CA">
            <w:r w:rsidRPr="004777CA">
              <w:t>C175, C178, C185, C188</w:t>
            </w:r>
          </w:p>
        </w:tc>
        <w:tc>
          <w:tcPr>
            <w:tcW w:w="3618" w:type="dxa"/>
            <w:hideMark/>
          </w:tcPr>
          <w:p w14:paraId="563E4812" w14:textId="77777777" w:rsidR="004777CA" w:rsidRPr="004777CA" w:rsidRDefault="004777CA">
            <w:r w:rsidRPr="004777CA">
              <w:t xml:space="preserve">Wednesday in the </w:t>
            </w:r>
            <w:proofErr w:type="gramStart"/>
            <w:r w:rsidRPr="004777CA">
              <w:t>3</w:t>
            </w:r>
            <w:r w:rsidRPr="004777CA">
              <w:rPr>
                <w:vertAlign w:val="superscript"/>
              </w:rPr>
              <w:t>rd</w:t>
            </w:r>
            <w:proofErr w:type="gramEnd"/>
            <w:r w:rsidRPr="004777CA">
              <w:t xml:space="preserve"> week of December (aligned with CSPR data due date)</w:t>
            </w:r>
          </w:p>
        </w:tc>
      </w:tr>
      <w:tr w:rsidR="004777CA" w:rsidRPr="004777CA" w14:paraId="4C08C198" w14:textId="77777777" w:rsidTr="004777CA">
        <w:trPr>
          <w:trHeight w:val="20"/>
        </w:trPr>
        <w:tc>
          <w:tcPr>
            <w:tcW w:w="2605" w:type="dxa"/>
            <w:hideMark/>
          </w:tcPr>
          <w:p w14:paraId="2894DF0B" w14:textId="77777777" w:rsidR="004777CA" w:rsidRPr="004777CA" w:rsidRDefault="004777CA">
            <w:r w:rsidRPr="004777CA">
              <w:t xml:space="preserve">Part B Dispute Resolution </w:t>
            </w:r>
          </w:p>
        </w:tc>
        <w:tc>
          <w:tcPr>
            <w:tcW w:w="3617" w:type="dxa"/>
            <w:hideMark/>
          </w:tcPr>
          <w:p w14:paraId="723D6024" w14:textId="77777777" w:rsidR="004777CA" w:rsidRPr="004777CA" w:rsidRDefault="004777CA">
            <w:r w:rsidRPr="004777CA">
              <w:t>Part B Dispute Resolution Survey in EMAPS</w:t>
            </w:r>
          </w:p>
        </w:tc>
        <w:tc>
          <w:tcPr>
            <w:tcW w:w="3618" w:type="dxa"/>
            <w:hideMark/>
          </w:tcPr>
          <w:p w14:paraId="379E394B" w14:textId="77777777" w:rsidR="004777CA" w:rsidRPr="004777CA" w:rsidRDefault="004777CA">
            <w:r w:rsidRPr="004777CA">
              <w:t>1</w:t>
            </w:r>
            <w:r w:rsidRPr="004777CA">
              <w:rPr>
                <w:vertAlign w:val="superscript"/>
              </w:rPr>
              <w:t>st</w:t>
            </w:r>
            <w:r w:rsidRPr="004777CA">
              <w:t xml:space="preserve"> Wednesday in November</w:t>
            </w:r>
          </w:p>
        </w:tc>
      </w:tr>
      <w:tr w:rsidR="004777CA" w:rsidRPr="004777CA" w14:paraId="3B69FF00" w14:textId="77777777" w:rsidTr="004777CA">
        <w:trPr>
          <w:trHeight w:val="20"/>
        </w:trPr>
        <w:tc>
          <w:tcPr>
            <w:tcW w:w="2605" w:type="dxa"/>
            <w:hideMark/>
          </w:tcPr>
          <w:p w14:paraId="06F7CBC6" w14:textId="77777777" w:rsidR="004777CA" w:rsidRPr="004777CA" w:rsidRDefault="004777CA">
            <w:r w:rsidRPr="004777CA">
              <w:t>Part B LEA Maintenance of Effort Reduction and Coordinated Early Intervening Services</w:t>
            </w:r>
          </w:p>
        </w:tc>
        <w:tc>
          <w:tcPr>
            <w:tcW w:w="3617" w:type="dxa"/>
            <w:hideMark/>
          </w:tcPr>
          <w:p w14:paraId="6B511F74" w14:textId="77777777" w:rsidR="004777CA" w:rsidRPr="004777CA" w:rsidRDefault="004777CA">
            <w:r w:rsidRPr="004777CA">
              <w:t>Part B MOE Reduction and CEIS Survey in EMAPS</w:t>
            </w:r>
          </w:p>
        </w:tc>
        <w:tc>
          <w:tcPr>
            <w:tcW w:w="3618" w:type="dxa"/>
            <w:hideMark/>
          </w:tcPr>
          <w:p w14:paraId="22308BA5" w14:textId="77777777" w:rsidR="004777CA" w:rsidRPr="004777CA" w:rsidRDefault="004777CA">
            <w:r w:rsidRPr="004777CA">
              <w:t>1</w:t>
            </w:r>
            <w:r w:rsidRPr="004777CA">
              <w:rPr>
                <w:vertAlign w:val="superscript"/>
              </w:rPr>
              <w:t>st</w:t>
            </w:r>
            <w:r w:rsidRPr="004777CA">
              <w:t xml:space="preserve"> Wednesday in May</w:t>
            </w:r>
          </w:p>
        </w:tc>
      </w:tr>
    </w:tbl>
    <w:p w14:paraId="52ACECA5" w14:textId="77777777" w:rsidR="004777CA" w:rsidRDefault="004777CA" w:rsidP="004777CA"/>
    <w:p w14:paraId="4EFF5866" w14:textId="4128FE84" w:rsidR="004777CA" w:rsidRPr="008A41E6" w:rsidRDefault="004777CA" w:rsidP="004777CA">
      <w:pPr>
        <w:rPr>
          <w:b/>
          <w:bCs/>
        </w:rPr>
      </w:pPr>
      <w:r w:rsidRPr="008A41E6">
        <w:rPr>
          <w:b/>
          <w:bCs/>
        </w:rPr>
        <w:t>2) Complete Data</w:t>
      </w:r>
      <w:r w:rsidRPr="008A41E6">
        <w:t xml:space="preserve"> – </w:t>
      </w:r>
      <w:r w:rsidRPr="004777CA">
        <w:t xml:space="preserve">A State will receive one point if it submits data for all files, permitted values, category sets, subtotals, and totals associated with a specific data collection by the initial due date. No data </w:t>
      </w:r>
      <w:proofErr w:type="gramStart"/>
      <w:r w:rsidRPr="004777CA">
        <w:t>is reported</w:t>
      </w:r>
      <w:proofErr w:type="gramEnd"/>
      <w:r w:rsidRPr="004777CA">
        <w:t xml:space="preserve"> as missing. No placeholder data </w:t>
      </w:r>
      <w:proofErr w:type="gramStart"/>
      <w:r w:rsidRPr="004777CA">
        <w:t>is submitted</w:t>
      </w:r>
      <w:proofErr w:type="gramEnd"/>
      <w:r w:rsidRPr="004777CA">
        <w:t>. The data submitted to EDFacts aligns with the metadata survey responses provided by the state in the State Supplemental Survey IDEA (SSS IDEA) and Assessment Metadata survey in EMAPS</w:t>
      </w:r>
      <w:proofErr w:type="gramStart"/>
      <w:r w:rsidRPr="004777CA">
        <w:t xml:space="preserve">.  </w:t>
      </w:r>
      <w:proofErr w:type="gramEnd"/>
      <w:r w:rsidRPr="004777CA">
        <w:t>State-level data include data from all districts or agencies</w:t>
      </w:r>
      <w:r w:rsidRPr="008A41E6">
        <w:t>.</w:t>
      </w:r>
    </w:p>
    <w:p w14:paraId="34EF2576" w14:textId="77777777" w:rsidR="004777CA" w:rsidRDefault="004777CA" w:rsidP="004777CA"/>
    <w:p w14:paraId="557CE2A1" w14:textId="5CB8EF22" w:rsidR="004777CA" w:rsidRPr="008A41E6" w:rsidRDefault="004777CA" w:rsidP="004777CA">
      <w:pPr>
        <w:rPr>
          <w:b/>
          <w:bCs/>
        </w:rPr>
      </w:pPr>
      <w:r w:rsidRPr="008A41E6">
        <w:rPr>
          <w:b/>
          <w:bCs/>
        </w:rPr>
        <w:t xml:space="preserve">3) Passed Edit Check – </w:t>
      </w:r>
      <w:r w:rsidRPr="008A41E6">
        <w:t xml:space="preserve">A State will receive one point if it submits data that meets all the edit checks related to the specific data collection by the initial due date. The counts included in 618 data submissions are internally consistent within a data collection </w:t>
      </w:r>
    </w:p>
    <w:p w14:paraId="330F0E42" w14:textId="3DBADBBF" w:rsidR="004777CA" w:rsidRDefault="004777CA">
      <w:pPr>
        <w:spacing w:before="0" w:after="200" w:line="276" w:lineRule="auto"/>
      </w:pPr>
      <w:r>
        <w:br w:type="page"/>
      </w:r>
    </w:p>
    <w:p w14:paraId="66EA6C1B" w14:textId="3AB83F96" w:rsidR="0058254D" w:rsidRDefault="0058254D" w:rsidP="0058254D">
      <w:pPr>
        <w:pStyle w:val="Heading2"/>
      </w:pPr>
      <w:r>
        <w:lastRenderedPageBreak/>
        <w:t>Dispute Resolution</w:t>
      </w:r>
    </w:p>
    <w:p w14:paraId="642AF311" w14:textId="77777777" w:rsidR="00D540C3" w:rsidRDefault="00D540C3">
      <w:pPr>
        <w:spacing w:before="0" w:after="200" w:line="276" w:lineRule="auto"/>
      </w:pPr>
    </w:p>
    <w:p w14:paraId="10BA59E7" w14:textId="790FB850" w:rsidR="0058254D" w:rsidRDefault="00421B4F">
      <w:pPr>
        <w:spacing w:before="0" w:after="200" w:line="276" w:lineRule="auto"/>
      </w:pPr>
      <w:r>
        <w:object w:dxaOrig="1540" w:dyaOrig="997" w14:anchorId="5CA13213">
          <v:shape id="_x0000_i1026" type="#_x0000_t75" alt="WY-B-DR-2021-22" style="width:76.5pt;height:49.5pt" o:ole="">
            <v:imagedata r:id="rId12" o:title=""/>
          </v:shape>
          <o:OLEObject Type="Embed" ProgID="Acrobat.Document.DC" ShapeID="_x0000_i1026" DrawAspect="Icon" ObjectID="_1752380322" r:id="rId13"/>
        </w:object>
      </w:r>
      <w:r w:rsidR="0058254D">
        <w:br w:type="page"/>
      </w:r>
    </w:p>
    <w:p w14:paraId="1EB6A9F6" w14:textId="77777777" w:rsidR="00085B13" w:rsidRDefault="00085B13" w:rsidP="00085B13">
      <w:pPr>
        <w:pStyle w:val="Heading2"/>
      </w:pPr>
      <w:r>
        <w:lastRenderedPageBreak/>
        <w:t>How the Department Made Determinations</w:t>
      </w:r>
    </w:p>
    <w:p w14:paraId="0972CDF2" w14:textId="77777777" w:rsidR="00085B13" w:rsidRPr="00D733C3" w:rsidRDefault="00085B13" w:rsidP="00085B13">
      <w:pPr>
        <w:rPr>
          <w:szCs w:val="16"/>
        </w:rPr>
      </w:pPr>
    </w:p>
    <w:p w14:paraId="778689CC" w14:textId="16576A1E" w:rsidR="00DF3F83" w:rsidRPr="00D733C3" w:rsidRDefault="00DF3F83" w:rsidP="00DF3F83">
      <w:pPr>
        <w:rPr>
          <w:rFonts w:cs="Arial"/>
          <w:szCs w:val="16"/>
        </w:rPr>
      </w:pPr>
      <w:r w:rsidRPr="00D733C3">
        <w:rPr>
          <w:rFonts w:cs="Arial"/>
          <w:szCs w:val="16"/>
        </w:rPr>
        <w:t>Below is the location of How the Department Made Determinations (HTDMD) on OSEP’s IDEA Website</w:t>
      </w:r>
      <w:proofErr w:type="gramStart"/>
      <w:r w:rsidRPr="00D733C3">
        <w:rPr>
          <w:rFonts w:cs="Arial"/>
          <w:szCs w:val="16"/>
        </w:rPr>
        <w:t xml:space="preserve">.  </w:t>
      </w:r>
      <w:proofErr w:type="gramEnd"/>
      <w:r w:rsidRPr="00D733C3">
        <w:rPr>
          <w:rFonts w:cs="Arial"/>
          <w:szCs w:val="16"/>
        </w:rPr>
        <w:t xml:space="preserve">How the Department Made Determinations in 2023 will </w:t>
      </w:r>
      <w:proofErr w:type="gramStart"/>
      <w:r w:rsidRPr="00D733C3">
        <w:rPr>
          <w:rFonts w:cs="Arial"/>
          <w:szCs w:val="16"/>
        </w:rPr>
        <w:t>be posted</w:t>
      </w:r>
      <w:proofErr w:type="gramEnd"/>
      <w:r w:rsidRPr="00D733C3">
        <w:rPr>
          <w:rFonts w:cs="Arial"/>
          <w:szCs w:val="16"/>
        </w:rPr>
        <w:t xml:space="preserve"> in June 2023. Copy and paste the link below into a browser to view.</w:t>
      </w:r>
    </w:p>
    <w:p w14:paraId="7F614999" w14:textId="77777777" w:rsidR="00DF3F83" w:rsidRPr="00D733C3" w:rsidRDefault="00DF3F83" w:rsidP="00DF3F83">
      <w:pPr>
        <w:pStyle w:val="BodyText"/>
        <w:spacing w:before="7"/>
        <w:rPr>
          <w:rFonts w:ascii="Arial" w:eastAsia="Calibri" w:hAnsi="Arial" w:cs="Arial"/>
          <w:sz w:val="16"/>
          <w:szCs w:val="16"/>
        </w:rPr>
      </w:pPr>
    </w:p>
    <w:p w14:paraId="05B81CB3" w14:textId="1ABD70E5" w:rsidR="00D84A0A" w:rsidRPr="00D733C3" w:rsidRDefault="0039251E">
      <w:pPr>
        <w:spacing w:before="0" w:after="200" w:line="276" w:lineRule="auto"/>
        <w:rPr>
          <w:rFonts w:cs="Arial"/>
          <w:b/>
          <w:bCs/>
          <w:szCs w:val="16"/>
        </w:rPr>
      </w:pPr>
      <w:hyperlink r:id="rId14" w:history="1">
        <w:r w:rsidR="00DF3F83" w:rsidRPr="00D733C3">
          <w:rPr>
            <w:rStyle w:val="Hyperlink"/>
            <w:szCs w:val="16"/>
          </w:rPr>
          <w:t>https://sites.ed.gov/idea/how-the-department-made-determinations/</w:t>
        </w:r>
      </w:hyperlink>
      <w:bookmarkStart w:id="95" w:name="Introduction"/>
      <w:bookmarkStart w:id="96" w:name="_Hlk124349373"/>
      <w:bookmarkEnd w:id="3"/>
      <w:bookmarkEnd w:id="95"/>
      <w:bookmarkEnd w:id="96"/>
    </w:p>
    <w:sectPr w:rsidR="00D84A0A" w:rsidRPr="00D733C3" w:rsidSect="00D733C3">
      <w:headerReference w:type="default" r:id="rId15"/>
      <w:footerReference w:type="default" r:id="rId16"/>
      <w:pgSz w:w="12240" w:h="15840"/>
      <w:pgMar w:top="720" w:right="720" w:bottom="720" w:left="720" w:header="763" w:footer="431"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3FDE5" w14:textId="77777777" w:rsidR="00D80788" w:rsidRDefault="00D80788" w:rsidP="000802F7">
      <w:pPr>
        <w:spacing w:before="0" w:after="0"/>
      </w:pPr>
      <w:r>
        <w:separator/>
      </w:r>
    </w:p>
  </w:endnote>
  <w:endnote w:type="continuationSeparator" w:id="0">
    <w:p w14:paraId="42C8B182" w14:textId="77777777" w:rsidR="00D80788" w:rsidRDefault="00D80788" w:rsidP="000802F7">
      <w:pPr>
        <w:spacing w:before="0" w:after="0"/>
      </w:pPr>
      <w:r>
        <w:continuationSeparator/>
      </w:r>
    </w:p>
  </w:endnote>
  <w:endnote w:type="continuationNotice" w:id="1">
    <w:p w14:paraId="68B27A1E" w14:textId="77777777" w:rsidR="00D80788" w:rsidRDefault="00D8078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032885"/>
      <w:docPartObj>
        <w:docPartGallery w:val="Page Numbers (Bottom of Page)"/>
        <w:docPartUnique/>
      </w:docPartObj>
    </w:sdtPr>
    <w:sdtEndPr>
      <w:rPr>
        <w:noProof/>
      </w:rPr>
    </w:sdtEndPr>
    <w:sdtContent>
      <w:sdt>
        <w:sdtPr>
          <w:id w:val="1521194661"/>
          <w:docPartObj>
            <w:docPartGallery w:val="Page Numbers (Bottom of Page)"/>
            <w:docPartUnique/>
          </w:docPartObj>
        </w:sdtPr>
        <w:sdtEndPr>
          <w:rPr>
            <w:noProof/>
          </w:rPr>
        </w:sdtEndPr>
        <w:sdtContent>
          <w:p w14:paraId="6320AF27" w14:textId="07F84AA5" w:rsidR="0031327B" w:rsidRDefault="00D733C3" w:rsidP="00D733C3">
            <w:pPr>
              <w:pStyle w:val="Footer"/>
              <w:jc w:val="right"/>
              <w:rPr>
                <w:noProof/>
              </w:rPr>
            </w:pPr>
            <w:r>
              <w:fldChar w:fldCharType="begin"/>
            </w:r>
            <w:r>
              <w:instrText xml:space="preserve"> PAGE   \* MERGEFORMAT </w:instrText>
            </w:r>
            <w:r>
              <w:fldChar w:fldCharType="separate"/>
            </w:r>
            <w:proofErr w:type="gramStart"/>
            <w:r>
              <w:t>3</w:t>
            </w:r>
            <w:proofErr w:type="gramEnd"/>
            <w:r>
              <w:rPr>
                <w:noProof/>
              </w:rPr>
              <w:fldChar w:fldCharType="end"/>
            </w:r>
            <w:r>
              <w:ptab w:relativeTo="margin" w:alignment="right" w:leader="none"/>
            </w:r>
            <w:r>
              <w:t>Part B</w:t>
            </w:r>
          </w:p>
        </w:sdtContent>
      </w:sdt>
    </w:sdtContent>
  </w:sdt>
  <w:p w14:paraId="1BC23CDB" w14:textId="366F33BD" w:rsidR="001D7FB4" w:rsidRDefault="0039251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B7125" w14:textId="77777777" w:rsidR="00D80788" w:rsidRDefault="00D80788" w:rsidP="000802F7">
      <w:pPr>
        <w:spacing w:before="0" w:after="0"/>
      </w:pPr>
      <w:r>
        <w:separator/>
      </w:r>
    </w:p>
  </w:footnote>
  <w:footnote w:type="continuationSeparator" w:id="0">
    <w:p w14:paraId="0A99F633" w14:textId="77777777" w:rsidR="00D80788" w:rsidRDefault="00D80788" w:rsidP="000802F7">
      <w:pPr>
        <w:spacing w:before="0" w:after="0"/>
      </w:pPr>
      <w:r>
        <w:continuationSeparator/>
      </w:r>
    </w:p>
  </w:footnote>
  <w:footnote w:type="continuationNotice" w:id="1">
    <w:p w14:paraId="7EF2A229" w14:textId="77777777" w:rsidR="00D80788" w:rsidRDefault="00D80788">
      <w:pPr>
        <w:spacing w:before="0" w:after="0"/>
      </w:pPr>
    </w:p>
  </w:footnote>
  <w:footnote w:id="2">
    <w:p w14:paraId="15FC0F1A" w14:textId="459B8645" w:rsidR="00421B4F" w:rsidRPr="00421B4F" w:rsidRDefault="00421B4F" w:rsidP="00421B4F">
      <w:pPr>
        <w:spacing w:after="0"/>
        <w:rPr>
          <w:rFonts w:cs="Arial"/>
          <w:szCs w:val="16"/>
        </w:rPr>
      </w:pPr>
      <w:r>
        <w:rPr>
          <w:rStyle w:val="FootnoteReference"/>
        </w:rPr>
        <w:footnoteRef/>
      </w:r>
      <w:r>
        <w:t xml:space="preserve"> </w:t>
      </w:r>
      <w:bookmarkStart w:id="5" w:name="_Hlk138799496"/>
      <w:r w:rsidRPr="00891632">
        <w:rPr>
          <w:rFonts w:cs="Arial"/>
          <w:szCs w:val="16"/>
        </w:rPr>
        <w:t>Prior to the FFY 2020 submission, the State used a different data source to report data under this indicator.</w:t>
      </w:r>
      <w:bookmarkEnd w:id="5"/>
    </w:p>
  </w:footnote>
  <w:footnote w:id="3">
    <w:p w14:paraId="5DBC2E34" w14:textId="3E7A2DD8" w:rsidR="00421B4F" w:rsidRPr="00421B4F" w:rsidRDefault="00421B4F" w:rsidP="00421B4F">
      <w:pPr>
        <w:spacing w:after="0"/>
        <w:rPr>
          <w:rFonts w:cs="Arial"/>
          <w:szCs w:val="16"/>
        </w:rPr>
      </w:pPr>
      <w:r>
        <w:rPr>
          <w:rStyle w:val="FootnoteReference"/>
        </w:rPr>
        <w:footnoteRef/>
      </w:r>
      <w:r>
        <w:t xml:space="preserve"> </w:t>
      </w:r>
      <w:r w:rsidRPr="00891632">
        <w:rPr>
          <w:rFonts w:cs="Arial"/>
          <w:szCs w:val="16"/>
        </w:rPr>
        <w:t>Prior to the FFY 2020 submission, the State used a different data source to report data under this indicator.</w:t>
      </w:r>
    </w:p>
  </w:footnote>
  <w:footnote w:id="4">
    <w:p w14:paraId="0FAB7C8D"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For a detailed explanation of how the Compliance Score, Results Score, and the Results-Driven Accountability Percentage and Determination were calculated, review "How the Department Made Determinations under Section 616(d) of the </w:t>
      </w:r>
      <w:r w:rsidRPr="006A44D8">
        <w:rPr>
          <w:i/>
          <w:sz w:val="16"/>
          <w:szCs w:val="16"/>
        </w:rPr>
        <w:t>Individuals with Disabilities Education Act</w:t>
      </w:r>
      <w:r w:rsidRPr="006A44D8">
        <w:rPr>
          <w:sz w:val="16"/>
          <w:szCs w:val="16"/>
        </w:rPr>
        <w:t xml:space="preserve"> in 2023: Part B."</w:t>
      </w:r>
    </w:p>
  </w:footnote>
  <w:footnote w:id="5">
    <w:p w14:paraId="69421760" w14:textId="77777777" w:rsidR="00BE0EEF" w:rsidRPr="006A44D8" w:rsidRDefault="00BE0EEF" w:rsidP="00BE0EEF">
      <w:pPr>
        <w:pStyle w:val="FootnoteText"/>
        <w:spacing w:after="60"/>
        <w:ind w:left="180" w:hanging="180"/>
        <w:rPr>
          <w:sz w:val="16"/>
          <w:szCs w:val="16"/>
        </w:rPr>
      </w:pPr>
      <w:r w:rsidRPr="006A44D8">
        <w:rPr>
          <w:rStyle w:val="FootnoteReference"/>
          <w:sz w:val="16"/>
          <w:szCs w:val="16"/>
        </w:rPr>
        <w:footnoteRef/>
      </w:r>
      <w:r w:rsidRPr="006A44D8">
        <w:rPr>
          <w:sz w:val="16"/>
          <w:szCs w:val="16"/>
        </w:rPr>
        <w:t xml:space="preserve"> The complete language for each indicator is located in the Part B SPP/APR Indicator Measurement Table at: </w:t>
      </w:r>
      <w:hyperlink w:history="1"/>
      <w:hyperlink r:id="rId1" w:history="1">
        <w:r w:rsidRPr="006A44D8">
          <w:rPr>
            <w:rStyle w:val="Hyperlink"/>
            <w:sz w:val="16"/>
            <w:szCs w:val="16"/>
          </w:rPr>
          <w:t>https://sites.ed.gov/idea/files/2023_Part-B_SPP-APR_Measurement_Table.pdf</w:t>
        </w:r>
      </w:hyperlink>
      <w:r w:rsidRPr="006A44D8">
        <w:rPr>
          <w:sz w:val="16"/>
          <w:szCs w:val="16"/>
        </w:rPr>
        <w:t xml:space="preserve"> </w:t>
      </w:r>
      <w:hyperlink w:history="1"/>
    </w:p>
  </w:footnote>
  <w:footnote w:id="6">
    <w:p w14:paraId="69EC7855" w14:textId="1293BFE6" w:rsidR="00A47134" w:rsidRDefault="00A47134" w:rsidP="00A47134">
      <w:r>
        <w:rPr>
          <w:rStyle w:val="FootnoteReference"/>
        </w:rPr>
        <w:footnoteRef/>
      </w:r>
      <w:r>
        <w:t xml:space="preserve"> </w:t>
      </w:r>
      <w:r w:rsidR="00E211BF" w:rsidRPr="00606A3B">
        <w:rPr>
          <w:rFonts w:eastAsia="Times New Roman" w:cs="Arial"/>
          <w:szCs w:val="16"/>
        </w:rPr>
        <w:t>In the SPP</w:t>
      </w:r>
      <w:r w:rsidR="001A4886">
        <w:rPr>
          <w:rFonts w:eastAsia="Times New Roman" w:cs="Arial"/>
          <w:szCs w:val="16"/>
        </w:rPr>
        <w:t>/</w:t>
      </w:r>
      <w:r w:rsidR="00E211BF" w:rsidRPr="00606A3B">
        <w:rPr>
          <w:rFonts w:eastAsia="Times New Roman" w:cs="Arial"/>
          <w:szCs w:val="16"/>
        </w:rPr>
        <w:t>APR Data table, where there is an N/A in the Valid and Reliable column, the Total column will display a 0. This is a change from prior years in display only; all calculation</w:t>
      </w:r>
      <w:r w:rsidR="001A4886">
        <w:rPr>
          <w:rFonts w:eastAsia="Times New Roman" w:cs="Arial"/>
          <w:szCs w:val="16"/>
        </w:rPr>
        <w:t xml:space="preserve"> methods</w:t>
      </w:r>
      <w:r w:rsidR="00E211BF" w:rsidRPr="00606A3B">
        <w:rPr>
          <w:rFonts w:eastAsia="Times New Roman" w:cs="Arial"/>
          <w:szCs w:val="16"/>
        </w:rPr>
        <w:t xml:space="preserve"> are unchanged. An N/A does not </w:t>
      </w:r>
      <w:r w:rsidR="001A4886">
        <w:rPr>
          <w:rFonts w:eastAsia="Times New Roman" w:cs="Arial"/>
          <w:szCs w:val="16"/>
        </w:rPr>
        <w:t xml:space="preserve">negatively affect </w:t>
      </w:r>
      <w:r w:rsidR="00E211BF" w:rsidRPr="00606A3B">
        <w:rPr>
          <w:rFonts w:eastAsia="Times New Roman" w:cs="Arial"/>
          <w:szCs w:val="16"/>
        </w:rPr>
        <w:t>a State's score</w:t>
      </w:r>
      <w:r w:rsidR="001A4886">
        <w:rPr>
          <w:rFonts w:eastAsia="Times New Roman" w:cs="Arial"/>
          <w:szCs w:val="16"/>
        </w:rPr>
        <w:t xml:space="preserve">; this is because </w:t>
      </w:r>
      <w:r w:rsidR="00B128EE">
        <w:rPr>
          <w:rFonts w:eastAsia="Times New Roman" w:cs="Arial"/>
          <w:szCs w:val="16"/>
        </w:rPr>
        <w:t>1</w:t>
      </w:r>
      <w:r w:rsidR="00E211BF" w:rsidRPr="00606A3B">
        <w:rPr>
          <w:rFonts w:eastAsia="Times New Roman" w:cs="Arial"/>
          <w:szCs w:val="16"/>
        </w:rPr>
        <w:t xml:space="preserve"> point</w:t>
      </w:r>
      <w:r w:rsidR="00B128EE">
        <w:rPr>
          <w:rFonts w:eastAsia="Times New Roman" w:cs="Arial"/>
          <w:szCs w:val="16"/>
        </w:rPr>
        <w:t xml:space="preserve"> is</w:t>
      </w:r>
      <w:r w:rsidR="00E211BF" w:rsidRPr="00606A3B">
        <w:rPr>
          <w:rFonts w:eastAsia="Times New Roman" w:cs="Arial"/>
          <w:szCs w:val="16"/>
        </w:rPr>
        <w:t xml:space="preserve"> subtracted from the </w:t>
      </w:r>
      <w:r w:rsidR="00B128EE">
        <w:rPr>
          <w:rFonts w:eastAsia="Times New Roman" w:cs="Arial"/>
          <w:szCs w:val="16"/>
        </w:rPr>
        <w:t>Denominator</w:t>
      </w:r>
      <w:r w:rsidR="00E211BF" w:rsidRPr="00606A3B">
        <w:rPr>
          <w:rFonts w:eastAsia="Times New Roman" w:cs="Arial"/>
          <w:szCs w:val="16"/>
        </w:rPr>
        <w:t xml:space="preserve"> in the Indicator Calculation table</w:t>
      </w:r>
      <w:r w:rsidR="00B128EE">
        <w:rPr>
          <w:rFonts w:eastAsia="Times New Roman" w:cs="Arial"/>
          <w:szCs w:val="16"/>
        </w:rPr>
        <w:t xml:space="preserve"> for each cell marked as N/A in the SPP/APR Data table</w:t>
      </w:r>
      <w:r w:rsidR="00E211BF" w:rsidRPr="00606A3B">
        <w:rPr>
          <w:rFonts w:eastAsia="Times New Roman" w:cs="Arial"/>
          <w:szCs w:val="16"/>
        </w:rPr>
        <w:t>.</w:t>
      </w:r>
    </w:p>
  </w:footnote>
  <w:footnote w:id="7">
    <w:p w14:paraId="3461A050" w14:textId="023C8A0B" w:rsidR="002F6CB6" w:rsidRPr="008D0CC6" w:rsidRDefault="002F6CB6">
      <w:pPr>
        <w:pStyle w:val="FootnoteText"/>
        <w:rPr>
          <w:sz w:val="16"/>
          <w:szCs w:val="16"/>
        </w:rPr>
      </w:pPr>
      <w:r w:rsidRPr="008D0CC6">
        <w:rPr>
          <w:rStyle w:val="FootnoteReference"/>
          <w:sz w:val="16"/>
          <w:szCs w:val="16"/>
        </w:rPr>
        <w:footnoteRef/>
      </w:r>
      <w:r w:rsidRPr="008D0CC6">
        <w:rPr>
          <w:sz w:val="16"/>
          <w:szCs w:val="16"/>
        </w:rPr>
        <w:t xml:space="preserve"> </w:t>
      </w:r>
      <w:r w:rsidR="008D0CC6" w:rsidRPr="008D0CC6">
        <w:rPr>
          <w:color w:val="000000" w:themeColor="text1"/>
          <w:sz w:val="16"/>
          <w:szCs w:val="16"/>
        </w:rPr>
        <w:t>In the 618 Data table, when calculating the value in the Total column, any N/As in the Timely, Complete Data, or Passed Edit Checks columns are treated as a ‘0’. An N/A does not negatively affect a State's score; this is because 1.23809524 points is subtracted from the Denominator in the Indicator Calculation table for each cell marked as N/A in the 618 Data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827F" w14:textId="1332B1B2" w:rsidR="001D7FB4" w:rsidRDefault="0039251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50F6C"/>
    <w:multiLevelType w:val="hybridMultilevel"/>
    <w:tmpl w:val="CA5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3472"/>
    <w:multiLevelType w:val="hybridMultilevel"/>
    <w:tmpl w:val="5290C0FE"/>
    <w:lvl w:ilvl="0" w:tplc="55762074">
      <w:start w:val="1"/>
      <w:numFmt w:val="decimal"/>
      <w:lvlText w:val="%1."/>
      <w:lvlJc w:val="left"/>
      <w:pPr>
        <w:ind w:left="860" w:hanging="361"/>
      </w:pPr>
      <w:rPr>
        <w:rFonts w:ascii="Carlito" w:eastAsia="Carlito" w:hAnsi="Carlito" w:cs="Carlito" w:hint="default"/>
        <w:w w:val="99"/>
        <w:sz w:val="22"/>
        <w:szCs w:val="22"/>
        <w:lang w:val="en-US" w:eastAsia="en-US" w:bidi="ar-SA"/>
      </w:rPr>
    </w:lvl>
    <w:lvl w:ilvl="1" w:tplc="514EAF34">
      <w:start w:val="1"/>
      <w:numFmt w:val="upperLetter"/>
      <w:lvlText w:val="%2."/>
      <w:lvlJc w:val="left"/>
      <w:pPr>
        <w:ind w:left="860" w:hanging="361"/>
      </w:pPr>
      <w:rPr>
        <w:rFonts w:ascii="Carlito" w:eastAsia="Carlito" w:hAnsi="Carlito" w:cs="Carlito" w:hint="default"/>
        <w:w w:val="99"/>
        <w:sz w:val="22"/>
        <w:szCs w:val="22"/>
        <w:lang w:val="en-US" w:eastAsia="en-US" w:bidi="ar-SA"/>
      </w:rPr>
    </w:lvl>
    <w:lvl w:ilvl="2" w:tplc="F8240EC6">
      <w:numFmt w:val="bullet"/>
      <w:lvlText w:val="•"/>
      <w:lvlJc w:val="left"/>
      <w:pPr>
        <w:ind w:left="2656" w:hanging="361"/>
      </w:pPr>
      <w:rPr>
        <w:lang w:val="en-US" w:eastAsia="en-US" w:bidi="ar-SA"/>
      </w:rPr>
    </w:lvl>
    <w:lvl w:ilvl="3" w:tplc="1FCE6D00">
      <w:numFmt w:val="bullet"/>
      <w:lvlText w:val="•"/>
      <w:lvlJc w:val="left"/>
      <w:pPr>
        <w:ind w:left="3554" w:hanging="361"/>
      </w:pPr>
      <w:rPr>
        <w:lang w:val="en-US" w:eastAsia="en-US" w:bidi="ar-SA"/>
      </w:rPr>
    </w:lvl>
    <w:lvl w:ilvl="4" w:tplc="233E8912">
      <w:numFmt w:val="bullet"/>
      <w:lvlText w:val="•"/>
      <w:lvlJc w:val="left"/>
      <w:pPr>
        <w:ind w:left="4452" w:hanging="361"/>
      </w:pPr>
      <w:rPr>
        <w:lang w:val="en-US" w:eastAsia="en-US" w:bidi="ar-SA"/>
      </w:rPr>
    </w:lvl>
    <w:lvl w:ilvl="5" w:tplc="D8AE35CC">
      <w:numFmt w:val="bullet"/>
      <w:lvlText w:val="•"/>
      <w:lvlJc w:val="left"/>
      <w:pPr>
        <w:ind w:left="5350" w:hanging="361"/>
      </w:pPr>
      <w:rPr>
        <w:lang w:val="en-US" w:eastAsia="en-US" w:bidi="ar-SA"/>
      </w:rPr>
    </w:lvl>
    <w:lvl w:ilvl="6" w:tplc="54B86F70">
      <w:numFmt w:val="bullet"/>
      <w:lvlText w:val="•"/>
      <w:lvlJc w:val="left"/>
      <w:pPr>
        <w:ind w:left="6248" w:hanging="361"/>
      </w:pPr>
      <w:rPr>
        <w:lang w:val="en-US" w:eastAsia="en-US" w:bidi="ar-SA"/>
      </w:rPr>
    </w:lvl>
    <w:lvl w:ilvl="7" w:tplc="A5925B48">
      <w:numFmt w:val="bullet"/>
      <w:lvlText w:val="•"/>
      <w:lvlJc w:val="left"/>
      <w:pPr>
        <w:ind w:left="7146" w:hanging="361"/>
      </w:pPr>
      <w:rPr>
        <w:lang w:val="en-US" w:eastAsia="en-US" w:bidi="ar-SA"/>
      </w:rPr>
    </w:lvl>
    <w:lvl w:ilvl="8" w:tplc="55BEABBE">
      <w:numFmt w:val="bullet"/>
      <w:lvlText w:val="•"/>
      <w:lvlJc w:val="left"/>
      <w:pPr>
        <w:ind w:left="8044" w:hanging="361"/>
      </w:pPr>
      <w:rPr>
        <w:lang w:val="en-US" w:eastAsia="en-US" w:bidi="ar-SA"/>
      </w:rPr>
    </w:lvl>
  </w:abstractNum>
  <w:abstractNum w:abstractNumId="3"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D3DFE"/>
    <w:multiLevelType w:val="hybridMultilevel"/>
    <w:tmpl w:val="DDFED6E0"/>
    <w:lvl w:ilvl="0" w:tplc="F2B480D0">
      <w:numFmt w:val="bullet"/>
      <w:lvlText w:val=""/>
      <w:lvlJc w:val="left"/>
      <w:pPr>
        <w:ind w:left="499" w:hanging="360"/>
      </w:pPr>
      <w:rPr>
        <w:rFonts w:ascii="Symbol" w:eastAsia="Symbol" w:hAnsi="Symbol" w:cs="Symbol" w:hint="default"/>
        <w:w w:val="99"/>
        <w:sz w:val="22"/>
        <w:szCs w:val="22"/>
        <w:lang w:val="en-US" w:eastAsia="en-US" w:bidi="ar-SA"/>
      </w:rPr>
    </w:lvl>
    <w:lvl w:ilvl="1" w:tplc="39C23E4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7988CC3E">
      <w:numFmt w:val="bullet"/>
      <w:lvlText w:val="•"/>
      <w:lvlJc w:val="left"/>
      <w:pPr>
        <w:ind w:left="2497" w:hanging="360"/>
      </w:pPr>
      <w:rPr>
        <w:lang w:val="en-US" w:eastAsia="en-US" w:bidi="ar-SA"/>
      </w:rPr>
    </w:lvl>
    <w:lvl w:ilvl="3" w:tplc="157C9A1E">
      <w:numFmt w:val="bullet"/>
      <w:lvlText w:val="•"/>
      <w:lvlJc w:val="left"/>
      <w:pPr>
        <w:ind w:left="3415" w:hanging="360"/>
      </w:pPr>
      <w:rPr>
        <w:lang w:val="en-US" w:eastAsia="en-US" w:bidi="ar-SA"/>
      </w:rPr>
    </w:lvl>
    <w:lvl w:ilvl="4" w:tplc="EE6E9182">
      <w:numFmt w:val="bullet"/>
      <w:lvlText w:val="•"/>
      <w:lvlJc w:val="left"/>
      <w:pPr>
        <w:ind w:left="4333" w:hanging="360"/>
      </w:pPr>
      <w:rPr>
        <w:lang w:val="en-US" w:eastAsia="en-US" w:bidi="ar-SA"/>
      </w:rPr>
    </w:lvl>
    <w:lvl w:ilvl="5" w:tplc="95382E14">
      <w:numFmt w:val="bullet"/>
      <w:lvlText w:val="•"/>
      <w:lvlJc w:val="left"/>
      <w:pPr>
        <w:ind w:left="5251" w:hanging="360"/>
      </w:pPr>
      <w:rPr>
        <w:lang w:val="en-US" w:eastAsia="en-US" w:bidi="ar-SA"/>
      </w:rPr>
    </w:lvl>
    <w:lvl w:ilvl="6" w:tplc="FA040B58">
      <w:numFmt w:val="bullet"/>
      <w:lvlText w:val="•"/>
      <w:lvlJc w:val="left"/>
      <w:pPr>
        <w:ind w:left="6168" w:hanging="360"/>
      </w:pPr>
      <w:rPr>
        <w:lang w:val="en-US" w:eastAsia="en-US" w:bidi="ar-SA"/>
      </w:rPr>
    </w:lvl>
    <w:lvl w:ilvl="7" w:tplc="9DFA0308">
      <w:numFmt w:val="bullet"/>
      <w:lvlText w:val="•"/>
      <w:lvlJc w:val="left"/>
      <w:pPr>
        <w:ind w:left="7086" w:hanging="360"/>
      </w:pPr>
      <w:rPr>
        <w:lang w:val="en-US" w:eastAsia="en-US" w:bidi="ar-SA"/>
      </w:rPr>
    </w:lvl>
    <w:lvl w:ilvl="8" w:tplc="918632DA">
      <w:numFmt w:val="bullet"/>
      <w:lvlText w:val="•"/>
      <w:lvlJc w:val="left"/>
      <w:pPr>
        <w:ind w:left="8004" w:hanging="360"/>
      </w:pPr>
      <w:rPr>
        <w:lang w:val="en-US" w:eastAsia="en-US" w:bidi="ar-SA"/>
      </w:rPr>
    </w:lvl>
  </w:abstractNum>
  <w:abstractNum w:abstractNumId="5" w15:restartNumberingAfterBreak="0">
    <w:nsid w:val="0B044BCE"/>
    <w:multiLevelType w:val="hybridMultilevel"/>
    <w:tmpl w:val="BB88F2CE"/>
    <w:lvl w:ilvl="0" w:tplc="4FDC1474">
      <w:numFmt w:val="bullet"/>
      <w:lvlText w:val=""/>
      <w:lvlJc w:val="left"/>
      <w:pPr>
        <w:ind w:left="860" w:hanging="361"/>
      </w:pPr>
      <w:rPr>
        <w:rFonts w:ascii="Symbol" w:eastAsia="Symbol" w:hAnsi="Symbol" w:cs="Symbol" w:hint="default"/>
        <w:w w:val="100"/>
        <w:sz w:val="22"/>
        <w:szCs w:val="22"/>
        <w:lang w:val="en-US" w:eastAsia="en-US" w:bidi="ar-SA"/>
      </w:rPr>
    </w:lvl>
    <w:lvl w:ilvl="1" w:tplc="F6D6F56C">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D278D728">
      <w:numFmt w:val="bullet"/>
      <w:lvlText w:val="•"/>
      <w:lvlJc w:val="left"/>
      <w:pPr>
        <w:ind w:left="2497" w:hanging="361"/>
      </w:pPr>
      <w:rPr>
        <w:rFonts w:hint="default"/>
        <w:lang w:val="en-US" w:eastAsia="en-US" w:bidi="ar-SA"/>
      </w:rPr>
    </w:lvl>
    <w:lvl w:ilvl="3" w:tplc="C6E03824">
      <w:numFmt w:val="bullet"/>
      <w:lvlText w:val="•"/>
      <w:lvlJc w:val="left"/>
      <w:pPr>
        <w:ind w:left="3415" w:hanging="361"/>
      </w:pPr>
      <w:rPr>
        <w:rFonts w:hint="default"/>
        <w:lang w:val="en-US" w:eastAsia="en-US" w:bidi="ar-SA"/>
      </w:rPr>
    </w:lvl>
    <w:lvl w:ilvl="4" w:tplc="145E9780">
      <w:numFmt w:val="bullet"/>
      <w:lvlText w:val="•"/>
      <w:lvlJc w:val="left"/>
      <w:pPr>
        <w:ind w:left="4333" w:hanging="361"/>
      </w:pPr>
      <w:rPr>
        <w:rFonts w:hint="default"/>
        <w:lang w:val="en-US" w:eastAsia="en-US" w:bidi="ar-SA"/>
      </w:rPr>
    </w:lvl>
    <w:lvl w:ilvl="5" w:tplc="B63E0F6A">
      <w:numFmt w:val="bullet"/>
      <w:lvlText w:val="•"/>
      <w:lvlJc w:val="left"/>
      <w:pPr>
        <w:ind w:left="5251" w:hanging="361"/>
      </w:pPr>
      <w:rPr>
        <w:rFonts w:hint="default"/>
        <w:lang w:val="en-US" w:eastAsia="en-US" w:bidi="ar-SA"/>
      </w:rPr>
    </w:lvl>
    <w:lvl w:ilvl="6" w:tplc="D7383934">
      <w:numFmt w:val="bullet"/>
      <w:lvlText w:val="•"/>
      <w:lvlJc w:val="left"/>
      <w:pPr>
        <w:ind w:left="6168" w:hanging="361"/>
      </w:pPr>
      <w:rPr>
        <w:rFonts w:hint="default"/>
        <w:lang w:val="en-US" w:eastAsia="en-US" w:bidi="ar-SA"/>
      </w:rPr>
    </w:lvl>
    <w:lvl w:ilvl="7" w:tplc="09B4A024">
      <w:numFmt w:val="bullet"/>
      <w:lvlText w:val="•"/>
      <w:lvlJc w:val="left"/>
      <w:pPr>
        <w:ind w:left="7086" w:hanging="361"/>
      </w:pPr>
      <w:rPr>
        <w:rFonts w:hint="default"/>
        <w:lang w:val="en-US" w:eastAsia="en-US" w:bidi="ar-SA"/>
      </w:rPr>
    </w:lvl>
    <w:lvl w:ilvl="8" w:tplc="FBB2A392">
      <w:numFmt w:val="bullet"/>
      <w:lvlText w:val="•"/>
      <w:lvlJc w:val="left"/>
      <w:pPr>
        <w:ind w:left="8004" w:hanging="361"/>
      </w:pPr>
      <w:rPr>
        <w:rFonts w:hint="default"/>
        <w:lang w:val="en-US" w:eastAsia="en-US" w:bidi="ar-SA"/>
      </w:rPr>
    </w:lvl>
  </w:abstractNum>
  <w:abstractNum w:abstractNumId="6" w15:restartNumberingAfterBreak="0">
    <w:nsid w:val="0BEC0439"/>
    <w:multiLevelType w:val="hybridMultilevel"/>
    <w:tmpl w:val="7334ED46"/>
    <w:lvl w:ilvl="0" w:tplc="3C90AAF8">
      <w:numFmt w:val="bullet"/>
      <w:lvlText w:val=""/>
      <w:lvlJc w:val="left"/>
      <w:pPr>
        <w:ind w:left="859" w:hanging="360"/>
      </w:pPr>
      <w:rPr>
        <w:rFonts w:ascii="Symbol" w:eastAsia="Symbol" w:hAnsi="Symbol" w:cs="Symbol" w:hint="default"/>
        <w:w w:val="99"/>
        <w:sz w:val="22"/>
        <w:szCs w:val="22"/>
        <w:lang w:val="en-US" w:eastAsia="en-US" w:bidi="ar-SA"/>
      </w:rPr>
    </w:lvl>
    <w:lvl w:ilvl="1" w:tplc="78B8A010">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EF4CC438">
      <w:numFmt w:val="bullet"/>
      <w:lvlText w:val="•"/>
      <w:lvlJc w:val="left"/>
      <w:pPr>
        <w:ind w:left="2497" w:hanging="360"/>
      </w:pPr>
      <w:rPr>
        <w:rFonts w:hint="default"/>
        <w:lang w:val="en-US" w:eastAsia="en-US" w:bidi="ar-SA"/>
      </w:rPr>
    </w:lvl>
    <w:lvl w:ilvl="3" w:tplc="39B2EA60">
      <w:numFmt w:val="bullet"/>
      <w:lvlText w:val="•"/>
      <w:lvlJc w:val="left"/>
      <w:pPr>
        <w:ind w:left="3415" w:hanging="360"/>
      </w:pPr>
      <w:rPr>
        <w:rFonts w:hint="default"/>
        <w:lang w:val="en-US" w:eastAsia="en-US" w:bidi="ar-SA"/>
      </w:rPr>
    </w:lvl>
    <w:lvl w:ilvl="4" w:tplc="112E53A6">
      <w:numFmt w:val="bullet"/>
      <w:lvlText w:val="•"/>
      <w:lvlJc w:val="left"/>
      <w:pPr>
        <w:ind w:left="4333" w:hanging="360"/>
      </w:pPr>
      <w:rPr>
        <w:rFonts w:hint="default"/>
        <w:lang w:val="en-US" w:eastAsia="en-US" w:bidi="ar-SA"/>
      </w:rPr>
    </w:lvl>
    <w:lvl w:ilvl="5" w:tplc="8D022A3C">
      <w:numFmt w:val="bullet"/>
      <w:lvlText w:val="•"/>
      <w:lvlJc w:val="left"/>
      <w:pPr>
        <w:ind w:left="5251" w:hanging="360"/>
      </w:pPr>
      <w:rPr>
        <w:rFonts w:hint="default"/>
        <w:lang w:val="en-US" w:eastAsia="en-US" w:bidi="ar-SA"/>
      </w:rPr>
    </w:lvl>
    <w:lvl w:ilvl="6" w:tplc="C95A155E">
      <w:numFmt w:val="bullet"/>
      <w:lvlText w:val="•"/>
      <w:lvlJc w:val="left"/>
      <w:pPr>
        <w:ind w:left="6168" w:hanging="360"/>
      </w:pPr>
      <w:rPr>
        <w:rFonts w:hint="default"/>
        <w:lang w:val="en-US" w:eastAsia="en-US" w:bidi="ar-SA"/>
      </w:rPr>
    </w:lvl>
    <w:lvl w:ilvl="7" w:tplc="0456CE5C">
      <w:numFmt w:val="bullet"/>
      <w:lvlText w:val="•"/>
      <w:lvlJc w:val="left"/>
      <w:pPr>
        <w:ind w:left="7086" w:hanging="360"/>
      </w:pPr>
      <w:rPr>
        <w:rFonts w:hint="default"/>
        <w:lang w:val="en-US" w:eastAsia="en-US" w:bidi="ar-SA"/>
      </w:rPr>
    </w:lvl>
    <w:lvl w:ilvl="8" w:tplc="4574FE88">
      <w:numFmt w:val="bullet"/>
      <w:lvlText w:val="•"/>
      <w:lvlJc w:val="left"/>
      <w:pPr>
        <w:ind w:left="8004" w:hanging="360"/>
      </w:pPr>
      <w:rPr>
        <w:rFonts w:hint="default"/>
        <w:lang w:val="en-US" w:eastAsia="en-US" w:bidi="ar-SA"/>
      </w:rPr>
    </w:lvl>
  </w:abstractNum>
  <w:abstractNum w:abstractNumId="7" w15:restartNumberingAfterBreak="0">
    <w:nsid w:val="0CEF5964"/>
    <w:multiLevelType w:val="hybridMultilevel"/>
    <w:tmpl w:val="2A9267FE"/>
    <w:lvl w:ilvl="0" w:tplc="58288740">
      <w:start w:val="20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351A"/>
    <w:multiLevelType w:val="hybridMultilevel"/>
    <w:tmpl w:val="D6C27D6E"/>
    <w:lvl w:ilvl="0" w:tplc="635C29EC">
      <w:numFmt w:val="bullet"/>
      <w:lvlText w:val=""/>
      <w:lvlJc w:val="left"/>
      <w:pPr>
        <w:ind w:left="499" w:hanging="361"/>
      </w:pPr>
      <w:rPr>
        <w:rFonts w:ascii="Symbol" w:eastAsia="Symbol" w:hAnsi="Symbol" w:cs="Symbol" w:hint="default"/>
        <w:w w:val="100"/>
        <w:sz w:val="22"/>
        <w:szCs w:val="22"/>
        <w:lang w:val="en-US" w:eastAsia="en-US" w:bidi="ar-SA"/>
      </w:rPr>
    </w:lvl>
    <w:lvl w:ilvl="1" w:tplc="B9BAA71A">
      <w:numFmt w:val="bullet"/>
      <w:lvlText w:val="o"/>
      <w:lvlJc w:val="left"/>
      <w:pPr>
        <w:ind w:left="1580" w:hanging="361"/>
      </w:pPr>
      <w:rPr>
        <w:rFonts w:ascii="Courier New" w:eastAsia="Courier New" w:hAnsi="Courier New" w:cs="Courier New" w:hint="default"/>
        <w:w w:val="100"/>
        <w:sz w:val="22"/>
        <w:szCs w:val="22"/>
        <w:lang w:val="en-US" w:eastAsia="en-US" w:bidi="ar-SA"/>
      </w:rPr>
    </w:lvl>
    <w:lvl w:ilvl="2" w:tplc="0CDA82C6">
      <w:numFmt w:val="bullet"/>
      <w:lvlText w:val="•"/>
      <w:lvlJc w:val="left"/>
      <w:pPr>
        <w:ind w:left="2497" w:hanging="361"/>
      </w:pPr>
      <w:rPr>
        <w:rFonts w:hint="default"/>
        <w:lang w:val="en-US" w:eastAsia="en-US" w:bidi="ar-SA"/>
      </w:rPr>
    </w:lvl>
    <w:lvl w:ilvl="3" w:tplc="6DF61572">
      <w:numFmt w:val="bullet"/>
      <w:lvlText w:val="•"/>
      <w:lvlJc w:val="left"/>
      <w:pPr>
        <w:ind w:left="3415" w:hanging="361"/>
      </w:pPr>
      <w:rPr>
        <w:rFonts w:hint="default"/>
        <w:lang w:val="en-US" w:eastAsia="en-US" w:bidi="ar-SA"/>
      </w:rPr>
    </w:lvl>
    <w:lvl w:ilvl="4" w:tplc="252A2D00">
      <w:numFmt w:val="bullet"/>
      <w:lvlText w:val="•"/>
      <w:lvlJc w:val="left"/>
      <w:pPr>
        <w:ind w:left="4333" w:hanging="361"/>
      </w:pPr>
      <w:rPr>
        <w:rFonts w:hint="default"/>
        <w:lang w:val="en-US" w:eastAsia="en-US" w:bidi="ar-SA"/>
      </w:rPr>
    </w:lvl>
    <w:lvl w:ilvl="5" w:tplc="D06E9DEA">
      <w:numFmt w:val="bullet"/>
      <w:lvlText w:val="•"/>
      <w:lvlJc w:val="left"/>
      <w:pPr>
        <w:ind w:left="5251" w:hanging="361"/>
      </w:pPr>
      <w:rPr>
        <w:rFonts w:hint="default"/>
        <w:lang w:val="en-US" w:eastAsia="en-US" w:bidi="ar-SA"/>
      </w:rPr>
    </w:lvl>
    <w:lvl w:ilvl="6" w:tplc="B1D24916">
      <w:numFmt w:val="bullet"/>
      <w:lvlText w:val="•"/>
      <w:lvlJc w:val="left"/>
      <w:pPr>
        <w:ind w:left="6168" w:hanging="361"/>
      </w:pPr>
      <w:rPr>
        <w:rFonts w:hint="default"/>
        <w:lang w:val="en-US" w:eastAsia="en-US" w:bidi="ar-SA"/>
      </w:rPr>
    </w:lvl>
    <w:lvl w:ilvl="7" w:tplc="5AD62662">
      <w:numFmt w:val="bullet"/>
      <w:lvlText w:val="•"/>
      <w:lvlJc w:val="left"/>
      <w:pPr>
        <w:ind w:left="7086" w:hanging="361"/>
      </w:pPr>
      <w:rPr>
        <w:rFonts w:hint="default"/>
        <w:lang w:val="en-US" w:eastAsia="en-US" w:bidi="ar-SA"/>
      </w:rPr>
    </w:lvl>
    <w:lvl w:ilvl="8" w:tplc="E6E0B090">
      <w:numFmt w:val="bullet"/>
      <w:lvlText w:val="•"/>
      <w:lvlJc w:val="left"/>
      <w:pPr>
        <w:ind w:left="8004" w:hanging="361"/>
      </w:pPr>
      <w:rPr>
        <w:rFonts w:hint="default"/>
        <w:lang w:val="en-US" w:eastAsia="en-US" w:bidi="ar-SA"/>
      </w:rPr>
    </w:lvl>
  </w:abstractNum>
  <w:abstractNum w:abstractNumId="9"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2E1335"/>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1A7B59"/>
    <w:multiLevelType w:val="hybridMultilevel"/>
    <w:tmpl w:val="B670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D63E3"/>
    <w:multiLevelType w:val="hybridMultilevel"/>
    <w:tmpl w:val="9EF24676"/>
    <w:lvl w:ilvl="0" w:tplc="7526AB70">
      <w:start w:val="1"/>
      <w:numFmt w:val="upperLetter"/>
      <w:lvlText w:val="%1."/>
      <w:lvlJc w:val="left"/>
      <w:pPr>
        <w:ind w:left="533" w:hanging="394"/>
      </w:pPr>
      <w:rPr>
        <w:b/>
        <w:bCs/>
        <w:spacing w:val="0"/>
        <w:w w:val="99"/>
        <w:lang w:val="en-US" w:eastAsia="en-US" w:bidi="ar-SA"/>
      </w:rPr>
    </w:lvl>
    <w:lvl w:ilvl="1" w:tplc="91C0033A">
      <w:start w:val="1"/>
      <w:numFmt w:val="decimal"/>
      <w:lvlText w:val="%2."/>
      <w:lvlJc w:val="left"/>
      <w:pPr>
        <w:ind w:left="859" w:hanging="361"/>
      </w:pPr>
      <w:rPr>
        <w:rFonts w:ascii="Carlito" w:eastAsia="Carlito" w:hAnsi="Carlito" w:cs="Carlito" w:hint="default"/>
        <w:w w:val="99"/>
        <w:sz w:val="22"/>
        <w:szCs w:val="22"/>
        <w:lang w:val="en-US" w:eastAsia="en-US" w:bidi="ar-SA"/>
      </w:rPr>
    </w:lvl>
    <w:lvl w:ilvl="2" w:tplc="4B5EDCC0">
      <w:start w:val="1"/>
      <w:numFmt w:val="lowerLetter"/>
      <w:lvlText w:val="%3."/>
      <w:lvlJc w:val="left"/>
      <w:pPr>
        <w:ind w:left="1579" w:hanging="360"/>
      </w:pPr>
      <w:rPr>
        <w:rFonts w:ascii="Carlito" w:eastAsia="Carlito" w:hAnsi="Carlito" w:cs="Carlito" w:hint="default"/>
        <w:w w:val="99"/>
        <w:sz w:val="22"/>
        <w:szCs w:val="22"/>
        <w:lang w:val="en-US" w:eastAsia="en-US" w:bidi="ar-SA"/>
      </w:rPr>
    </w:lvl>
    <w:lvl w:ilvl="3" w:tplc="4F0282DA">
      <w:numFmt w:val="bullet"/>
      <w:lvlText w:val="•"/>
      <w:lvlJc w:val="left"/>
      <w:pPr>
        <w:ind w:left="2612" w:hanging="360"/>
      </w:pPr>
      <w:rPr>
        <w:lang w:val="en-US" w:eastAsia="en-US" w:bidi="ar-SA"/>
      </w:rPr>
    </w:lvl>
    <w:lvl w:ilvl="4" w:tplc="69FA0BD8">
      <w:numFmt w:val="bullet"/>
      <w:lvlText w:val="•"/>
      <w:lvlJc w:val="left"/>
      <w:pPr>
        <w:ind w:left="3645" w:hanging="360"/>
      </w:pPr>
      <w:rPr>
        <w:lang w:val="en-US" w:eastAsia="en-US" w:bidi="ar-SA"/>
      </w:rPr>
    </w:lvl>
    <w:lvl w:ilvl="5" w:tplc="DB5E5F14">
      <w:numFmt w:val="bullet"/>
      <w:lvlText w:val="•"/>
      <w:lvlJc w:val="left"/>
      <w:pPr>
        <w:ind w:left="4677" w:hanging="360"/>
      </w:pPr>
      <w:rPr>
        <w:lang w:val="en-US" w:eastAsia="en-US" w:bidi="ar-SA"/>
      </w:rPr>
    </w:lvl>
    <w:lvl w:ilvl="6" w:tplc="E856B4E2">
      <w:numFmt w:val="bullet"/>
      <w:lvlText w:val="•"/>
      <w:lvlJc w:val="left"/>
      <w:pPr>
        <w:ind w:left="5710" w:hanging="360"/>
      </w:pPr>
      <w:rPr>
        <w:lang w:val="en-US" w:eastAsia="en-US" w:bidi="ar-SA"/>
      </w:rPr>
    </w:lvl>
    <w:lvl w:ilvl="7" w:tplc="F4A649F0">
      <w:numFmt w:val="bullet"/>
      <w:lvlText w:val="•"/>
      <w:lvlJc w:val="left"/>
      <w:pPr>
        <w:ind w:left="6742" w:hanging="360"/>
      </w:pPr>
      <w:rPr>
        <w:lang w:val="en-US" w:eastAsia="en-US" w:bidi="ar-SA"/>
      </w:rPr>
    </w:lvl>
    <w:lvl w:ilvl="8" w:tplc="FF5ACA50">
      <w:numFmt w:val="bullet"/>
      <w:lvlText w:val="•"/>
      <w:lvlJc w:val="left"/>
      <w:pPr>
        <w:ind w:left="7775" w:hanging="360"/>
      </w:pPr>
      <w:rPr>
        <w:lang w:val="en-US" w:eastAsia="en-US" w:bidi="ar-SA"/>
      </w:rPr>
    </w:lvl>
  </w:abstractNum>
  <w:abstractNum w:abstractNumId="15"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8F9123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CF3704"/>
    <w:multiLevelType w:val="multilevel"/>
    <w:tmpl w:val="93EC58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CD44695"/>
    <w:multiLevelType w:val="hybridMultilevel"/>
    <w:tmpl w:val="29645F12"/>
    <w:lvl w:ilvl="0" w:tplc="C44E5CE4">
      <w:start w:val="1"/>
      <w:numFmt w:val="upperLetter"/>
      <w:lvlText w:val="%1."/>
      <w:lvlJc w:val="left"/>
      <w:pPr>
        <w:ind w:left="396" w:hanging="396"/>
      </w:pPr>
      <w:rPr>
        <w:rFonts w:hint="default"/>
        <w:b/>
        <w:bCs/>
        <w:spacing w:val="0"/>
        <w:w w:val="100"/>
        <w:u w:val="thick" w:color="8DB3E1"/>
        <w:lang w:val="en-US" w:eastAsia="en-US" w:bidi="ar-SA"/>
      </w:rPr>
    </w:lvl>
    <w:lvl w:ilvl="1" w:tplc="F6E44378">
      <w:start w:val="1"/>
      <w:numFmt w:val="decimal"/>
      <w:lvlText w:val="%2."/>
      <w:lvlJc w:val="left"/>
      <w:pPr>
        <w:ind w:left="720" w:hanging="361"/>
      </w:pPr>
      <w:rPr>
        <w:rFonts w:ascii="Calibri" w:eastAsia="Calibri" w:hAnsi="Calibri" w:cs="Calibri" w:hint="default"/>
        <w:w w:val="100"/>
        <w:sz w:val="22"/>
        <w:szCs w:val="22"/>
        <w:lang w:val="en-US" w:eastAsia="en-US" w:bidi="ar-SA"/>
      </w:rPr>
    </w:lvl>
    <w:lvl w:ilvl="2" w:tplc="C6DEA85E">
      <w:start w:val="1"/>
      <w:numFmt w:val="lowerLetter"/>
      <w:lvlText w:val="%3."/>
      <w:lvlJc w:val="left"/>
      <w:pPr>
        <w:ind w:left="1440" w:hanging="360"/>
      </w:pPr>
      <w:rPr>
        <w:rFonts w:ascii="Calibri" w:eastAsia="Calibri" w:hAnsi="Calibri" w:cs="Calibri" w:hint="default"/>
        <w:spacing w:val="-1"/>
        <w:w w:val="100"/>
        <w:sz w:val="22"/>
        <w:szCs w:val="22"/>
        <w:lang w:val="en-US" w:eastAsia="en-US" w:bidi="ar-SA"/>
      </w:rPr>
    </w:lvl>
    <w:lvl w:ilvl="3" w:tplc="8ACAFBEC">
      <w:numFmt w:val="bullet"/>
      <w:lvlText w:val="•"/>
      <w:lvlJc w:val="left"/>
      <w:pPr>
        <w:ind w:left="2472" w:hanging="360"/>
      </w:pPr>
      <w:rPr>
        <w:rFonts w:hint="default"/>
        <w:lang w:val="en-US" w:eastAsia="en-US" w:bidi="ar-SA"/>
      </w:rPr>
    </w:lvl>
    <w:lvl w:ilvl="4" w:tplc="148C8D60">
      <w:numFmt w:val="bullet"/>
      <w:lvlText w:val="•"/>
      <w:lvlJc w:val="left"/>
      <w:pPr>
        <w:ind w:left="3505" w:hanging="360"/>
      </w:pPr>
      <w:rPr>
        <w:rFonts w:hint="default"/>
        <w:lang w:val="en-US" w:eastAsia="en-US" w:bidi="ar-SA"/>
      </w:rPr>
    </w:lvl>
    <w:lvl w:ilvl="5" w:tplc="3BC2DDC4">
      <w:numFmt w:val="bullet"/>
      <w:lvlText w:val="•"/>
      <w:lvlJc w:val="left"/>
      <w:pPr>
        <w:ind w:left="4537" w:hanging="360"/>
      </w:pPr>
      <w:rPr>
        <w:rFonts w:hint="default"/>
        <w:lang w:val="en-US" w:eastAsia="en-US" w:bidi="ar-SA"/>
      </w:rPr>
    </w:lvl>
    <w:lvl w:ilvl="6" w:tplc="49DE61CA">
      <w:numFmt w:val="bullet"/>
      <w:lvlText w:val="•"/>
      <w:lvlJc w:val="left"/>
      <w:pPr>
        <w:ind w:left="5570" w:hanging="360"/>
      </w:pPr>
      <w:rPr>
        <w:rFonts w:hint="default"/>
        <w:lang w:val="en-US" w:eastAsia="en-US" w:bidi="ar-SA"/>
      </w:rPr>
    </w:lvl>
    <w:lvl w:ilvl="7" w:tplc="1A988D48">
      <w:numFmt w:val="bullet"/>
      <w:lvlText w:val="•"/>
      <w:lvlJc w:val="left"/>
      <w:pPr>
        <w:ind w:left="6602" w:hanging="360"/>
      </w:pPr>
      <w:rPr>
        <w:rFonts w:hint="default"/>
        <w:lang w:val="en-US" w:eastAsia="en-US" w:bidi="ar-SA"/>
      </w:rPr>
    </w:lvl>
    <w:lvl w:ilvl="8" w:tplc="87182062">
      <w:numFmt w:val="bullet"/>
      <w:lvlText w:val="•"/>
      <w:lvlJc w:val="left"/>
      <w:pPr>
        <w:ind w:left="7635" w:hanging="360"/>
      </w:pPr>
      <w:rPr>
        <w:rFonts w:hint="default"/>
        <w:lang w:val="en-US" w:eastAsia="en-US" w:bidi="ar-SA"/>
      </w:rPr>
    </w:lvl>
  </w:abstractNum>
  <w:abstractNum w:abstractNumId="22"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3113B8"/>
    <w:multiLevelType w:val="multilevel"/>
    <w:tmpl w:val="EE5E2F2A"/>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32395"/>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3383"/>
    <w:multiLevelType w:val="hybridMultilevel"/>
    <w:tmpl w:val="AA7AB7BA"/>
    <w:lvl w:ilvl="0" w:tplc="FF866FC8">
      <w:start w:val="1"/>
      <w:numFmt w:val="upperLetter"/>
      <w:lvlText w:val="%1."/>
      <w:lvlJc w:val="left"/>
      <w:pPr>
        <w:ind w:left="6334" w:hanging="394"/>
      </w:pPr>
      <w:rPr>
        <w:rFonts w:hint="default"/>
        <w:b/>
        <w:bCs/>
        <w:spacing w:val="0"/>
        <w:w w:val="100"/>
        <w:lang w:val="en-US" w:eastAsia="en-US" w:bidi="ar-SA"/>
      </w:rPr>
    </w:lvl>
    <w:lvl w:ilvl="1" w:tplc="EE5E3D98">
      <w:start w:val="1"/>
      <w:numFmt w:val="decimal"/>
      <w:lvlText w:val="%2."/>
      <w:lvlJc w:val="left"/>
      <w:pPr>
        <w:ind w:left="859" w:hanging="361"/>
      </w:pPr>
      <w:rPr>
        <w:rFonts w:ascii="Calibri" w:eastAsia="Calibri" w:hAnsi="Calibri" w:cs="Calibri" w:hint="default"/>
        <w:w w:val="99"/>
        <w:sz w:val="22"/>
        <w:szCs w:val="22"/>
        <w:lang w:val="en-US" w:eastAsia="en-US" w:bidi="ar-SA"/>
      </w:rPr>
    </w:lvl>
    <w:lvl w:ilvl="2" w:tplc="509CE212">
      <w:start w:val="1"/>
      <w:numFmt w:val="lowerLetter"/>
      <w:lvlText w:val="%3."/>
      <w:lvlJc w:val="left"/>
      <w:pPr>
        <w:ind w:left="1579" w:hanging="360"/>
      </w:pPr>
      <w:rPr>
        <w:rFonts w:ascii="Calibri" w:eastAsia="Calibri" w:hAnsi="Calibri" w:cs="Calibri" w:hint="default"/>
        <w:w w:val="99"/>
        <w:sz w:val="22"/>
        <w:szCs w:val="22"/>
        <w:lang w:val="en-US" w:eastAsia="en-US" w:bidi="ar-SA"/>
      </w:rPr>
    </w:lvl>
    <w:lvl w:ilvl="3" w:tplc="731EE7A2">
      <w:numFmt w:val="bullet"/>
      <w:lvlText w:val="•"/>
      <w:lvlJc w:val="left"/>
      <w:pPr>
        <w:ind w:left="2612" w:hanging="360"/>
      </w:pPr>
      <w:rPr>
        <w:rFonts w:hint="default"/>
        <w:lang w:val="en-US" w:eastAsia="en-US" w:bidi="ar-SA"/>
      </w:rPr>
    </w:lvl>
    <w:lvl w:ilvl="4" w:tplc="F10E61C2">
      <w:numFmt w:val="bullet"/>
      <w:lvlText w:val="•"/>
      <w:lvlJc w:val="left"/>
      <w:pPr>
        <w:ind w:left="3645" w:hanging="360"/>
      </w:pPr>
      <w:rPr>
        <w:rFonts w:hint="default"/>
        <w:lang w:val="en-US" w:eastAsia="en-US" w:bidi="ar-SA"/>
      </w:rPr>
    </w:lvl>
    <w:lvl w:ilvl="5" w:tplc="D19E483A">
      <w:numFmt w:val="bullet"/>
      <w:lvlText w:val="•"/>
      <w:lvlJc w:val="left"/>
      <w:pPr>
        <w:ind w:left="4677" w:hanging="360"/>
      </w:pPr>
      <w:rPr>
        <w:rFonts w:hint="default"/>
        <w:lang w:val="en-US" w:eastAsia="en-US" w:bidi="ar-SA"/>
      </w:rPr>
    </w:lvl>
    <w:lvl w:ilvl="6" w:tplc="26BC49AE">
      <w:numFmt w:val="bullet"/>
      <w:lvlText w:val="•"/>
      <w:lvlJc w:val="left"/>
      <w:pPr>
        <w:ind w:left="5710" w:hanging="360"/>
      </w:pPr>
      <w:rPr>
        <w:rFonts w:hint="default"/>
        <w:lang w:val="en-US" w:eastAsia="en-US" w:bidi="ar-SA"/>
      </w:rPr>
    </w:lvl>
    <w:lvl w:ilvl="7" w:tplc="036A7A34">
      <w:numFmt w:val="bullet"/>
      <w:lvlText w:val="•"/>
      <w:lvlJc w:val="left"/>
      <w:pPr>
        <w:ind w:left="6742" w:hanging="360"/>
      </w:pPr>
      <w:rPr>
        <w:rFonts w:hint="default"/>
        <w:lang w:val="en-US" w:eastAsia="en-US" w:bidi="ar-SA"/>
      </w:rPr>
    </w:lvl>
    <w:lvl w:ilvl="8" w:tplc="BA2482A6">
      <w:numFmt w:val="bullet"/>
      <w:lvlText w:val="•"/>
      <w:lvlJc w:val="left"/>
      <w:pPr>
        <w:ind w:left="7775" w:hanging="360"/>
      </w:pPr>
      <w:rPr>
        <w:rFonts w:hint="default"/>
        <w:lang w:val="en-US" w:eastAsia="en-US" w:bidi="ar-SA"/>
      </w:rPr>
    </w:lvl>
  </w:abstractNum>
  <w:abstractNum w:abstractNumId="27" w15:restartNumberingAfterBreak="0">
    <w:nsid w:val="59A85AED"/>
    <w:multiLevelType w:val="hybridMultilevel"/>
    <w:tmpl w:val="E1AE8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933857"/>
    <w:multiLevelType w:val="hybridMultilevel"/>
    <w:tmpl w:val="82743DA0"/>
    <w:lvl w:ilvl="0" w:tplc="7FE4F5A6">
      <w:start w:val="1"/>
      <w:numFmt w:val="decimal"/>
      <w:lvlText w:val="%1."/>
      <w:lvlJc w:val="left"/>
      <w:pPr>
        <w:ind w:left="859" w:hanging="361"/>
      </w:pPr>
      <w:rPr>
        <w:rFonts w:ascii="Calibri" w:eastAsia="Calibri" w:hAnsi="Calibri" w:cs="Calibri" w:hint="default"/>
        <w:w w:val="100"/>
        <w:sz w:val="22"/>
        <w:szCs w:val="22"/>
        <w:lang w:val="en-US" w:eastAsia="en-US" w:bidi="ar-SA"/>
      </w:rPr>
    </w:lvl>
    <w:lvl w:ilvl="1" w:tplc="954AB752">
      <w:start w:val="1"/>
      <w:numFmt w:val="upperLetter"/>
      <w:lvlText w:val="%2."/>
      <w:lvlJc w:val="left"/>
      <w:pPr>
        <w:ind w:left="860" w:hanging="360"/>
      </w:pPr>
      <w:rPr>
        <w:rFonts w:ascii="Arial" w:eastAsia="Calibri" w:hAnsi="Arial" w:cs="Arial" w:hint="default"/>
        <w:spacing w:val="-1"/>
        <w:w w:val="100"/>
        <w:sz w:val="18"/>
        <w:szCs w:val="18"/>
        <w:lang w:val="en-US" w:eastAsia="en-US" w:bidi="ar-SA"/>
      </w:rPr>
    </w:lvl>
    <w:lvl w:ilvl="2" w:tplc="54CA4BF6">
      <w:numFmt w:val="bullet"/>
      <w:lvlText w:val="•"/>
      <w:lvlJc w:val="left"/>
      <w:pPr>
        <w:ind w:left="2656" w:hanging="360"/>
      </w:pPr>
      <w:rPr>
        <w:rFonts w:hint="default"/>
        <w:lang w:val="en-US" w:eastAsia="en-US" w:bidi="ar-SA"/>
      </w:rPr>
    </w:lvl>
    <w:lvl w:ilvl="3" w:tplc="88A0DB74">
      <w:numFmt w:val="bullet"/>
      <w:lvlText w:val="•"/>
      <w:lvlJc w:val="left"/>
      <w:pPr>
        <w:ind w:left="3554" w:hanging="360"/>
      </w:pPr>
      <w:rPr>
        <w:rFonts w:hint="default"/>
        <w:lang w:val="en-US" w:eastAsia="en-US" w:bidi="ar-SA"/>
      </w:rPr>
    </w:lvl>
    <w:lvl w:ilvl="4" w:tplc="90CC68A8">
      <w:numFmt w:val="bullet"/>
      <w:lvlText w:val="•"/>
      <w:lvlJc w:val="left"/>
      <w:pPr>
        <w:ind w:left="4452" w:hanging="360"/>
      </w:pPr>
      <w:rPr>
        <w:rFonts w:hint="default"/>
        <w:lang w:val="en-US" w:eastAsia="en-US" w:bidi="ar-SA"/>
      </w:rPr>
    </w:lvl>
    <w:lvl w:ilvl="5" w:tplc="51F466D0">
      <w:numFmt w:val="bullet"/>
      <w:lvlText w:val="•"/>
      <w:lvlJc w:val="left"/>
      <w:pPr>
        <w:ind w:left="5350" w:hanging="360"/>
      </w:pPr>
      <w:rPr>
        <w:rFonts w:hint="default"/>
        <w:lang w:val="en-US" w:eastAsia="en-US" w:bidi="ar-SA"/>
      </w:rPr>
    </w:lvl>
    <w:lvl w:ilvl="6" w:tplc="C5723108">
      <w:numFmt w:val="bullet"/>
      <w:lvlText w:val="•"/>
      <w:lvlJc w:val="left"/>
      <w:pPr>
        <w:ind w:left="6248" w:hanging="360"/>
      </w:pPr>
      <w:rPr>
        <w:rFonts w:hint="default"/>
        <w:lang w:val="en-US" w:eastAsia="en-US" w:bidi="ar-SA"/>
      </w:rPr>
    </w:lvl>
    <w:lvl w:ilvl="7" w:tplc="8ED867B8">
      <w:numFmt w:val="bullet"/>
      <w:lvlText w:val="•"/>
      <w:lvlJc w:val="left"/>
      <w:pPr>
        <w:ind w:left="7146" w:hanging="360"/>
      </w:pPr>
      <w:rPr>
        <w:rFonts w:hint="default"/>
        <w:lang w:val="en-US" w:eastAsia="en-US" w:bidi="ar-SA"/>
      </w:rPr>
    </w:lvl>
    <w:lvl w:ilvl="8" w:tplc="5FA24DCC">
      <w:numFmt w:val="bullet"/>
      <w:lvlText w:val="•"/>
      <w:lvlJc w:val="left"/>
      <w:pPr>
        <w:ind w:left="8044" w:hanging="360"/>
      </w:pPr>
      <w:rPr>
        <w:rFonts w:hint="default"/>
        <w:lang w:val="en-US" w:eastAsia="en-US" w:bidi="ar-SA"/>
      </w:rPr>
    </w:lvl>
  </w:abstractNum>
  <w:abstractNum w:abstractNumId="31" w15:restartNumberingAfterBreak="0">
    <w:nsid w:val="60B97688"/>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1720CB8"/>
    <w:multiLevelType w:val="hybridMultilevel"/>
    <w:tmpl w:val="53D0D426"/>
    <w:lvl w:ilvl="0" w:tplc="5F9A0240">
      <w:start w:val="1"/>
      <w:numFmt w:val="decimal"/>
      <w:lvlText w:val="%1."/>
      <w:lvlJc w:val="left"/>
      <w:pPr>
        <w:ind w:left="860" w:hanging="361"/>
      </w:pPr>
      <w:rPr>
        <w:rFonts w:ascii="Calibri" w:eastAsia="Calibri" w:hAnsi="Calibri" w:cs="Calibri" w:hint="default"/>
        <w:w w:val="99"/>
        <w:sz w:val="22"/>
        <w:szCs w:val="22"/>
        <w:lang w:val="en-US" w:eastAsia="en-US" w:bidi="ar-SA"/>
      </w:rPr>
    </w:lvl>
    <w:lvl w:ilvl="1" w:tplc="89608756">
      <w:start w:val="1"/>
      <w:numFmt w:val="upperLetter"/>
      <w:lvlText w:val="%2."/>
      <w:lvlJc w:val="left"/>
      <w:pPr>
        <w:ind w:left="860" w:hanging="361"/>
      </w:pPr>
      <w:rPr>
        <w:rFonts w:ascii="Calibri" w:eastAsia="Calibri" w:hAnsi="Calibri" w:cs="Calibri" w:hint="default"/>
        <w:w w:val="99"/>
        <w:sz w:val="22"/>
        <w:szCs w:val="22"/>
        <w:lang w:val="en-US" w:eastAsia="en-US" w:bidi="ar-SA"/>
      </w:rPr>
    </w:lvl>
    <w:lvl w:ilvl="2" w:tplc="8620EC3C">
      <w:numFmt w:val="bullet"/>
      <w:lvlText w:val="•"/>
      <w:lvlJc w:val="left"/>
      <w:pPr>
        <w:ind w:left="2656" w:hanging="361"/>
      </w:pPr>
      <w:rPr>
        <w:rFonts w:hint="default"/>
        <w:lang w:val="en-US" w:eastAsia="en-US" w:bidi="ar-SA"/>
      </w:rPr>
    </w:lvl>
    <w:lvl w:ilvl="3" w:tplc="3856BFF0">
      <w:numFmt w:val="bullet"/>
      <w:lvlText w:val="•"/>
      <w:lvlJc w:val="left"/>
      <w:pPr>
        <w:ind w:left="3554" w:hanging="361"/>
      </w:pPr>
      <w:rPr>
        <w:rFonts w:hint="default"/>
        <w:lang w:val="en-US" w:eastAsia="en-US" w:bidi="ar-SA"/>
      </w:rPr>
    </w:lvl>
    <w:lvl w:ilvl="4" w:tplc="FCF4AB62">
      <w:numFmt w:val="bullet"/>
      <w:lvlText w:val="•"/>
      <w:lvlJc w:val="left"/>
      <w:pPr>
        <w:ind w:left="4452" w:hanging="361"/>
      </w:pPr>
      <w:rPr>
        <w:rFonts w:hint="default"/>
        <w:lang w:val="en-US" w:eastAsia="en-US" w:bidi="ar-SA"/>
      </w:rPr>
    </w:lvl>
    <w:lvl w:ilvl="5" w:tplc="47D2D63E">
      <w:numFmt w:val="bullet"/>
      <w:lvlText w:val="•"/>
      <w:lvlJc w:val="left"/>
      <w:pPr>
        <w:ind w:left="5350" w:hanging="361"/>
      </w:pPr>
      <w:rPr>
        <w:rFonts w:hint="default"/>
        <w:lang w:val="en-US" w:eastAsia="en-US" w:bidi="ar-SA"/>
      </w:rPr>
    </w:lvl>
    <w:lvl w:ilvl="6" w:tplc="9E62B584">
      <w:numFmt w:val="bullet"/>
      <w:lvlText w:val="•"/>
      <w:lvlJc w:val="left"/>
      <w:pPr>
        <w:ind w:left="6248" w:hanging="361"/>
      </w:pPr>
      <w:rPr>
        <w:rFonts w:hint="default"/>
        <w:lang w:val="en-US" w:eastAsia="en-US" w:bidi="ar-SA"/>
      </w:rPr>
    </w:lvl>
    <w:lvl w:ilvl="7" w:tplc="1BBEAFC6">
      <w:numFmt w:val="bullet"/>
      <w:lvlText w:val="•"/>
      <w:lvlJc w:val="left"/>
      <w:pPr>
        <w:ind w:left="7146" w:hanging="361"/>
      </w:pPr>
      <w:rPr>
        <w:rFonts w:hint="default"/>
        <w:lang w:val="en-US" w:eastAsia="en-US" w:bidi="ar-SA"/>
      </w:rPr>
    </w:lvl>
    <w:lvl w:ilvl="8" w:tplc="BB08AB76">
      <w:numFmt w:val="bullet"/>
      <w:lvlText w:val="•"/>
      <w:lvlJc w:val="left"/>
      <w:pPr>
        <w:ind w:left="8044" w:hanging="361"/>
      </w:pPr>
      <w:rPr>
        <w:rFonts w:hint="default"/>
        <w:lang w:val="en-US" w:eastAsia="en-US" w:bidi="ar-SA"/>
      </w:rPr>
    </w:lvl>
  </w:abstractNum>
  <w:abstractNum w:abstractNumId="33"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B4B98"/>
    <w:multiLevelType w:val="hybridMultilevel"/>
    <w:tmpl w:val="7FCE9924"/>
    <w:lvl w:ilvl="0" w:tplc="76D40472">
      <w:numFmt w:val="bullet"/>
      <w:lvlText w:val=""/>
      <w:lvlJc w:val="left"/>
      <w:pPr>
        <w:ind w:left="499" w:hanging="360"/>
      </w:pPr>
      <w:rPr>
        <w:rFonts w:ascii="Symbol" w:eastAsia="Symbol" w:hAnsi="Symbol" w:cs="Symbol" w:hint="default"/>
        <w:w w:val="99"/>
        <w:sz w:val="22"/>
        <w:szCs w:val="22"/>
        <w:lang w:val="en-US" w:eastAsia="en-US" w:bidi="ar-SA"/>
      </w:rPr>
    </w:lvl>
    <w:lvl w:ilvl="1" w:tplc="095A2E06">
      <w:numFmt w:val="bullet"/>
      <w:lvlText w:val="o"/>
      <w:lvlJc w:val="left"/>
      <w:pPr>
        <w:ind w:left="1580" w:hanging="360"/>
      </w:pPr>
      <w:rPr>
        <w:rFonts w:ascii="Courier New" w:eastAsia="Courier New" w:hAnsi="Courier New" w:cs="Courier New" w:hint="default"/>
        <w:w w:val="99"/>
        <w:sz w:val="22"/>
        <w:szCs w:val="22"/>
        <w:lang w:val="en-US" w:eastAsia="en-US" w:bidi="ar-SA"/>
      </w:rPr>
    </w:lvl>
    <w:lvl w:ilvl="2" w:tplc="E6525A18">
      <w:numFmt w:val="bullet"/>
      <w:lvlText w:val="•"/>
      <w:lvlJc w:val="left"/>
      <w:pPr>
        <w:ind w:left="2497" w:hanging="360"/>
      </w:pPr>
      <w:rPr>
        <w:rFonts w:hint="default"/>
        <w:lang w:val="en-US" w:eastAsia="en-US" w:bidi="ar-SA"/>
      </w:rPr>
    </w:lvl>
    <w:lvl w:ilvl="3" w:tplc="CC7AF98E">
      <w:numFmt w:val="bullet"/>
      <w:lvlText w:val="•"/>
      <w:lvlJc w:val="left"/>
      <w:pPr>
        <w:ind w:left="3415" w:hanging="360"/>
      </w:pPr>
      <w:rPr>
        <w:rFonts w:hint="default"/>
        <w:lang w:val="en-US" w:eastAsia="en-US" w:bidi="ar-SA"/>
      </w:rPr>
    </w:lvl>
    <w:lvl w:ilvl="4" w:tplc="870EC9D2">
      <w:numFmt w:val="bullet"/>
      <w:lvlText w:val="•"/>
      <w:lvlJc w:val="left"/>
      <w:pPr>
        <w:ind w:left="4333" w:hanging="360"/>
      </w:pPr>
      <w:rPr>
        <w:rFonts w:hint="default"/>
        <w:lang w:val="en-US" w:eastAsia="en-US" w:bidi="ar-SA"/>
      </w:rPr>
    </w:lvl>
    <w:lvl w:ilvl="5" w:tplc="2488D746">
      <w:numFmt w:val="bullet"/>
      <w:lvlText w:val="•"/>
      <w:lvlJc w:val="left"/>
      <w:pPr>
        <w:ind w:left="5251" w:hanging="360"/>
      </w:pPr>
      <w:rPr>
        <w:rFonts w:hint="default"/>
        <w:lang w:val="en-US" w:eastAsia="en-US" w:bidi="ar-SA"/>
      </w:rPr>
    </w:lvl>
    <w:lvl w:ilvl="6" w:tplc="4C4689B6">
      <w:numFmt w:val="bullet"/>
      <w:lvlText w:val="•"/>
      <w:lvlJc w:val="left"/>
      <w:pPr>
        <w:ind w:left="6168" w:hanging="360"/>
      </w:pPr>
      <w:rPr>
        <w:rFonts w:hint="default"/>
        <w:lang w:val="en-US" w:eastAsia="en-US" w:bidi="ar-SA"/>
      </w:rPr>
    </w:lvl>
    <w:lvl w:ilvl="7" w:tplc="909E73E8">
      <w:numFmt w:val="bullet"/>
      <w:lvlText w:val="•"/>
      <w:lvlJc w:val="left"/>
      <w:pPr>
        <w:ind w:left="7086" w:hanging="360"/>
      </w:pPr>
      <w:rPr>
        <w:rFonts w:hint="default"/>
        <w:lang w:val="en-US" w:eastAsia="en-US" w:bidi="ar-SA"/>
      </w:rPr>
    </w:lvl>
    <w:lvl w:ilvl="8" w:tplc="0DFC01FE">
      <w:numFmt w:val="bullet"/>
      <w:lvlText w:val="•"/>
      <w:lvlJc w:val="left"/>
      <w:pPr>
        <w:ind w:left="8004" w:hanging="360"/>
      </w:pPr>
      <w:rPr>
        <w:rFonts w:hint="default"/>
        <w:lang w:val="en-US" w:eastAsia="en-US" w:bidi="ar-SA"/>
      </w:rPr>
    </w:lvl>
  </w:abstractNum>
  <w:abstractNum w:abstractNumId="35"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771132"/>
    <w:multiLevelType w:val="hybridMultilevel"/>
    <w:tmpl w:val="3CFE3A48"/>
    <w:lvl w:ilvl="0" w:tplc="4712037A">
      <w:start w:val="1"/>
      <w:numFmt w:val="decimal"/>
      <w:lvlText w:val="(%1)"/>
      <w:lvlJc w:val="left"/>
      <w:pPr>
        <w:ind w:left="859" w:hanging="361"/>
      </w:pPr>
      <w:rPr>
        <w:rFonts w:hint="default"/>
        <w:color w:val="auto"/>
        <w:w w:val="100"/>
        <w:sz w:val="18"/>
        <w:szCs w:val="18"/>
        <w:lang w:val="en-US" w:eastAsia="en-US" w:bidi="ar-SA"/>
      </w:rPr>
    </w:lvl>
    <w:lvl w:ilvl="1" w:tplc="FFFFFFFF">
      <w:start w:val="1"/>
      <w:numFmt w:val="upperLetter"/>
      <w:lvlText w:val="%2."/>
      <w:lvlJc w:val="left"/>
      <w:pPr>
        <w:ind w:left="860" w:hanging="360"/>
      </w:pPr>
      <w:rPr>
        <w:rFonts w:ascii="Calibri" w:eastAsia="Calibri" w:hAnsi="Calibri" w:cs="Calibri" w:hint="default"/>
        <w:spacing w:val="-1"/>
        <w:w w:val="100"/>
        <w:sz w:val="22"/>
        <w:szCs w:val="22"/>
        <w:lang w:val="en-US" w:eastAsia="en-US" w:bidi="ar-SA"/>
      </w:rPr>
    </w:lvl>
    <w:lvl w:ilvl="2" w:tplc="FFFFFFFF">
      <w:numFmt w:val="bullet"/>
      <w:lvlText w:val="•"/>
      <w:lvlJc w:val="left"/>
      <w:pPr>
        <w:ind w:left="2656" w:hanging="360"/>
      </w:pPr>
      <w:rPr>
        <w:rFonts w:hint="default"/>
        <w:lang w:val="en-US" w:eastAsia="en-US" w:bidi="ar-SA"/>
      </w:rPr>
    </w:lvl>
    <w:lvl w:ilvl="3" w:tplc="FFFFFFFF">
      <w:numFmt w:val="bullet"/>
      <w:lvlText w:val="•"/>
      <w:lvlJc w:val="left"/>
      <w:pPr>
        <w:ind w:left="3554" w:hanging="360"/>
      </w:pPr>
      <w:rPr>
        <w:rFonts w:hint="default"/>
        <w:lang w:val="en-US" w:eastAsia="en-US" w:bidi="ar-SA"/>
      </w:rPr>
    </w:lvl>
    <w:lvl w:ilvl="4" w:tplc="FFFFFFFF">
      <w:numFmt w:val="bullet"/>
      <w:lvlText w:val="•"/>
      <w:lvlJc w:val="left"/>
      <w:pPr>
        <w:ind w:left="4452" w:hanging="360"/>
      </w:pPr>
      <w:rPr>
        <w:rFonts w:hint="default"/>
        <w:lang w:val="en-US" w:eastAsia="en-US" w:bidi="ar-SA"/>
      </w:rPr>
    </w:lvl>
    <w:lvl w:ilvl="5" w:tplc="FFFFFFFF">
      <w:numFmt w:val="bullet"/>
      <w:lvlText w:val="•"/>
      <w:lvlJc w:val="left"/>
      <w:pPr>
        <w:ind w:left="5350" w:hanging="360"/>
      </w:pPr>
      <w:rPr>
        <w:rFonts w:hint="default"/>
        <w:lang w:val="en-US" w:eastAsia="en-US" w:bidi="ar-SA"/>
      </w:rPr>
    </w:lvl>
    <w:lvl w:ilvl="6" w:tplc="FFFFFFFF">
      <w:numFmt w:val="bullet"/>
      <w:lvlText w:val="•"/>
      <w:lvlJc w:val="left"/>
      <w:pPr>
        <w:ind w:left="6248" w:hanging="360"/>
      </w:pPr>
      <w:rPr>
        <w:rFonts w:hint="default"/>
        <w:lang w:val="en-US" w:eastAsia="en-US" w:bidi="ar-SA"/>
      </w:rPr>
    </w:lvl>
    <w:lvl w:ilvl="7" w:tplc="FFFFFFFF">
      <w:numFmt w:val="bullet"/>
      <w:lvlText w:val="•"/>
      <w:lvlJc w:val="left"/>
      <w:pPr>
        <w:ind w:left="7146" w:hanging="360"/>
      </w:pPr>
      <w:rPr>
        <w:rFonts w:hint="default"/>
        <w:lang w:val="en-US" w:eastAsia="en-US" w:bidi="ar-SA"/>
      </w:rPr>
    </w:lvl>
    <w:lvl w:ilvl="8" w:tplc="FFFFFFFF">
      <w:numFmt w:val="bullet"/>
      <w:lvlText w:val="•"/>
      <w:lvlJc w:val="left"/>
      <w:pPr>
        <w:ind w:left="8044" w:hanging="360"/>
      </w:pPr>
      <w:rPr>
        <w:rFonts w:hint="default"/>
        <w:lang w:val="en-US" w:eastAsia="en-US" w:bidi="ar-SA"/>
      </w:rPr>
    </w:lvl>
  </w:abstractNum>
  <w:abstractNum w:abstractNumId="39" w15:restartNumberingAfterBreak="0">
    <w:nsid w:val="741406C8"/>
    <w:multiLevelType w:val="hybridMultilevel"/>
    <w:tmpl w:val="CD528004"/>
    <w:lvl w:ilvl="0" w:tplc="952AF746">
      <w:numFmt w:val="bullet"/>
      <w:lvlText w:val=""/>
      <w:lvlJc w:val="left"/>
      <w:pPr>
        <w:ind w:left="859" w:hanging="360"/>
      </w:pPr>
      <w:rPr>
        <w:rFonts w:ascii="Symbol" w:eastAsia="Symbol" w:hAnsi="Symbol" w:cs="Symbol" w:hint="default"/>
        <w:w w:val="99"/>
        <w:sz w:val="22"/>
        <w:szCs w:val="22"/>
        <w:lang w:val="en-US" w:eastAsia="en-US" w:bidi="ar-SA"/>
      </w:rPr>
    </w:lvl>
    <w:lvl w:ilvl="1" w:tplc="C1B60E1A">
      <w:numFmt w:val="bullet"/>
      <w:lvlText w:val="o"/>
      <w:lvlJc w:val="left"/>
      <w:pPr>
        <w:ind w:left="1579" w:hanging="360"/>
      </w:pPr>
      <w:rPr>
        <w:rFonts w:ascii="Courier New" w:eastAsia="Courier New" w:hAnsi="Courier New" w:cs="Courier New" w:hint="default"/>
        <w:w w:val="99"/>
        <w:sz w:val="22"/>
        <w:szCs w:val="22"/>
        <w:lang w:val="en-US" w:eastAsia="en-US" w:bidi="ar-SA"/>
      </w:rPr>
    </w:lvl>
    <w:lvl w:ilvl="2" w:tplc="3646A906">
      <w:numFmt w:val="bullet"/>
      <w:lvlText w:val="•"/>
      <w:lvlJc w:val="left"/>
      <w:pPr>
        <w:ind w:left="2497" w:hanging="360"/>
      </w:pPr>
      <w:rPr>
        <w:lang w:val="en-US" w:eastAsia="en-US" w:bidi="ar-SA"/>
      </w:rPr>
    </w:lvl>
    <w:lvl w:ilvl="3" w:tplc="E46ECFC6">
      <w:numFmt w:val="bullet"/>
      <w:lvlText w:val="•"/>
      <w:lvlJc w:val="left"/>
      <w:pPr>
        <w:ind w:left="3415" w:hanging="360"/>
      </w:pPr>
      <w:rPr>
        <w:lang w:val="en-US" w:eastAsia="en-US" w:bidi="ar-SA"/>
      </w:rPr>
    </w:lvl>
    <w:lvl w:ilvl="4" w:tplc="5FAE12BE">
      <w:numFmt w:val="bullet"/>
      <w:lvlText w:val="•"/>
      <w:lvlJc w:val="left"/>
      <w:pPr>
        <w:ind w:left="4333" w:hanging="360"/>
      </w:pPr>
      <w:rPr>
        <w:lang w:val="en-US" w:eastAsia="en-US" w:bidi="ar-SA"/>
      </w:rPr>
    </w:lvl>
    <w:lvl w:ilvl="5" w:tplc="574A31BE">
      <w:numFmt w:val="bullet"/>
      <w:lvlText w:val="•"/>
      <w:lvlJc w:val="left"/>
      <w:pPr>
        <w:ind w:left="5251" w:hanging="360"/>
      </w:pPr>
      <w:rPr>
        <w:lang w:val="en-US" w:eastAsia="en-US" w:bidi="ar-SA"/>
      </w:rPr>
    </w:lvl>
    <w:lvl w:ilvl="6" w:tplc="C010D5B6">
      <w:numFmt w:val="bullet"/>
      <w:lvlText w:val="•"/>
      <w:lvlJc w:val="left"/>
      <w:pPr>
        <w:ind w:left="6168" w:hanging="360"/>
      </w:pPr>
      <w:rPr>
        <w:lang w:val="en-US" w:eastAsia="en-US" w:bidi="ar-SA"/>
      </w:rPr>
    </w:lvl>
    <w:lvl w:ilvl="7" w:tplc="462424D8">
      <w:numFmt w:val="bullet"/>
      <w:lvlText w:val="•"/>
      <w:lvlJc w:val="left"/>
      <w:pPr>
        <w:ind w:left="7086" w:hanging="360"/>
      </w:pPr>
      <w:rPr>
        <w:lang w:val="en-US" w:eastAsia="en-US" w:bidi="ar-SA"/>
      </w:rPr>
    </w:lvl>
    <w:lvl w:ilvl="8" w:tplc="C53C2262">
      <w:numFmt w:val="bullet"/>
      <w:lvlText w:val="•"/>
      <w:lvlJc w:val="left"/>
      <w:pPr>
        <w:ind w:left="8004" w:hanging="360"/>
      </w:pPr>
      <w:rPr>
        <w:lang w:val="en-US" w:eastAsia="en-US" w:bidi="ar-SA"/>
      </w:rPr>
    </w:lvl>
  </w:abstractNum>
  <w:abstractNum w:abstractNumId="40"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23C1A"/>
    <w:multiLevelType w:val="hybridMultilevel"/>
    <w:tmpl w:val="CC462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3835698">
    <w:abstractNumId w:val="37"/>
  </w:num>
  <w:num w:numId="2" w16cid:durableId="1592162888">
    <w:abstractNumId w:val="19"/>
  </w:num>
  <w:num w:numId="3" w16cid:durableId="1701589992">
    <w:abstractNumId w:val="35"/>
  </w:num>
  <w:num w:numId="4" w16cid:durableId="250937431">
    <w:abstractNumId w:val="40"/>
  </w:num>
  <w:num w:numId="5" w16cid:durableId="167253145">
    <w:abstractNumId w:val="8"/>
  </w:num>
  <w:num w:numId="6" w16cid:durableId="2006201697">
    <w:abstractNumId w:val="5"/>
  </w:num>
  <w:num w:numId="7" w16cid:durableId="382296475">
    <w:abstractNumId w:val="21"/>
  </w:num>
  <w:num w:numId="8" w16cid:durableId="1374648888">
    <w:abstractNumId w:val="30"/>
  </w:num>
  <w:num w:numId="9" w16cid:durableId="953099610">
    <w:abstractNumId w:val="7"/>
  </w:num>
  <w:num w:numId="10" w16cid:durableId="1731414418">
    <w:abstractNumId w:val="0"/>
  </w:num>
  <w:num w:numId="11" w16cid:durableId="560554170">
    <w:abstractNumId w:val="28"/>
  </w:num>
  <w:num w:numId="12" w16cid:durableId="41372163">
    <w:abstractNumId w:val="15"/>
  </w:num>
  <w:num w:numId="13" w16cid:durableId="157355621">
    <w:abstractNumId w:val="18"/>
  </w:num>
  <w:num w:numId="14" w16cid:durableId="1889219522">
    <w:abstractNumId w:val="20"/>
  </w:num>
  <w:num w:numId="15" w16cid:durableId="1779526320">
    <w:abstractNumId w:val="23"/>
  </w:num>
  <w:num w:numId="16" w16cid:durableId="706180342">
    <w:abstractNumId w:val="29"/>
  </w:num>
  <w:num w:numId="17" w16cid:durableId="1333486079">
    <w:abstractNumId w:val="33"/>
  </w:num>
  <w:num w:numId="18" w16cid:durableId="1035277033">
    <w:abstractNumId w:val="17"/>
  </w:num>
  <w:num w:numId="19" w16cid:durableId="464666320">
    <w:abstractNumId w:val="25"/>
  </w:num>
  <w:num w:numId="20" w16cid:durableId="1881355967">
    <w:abstractNumId w:val="22"/>
  </w:num>
  <w:num w:numId="21" w16cid:durableId="1813669967">
    <w:abstractNumId w:val="36"/>
  </w:num>
  <w:num w:numId="22" w16cid:durableId="2082942633">
    <w:abstractNumId w:val="3"/>
  </w:num>
  <w:num w:numId="23" w16cid:durableId="1115949561">
    <w:abstractNumId w:val="12"/>
  </w:num>
  <w:num w:numId="24" w16cid:durableId="1378624996">
    <w:abstractNumId w:val="1"/>
  </w:num>
  <w:num w:numId="25" w16cid:durableId="1497960628">
    <w:abstractNumId w:val="13"/>
  </w:num>
  <w:num w:numId="26" w16cid:durableId="1929998272">
    <w:abstractNumId w:val="27"/>
  </w:num>
  <w:num w:numId="27" w16cid:durableId="1631935123">
    <w:abstractNumId w:val="24"/>
  </w:num>
  <w:num w:numId="28" w16cid:durableId="2106997387">
    <w:abstractNumId w:val="16"/>
  </w:num>
  <w:num w:numId="29" w16cid:durableId="867454467">
    <w:abstractNumId w:val="9"/>
  </w:num>
  <w:num w:numId="30" w16cid:durableId="374163767">
    <w:abstractNumId w:val="31"/>
  </w:num>
  <w:num w:numId="31" w16cid:durableId="2049532">
    <w:abstractNumId w:val="10"/>
  </w:num>
  <w:num w:numId="32" w16cid:durableId="269555981">
    <w:abstractNumId w:val="11"/>
  </w:num>
  <w:num w:numId="33" w16cid:durableId="1883054939">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258828675">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250894975">
    <w:abstractNumId w:val="39"/>
  </w:num>
  <w:num w:numId="36" w16cid:durableId="307903304">
    <w:abstractNumId w:val="4"/>
  </w:num>
  <w:num w:numId="37" w16cid:durableId="1946451433">
    <w:abstractNumId w:val="34"/>
  </w:num>
  <w:num w:numId="38" w16cid:durableId="932393885">
    <w:abstractNumId w:val="6"/>
  </w:num>
  <w:num w:numId="39" w16cid:durableId="1475367179">
    <w:abstractNumId w:val="26"/>
  </w:num>
  <w:num w:numId="40" w16cid:durableId="1441219592">
    <w:abstractNumId w:val="32"/>
  </w:num>
  <w:num w:numId="41" w16cid:durableId="1331786823">
    <w:abstractNumId w:val="38"/>
  </w:num>
  <w:num w:numId="42" w16cid:durableId="2094545499">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16E"/>
    <w:rsid w:val="000013E5"/>
    <w:rsid w:val="0000146B"/>
    <w:rsid w:val="00001EAE"/>
    <w:rsid w:val="00002320"/>
    <w:rsid w:val="0000272B"/>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17D15"/>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1AB"/>
    <w:rsid w:val="0005247A"/>
    <w:rsid w:val="000526F6"/>
    <w:rsid w:val="00052E15"/>
    <w:rsid w:val="000532EB"/>
    <w:rsid w:val="00053391"/>
    <w:rsid w:val="000533D7"/>
    <w:rsid w:val="00053795"/>
    <w:rsid w:val="00053DFE"/>
    <w:rsid w:val="0005400D"/>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51E"/>
    <w:rsid w:val="000618B4"/>
    <w:rsid w:val="00061AB2"/>
    <w:rsid w:val="00061DF1"/>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3BD7"/>
    <w:rsid w:val="00074237"/>
    <w:rsid w:val="000743D6"/>
    <w:rsid w:val="00074B33"/>
    <w:rsid w:val="000762B0"/>
    <w:rsid w:val="000778C9"/>
    <w:rsid w:val="000802F7"/>
    <w:rsid w:val="000806CC"/>
    <w:rsid w:val="00080D36"/>
    <w:rsid w:val="00080EBD"/>
    <w:rsid w:val="00082667"/>
    <w:rsid w:val="000829BF"/>
    <w:rsid w:val="0008392B"/>
    <w:rsid w:val="00083B68"/>
    <w:rsid w:val="0008402E"/>
    <w:rsid w:val="0008434A"/>
    <w:rsid w:val="000845C1"/>
    <w:rsid w:val="000847AD"/>
    <w:rsid w:val="00084FF1"/>
    <w:rsid w:val="000850E1"/>
    <w:rsid w:val="00085111"/>
    <w:rsid w:val="0008540D"/>
    <w:rsid w:val="00085B13"/>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3ACB"/>
    <w:rsid w:val="00094739"/>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9F7"/>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819"/>
    <w:rsid w:val="000B29F8"/>
    <w:rsid w:val="000B2A70"/>
    <w:rsid w:val="000B2C26"/>
    <w:rsid w:val="000B2DCB"/>
    <w:rsid w:val="000B3578"/>
    <w:rsid w:val="000B3A11"/>
    <w:rsid w:val="000B3D92"/>
    <w:rsid w:val="000B4405"/>
    <w:rsid w:val="000B4AA4"/>
    <w:rsid w:val="000B547A"/>
    <w:rsid w:val="000B56BA"/>
    <w:rsid w:val="000B5823"/>
    <w:rsid w:val="000B60CA"/>
    <w:rsid w:val="000B64CB"/>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3ACC"/>
    <w:rsid w:val="000E4061"/>
    <w:rsid w:val="000E4594"/>
    <w:rsid w:val="000E4B9A"/>
    <w:rsid w:val="000E4EE2"/>
    <w:rsid w:val="000E56FA"/>
    <w:rsid w:val="000E5AAB"/>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8BC"/>
    <w:rsid w:val="000F4C46"/>
    <w:rsid w:val="000F4E22"/>
    <w:rsid w:val="000F4F37"/>
    <w:rsid w:val="000F66B8"/>
    <w:rsid w:val="000F670E"/>
    <w:rsid w:val="000F7196"/>
    <w:rsid w:val="000F7399"/>
    <w:rsid w:val="000F76DD"/>
    <w:rsid w:val="000F7A89"/>
    <w:rsid w:val="000F7C7C"/>
    <w:rsid w:val="000F7CF3"/>
    <w:rsid w:val="001011BB"/>
    <w:rsid w:val="0010168C"/>
    <w:rsid w:val="0010170F"/>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328"/>
    <w:rsid w:val="0011074D"/>
    <w:rsid w:val="00110BB6"/>
    <w:rsid w:val="001111BE"/>
    <w:rsid w:val="0011161A"/>
    <w:rsid w:val="001126C3"/>
    <w:rsid w:val="00112F4D"/>
    <w:rsid w:val="00113CE9"/>
    <w:rsid w:val="001142DE"/>
    <w:rsid w:val="0011547F"/>
    <w:rsid w:val="001156D2"/>
    <w:rsid w:val="00115CDA"/>
    <w:rsid w:val="00116D0B"/>
    <w:rsid w:val="00116E25"/>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2A"/>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6082"/>
    <w:rsid w:val="00176779"/>
    <w:rsid w:val="001773E7"/>
    <w:rsid w:val="00177BC6"/>
    <w:rsid w:val="00177E7A"/>
    <w:rsid w:val="00177EC7"/>
    <w:rsid w:val="001806EA"/>
    <w:rsid w:val="00181070"/>
    <w:rsid w:val="001829C9"/>
    <w:rsid w:val="00182B26"/>
    <w:rsid w:val="001831D2"/>
    <w:rsid w:val="001835EE"/>
    <w:rsid w:val="00183E9B"/>
    <w:rsid w:val="001843C6"/>
    <w:rsid w:val="00184911"/>
    <w:rsid w:val="001853BF"/>
    <w:rsid w:val="00185BA9"/>
    <w:rsid w:val="00186309"/>
    <w:rsid w:val="0018657A"/>
    <w:rsid w:val="00186964"/>
    <w:rsid w:val="001875AF"/>
    <w:rsid w:val="00190104"/>
    <w:rsid w:val="00191350"/>
    <w:rsid w:val="0019260C"/>
    <w:rsid w:val="00193321"/>
    <w:rsid w:val="00194AD8"/>
    <w:rsid w:val="001955AC"/>
    <w:rsid w:val="001965F5"/>
    <w:rsid w:val="0019671E"/>
    <w:rsid w:val="00196B54"/>
    <w:rsid w:val="00196BEB"/>
    <w:rsid w:val="00196CE6"/>
    <w:rsid w:val="00196F4B"/>
    <w:rsid w:val="001A0637"/>
    <w:rsid w:val="001A0C28"/>
    <w:rsid w:val="001A189D"/>
    <w:rsid w:val="001A1ABA"/>
    <w:rsid w:val="001A2657"/>
    <w:rsid w:val="001A2D6A"/>
    <w:rsid w:val="001A342F"/>
    <w:rsid w:val="001A3539"/>
    <w:rsid w:val="001A3BEB"/>
    <w:rsid w:val="001A4886"/>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5CAF"/>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1B4B"/>
    <w:rsid w:val="00202A6D"/>
    <w:rsid w:val="002043C7"/>
    <w:rsid w:val="0020456D"/>
    <w:rsid w:val="002049CF"/>
    <w:rsid w:val="00204FB9"/>
    <w:rsid w:val="00205239"/>
    <w:rsid w:val="0020552B"/>
    <w:rsid w:val="00205E6B"/>
    <w:rsid w:val="00206890"/>
    <w:rsid w:val="00206A65"/>
    <w:rsid w:val="00207D31"/>
    <w:rsid w:val="00210AC6"/>
    <w:rsid w:val="00210D18"/>
    <w:rsid w:val="00210F75"/>
    <w:rsid w:val="0021110D"/>
    <w:rsid w:val="00211617"/>
    <w:rsid w:val="00211DCE"/>
    <w:rsid w:val="00212954"/>
    <w:rsid w:val="00212E92"/>
    <w:rsid w:val="00214263"/>
    <w:rsid w:val="00214749"/>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3975"/>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1CB"/>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E9"/>
    <w:rsid w:val="00285DF4"/>
    <w:rsid w:val="00285F70"/>
    <w:rsid w:val="002860EA"/>
    <w:rsid w:val="0028638B"/>
    <w:rsid w:val="00286999"/>
    <w:rsid w:val="00286AE2"/>
    <w:rsid w:val="00286BDF"/>
    <w:rsid w:val="00287DAC"/>
    <w:rsid w:val="00287E73"/>
    <w:rsid w:val="002908CD"/>
    <w:rsid w:val="0029150F"/>
    <w:rsid w:val="002916E6"/>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591"/>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2499"/>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0D74"/>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CFB"/>
    <w:rsid w:val="002F1D27"/>
    <w:rsid w:val="002F2379"/>
    <w:rsid w:val="002F3163"/>
    <w:rsid w:val="002F364A"/>
    <w:rsid w:val="002F44F9"/>
    <w:rsid w:val="002F5568"/>
    <w:rsid w:val="002F5F54"/>
    <w:rsid w:val="002F6CA7"/>
    <w:rsid w:val="002F6CB6"/>
    <w:rsid w:val="002F7D07"/>
    <w:rsid w:val="00300258"/>
    <w:rsid w:val="003005A6"/>
    <w:rsid w:val="003008E2"/>
    <w:rsid w:val="00300CF4"/>
    <w:rsid w:val="00301FD0"/>
    <w:rsid w:val="00302CA6"/>
    <w:rsid w:val="00302CD0"/>
    <w:rsid w:val="003031B5"/>
    <w:rsid w:val="0030359D"/>
    <w:rsid w:val="0030500A"/>
    <w:rsid w:val="00305357"/>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732"/>
    <w:rsid w:val="00312C1A"/>
    <w:rsid w:val="0031316A"/>
    <w:rsid w:val="0031327B"/>
    <w:rsid w:val="003132AE"/>
    <w:rsid w:val="003133B4"/>
    <w:rsid w:val="003136FD"/>
    <w:rsid w:val="003138F9"/>
    <w:rsid w:val="0031445F"/>
    <w:rsid w:val="00314A86"/>
    <w:rsid w:val="00315173"/>
    <w:rsid w:val="00315747"/>
    <w:rsid w:val="00315E88"/>
    <w:rsid w:val="00316138"/>
    <w:rsid w:val="0031684C"/>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08B8"/>
    <w:rsid w:val="00331137"/>
    <w:rsid w:val="00331CBC"/>
    <w:rsid w:val="00332054"/>
    <w:rsid w:val="003321D1"/>
    <w:rsid w:val="00332397"/>
    <w:rsid w:val="0033239B"/>
    <w:rsid w:val="00332E23"/>
    <w:rsid w:val="00333FD4"/>
    <w:rsid w:val="0033429D"/>
    <w:rsid w:val="00334953"/>
    <w:rsid w:val="00334EAB"/>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1AD"/>
    <w:rsid w:val="003522C0"/>
    <w:rsid w:val="00352769"/>
    <w:rsid w:val="00352E68"/>
    <w:rsid w:val="003532E2"/>
    <w:rsid w:val="00353EB1"/>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1FAA"/>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049"/>
    <w:rsid w:val="00385214"/>
    <w:rsid w:val="003856C4"/>
    <w:rsid w:val="003864B1"/>
    <w:rsid w:val="00386623"/>
    <w:rsid w:val="00387F2F"/>
    <w:rsid w:val="003900C7"/>
    <w:rsid w:val="003902D5"/>
    <w:rsid w:val="00390746"/>
    <w:rsid w:val="00390CF9"/>
    <w:rsid w:val="00391C58"/>
    <w:rsid w:val="00391C9B"/>
    <w:rsid w:val="00392198"/>
    <w:rsid w:val="0039251E"/>
    <w:rsid w:val="003929E1"/>
    <w:rsid w:val="00392D78"/>
    <w:rsid w:val="00393264"/>
    <w:rsid w:val="00395064"/>
    <w:rsid w:val="0039534D"/>
    <w:rsid w:val="003953C1"/>
    <w:rsid w:val="00395B6C"/>
    <w:rsid w:val="00395F8F"/>
    <w:rsid w:val="003968A6"/>
    <w:rsid w:val="00396BA3"/>
    <w:rsid w:val="0039793B"/>
    <w:rsid w:val="003A07F8"/>
    <w:rsid w:val="003A1055"/>
    <w:rsid w:val="003A10AE"/>
    <w:rsid w:val="003A2176"/>
    <w:rsid w:val="003A2612"/>
    <w:rsid w:val="003A32A9"/>
    <w:rsid w:val="003A32DA"/>
    <w:rsid w:val="003A34C1"/>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B67"/>
    <w:rsid w:val="003A7D48"/>
    <w:rsid w:val="003B08A2"/>
    <w:rsid w:val="003B0BF4"/>
    <w:rsid w:val="003B0C91"/>
    <w:rsid w:val="003B0F8E"/>
    <w:rsid w:val="003B1111"/>
    <w:rsid w:val="003B1933"/>
    <w:rsid w:val="003B2B5E"/>
    <w:rsid w:val="003B30B3"/>
    <w:rsid w:val="003B3666"/>
    <w:rsid w:val="003B3E5C"/>
    <w:rsid w:val="003B41C7"/>
    <w:rsid w:val="003B496A"/>
    <w:rsid w:val="003B4CAA"/>
    <w:rsid w:val="003B5C91"/>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50C"/>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D06"/>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51D"/>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B50"/>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684"/>
    <w:rsid w:val="00415802"/>
    <w:rsid w:val="004158DD"/>
    <w:rsid w:val="00415998"/>
    <w:rsid w:val="00415C11"/>
    <w:rsid w:val="00415FE9"/>
    <w:rsid w:val="0041625C"/>
    <w:rsid w:val="00416463"/>
    <w:rsid w:val="004165DC"/>
    <w:rsid w:val="00416B0F"/>
    <w:rsid w:val="00416FE7"/>
    <w:rsid w:val="0041712E"/>
    <w:rsid w:val="004201D8"/>
    <w:rsid w:val="00420950"/>
    <w:rsid w:val="00420F2A"/>
    <w:rsid w:val="004216A9"/>
    <w:rsid w:val="00421B4F"/>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0E26"/>
    <w:rsid w:val="00431920"/>
    <w:rsid w:val="00431DA5"/>
    <w:rsid w:val="00432187"/>
    <w:rsid w:val="004337B0"/>
    <w:rsid w:val="00433A7A"/>
    <w:rsid w:val="00433E14"/>
    <w:rsid w:val="00433F76"/>
    <w:rsid w:val="00433FB5"/>
    <w:rsid w:val="0043415F"/>
    <w:rsid w:val="00434298"/>
    <w:rsid w:val="004348BB"/>
    <w:rsid w:val="00434915"/>
    <w:rsid w:val="0043553A"/>
    <w:rsid w:val="00435568"/>
    <w:rsid w:val="00435E51"/>
    <w:rsid w:val="0043678A"/>
    <w:rsid w:val="004369B2"/>
    <w:rsid w:val="00437204"/>
    <w:rsid w:val="00437C25"/>
    <w:rsid w:val="00440955"/>
    <w:rsid w:val="00440EFA"/>
    <w:rsid w:val="004410A6"/>
    <w:rsid w:val="00441578"/>
    <w:rsid w:val="00441FB4"/>
    <w:rsid w:val="004422B4"/>
    <w:rsid w:val="0044260C"/>
    <w:rsid w:val="004427EB"/>
    <w:rsid w:val="00442906"/>
    <w:rsid w:val="00442B92"/>
    <w:rsid w:val="00442D9C"/>
    <w:rsid w:val="00443376"/>
    <w:rsid w:val="00443406"/>
    <w:rsid w:val="004435DE"/>
    <w:rsid w:val="00444A9D"/>
    <w:rsid w:val="00445640"/>
    <w:rsid w:val="00445B98"/>
    <w:rsid w:val="00445DF0"/>
    <w:rsid w:val="004462E1"/>
    <w:rsid w:val="00446423"/>
    <w:rsid w:val="00446689"/>
    <w:rsid w:val="00447067"/>
    <w:rsid w:val="0044716A"/>
    <w:rsid w:val="00450059"/>
    <w:rsid w:val="004502CD"/>
    <w:rsid w:val="004505AF"/>
    <w:rsid w:val="00450DE8"/>
    <w:rsid w:val="00450F98"/>
    <w:rsid w:val="004515C2"/>
    <w:rsid w:val="004518AF"/>
    <w:rsid w:val="00451D7E"/>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3BA"/>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13F"/>
    <w:rsid w:val="0047379E"/>
    <w:rsid w:val="00474848"/>
    <w:rsid w:val="00474DB4"/>
    <w:rsid w:val="00475E2D"/>
    <w:rsid w:val="0047630E"/>
    <w:rsid w:val="00476460"/>
    <w:rsid w:val="004765BA"/>
    <w:rsid w:val="00476EA2"/>
    <w:rsid w:val="0047749E"/>
    <w:rsid w:val="004777CA"/>
    <w:rsid w:val="0048004B"/>
    <w:rsid w:val="00480083"/>
    <w:rsid w:val="00480185"/>
    <w:rsid w:val="004801D4"/>
    <w:rsid w:val="00480944"/>
    <w:rsid w:val="00480A1F"/>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339"/>
    <w:rsid w:val="00492994"/>
    <w:rsid w:val="004939D7"/>
    <w:rsid w:val="004944F8"/>
    <w:rsid w:val="00494CD6"/>
    <w:rsid w:val="004955D2"/>
    <w:rsid w:val="00495BB6"/>
    <w:rsid w:val="00496EF6"/>
    <w:rsid w:val="00496FEA"/>
    <w:rsid w:val="0049743B"/>
    <w:rsid w:val="00497579"/>
    <w:rsid w:val="00497C4D"/>
    <w:rsid w:val="00497DE4"/>
    <w:rsid w:val="004A074D"/>
    <w:rsid w:val="004A13F5"/>
    <w:rsid w:val="004A15B3"/>
    <w:rsid w:val="004A1709"/>
    <w:rsid w:val="004A1894"/>
    <w:rsid w:val="004A22EC"/>
    <w:rsid w:val="004A3038"/>
    <w:rsid w:val="004A336A"/>
    <w:rsid w:val="004A33CD"/>
    <w:rsid w:val="004A38B9"/>
    <w:rsid w:val="004A3F07"/>
    <w:rsid w:val="004A463F"/>
    <w:rsid w:val="004A4803"/>
    <w:rsid w:val="004A4E9A"/>
    <w:rsid w:val="004A6352"/>
    <w:rsid w:val="004A74D2"/>
    <w:rsid w:val="004B0B07"/>
    <w:rsid w:val="004B0B1D"/>
    <w:rsid w:val="004B0DD6"/>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0EE"/>
    <w:rsid w:val="004C070C"/>
    <w:rsid w:val="004C1866"/>
    <w:rsid w:val="004C2776"/>
    <w:rsid w:val="004C2C08"/>
    <w:rsid w:val="004C33EB"/>
    <w:rsid w:val="004C36E3"/>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48"/>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99F"/>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929"/>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09"/>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9FD"/>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25"/>
    <w:rsid w:val="00523F73"/>
    <w:rsid w:val="005246CC"/>
    <w:rsid w:val="00525505"/>
    <w:rsid w:val="00525A27"/>
    <w:rsid w:val="00525B5D"/>
    <w:rsid w:val="0052615D"/>
    <w:rsid w:val="00526A64"/>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0D3"/>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0C"/>
    <w:rsid w:val="0056363D"/>
    <w:rsid w:val="005643BD"/>
    <w:rsid w:val="00564BFF"/>
    <w:rsid w:val="00564D95"/>
    <w:rsid w:val="0056509A"/>
    <w:rsid w:val="005658C5"/>
    <w:rsid w:val="00565970"/>
    <w:rsid w:val="005660E2"/>
    <w:rsid w:val="0056613A"/>
    <w:rsid w:val="0056654D"/>
    <w:rsid w:val="00566725"/>
    <w:rsid w:val="00566C03"/>
    <w:rsid w:val="005677D4"/>
    <w:rsid w:val="00570930"/>
    <w:rsid w:val="00570C07"/>
    <w:rsid w:val="00571344"/>
    <w:rsid w:val="00571A0D"/>
    <w:rsid w:val="00571EAB"/>
    <w:rsid w:val="0057259D"/>
    <w:rsid w:val="005727D4"/>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54D"/>
    <w:rsid w:val="00582880"/>
    <w:rsid w:val="00582C08"/>
    <w:rsid w:val="00582C70"/>
    <w:rsid w:val="0058315D"/>
    <w:rsid w:val="00583185"/>
    <w:rsid w:val="0058374D"/>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B6"/>
    <w:rsid w:val="005A54E0"/>
    <w:rsid w:val="005A6218"/>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0F96"/>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BEC"/>
    <w:rsid w:val="005D6D24"/>
    <w:rsid w:val="005D6EB4"/>
    <w:rsid w:val="005D7714"/>
    <w:rsid w:val="005E00AD"/>
    <w:rsid w:val="005E0303"/>
    <w:rsid w:val="005E05A2"/>
    <w:rsid w:val="005E0706"/>
    <w:rsid w:val="005E1087"/>
    <w:rsid w:val="005E127B"/>
    <w:rsid w:val="005E2440"/>
    <w:rsid w:val="005E34E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6328"/>
    <w:rsid w:val="005F7457"/>
    <w:rsid w:val="005F7CB9"/>
    <w:rsid w:val="00600C5D"/>
    <w:rsid w:val="00600E15"/>
    <w:rsid w:val="006016F5"/>
    <w:rsid w:val="00601806"/>
    <w:rsid w:val="00602A2C"/>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882"/>
    <w:rsid w:val="00625DA1"/>
    <w:rsid w:val="00625E3A"/>
    <w:rsid w:val="00626739"/>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023"/>
    <w:rsid w:val="00641149"/>
    <w:rsid w:val="0064117D"/>
    <w:rsid w:val="006414D9"/>
    <w:rsid w:val="00641893"/>
    <w:rsid w:val="00641AC8"/>
    <w:rsid w:val="00641F99"/>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78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B0"/>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3813"/>
    <w:rsid w:val="00674187"/>
    <w:rsid w:val="006746B1"/>
    <w:rsid w:val="006748D9"/>
    <w:rsid w:val="00674A5C"/>
    <w:rsid w:val="0067614F"/>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3B84"/>
    <w:rsid w:val="006A417F"/>
    <w:rsid w:val="006A44D8"/>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0A52"/>
    <w:rsid w:val="006D117B"/>
    <w:rsid w:val="006D16E4"/>
    <w:rsid w:val="006D1A2B"/>
    <w:rsid w:val="006D20B0"/>
    <w:rsid w:val="006D21A8"/>
    <w:rsid w:val="006D3BD7"/>
    <w:rsid w:val="006D437F"/>
    <w:rsid w:val="006D44DC"/>
    <w:rsid w:val="006D4F8F"/>
    <w:rsid w:val="006D5982"/>
    <w:rsid w:val="006D5A8B"/>
    <w:rsid w:val="006D5C56"/>
    <w:rsid w:val="006D5DC4"/>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3F"/>
    <w:rsid w:val="006E5AE4"/>
    <w:rsid w:val="006E60EA"/>
    <w:rsid w:val="006E6280"/>
    <w:rsid w:val="006F0B24"/>
    <w:rsid w:val="006F0FFF"/>
    <w:rsid w:val="006F1DE4"/>
    <w:rsid w:val="006F2250"/>
    <w:rsid w:val="006F2592"/>
    <w:rsid w:val="006F2A7D"/>
    <w:rsid w:val="006F3531"/>
    <w:rsid w:val="006F391E"/>
    <w:rsid w:val="006F3C93"/>
    <w:rsid w:val="006F4307"/>
    <w:rsid w:val="006F4BF7"/>
    <w:rsid w:val="006F5957"/>
    <w:rsid w:val="006F6351"/>
    <w:rsid w:val="006F6B8F"/>
    <w:rsid w:val="0070083E"/>
    <w:rsid w:val="00700E96"/>
    <w:rsid w:val="00700FD9"/>
    <w:rsid w:val="00701B5B"/>
    <w:rsid w:val="00702A40"/>
    <w:rsid w:val="00702CFF"/>
    <w:rsid w:val="00703FA0"/>
    <w:rsid w:val="00704B7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5ED"/>
    <w:rsid w:val="0071385D"/>
    <w:rsid w:val="00713B92"/>
    <w:rsid w:val="007146BE"/>
    <w:rsid w:val="00714F02"/>
    <w:rsid w:val="00715CA8"/>
    <w:rsid w:val="00715E1E"/>
    <w:rsid w:val="007164C1"/>
    <w:rsid w:val="00716EB9"/>
    <w:rsid w:val="00717580"/>
    <w:rsid w:val="00717710"/>
    <w:rsid w:val="00720099"/>
    <w:rsid w:val="007200FD"/>
    <w:rsid w:val="0072060C"/>
    <w:rsid w:val="00720AC8"/>
    <w:rsid w:val="00721FDA"/>
    <w:rsid w:val="007227E3"/>
    <w:rsid w:val="007239EC"/>
    <w:rsid w:val="00723A08"/>
    <w:rsid w:val="007243CE"/>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0CBC"/>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26F"/>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9D7"/>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53E"/>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594A"/>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9A7"/>
    <w:rsid w:val="007A5B01"/>
    <w:rsid w:val="007A5B63"/>
    <w:rsid w:val="007A5BA6"/>
    <w:rsid w:val="007A5EC1"/>
    <w:rsid w:val="007A62B9"/>
    <w:rsid w:val="007A6310"/>
    <w:rsid w:val="007A644D"/>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736"/>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C7E17"/>
    <w:rsid w:val="007D01BC"/>
    <w:rsid w:val="007D100A"/>
    <w:rsid w:val="007D1137"/>
    <w:rsid w:val="007D116C"/>
    <w:rsid w:val="007D12EA"/>
    <w:rsid w:val="007D156B"/>
    <w:rsid w:val="007D168C"/>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791"/>
    <w:rsid w:val="007E1833"/>
    <w:rsid w:val="007E2779"/>
    <w:rsid w:val="007E3073"/>
    <w:rsid w:val="007E3B19"/>
    <w:rsid w:val="007E4314"/>
    <w:rsid w:val="007E4572"/>
    <w:rsid w:val="007E4BE9"/>
    <w:rsid w:val="007E4BF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4A9"/>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5F54"/>
    <w:rsid w:val="00806AE6"/>
    <w:rsid w:val="00806C75"/>
    <w:rsid w:val="008078DE"/>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751"/>
    <w:rsid w:val="00820AD0"/>
    <w:rsid w:val="0082130B"/>
    <w:rsid w:val="00821BA2"/>
    <w:rsid w:val="008221C1"/>
    <w:rsid w:val="008227D4"/>
    <w:rsid w:val="00823232"/>
    <w:rsid w:val="00823A32"/>
    <w:rsid w:val="00823B4C"/>
    <w:rsid w:val="0082411F"/>
    <w:rsid w:val="00824D00"/>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8DC"/>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1F98"/>
    <w:rsid w:val="008521F9"/>
    <w:rsid w:val="00852263"/>
    <w:rsid w:val="00852D5E"/>
    <w:rsid w:val="0085317B"/>
    <w:rsid w:val="0085328E"/>
    <w:rsid w:val="00853F0A"/>
    <w:rsid w:val="0085462C"/>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86A"/>
    <w:rsid w:val="008719C4"/>
    <w:rsid w:val="0087345D"/>
    <w:rsid w:val="00873713"/>
    <w:rsid w:val="00874387"/>
    <w:rsid w:val="0087456C"/>
    <w:rsid w:val="00875068"/>
    <w:rsid w:val="008751D3"/>
    <w:rsid w:val="008756B3"/>
    <w:rsid w:val="00876394"/>
    <w:rsid w:val="008765AB"/>
    <w:rsid w:val="00876657"/>
    <w:rsid w:val="00876C35"/>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30B"/>
    <w:rsid w:val="00893497"/>
    <w:rsid w:val="008942E7"/>
    <w:rsid w:val="00894709"/>
    <w:rsid w:val="00894F9B"/>
    <w:rsid w:val="00895550"/>
    <w:rsid w:val="00895AA2"/>
    <w:rsid w:val="00897094"/>
    <w:rsid w:val="00897286"/>
    <w:rsid w:val="00897563"/>
    <w:rsid w:val="00897815"/>
    <w:rsid w:val="008A0549"/>
    <w:rsid w:val="008A0F62"/>
    <w:rsid w:val="008A2090"/>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48E"/>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0CC6"/>
    <w:rsid w:val="008D194B"/>
    <w:rsid w:val="008D1AC8"/>
    <w:rsid w:val="008D1F5C"/>
    <w:rsid w:val="008D24E3"/>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1C6D"/>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40E"/>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381B"/>
    <w:rsid w:val="009340E3"/>
    <w:rsid w:val="0093456C"/>
    <w:rsid w:val="009349AB"/>
    <w:rsid w:val="00934DC4"/>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3081"/>
    <w:rsid w:val="0095471A"/>
    <w:rsid w:val="00954EDD"/>
    <w:rsid w:val="009550A6"/>
    <w:rsid w:val="0095537B"/>
    <w:rsid w:val="009553C6"/>
    <w:rsid w:val="00955FDB"/>
    <w:rsid w:val="0095611C"/>
    <w:rsid w:val="00956236"/>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C1B"/>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87BD2"/>
    <w:rsid w:val="009901EF"/>
    <w:rsid w:val="009906FC"/>
    <w:rsid w:val="0099146F"/>
    <w:rsid w:val="00991685"/>
    <w:rsid w:val="009926E2"/>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3AB"/>
    <w:rsid w:val="009976D0"/>
    <w:rsid w:val="00997807"/>
    <w:rsid w:val="00997B72"/>
    <w:rsid w:val="00997FCA"/>
    <w:rsid w:val="009A02AB"/>
    <w:rsid w:val="009A1058"/>
    <w:rsid w:val="009A15FD"/>
    <w:rsid w:val="009A16E4"/>
    <w:rsid w:val="009A221D"/>
    <w:rsid w:val="009A2965"/>
    <w:rsid w:val="009A331A"/>
    <w:rsid w:val="009A378E"/>
    <w:rsid w:val="009A41A0"/>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257"/>
    <w:rsid w:val="009B4FDA"/>
    <w:rsid w:val="009B5A0F"/>
    <w:rsid w:val="009B5D3A"/>
    <w:rsid w:val="009B6143"/>
    <w:rsid w:val="009B6586"/>
    <w:rsid w:val="009B6C2A"/>
    <w:rsid w:val="009B739A"/>
    <w:rsid w:val="009B76C5"/>
    <w:rsid w:val="009B78C5"/>
    <w:rsid w:val="009B7EAA"/>
    <w:rsid w:val="009C0E2A"/>
    <w:rsid w:val="009C1AEB"/>
    <w:rsid w:val="009C2B83"/>
    <w:rsid w:val="009C394A"/>
    <w:rsid w:val="009C3CCF"/>
    <w:rsid w:val="009C4E7A"/>
    <w:rsid w:val="009C5632"/>
    <w:rsid w:val="009C5AE7"/>
    <w:rsid w:val="009C5D81"/>
    <w:rsid w:val="009C60CE"/>
    <w:rsid w:val="009C613A"/>
    <w:rsid w:val="009C6495"/>
    <w:rsid w:val="009C65E9"/>
    <w:rsid w:val="009C66EA"/>
    <w:rsid w:val="009C74BD"/>
    <w:rsid w:val="009C74D2"/>
    <w:rsid w:val="009C7F16"/>
    <w:rsid w:val="009D0D68"/>
    <w:rsid w:val="009D0E53"/>
    <w:rsid w:val="009D1412"/>
    <w:rsid w:val="009D2511"/>
    <w:rsid w:val="009D292D"/>
    <w:rsid w:val="009D2AD3"/>
    <w:rsid w:val="009D378C"/>
    <w:rsid w:val="009D3860"/>
    <w:rsid w:val="009D3F56"/>
    <w:rsid w:val="009D4123"/>
    <w:rsid w:val="009D44B9"/>
    <w:rsid w:val="009D5850"/>
    <w:rsid w:val="009D58C7"/>
    <w:rsid w:val="009D67BD"/>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B1E"/>
    <w:rsid w:val="009F6D6C"/>
    <w:rsid w:val="009F6E02"/>
    <w:rsid w:val="009F764E"/>
    <w:rsid w:val="009F79A2"/>
    <w:rsid w:val="00A003EF"/>
    <w:rsid w:val="00A006FE"/>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125"/>
    <w:rsid w:val="00A117F6"/>
    <w:rsid w:val="00A11BD4"/>
    <w:rsid w:val="00A11CDC"/>
    <w:rsid w:val="00A12592"/>
    <w:rsid w:val="00A12797"/>
    <w:rsid w:val="00A12915"/>
    <w:rsid w:val="00A12B68"/>
    <w:rsid w:val="00A12F48"/>
    <w:rsid w:val="00A134AA"/>
    <w:rsid w:val="00A13555"/>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134"/>
    <w:rsid w:val="00A479A0"/>
    <w:rsid w:val="00A47C7A"/>
    <w:rsid w:val="00A5046C"/>
    <w:rsid w:val="00A51737"/>
    <w:rsid w:val="00A51AE0"/>
    <w:rsid w:val="00A51FF7"/>
    <w:rsid w:val="00A526BE"/>
    <w:rsid w:val="00A5296C"/>
    <w:rsid w:val="00A52ABB"/>
    <w:rsid w:val="00A52D97"/>
    <w:rsid w:val="00A533A0"/>
    <w:rsid w:val="00A540E9"/>
    <w:rsid w:val="00A5422F"/>
    <w:rsid w:val="00A54544"/>
    <w:rsid w:val="00A55DCE"/>
    <w:rsid w:val="00A5601C"/>
    <w:rsid w:val="00A561FA"/>
    <w:rsid w:val="00A5643E"/>
    <w:rsid w:val="00A564E2"/>
    <w:rsid w:val="00A56893"/>
    <w:rsid w:val="00A56F73"/>
    <w:rsid w:val="00A5723B"/>
    <w:rsid w:val="00A57F1B"/>
    <w:rsid w:val="00A6034E"/>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4CC1"/>
    <w:rsid w:val="00A7519F"/>
    <w:rsid w:val="00A76EDE"/>
    <w:rsid w:val="00A770C1"/>
    <w:rsid w:val="00A770F6"/>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97A84"/>
    <w:rsid w:val="00AA010F"/>
    <w:rsid w:val="00AA04BD"/>
    <w:rsid w:val="00AA0A55"/>
    <w:rsid w:val="00AA0D04"/>
    <w:rsid w:val="00AA0DB3"/>
    <w:rsid w:val="00AA1152"/>
    <w:rsid w:val="00AA1D7A"/>
    <w:rsid w:val="00AA23BD"/>
    <w:rsid w:val="00AA265C"/>
    <w:rsid w:val="00AA2BB8"/>
    <w:rsid w:val="00AA3109"/>
    <w:rsid w:val="00AA3787"/>
    <w:rsid w:val="00AA378C"/>
    <w:rsid w:val="00AA3A28"/>
    <w:rsid w:val="00AA3A41"/>
    <w:rsid w:val="00AA46D2"/>
    <w:rsid w:val="00AA4DAF"/>
    <w:rsid w:val="00AA4F85"/>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185D"/>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B29"/>
    <w:rsid w:val="00AD1F69"/>
    <w:rsid w:val="00AD2361"/>
    <w:rsid w:val="00AD282D"/>
    <w:rsid w:val="00AD2C8C"/>
    <w:rsid w:val="00AD2F85"/>
    <w:rsid w:val="00AD3ABC"/>
    <w:rsid w:val="00AD3C71"/>
    <w:rsid w:val="00AD4883"/>
    <w:rsid w:val="00AD5583"/>
    <w:rsid w:val="00AD631B"/>
    <w:rsid w:val="00AD6891"/>
    <w:rsid w:val="00AD6DA0"/>
    <w:rsid w:val="00AD7470"/>
    <w:rsid w:val="00AD75EE"/>
    <w:rsid w:val="00AE01D5"/>
    <w:rsid w:val="00AE0C10"/>
    <w:rsid w:val="00AE129E"/>
    <w:rsid w:val="00AE1917"/>
    <w:rsid w:val="00AE1972"/>
    <w:rsid w:val="00AE1DB6"/>
    <w:rsid w:val="00AE232C"/>
    <w:rsid w:val="00AE237C"/>
    <w:rsid w:val="00AE25E2"/>
    <w:rsid w:val="00AE2880"/>
    <w:rsid w:val="00AE3220"/>
    <w:rsid w:val="00AE46E7"/>
    <w:rsid w:val="00AE4DAB"/>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2BD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28EE"/>
    <w:rsid w:val="00B139EE"/>
    <w:rsid w:val="00B14008"/>
    <w:rsid w:val="00B14519"/>
    <w:rsid w:val="00B14746"/>
    <w:rsid w:val="00B1488E"/>
    <w:rsid w:val="00B14E9C"/>
    <w:rsid w:val="00B14FA1"/>
    <w:rsid w:val="00B15367"/>
    <w:rsid w:val="00B15707"/>
    <w:rsid w:val="00B15FA1"/>
    <w:rsid w:val="00B16422"/>
    <w:rsid w:val="00B1652C"/>
    <w:rsid w:val="00B16562"/>
    <w:rsid w:val="00B16A26"/>
    <w:rsid w:val="00B17288"/>
    <w:rsid w:val="00B20541"/>
    <w:rsid w:val="00B20856"/>
    <w:rsid w:val="00B20988"/>
    <w:rsid w:val="00B20D5E"/>
    <w:rsid w:val="00B21404"/>
    <w:rsid w:val="00B21923"/>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2C5F"/>
    <w:rsid w:val="00B42E51"/>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4A8"/>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2B0"/>
    <w:rsid w:val="00B74D9F"/>
    <w:rsid w:val="00B75CC1"/>
    <w:rsid w:val="00B7653B"/>
    <w:rsid w:val="00B7679B"/>
    <w:rsid w:val="00B76E91"/>
    <w:rsid w:val="00B771D7"/>
    <w:rsid w:val="00B801B2"/>
    <w:rsid w:val="00B8225C"/>
    <w:rsid w:val="00B8277D"/>
    <w:rsid w:val="00B82897"/>
    <w:rsid w:val="00B82D3F"/>
    <w:rsid w:val="00B831A9"/>
    <w:rsid w:val="00B83857"/>
    <w:rsid w:val="00B84348"/>
    <w:rsid w:val="00B847D9"/>
    <w:rsid w:val="00B84B06"/>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3E12"/>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469C"/>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9E7"/>
    <w:rsid w:val="00BD3B5B"/>
    <w:rsid w:val="00BD516D"/>
    <w:rsid w:val="00BD528E"/>
    <w:rsid w:val="00BD5633"/>
    <w:rsid w:val="00BD6926"/>
    <w:rsid w:val="00BD7229"/>
    <w:rsid w:val="00BD7718"/>
    <w:rsid w:val="00BE002A"/>
    <w:rsid w:val="00BE00F4"/>
    <w:rsid w:val="00BE028C"/>
    <w:rsid w:val="00BE0EEF"/>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33F"/>
    <w:rsid w:val="00C17A08"/>
    <w:rsid w:val="00C17A3B"/>
    <w:rsid w:val="00C17DB1"/>
    <w:rsid w:val="00C203BC"/>
    <w:rsid w:val="00C20C52"/>
    <w:rsid w:val="00C20F76"/>
    <w:rsid w:val="00C21BFD"/>
    <w:rsid w:val="00C227BD"/>
    <w:rsid w:val="00C22B92"/>
    <w:rsid w:val="00C2395D"/>
    <w:rsid w:val="00C239D6"/>
    <w:rsid w:val="00C246CA"/>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18C"/>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0B8"/>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6EE8"/>
    <w:rsid w:val="00C5703A"/>
    <w:rsid w:val="00C570AA"/>
    <w:rsid w:val="00C570D2"/>
    <w:rsid w:val="00C57490"/>
    <w:rsid w:val="00C5757B"/>
    <w:rsid w:val="00C579FF"/>
    <w:rsid w:val="00C613F4"/>
    <w:rsid w:val="00C61B83"/>
    <w:rsid w:val="00C61C2E"/>
    <w:rsid w:val="00C62665"/>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568"/>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666"/>
    <w:rsid w:val="00C80869"/>
    <w:rsid w:val="00C80CA6"/>
    <w:rsid w:val="00C814C0"/>
    <w:rsid w:val="00C81DA9"/>
    <w:rsid w:val="00C81FBD"/>
    <w:rsid w:val="00C82076"/>
    <w:rsid w:val="00C82955"/>
    <w:rsid w:val="00C83443"/>
    <w:rsid w:val="00C836AB"/>
    <w:rsid w:val="00C83769"/>
    <w:rsid w:val="00C84957"/>
    <w:rsid w:val="00C86149"/>
    <w:rsid w:val="00C86164"/>
    <w:rsid w:val="00C863C4"/>
    <w:rsid w:val="00C87801"/>
    <w:rsid w:val="00C87B9E"/>
    <w:rsid w:val="00C90152"/>
    <w:rsid w:val="00C910BC"/>
    <w:rsid w:val="00C91B94"/>
    <w:rsid w:val="00C91F30"/>
    <w:rsid w:val="00C9207A"/>
    <w:rsid w:val="00C92EE4"/>
    <w:rsid w:val="00C93BC7"/>
    <w:rsid w:val="00C94146"/>
    <w:rsid w:val="00C947E2"/>
    <w:rsid w:val="00C9488E"/>
    <w:rsid w:val="00C94EBD"/>
    <w:rsid w:val="00C94F56"/>
    <w:rsid w:val="00C95094"/>
    <w:rsid w:val="00C9549F"/>
    <w:rsid w:val="00C958EA"/>
    <w:rsid w:val="00C95C84"/>
    <w:rsid w:val="00C95D2E"/>
    <w:rsid w:val="00C960B4"/>
    <w:rsid w:val="00C96236"/>
    <w:rsid w:val="00C96339"/>
    <w:rsid w:val="00C96D4C"/>
    <w:rsid w:val="00C96D95"/>
    <w:rsid w:val="00C96E5D"/>
    <w:rsid w:val="00C96EFF"/>
    <w:rsid w:val="00C973D4"/>
    <w:rsid w:val="00CA0009"/>
    <w:rsid w:val="00CA0148"/>
    <w:rsid w:val="00CA0EFE"/>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6B0F"/>
    <w:rsid w:val="00CA7F35"/>
    <w:rsid w:val="00CB0A72"/>
    <w:rsid w:val="00CB0E6B"/>
    <w:rsid w:val="00CB13C6"/>
    <w:rsid w:val="00CB1813"/>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061"/>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103B"/>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42"/>
    <w:rsid w:val="00D03ABE"/>
    <w:rsid w:val="00D03B1F"/>
    <w:rsid w:val="00D04044"/>
    <w:rsid w:val="00D04150"/>
    <w:rsid w:val="00D0432D"/>
    <w:rsid w:val="00D0481B"/>
    <w:rsid w:val="00D048BC"/>
    <w:rsid w:val="00D04B1F"/>
    <w:rsid w:val="00D05754"/>
    <w:rsid w:val="00D05A64"/>
    <w:rsid w:val="00D06420"/>
    <w:rsid w:val="00D067E6"/>
    <w:rsid w:val="00D068BA"/>
    <w:rsid w:val="00D0701F"/>
    <w:rsid w:val="00D0754F"/>
    <w:rsid w:val="00D0796B"/>
    <w:rsid w:val="00D07A59"/>
    <w:rsid w:val="00D07B24"/>
    <w:rsid w:val="00D07E18"/>
    <w:rsid w:val="00D113C6"/>
    <w:rsid w:val="00D11478"/>
    <w:rsid w:val="00D11730"/>
    <w:rsid w:val="00D11A66"/>
    <w:rsid w:val="00D11AB4"/>
    <w:rsid w:val="00D124AA"/>
    <w:rsid w:val="00D12506"/>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5C1B"/>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40C3"/>
    <w:rsid w:val="00D558DA"/>
    <w:rsid w:val="00D5642C"/>
    <w:rsid w:val="00D56EC4"/>
    <w:rsid w:val="00D57811"/>
    <w:rsid w:val="00D57BA5"/>
    <w:rsid w:val="00D60294"/>
    <w:rsid w:val="00D60B20"/>
    <w:rsid w:val="00D60B5F"/>
    <w:rsid w:val="00D60F2F"/>
    <w:rsid w:val="00D61A9B"/>
    <w:rsid w:val="00D62058"/>
    <w:rsid w:val="00D632C7"/>
    <w:rsid w:val="00D63489"/>
    <w:rsid w:val="00D63BC8"/>
    <w:rsid w:val="00D6417A"/>
    <w:rsid w:val="00D64954"/>
    <w:rsid w:val="00D6512E"/>
    <w:rsid w:val="00D65D0A"/>
    <w:rsid w:val="00D6602F"/>
    <w:rsid w:val="00D6658E"/>
    <w:rsid w:val="00D66C6D"/>
    <w:rsid w:val="00D6748C"/>
    <w:rsid w:val="00D708DA"/>
    <w:rsid w:val="00D70BA4"/>
    <w:rsid w:val="00D718AE"/>
    <w:rsid w:val="00D719BF"/>
    <w:rsid w:val="00D72031"/>
    <w:rsid w:val="00D7220A"/>
    <w:rsid w:val="00D72986"/>
    <w:rsid w:val="00D733C3"/>
    <w:rsid w:val="00D74080"/>
    <w:rsid w:val="00D740F0"/>
    <w:rsid w:val="00D74CAD"/>
    <w:rsid w:val="00D751F6"/>
    <w:rsid w:val="00D752A3"/>
    <w:rsid w:val="00D75351"/>
    <w:rsid w:val="00D75CFE"/>
    <w:rsid w:val="00D76A05"/>
    <w:rsid w:val="00D76EC9"/>
    <w:rsid w:val="00D77305"/>
    <w:rsid w:val="00D775C5"/>
    <w:rsid w:val="00D77DD2"/>
    <w:rsid w:val="00D80788"/>
    <w:rsid w:val="00D80AB4"/>
    <w:rsid w:val="00D81639"/>
    <w:rsid w:val="00D82204"/>
    <w:rsid w:val="00D825E5"/>
    <w:rsid w:val="00D827BA"/>
    <w:rsid w:val="00D82883"/>
    <w:rsid w:val="00D82CD4"/>
    <w:rsid w:val="00D82CF3"/>
    <w:rsid w:val="00D8338E"/>
    <w:rsid w:val="00D83829"/>
    <w:rsid w:val="00D8388A"/>
    <w:rsid w:val="00D83B2D"/>
    <w:rsid w:val="00D84540"/>
    <w:rsid w:val="00D84A0A"/>
    <w:rsid w:val="00D84F8A"/>
    <w:rsid w:val="00D853AE"/>
    <w:rsid w:val="00D85879"/>
    <w:rsid w:val="00D85F7F"/>
    <w:rsid w:val="00D8608C"/>
    <w:rsid w:val="00D8678D"/>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41B"/>
    <w:rsid w:val="00DA561D"/>
    <w:rsid w:val="00DA5BC6"/>
    <w:rsid w:val="00DA5E82"/>
    <w:rsid w:val="00DA65FF"/>
    <w:rsid w:val="00DA71BF"/>
    <w:rsid w:val="00DA79C9"/>
    <w:rsid w:val="00DA7FAE"/>
    <w:rsid w:val="00DB05D9"/>
    <w:rsid w:val="00DB0A73"/>
    <w:rsid w:val="00DB1150"/>
    <w:rsid w:val="00DB129D"/>
    <w:rsid w:val="00DB1363"/>
    <w:rsid w:val="00DB1776"/>
    <w:rsid w:val="00DB19F9"/>
    <w:rsid w:val="00DB20BC"/>
    <w:rsid w:val="00DB2393"/>
    <w:rsid w:val="00DB2B16"/>
    <w:rsid w:val="00DB2E4E"/>
    <w:rsid w:val="00DB3324"/>
    <w:rsid w:val="00DB3B9E"/>
    <w:rsid w:val="00DB3EC5"/>
    <w:rsid w:val="00DB457F"/>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2A9F"/>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0FC6"/>
    <w:rsid w:val="00DE189A"/>
    <w:rsid w:val="00DE1E11"/>
    <w:rsid w:val="00DE26B3"/>
    <w:rsid w:val="00DE2E22"/>
    <w:rsid w:val="00DE39DE"/>
    <w:rsid w:val="00DE3B9C"/>
    <w:rsid w:val="00DE45A5"/>
    <w:rsid w:val="00DE45AB"/>
    <w:rsid w:val="00DE4615"/>
    <w:rsid w:val="00DE4B04"/>
    <w:rsid w:val="00DE5045"/>
    <w:rsid w:val="00DE50D6"/>
    <w:rsid w:val="00DE5141"/>
    <w:rsid w:val="00DE58A0"/>
    <w:rsid w:val="00DE58DB"/>
    <w:rsid w:val="00DE5B71"/>
    <w:rsid w:val="00DE6F62"/>
    <w:rsid w:val="00DE73FB"/>
    <w:rsid w:val="00DF14E7"/>
    <w:rsid w:val="00DF14F8"/>
    <w:rsid w:val="00DF1529"/>
    <w:rsid w:val="00DF2103"/>
    <w:rsid w:val="00DF232D"/>
    <w:rsid w:val="00DF29F7"/>
    <w:rsid w:val="00DF2D3A"/>
    <w:rsid w:val="00DF30F0"/>
    <w:rsid w:val="00DF34E4"/>
    <w:rsid w:val="00DF3F83"/>
    <w:rsid w:val="00DF4C35"/>
    <w:rsid w:val="00DF570E"/>
    <w:rsid w:val="00DF5951"/>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30D"/>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1BF"/>
    <w:rsid w:val="00E21412"/>
    <w:rsid w:val="00E21598"/>
    <w:rsid w:val="00E22104"/>
    <w:rsid w:val="00E22454"/>
    <w:rsid w:val="00E22486"/>
    <w:rsid w:val="00E22739"/>
    <w:rsid w:val="00E227F0"/>
    <w:rsid w:val="00E22993"/>
    <w:rsid w:val="00E229A0"/>
    <w:rsid w:val="00E230CB"/>
    <w:rsid w:val="00E236E4"/>
    <w:rsid w:val="00E23E25"/>
    <w:rsid w:val="00E23F69"/>
    <w:rsid w:val="00E244B9"/>
    <w:rsid w:val="00E2469C"/>
    <w:rsid w:val="00E24CF9"/>
    <w:rsid w:val="00E24FDD"/>
    <w:rsid w:val="00E25159"/>
    <w:rsid w:val="00E253F1"/>
    <w:rsid w:val="00E25577"/>
    <w:rsid w:val="00E2583D"/>
    <w:rsid w:val="00E258AA"/>
    <w:rsid w:val="00E25AC1"/>
    <w:rsid w:val="00E26040"/>
    <w:rsid w:val="00E26466"/>
    <w:rsid w:val="00E27116"/>
    <w:rsid w:val="00E27408"/>
    <w:rsid w:val="00E27FCF"/>
    <w:rsid w:val="00E3160B"/>
    <w:rsid w:val="00E31D6F"/>
    <w:rsid w:val="00E31E0B"/>
    <w:rsid w:val="00E31E29"/>
    <w:rsid w:val="00E32882"/>
    <w:rsid w:val="00E32B9B"/>
    <w:rsid w:val="00E3369B"/>
    <w:rsid w:val="00E34AB7"/>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4AAB"/>
    <w:rsid w:val="00E75248"/>
    <w:rsid w:val="00E759E6"/>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3A29"/>
    <w:rsid w:val="00EB4DCB"/>
    <w:rsid w:val="00EB5120"/>
    <w:rsid w:val="00EB5483"/>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D7F00"/>
    <w:rsid w:val="00EE0028"/>
    <w:rsid w:val="00EE0221"/>
    <w:rsid w:val="00EE03CC"/>
    <w:rsid w:val="00EE051F"/>
    <w:rsid w:val="00EE05B7"/>
    <w:rsid w:val="00EE0C65"/>
    <w:rsid w:val="00EE1282"/>
    <w:rsid w:val="00EE1817"/>
    <w:rsid w:val="00EE1BB8"/>
    <w:rsid w:val="00EE1DD1"/>
    <w:rsid w:val="00EE1FC9"/>
    <w:rsid w:val="00EE2245"/>
    <w:rsid w:val="00EE25F9"/>
    <w:rsid w:val="00EE29AF"/>
    <w:rsid w:val="00EE3463"/>
    <w:rsid w:val="00EE37EE"/>
    <w:rsid w:val="00EE39A4"/>
    <w:rsid w:val="00EE4B59"/>
    <w:rsid w:val="00EE50A8"/>
    <w:rsid w:val="00EE53B9"/>
    <w:rsid w:val="00EE6372"/>
    <w:rsid w:val="00EE7829"/>
    <w:rsid w:val="00EF0279"/>
    <w:rsid w:val="00EF0629"/>
    <w:rsid w:val="00EF09DF"/>
    <w:rsid w:val="00EF0D49"/>
    <w:rsid w:val="00EF1594"/>
    <w:rsid w:val="00EF1C23"/>
    <w:rsid w:val="00EF269C"/>
    <w:rsid w:val="00EF3463"/>
    <w:rsid w:val="00EF36A1"/>
    <w:rsid w:val="00EF389F"/>
    <w:rsid w:val="00EF40A9"/>
    <w:rsid w:val="00EF4251"/>
    <w:rsid w:val="00EF4A6B"/>
    <w:rsid w:val="00EF4CAF"/>
    <w:rsid w:val="00EF4E00"/>
    <w:rsid w:val="00EF540A"/>
    <w:rsid w:val="00EF6405"/>
    <w:rsid w:val="00EF719E"/>
    <w:rsid w:val="00EF76FE"/>
    <w:rsid w:val="00F0064D"/>
    <w:rsid w:val="00F006BC"/>
    <w:rsid w:val="00F0087F"/>
    <w:rsid w:val="00F00C37"/>
    <w:rsid w:val="00F00C86"/>
    <w:rsid w:val="00F01005"/>
    <w:rsid w:val="00F0119D"/>
    <w:rsid w:val="00F020B0"/>
    <w:rsid w:val="00F02F41"/>
    <w:rsid w:val="00F03088"/>
    <w:rsid w:val="00F0433A"/>
    <w:rsid w:val="00F044BF"/>
    <w:rsid w:val="00F04643"/>
    <w:rsid w:val="00F0577A"/>
    <w:rsid w:val="00F0619B"/>
    <w:rsid w:val="00F06B73"/>
    <w:rsid w:val="00F06EF8"/>
    <w:rsid w:val="00F07728"/>
    <w:rsid w:val="00F10A73"/>
    <w:rsid w:val="00F11145"/>
    <w:rsid w:val="00F11700"/>
    <w:rsid w:val="00F118CF"/>
    <w:rsid w:val="00F11F45"/>
    <w:rsid w:val="00F120EC"/>
    <w:rsid w:val="00F12496"/>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2C4F"/>
    <w:rsid w:val="00F23BFE"/>
    <w:rsid w:val="00F2456C"/>
    <w:rsid w:val="00F24C95"/>
    <w:rsid w:val="00F25138"/>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B76"/>
    <w:rsid w:val="00F46CC4"/>
    <w:rsid w:val="00F46F21"/>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3A7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3C9"/>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3CF2"/>
    <w:rsid w:val="00FB3F3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650"/>
    <w:rsid w:val="00FC5979"/>
    <w:rsid w:val="00FC74CA"/>
    <w:rsid w:val="00FC75A5"/>
    <w:rsid w:val="00FC769C"/>
    <w:rsid w:val="00FC7D76"/>
    <w:rsid w:val="00FC7E3A"/>
    <w:rsid w:val="00FD03DA"/>
    <w:rsid w:val="00FD059E"/>
    <w:rsid w:val="00FD0CE4"/>
    <w:rsid w:val="00FD17E9"/>
    <w:rsid w:val="00FD2AC4"/>
    <w:rsid w:val="00FD4802"/>
    <w:rsid w:val="00FD4A6F"/>
    <w:rsid w:val="00FD4B29"/>
    <w:rsid w:val="00FD4FDD"/>
    <w:rsid w:val="00FD5357"/>
    <w:rsid w:val="00FD5602"/>
    <w:rsid w:val="00FD5C75"/>
    <w:rsid w:val="00FD6C9B"/>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uiPriority w:val="9"/>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371FAA"/>
    <w:pPr>
      <w:keepNext/>
      <w:keepLines/>
      <w:spacing w:before="24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371FAA"/>
    <w:pPr>
      <w:keepNext/>
      <w:keepLines/>
      <w:spacing w:before="40" w:after="0"/>
      <w:outlineLvl w:val="3"/>
    </w:pPr>
    <w:rPr>
      <w:rFonts w:eastAsiaTheme="majorEastAsia" w:cstheme="majorBidi"/>
      <w:b/>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371FAA"/>
    <w:rPr>
      <w:rFonts w:ascii="Arial" w:eastAsiaTheme="majorEastAsia" w:hAnsi="Arial" w:cstheme="majorBidi"/>
      <w:b/>
      <w:bCs/>
      <w:sz w:val="20"/>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371FAA"/>
    <w:rPr>
      <w:rFonts w:ascii="Arial" w:eastAsiaTheme="majorEastAsia" w:hAnsi="Arial" w:cstheme="majorBidi"/>
      <w:b/>
      <w:iCs/>
      <w:sz w:val="20"/>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 w:type="table" w:customStyle="1" w:styleId="TableGrid1">
    <w:name w:val="Table Grid1"/>
    <w:basedOn w:val="TableNormal"/>
    <w:next w:val="TableGrid"/>
    <w:uiPriority w:val="59"/>
    <w:rsid w:val="000B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E0EEF"/>
    <w:rPr>
      <w:i/>
      <w:iCs/>
    </w:rPr>
  </w:style>
  <w:style w:type="paragraph" w:customStyle="1" w:styleId="msonormal0">
    <w:name w:val="msonormal"/>
    <w:basedOn w:val="Normal"/>
    <w:rsid w:val="00BE0EEF"/>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BE0EEF"/>
    <w:pPr>
      <w:widowControl w:val="0"/>
      <w:autoSpaceDE w:val="0"/>
      <w:autoSpaceDN w:val="0"/>
      <w:spacing w:before="0" w:after="0"/>
    </w:pPr>
    <w:rPr>
      <w:rFonts w:ascii="Carlito" w:eastAsia="Carlito" w:hAnsi="Carlito" w:cs="Carlito"/>
      <w:sz w:val="22"/>
    </w:rPr>
  </w:style>
  <w:style w:type="character" w:customStyle="1" w:styleId="BodyTextChar">
    <w:name w:val="Body Text Char"/>
    <w:basedOn w:val="DefaultParagraphFont"/>
    <w:link w:val="BodyText"/>
    <w:uiPriority w:val="1"/>
    <w:rsid w:val="00BE0EEF"/>
    <w:rPr>
      <w:rFonts w:ascii="Carlito" w:eastAsia="Carlito" w:hAnsi="Carlito" w:cs="Carlito"/>
    </w:rPr>
  </w:style>
  <w:style w:type="paragraph" w:customStyle="1" w:styleId="TableParagraph">
    <w:name w:val="Table Paragraph"/>
    <w:basedOn w:val="Normal"/>
    <w:uiPriority w:val="1"/>
    <w:qFormat/>
    <w:rsid w:val="00BE0EEF"/>
    <w:pPr>
      <w:widowControl w:val="0"/>
      <w:autoSpaceDE w:val="0"/>
      <w:autoSpaceDN w:val="0"/>
      <w:spacing w:before="29" w:after="0"/>
      <w:ind w:left="101" w:right="100"/>
      <w:jc w:val="center"/>
    </w:pPr>
    <w:rPr>
      <w:rFonts w:ascii="Carlito" w:eastAsia="Carlito" w:hAnsi="Carlito" w:cs="Carlito"/>
      <w:sz w:val="22"/>
    </w:rPr>
  </w:style>
  <w:style w:type="character" w:styleId="FollowedHyperlink">
    <w:name w:val="FollowedHyperlink"/>
    <w:basedOn w:val="DefaultParagraphFont"/>
    <w:uiPriority w:val="99"/>
    <w:semiHidden/>
    <w:unhideWhenUsed/>
    <w:rsid w:val="00BE0EEF"/>
    <w:rPr>
      <w:color w:val="800080"/>
      <w:u w:val="single"/>
    </w:rPr>
  </w:style>
  <w:style w:type="table" w:styleId="LightGrid-Accent1">
    <w:name w:val="Light Grid Accent 1"/>
    <w:basedOn w:val="TableNormal"/>
    <w:uiPriority w:val="62"/>
    <w:rsid w:val="00BE0E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stTable2">
    <w:name w:val="List Table 2"/>
    <w:basedOn w:val="TableNormal"/>
    <w:uiPriority w:val="47"/>
    <w:rsid w:val="00BE0EE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E0E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3-Accent5">
    <w:name w:val="Grid Table 3 Accent 5"/>
    <w:basedOn w:val="TableNormal"/>
    <w:uiPriority w:val="48"/>
    <w:rsid w:val="00480A1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styleId="EndnoteText">
    <w:name w:val="endnote text"/>
    <w:basedOn w:val="Normal"/>
    <w:link w:val="EndnoteTextChar"/>
    <w:uiPriority w:val="99"/>
    <w:semiHidden/>
    <w:unhideWhenUsed/>
    <w:rsid w:val="00A47134"/>
    <w:pPr>
      <w:spacing w:before="0" w:after="0"/>
    </w:pPr>
    <w:rPr>
      <w:sz w:val="20"/>
      <w:szCs w:val="20"/>
    </w:rPr>
  </w:style>
  <w:style w:type="character" w:customStyle="1" w:styleId="EndnoteTextChar">
    <w:name w:val="Endnote Text Char"/>
    <w:basedOn w:val="DefaultParagraphFont"/>
    <w:link w:val="EndnoteText"/>
    <w:uiPriority w:val="99"/>
    <w:semiHidden/>
    <w:rsid w:val="00A47134"/>
    <w:rPr>
      <w:rFonts w:ascii="Arial" w:hAnsi="Arial"/>
      <w:sz w:val="20"/>
      <w:szCs w:val="20"/>
    </w:rPr>
  </w:style>
  <w:style w:type="character" w:styleId="EndnoteReference">
    <w:name w:val="endnote reference"/>
    <w:basedOn w:val="DefaultParagraphFont"/>
    <w:uiPriority w:val="99"/>
    <w:semiHidden/>
    <w:unhideWhenUsed/>
    <w:rsid w:val="00A47134"/>
    <w:rPr>
      <w:vertAlign w:val="superscript"/>
    </w:rPr>
  </w:style>
  <w:style w:type="character" w:styleId="UnresolvedMention">
    <w:name w:val="Unresolved Mention"/>
    <w:basedOn w:val="DefaultParagraphFont"/>
    <w:uiPriority w:val="99"/>
    <w:semiHidden/>
    <w:unhideWhenUsed/>
    <w:rsid w:val="00501909"/>
    <w:rPr>
      <w:color w:val="605E5C"/>
      <w:shd w:val="clear" w:color="auto" w:fill="E1DFDD"/>
    </w:rPr>
  </w:style>
  <w:style w:type="character" w:customStyle="1" w:styleId="ui-provider">
    <w:name w:val="ui-provider"/>
    <w:basedOn w:val="DefaultParagraphFont"/>
    <w:rsid w:val="006F0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80713603">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89579102">
      <w:bodyDiv w:val="1"/>
      <w:marLeft w:val="0"/>
      <w:marRight w:val="0"/>
      <w:marTop w:val="0"/>
      <w:marBottom w:val="0"/>
      <w:divBdr>
        <w:top w:val="none" w:sz="0" w:space="0" w:color="auto"/>
        <w:left w:val="none" w:sz="0" w:space="0" w:color="auto"/>
        <w:bottom w:val="none" w:sz="0" w:space="0" w:color="auto"/>
        <w:right w:val="none" w:sz="0" w:space="0" w:color="auto"/>
      </w:divBdr>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770859703">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57171809">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 w:id="213105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s%3A%2F%2Fsites.ed.gov%2Fidea%2Fhow-the-department-made-determinations%2F&amp;data=05%7C01%7Cdan.royal%40aemcorp.com%7C56561a053eed4e4dffea08db4cd0ea7f%7C7a41925ef6974f7cbec30470887ac752%7C0%7C0%7C638188232405320922%7CUnknown%7CTWFpbGZsb3d8eyJWIjoiMC4wLjAwMDAiLCJQIjoiV2luMzIiLCJBTiI6Ik1haWwiLCJXVCI6Mn0%3D%7C3000%7C%7C%7C&amp;sdata=REJfNg%2BRs0Gk73rS2KzO2SIVRCUhHLglGd6vbm9wEwc%3D&amp;reserved=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ites.ed.gov/idea/files/2023_Part-B_SPP-APR_Measurement_Table.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7" ma:contentTypeDescription="Create a new document." ma:contentTypeScope="" ma:versionID="c366649d587315b3b0e05fd825eaa063">
  <xsd:schema xmlns:xsd="http://www.w3.org/2001/XMLSchema" xmlns:xs="http://www.w3.org/2001/XMLSchema" xmlns:p="http://schemas.microsoft.com/office/2006/metadata/properties" xmlns:ns2="89bf3613-0818-48da-aadf-73420b6d0357" xmlns:ns3="a8f4f48c-d55d-4625-8121-08fdad9dc02e" targetNamespace="http://schemas.microsoft.com/office/2006/metadata/properties" ma:root="true" ma:fieldsID="fd4f7a694d8555c05ca88b1bc50e3d6f" ns2:_="" ns3:_="">
    <xsd:import namespace="89bf3613-0818-48da-aadf-73420b6d0357"/>
    <xsd:import namespace="a8f4f48c-d55d-4625-8121-08fdad9dc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4f48c-d55d-4625-8121-08fdad9dc02e"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E34A9DCB-E3D8-4048-BDD4-1F7881EB959B}">
  <ds:schemaRefs>
    <ds:schemaRef ds:uri="http://purl.org/dc/terms/"/>
    <ds:schemaRef ds:uri="292db1e8-b3d0-4356-8ef3-2a6d7ed77883"/>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4f36bac4-6705-4a36-974b-7c07450fedf2"/>
    <ds:schemaRef ds:uri="http://www.w3.org/XML/1998/namespace"/>
    <ds:schemaRef ds:uri="http://purl.org/dc/elements/1.1/"/>
  </ds:schemaRefs>
</ds:datastoreItem>
</file>

<file path=customXml/itemProps4.xml><?xml version="1.0" encoding="utf-8"?>
<ds:datastoreItem xmlns:ds="http://schemas.openxmlformats.org/officeDocument/2006/customXml" ds:itemID="{42C36953-0863-4405-9285-F6F21181A3E5}"/>
</file>

<file path=docMetadata/LabelInfo.xml><?xml version="1.0" encoding="utf-8"?>
<clbl:labelList xmlns:clbl="http://schemas.microsoft.com/office/2020/mipLabelMetadata">
  <clbl:label id="{4ad35bab-6e18-4b1b-82b4-d81f4f36a979}" enabled="1" method="Standard" siteId="{7a41925e-f697-4f7c-bec3-0470887ac752}" removed="0"/>
</clbl:labelList>
</file>

<file path=docProps/app.xml><?xml version="1.0" encoding="utf-8"?>
<Properties xmlns="http://schemas.openxmlformats.org/officeDocument/2006/extended-properties" xmlns:vt="http://schemas.openxmlformats.org/officeDocument/2006/docPropsVTypes">
  <Template>Normal</Template>
  <TotalTime>5</TotalTime>
  <Pages>88</Pages>
  <Words>51338</Words>
  <Characters>292628</Characters>
  <Application>Microsoft Office Word</Application>
  <DocSecurity>0</DocSecurity>
  <Lines>2438</Lines>
  <Paragraphs>686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Rachel Coleman</cp:lastModifiedBy>
  <cp:revision>4</cp:revision>
  <cp:lastPrinted>2014-08-19T16:56:00Z</cp:lastPrinted>
  <dcterms:created xsi:type="dcterms:W3CDTF">2023-06-29T00:23:00Z</dcterms:created>
  <dcterms:modified xsi:type="dcterms:W3CDTF">2023-08-01T12:30:00Z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d1961a7b-789a-475e-aff2-ded90ef3b8b9</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41383400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Document Notes0">
    <vt:lpwstr/>
  </property>
  <property fmtid="{D5CDD505-2E9C-101B-9397-08002B2CF9AE}" pid="13" name="Priority">
    <vt:lpwstr/>
  </property>
  <property fmtid="{D5CDD505-2E9C-101B-9397-08002B2CF9AE}" pid="14" name="_CopySource">
    <vt:lpwstr>https://sharepoint.aemcorp.com/ed/EDMITS/Shared Documents/51 - APR/SPP APR/FFY 2021 - TO-Q/40 IT/01 Requirements/Part 1 - APR Tool/Part B/Part B SPP-APR FFY 2021 Form with abbreviations.docx</vt:lpwstr>
  </property>
  <property fmtid="{D5CDD505-2E9C-101B-9397-08002B2CF9AE}" pid="15" name="MediaServiceImageTags">
    <vt:lpwstr/>
  </property>
  <property fmtid="{D5CDD505-2E9C-101B-9397-08002B2CF9AE}" pid="16" name="Predecessors">
    <vt:lpwstr/>
  </property>
  <property fmtid="{D5CDD505-2E9C-101B-9397-08002B2CF9AE}" pid="17" name="AssignedTo">
    <vt:lpwstr/>
  </property>
  <property fmtid="{D5CDD505-2E9C-101B-9397-08002B2CF9AE}" pid="18" name="MSIP_Label_4ad35bab-6e18-4b1b-82b4-d81f4f36a979_Enabled">
    <vt:lpwstr>true</vt:lpwstr>
  </property>
  <property fmtid="{D5CDD505-2E9C-101B-9397-08002B2CF9AE}" pid="19" name="MSIP_Label_4ad35bab-6e18-4b1b-82b4-d81f4f36a979_SetDate">
    <vt:lpwstr>2023-03-14T00:12:18Z</vt:lpwstr>
  </property>
  <property fmtid="{D5CDD505-2E9C-101B-9397-08002B2CF9AE}" pid="20" name="MSIP_Label_4ad35bab-6e18-4b1b-82b4-d81f4f36a979_Method">
    <vt:lpwstr>Standard</vt:lpwstr>
  </property>
  <property fmtid="{D5CDD505-2E9C-101B-9397-08002B2CF9AE}" pid="21" name="MSIP_Label_4ad35bab-6e18-4b1b-82b4-d81f4f36a979_Name">
    <vt:lpwstr>Public</vt:lpwstr>
  </property>
  <property fmtid="{D5CDD505-2E9C-101B-9397-08002B2CF9AE}" pid="22" name="MSIP_Label_4ad35bab-6e18-4b1b-82b4-d81f4f36a979_SiteId">
    <vt:lpwstr>7a41925e-f697-4f7c-bec3-0470887ac752</vt:lpwstr>
  </property>
  <property fmtid="{D5CDD505-2E9C-101B-9397-08002B2CF9AE}" pid="23" name="MSIP_Label_4ad35bab-6e18-4b1b-82b4-d81f4f36a979_ActionId">
    <vt:lpwstr>212e3d3a-8d9d-47e5-ba89-5887e937e98c</vt:lpwstr>
  </property>
  <property fmtid="{D5CDD505-2E9C-101B-9397-08002B2CF9AE}" pid="24" name="MSIP_Label_4ad35bab-6e18-4b1b-82b4-d81f4f36a979_ContentBits">
    <vt:lpwstr>0</vt:lpwstr>
  </property>
</Properties>
</file>