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Wisconsin</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The Wisconsin Department of Public Instruction (DPI) is required to submit an Annual Performance Report (APR), which measures and reports on the State of Wisconsin's (Wisconsin) progress in meeting the targets and goals for students with disabilities specified in the Wisconsin State Performance Plan (SPP). This report is submitted each year on February 1 to the United States Department of Education, Office of Special Education Programs (OSEP). The State is monitored on 17 indicators reflecting a mix of compliance and results indicators.</w:t>
      </w:r>
      <w:r w:rsidRPr="005C29F8">
        <w:rPr>
          <w:rFonts w:cs="Arial"/>
          <w:color w:val="000000" w:themeColor="text1"/>
          <w:szCs w:val="16"/>
        </w:rPr>
        <w:br/>
      </w:r>
      <w:r w:rsidRPr="005C29F8">
        <w:rPr>
          <w:rFonts w:cs="Arial"/>
          <w:color w:val="000000" w:themeColor="text1"/>
          <w:szCs w:val="16"/>
        </w:rPr>
        <w:br/>
        <w:t>The Federal Fiscal Year (FFY) 2019 APR targets, results, slippage from the previous APR, and verification of correction of all previous findings of all noncompliance found in FFY 2018 are compiled in the report that follows. Procedurally compliant individualized education programs (IEPs) form the basis for practices that drive improved results for students with IEPs, and DPI demonstrated substantial compliance in all compliance indicators. Additionally, DPI continues to support district implementation of the "College and Career Ready IEP Framework," which allows districts to continuously monitor procedural compliance while at the same time improving key areas in developing and implementing IEPs that are correlated with improvement in academic and functional performance. DPI staff, as well as staff funded through discretionary grants, provide ongoing technical assistance and training, grant activities, and the development of additional resources.</w:t>
      </w:r>
      <w:r w:rsidRPr="005C29F8">
        <w:rPr>
          <w:rFonts w:cs="Arial"/>
          <w:color w:val="000000" w:themeColor="text1"/>
          <w:szCs w:val="16"/>
        </w:rPr>
        <w:br/>
      </w:r>
      <w:r w:rsidRPr="005C29F8">
        <w:rPr>
          <w:rFonts w:cs="Arial"/>
          <w:color w:val="000000" w:themeColor="text1"/>
          <w:szCs w:val="16"/>
        </w:rPr>
        <w:br/>
        <w:t xml:space="preserve">In aggregate, the results indicators (1, 2, 3, 4a, 5, 6, 7, 8, 14) offer a snapshot of how students with IEPs are performing throughout their educational lives. During this reporting period, DPI is reporting that Wisconsin met target and/or did not experience slippage for all indicators but for 7 and 14. For those two indicators, DPI is reporting slippage. </w:t>
      </w:r>
      <w:r w:rsidRPr="005C29F8">
        <w:rPr>
          <w:rFonts w:cs="Arial"/>
          <w:color w:val="000000" w:themeColor="text1"/>
          <w:szCs w:val="16"/>
        </w:rPr>
        <w:br/>
      </w:r>
      <w:r w:rsidRPr="005C29F8">
        <w:rPr>
          <w:rFonts w:cs="Arial"/>
          <w:color w:val="000000" w:themeColor="text1"/>
          <w:szCs w:val="16"/>
        </w:rPr>
        <w:br/>
        <w:t xml:space="preserve">DPI believes that the balanced monitoring approach under Results Driven Accountability (RDA) is the right approach to identifying areas of focus and investment to ensure learners supported by IEPs can graduate college and career ready. Specific areas of focus include how to accelerate academic growth for students with IEPs. More detail and information will be included in Indicator 17, to be submitted in early April. Indicator 17 will discuss Wisconsin’s continuing effort to improve the Statewide Identified Measurable Result (SIMR) of the State Systemic Improvement Plan (SSIP). The SIMR is a points-based reading proficiency measure for students with disabilities in grades 3-8 based on three consecutive years of data from annual statewide assessments on reading (English Language Arts). </w:t>
      </w:r>
      <w:r w:rsidRPr="005C29F8">
        <w:rPr>
          <w:rFonts w:cs="Arial"/>
          <w:color w:val="000000" w:themeColor="text1"/>
          <w:szCs w:val="16"/>
        </w:rPr>
        <w:br/>
      </w:r>
      <w:r w:rsidRPr="005C29F8">
        <w:rPr>
          <w:rFonts w:cs="Arial"/>
          <w:color w:val="000000" w:themeColor="text1"/>
          <w:szCs w:val="16"/>
        </w:rPr>
        <w:br/>
        <w:t>If indicator data are impacted due to COVID-19, DPI includes in the narrative:</w:t>
      </w:r>
      <w:r w:rsidRPr="005C29F8">
        <w:rPr>
          <w:rFonts w:cs="Arial"/>
          <w:color w:val="000000" w:themeColor="text1"/>
          <w:szCs w:val="16"/>
        </w:rPr>
        <w:br/>
        <w:t>(1) The impact on data completeness, validity and reliability for the indicator;</w:t>
      </w:r>
      <w:r w:rsidRPr="005C29F8">
        <w:rPr>
          <w:rFonts w:cs="Arial"/>
          <w:color w:val="000000" w:themeColor="text1"/>
          <w:szCs w:val="16"/>
        </w:rPr>
        <w:br/>
        <w:t>(2) An explanation of how COVID-19 specifically impacted the State's ability to collect the data for the indicator; and</w:t>
      </w:r>
      <w:r w:rsidRPr="005C29F8">
        <w:rPr>
          <w:rFonts w:cs="Arial"/>
          <w:color w:val="000000" w:themeColor="text1"/>
          <w:szCs w:val="16"/>
        </w:rPr>
        <w:br/>
        <w:t>(3) Any steps the State took to mitigate the impact of COVID-19 on the data collection.</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On March 13, 2020, Wisconsin Department of Health Services Secretary-designee Andrea Palm, under the direction of Governor Tony Evers, issued an order closing Wisconsin public and private schools, effective at 5 p.m. on March 18, 2020, and lasting through April 6, 2020; the order was subsequently extended through the end of the 2019-2020 school year. </w:t>
      </w:r>
      <w:r w:rsidRPr="005C29F8">
        <w:rPr>
          <w:color w:val="000000" w:themeColor="text1"/>
        </w:rPr>
        <w:br/>
        <w:t xml:space="preserve"> </w:t>
      </w:r>
      <w:r w:rsidRPr="005C29F8">
        <w:rPr>
          <w:color w:val="000000" w:themeColor="text1"/>
        </w:rPr>
        <w:br/>
        <w:t>Pursuant to 2019 Wisconsin Act 185, the DPI surveyed all Wisconsin public school districts on the delivery of virtual instruction, meal service to students, staff layoffs, school district expenditures, and more during the period of school building closures (from March 12 to June 30, 2020). “The period when school buildings were closed throughout our state brought unprecedented challenges and magnified many existing inequities, as families rushed to find immediate solutions, and educators re-imagined their entire educational delivery model in the span of just a few days,” State Superintendent Carolyn Stanford Taylor said. “I am continuously amazed by the way our students, educators, and families have responded to daunting circumstances created by the COVID-19 pandemic. Our state must continue supporting them and providing the resources and services necessary to ensure their needs are being met.”</w:t>
      </w:r>
      <w:r w:rsidRPr="005C29F8">
        <w:rPr>
          <w:color w:val="000000" w:themeColor="text1"/>
        </w:rPr>
        <w:br/>
        <w:t xml:space="preserve"> </w:t>
      </w:r>
      <w:r w:rsidRPr="005C29F8">
        <w:rPr>
          <w:color w:val="000000" w:themeColor="text1"/>
        </w:rPr>
        <w:br/>
        <w:t>Nearly all school districts (97 percent) reported offering some type of virtual instruction during the period of school closures. Districts that did not offer virtual instruction reported providing remote instruction via non-digital means. All districts reported encountering barriers in delivering instruction effectively. These challenges included, but were not limited to, a shortage of reliable internet service, balancing at-home schooling commitments with employment, lack of experience with online learning platforms, caregiving and household responsibilities, an absence of childcare solutions, and getting devices and other materials to students.</w:t>
      </w:r>
      <w:r w:rsidRPr="005C29F8">
        <w:rPr>
          <w:color w:val="000000" w:themeColor="text1"/>
        </w:rPr>
        <w:br/>
        <w:t xml:space="preserve"> </w:t>
      </w:r>
      <w:r w:rsidRPr="005C29F8">
        <w:rPr>
          <w:color w:val="000000" w:themeColor="text1"/>
        </w:rPr>
        <w:br/>
        <w:t>During the time of school building closures, districts across the state reported working with community partners to deliver and serve more than 24 million meals to students using the U.S. Department of Agriculture’s Child Nutrition Programs.</w:t>
      </w:r>
      <w:r w:rsidRPr="005C29F8">
        <w:rPr>
          <w:color w:val="000000" w:themeColor="text1"/>
        </w:rPr>
        <w:br/>
        <w:t xml:space="preserve"> </w:t>
      </w:r>
      <w:r w:rsidRPr="005C29F8">
        <w:rPr>
          <w:color w:val="000000" w:themeColor="text1"/>
        </w:rPr>
        <w:br/>
        <w:t>Districts were also required to report the number of staff laid off directly as a result of the public health emergency. Most districts (82 percent) reported no layoffs, 6 percent reported layoffs of six to 20 employees, 6 percent reported layoffs of more than 20 employees, and 5 percent reported layoffs of one to five employees.</w:t>
      </w:r>
      <w:r w:rsidRPr="005C29F8">
        <w:rPr>
          <w:color w:val="000000" w:themeColor="text1"/>
        </w:rPr>
        <w:br/>
        <w:t xml:space="preserve"> </w:t>
      </w:r>
      <w:r w:rsidRPr="005C29F8">
        <w:rPr>
          <w:color w:val="000000" w:themeColor="text1"/>
        </w:rPr>
        <w:br/>
        <w:t>Act 185 requires districts to report the amounts by which expenditures were increased or reduced due to the public health emergency. Districts reported both lower and higher expenditures in the 2019-20 school year than budgeted, with the “personnel” category accounting for the greatest increase in expenditures, followed by “food service.” The greatest decrease in expenditure reporting came in the “transportation” category, followed by “utilities.”</w:t>
      </w:r>
      <w:r w:rsidRPr="005C29F8">
        <w:rPr>
          <w:color w:val="000000" w:themeColor="text1"/>
        </w:rPr>
        <w:br/>
        <w:t xml:space="preserve"> </w:t>
      </w:r>
      <w:r w:rsidRPr="005C29F8">
        <w:rPr>
          <w:color w:val="000000" w:themeColor="text1"/>
        </w:rPr>
        <w:br/>
        <w:t>The DPI also included survey questions regarding staff reassignment, transportation, and estimated expenditure changes during the 2020-21 school year directly related to the ongoing COVID-19 pandemic.</w:t>
      </w:r>
      <w:r w:rsidRPr="005C29F8">
        <w:rPr>
          <w:color w:val="000000" w:themeColor="text1"/>
        </w:rPr>
        <w:br/>
        <w:t xml:space="preserve"> </w:t>
      </w:r>
      <w:r w:rsidRPr="005C29F8">
        <w:rPr>
          <w:color w:val="000000" w:themeColor="text1"/>
        </w:rPr>
        <w:br/>
        <w:t>For more information and to view the full report, visit the DPI’s website at https://dpi.wi.gov/policy-budget/2019-act-185-survey.</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445</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The Wisconsin Department of Public Instruction (DPI) has a general supervision system to ensure the Individuals with Disabilities Education Act (IDEA) Part B requirements are met. The system is based on seven critical elements:</w:t>
      </w:r>
      <w:r w:rsidRPr="005C29F8">
        <w:rPr>
          <w:rFonts w:cs="Arial"/>
          <w:color w:val="000000" w:themeColor="text1"/>
          <w:szCs w:val="16"/>
        </w:rPr>
        <w:br/>
        <w:t>1) Establishment of effective model policies, procedures, and practices</w:t>
      </w:r>
      <w:r w:rsidRPr="005C29F8">
        <w:rPr>
          <w:rFonts w:cs="Arial"/>
          <w:color w:val="000000" w:themeColor="text1"/>
          <w:szCs w:val="16"/>
        </w:rPr>
        <w:br/>
        <w:t>DPI ensures all districts have adopted policies, procedures, and practices that comply with IDEA and state special education law. DPI developed Model Local Educational Agency Special Education Policies and Procedures, as well as Sample Individualized Education Program (IEP) Forms and Guide, to help districts meet their obligation to comply with all special education requirements. All districts are required to either submit an assurance to the department that they have adopted the DPI model policies and procedures and model forms or submit local versions to the DPI for review and approval. In addition, districts identified with racial disproportionality conduct a review of their policies, procedures, and practices to determine and address any inappropriate identification associated with Indicators 4B, 9, and 10.</w:t>
      </w:r>
      <w:r w:rsidRPr="005C29F8">
        <w:rPr>
          <w:rFonts w:cs="Arial"/>
          <w:color w:val="000000" w:themeColor="text1"/>
          <w:szCs w:val="16"/>
        </w:rPr>
        <w:br/>
        <w:t>2) Data collection and fiscal monitoring</w:t>
      </w:r>
      <w:r w:rsidRPr="005C29F8">
        <w:rPr>
          <w:rFonts w:cs="Arial"/>
          <w:color w:val="000000" w:themeColor="text1"/>
          <w:szCs w:val="16"/>
        </w:rPr>
        <w:br/>
        <w:t>DPI collects data related to SPP indicators and priority areas through the Wisconsin Student Assessment System, the WISEdata Collection System, Indicator 7 Child Outcomes Decision Tree Application, Indicator 8 Family Engagement Survey, Post High School Outcomes Survey, Special Education Web Portal, and the WISEgrants federal grant management system. Each school year, all Wisconsin districts, including independent charter schools, complete and submit an annual budget to the DPI for review through the WISEgrants system. WISEgrants is a web-based application and it is the IDEA flow-through and preschool funding mechanism that must be completed in an approvable form before a district may encumber and expend federal monies. Through WISEgrants, districts submit their IDEA flow-through and preschool budgets and provide an assurance to DPI of compliance with state and federal special education requirements. Both the budgets and assurances are reviewed by a DPI staff member assigned to work with the individual district. Through the WISEgrants system, maintenance of effort (MOE) eligibility and compliance is monitored for every Wisconsin school district every year. Risk-based monitoring is conducted when warranted.</w:t>
      </w:r>
      <w:r w:rsidRPr="005C29F8">
        <w:rPr>
          <w:rFonts w:cs="Arial"/>
          <w:color w:val="000000" w:themeColor="text1"/>
          <w:szCs w:val="16"/>
        </w:rPr>
        <w:br/>
        <w:t>3) Targeted training and technical assistance</w:t>
      </w:r>
      <w:r w:rsidRPr="005C29F8">
        <w:rPr>
          <w:rFonts w:cs="Arial"/>
          <w:color w:val="000000" w:themeColor="text1"/>
          <w:szCs w:val="16"/>
        </w:rPr>
        <w:br/>
        <w:t>DPI develops information bulletins, training documents and modules, as well as provides statewide and regional training to ensure understanding of the requirements of IDEA and Wisconsin state law. Identified districts receive targeted training and technical assistance to improve results for children with disabilities, correct noncompliance or fiscal mismanagement, and address inappropriate identification resulting in racial disproportionality.</w:t>
      </w:r>
      <w:r w:rsidRPr="005C29F8">
        <w:rPr>
          <w:rFonts w:cs="Arial"/>
          <w:color w:val="000000" w:themeColor="text1"/>
          <w:szCs w:val="16"/>
        </w:rPr>
        <w:br/>
        <w:t>4) Effective, responsive dispute resolution process</w:t>
      </w:r>
      <w:r w:rsidRPr="005C29F8">
        <w:rPr>
          <w:rFonts w:cs="Arial"/>
          <w:color w:val="000000" w:themeColor="text1"/>
          <w:szCs w:val="16"/>
        </w:rPr>
        <w:br/>
        <w:t>DPI has established effective, responsive systems for IDEA complaints, due process hearings, and mediation.</w:t>
      </w:r>
      <w:r w:rsidRPr="005C29F8">
        <w:rPr>
          <w:rFonts w:cs="Arial"/>
          <w:color w:val="000000" w:themeColor="text1"/>
          <w:szCs w:val="16"/>
        </w:rPr>
        <w:br/>
        <w:t>a) IDEA Complaints</w:t>
      </w:r>
      <w:r w:rsidRPr="005C29F8">
        <w:rPr>
          <w:rFonts w:cs="Arial"/>
          <w:color w:val="000000" w:themeColor="text1"/>
          <w:szCs w:val="16"/>
        </w:rPr>
        <w:br/>
        <w:t>DPI is responsible for investigating complaints and issuing decisions within 60 calendar days of receipt of the complaint. DPI staff review all relevant information and make an independent determination about whether the district has met the Part B requirement. DPI's decision includes findings of fact, a conclusion for each issue, and the reasons that support the decision. The complaint is closed when the DPI verifies the district: 1) corrected each individual case of student-specific noncompliance; and 2) is correctly implementing the specific regulatory requirement(s). DPI has developed a model form to assist parents and other parties in filing an IDEA state complaint.</w:t>
      </w:r>
      <w:r w:rsidRPr="005C29F8">
        <w:rPr>
          <w:rFonts w:cs="Arial"/>
          <w:color w:val="000000" w:themeColor="text1"/>
          <w:szCs w:val="16"/>
        </w:rPr>
        <w:br/>
        <w:t>b) Due Process</w:t>
      </w:r>
      <w:r w:rsidRPr="005C29F8">
        <w:rPr>
          <w:rFonts w:cs="Arial"/>
          <w:color w:val="000000" w:themeColor="text1"/>
          <w:szCs w:val="16"/>
        </w:rPr>
        <w:br/>
        <w:t>A due process hearing is requested by sending a letter or a completed sample form to DPI. DPI acknowledges receipt of a hearing request in a letter describing district responsibilities including the holding of a resolution session within 15 calendar days of receiving the hearing request, or 7 calendar days if it is an expedited due process hearing. When a hearing is requested, DPI, by contract with the Wisconsin Department of Administration-Division of Hearings and Appeals (DHA), appoints an impartial hearing officer to conduct the hearing.</w:t>
      </w:r>
      <w:r w:rsidRPr="005C29F8">
        <w:rPr>
          <w:rFonts w:cs="Arial"/>
          <w:color w:val="000000" w:themeColor="text1"/>
          <w:szCs w:val="16"/>
        </w:rPr>
        <w:br/>
        <w:t>c) Mediation</w:t>
      </w:r>
      <w:r w:rsidRPr="005C29F8">
        <w:rPr>
          <w:rFonts w:cs="Arial"/>
          <w:color w:val="000000" w:themeColor="text1"/>
          <w:szCs w:val="16"/>
        </w:rPr>
        <w:br/>
        <w:t>DPI provides mediation, as a dispute resolution option, through the nationally recognized Wisconsin Special Education Mediation System (WSEMS). WSEMS maintains a list of mediators who are from a wide range of professional backgrounds. The system also provides a facilitated IEP meeting process. Mediation and the IEP meeting facilitation are provided at no cost to the parties. Survey data consistently indicates that participants are overwhelmingly satisfied with these processes.</w:t>
      </w:r>
      <w:r w:rsidRPr="005C29F8">
        <w:rPr>
          <w:rFonts w:cs="Arial"/>
          <w:color w:val="000000" w:themeColor="text1"/>
          <w:szCs w:val="16"/>
        </w:rPr>
        <w:br/>
        <w:t>5) Procedural Compliance Self-Assessment</w:t>
      </w:r>
      <w:r w:rsidRPr="005C29F8">
        <w:rPr>
          <w:rFonts w:cs="Arial"/>
          <w:color w:val="000000" w:themeColor="text1"/>
          <w:szCs w:val="16"/>
        </w:rPr>
        <w:br/>
        <w:t>DPI uses a Procedural Compliance Self-Assessment (PCSA) to identify and correct noncompliance. Items in the PCSA are aligned with and support Wisconsin's results driven accountability system, with its focus on improving literacy outcomes for students with disabilities. Annually, DPI gathers monitoring data from approximately one-fifth of the districts in the state through the PCSA. Each cohort of districts is representative of the state considering such variables as geography, disability categories, age, race, and gender. DPI includes every district in the PCSA at least once during the five-year cycle and each district with an average daily membership greater than 50,000 every year. To assure valid and reliable data, the PCSA checklist includes standards and directions for reviewing the procedural requirements and DPI requires all district staff conducting the assessment to complete a training and certification e-course. Information about the PCSA is posted on the DPI website at https://dpi.wi.gov/sped/educators/rdapcsa.</w:t>
      </w:r>
      <w:r w:rsidRPr="005C29F8">
        <w:rPr>
          <w:rFonts w:cs="Arial"/>
          <w:color w:val="000000" w:themeColor="text1"/>
          <w:szCs w:val="16"/>
        </w:rPr>
        <w:br/>
        <w:t>6) Early Childhood Transition System</w:t>
      </w:r>
      <w:r w:rsidRPr="005C29F8">
        <w:rPr>
          <w:rFonts w:cs="Arial"/>
          <w:color w:val="000000" w:themeColor="text1"/>
          <w:szCs w:val="16"/>
        </w:rPr>
        <w:br/>
        <w:t>DPI and the Wisconsin Department of Health Services (DHS), the Part C lead agency, worked collaboratively to develop an electronic referral and reporting system to ensure children participating in county Birth to 3 programs (Part C) experience a smooth and effective transition to early childhood programs (Part B). County Birth to 3 program data is daily uploaded into the Indicator 12 web-based application for districts; the application then notifies districts of the referral from county Birth to 3 programs. Finally, districts submit data for Indicator 12 through the application. In addition to ensuring a smooth and effective transition, this data collection system promotes accurate reporting of data. Districts report child-specific data on a real-time basis. This allows for timely identification and correction of noncompliance.</w:t>
      </w:r>
      <w:r w:rsidRPr="005C29F8">
        <w:rPr>
          <w:rFonts w:cs="Arial"/>
          <w:color w:val="000000" w:themeColor="text1"/>
          <w:szCs w:val="16"/>
        </w:rPr>
        <w:br/>
        <w:t>7) Postsecondary Transition Plan Application</w:t>
      </w:r>
      <w:r w:rsidRPr="005C29F8">
        <w:rPr>
          <w:rFonts w:cs="Arial"/>
          <w:color w:val="000000" w:themeColor="text1"/>
          <w:szCs w:val="16"/>
        </w:rPr>
        <w:br/>
        <w:t>DPI utilizes a web-based Postsecondary Transition Plan (PTP) application to collect Indicator 13 data from all districts with students aged 16 and above with an IEP. The PTP ensures every student’s IEP meets state and federal transition requirements. IEP teams develop a student’s transition plan using the PTP application in real time during an IEP team meeting. Indicator 13 data is collected through the online application on an ongoing basis. The PTP application is the state data system for monitoring Indicator 13 requirements. DPI reviews data from the database for the reporting year and identifies noncompliance. DPI makes findings of noncompliance and notifies districts when the data indicates noncompliance with the Indicator 13 transition requirements. DPI verifies all identified noncompliance is corrected within one year.</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DPI has a number of mechanisms in place to ensure the timely delivery of high quality, evidence based technical assistance and support to districts. As indicated above, within Wisconsin’s general supervision system, DPI develops information bulletins, training documents and modules, as well as provides statewide and regional training designed to improve results for children with disabilities and to ensure understanding of and compliance with the requirements of IDEA and state special education law. In addition, each week DPI sends an email to all districts and stakeholders that includes updates on new guidance materials, grants and other supports, as well as technical assistance opportunities. Identified districts receive targeted training and technical assistance to improve results for children with disabilities, correct noncompliance or fiscal mismanagement, and address inappropriate identification resulting in racial disproportionality.</w:t>
      </w:r>
      <w:r w:rsidRPr="005C29F8">
        <w:rPr>
          <w:rFonts w:cs="Arial"/>
          <w:color w:val="000000" w:themeColor="text1"/>
          <w:szCs w:val="16"/>
        </w:rPr>
        <w:br/>
      </w:r>
      <w:r w:rsidRPr="005C29F8">
        <w:rPr>
          <w:rFonts w:cs="Arial"/>
          <w:color w:val="000000" w:themeColor="text1"/>
          <w:szCs w:val="16"/>
        </w:rPr>
        <w:br/>
        <w:t>DPI also has a system to support those that provide professional learning opportunities in the area of special education and IEP development and implementation. Technical assistance, including webinars, conferences, trainings, communities of practice, and web based resources, is systematically provided on a regular basis by DPI.</w:t>
      </w:r>
      <w:r w:rsidRPr="005C29F8">
        <w:rPr>
          <w:rFonts w:cs="Arial"/>
          <w:color w:val="000000" w:themeColor="text1"/>
          <w:szCs w:val="16"/>
        </w:rPr>
        <w:br/>
      </w:r>
      <w:r w:rsidRPr="005C29F8">
        <w:rPr>
          <w:rFonts w:cs="Arial"/>
          <w:color w:val="000000" w:themeColor="text1"/>
          <w:szCs w:val="16"/>
        </w:rPr>
        <w:br/>
        <w:t>Additionally, DPI has a number of IDEA discretionary grant initiatives in place to systematically provide general and targeted, evidence based</w:t>
      </w:r>
      <w:r w:rsidRPr="005C29F8">
        <w:rPr>
          <w:rFonts w:cs="Arial"/>
          <w:color w:val="000000" w:themeColor="text1"/>
          <w:szCs w:val="16"/>
        </w:rPr>
        <w:br/>
        <w:t>professional learning and technical assistance to districts based upon area of need. Examples include:</w:t>
      </w:r>
      <w:r w:rsidRPr="005C29F8">
        <w:rPr>
          <w:rFonts w:cs="Arial"/>
          <w:color w:val="000000" w:themeColor="text1"/>
          <w:szCs w:val="16"/>
        </w:rPr>
        <w:br/>
        <w:t>The Wisconsin Regional Special Education Network (RSN) (https://dpi.wi.gov/sped/educators/initiatives/regional-special-education-network)</w:t>
      </w:r>
      <w:r w:rsidRPr="005C29F8">
        <w:rPr>
          <w:rFonts w:cs="Arial"/>
          <w:color w:val="000000" w:themeColor="text1"/>
          <w:szCs w:val="16"/>
        </w:rPr>
        <w:br/>
        <w:t>Wisconsin Statewide Parent Educator Initiative (http://wspei.org/)</w:t>
      </w:r>
      <w:r w:rsidRPr="005C29F8">
        <w:rPr>
          <w:rFonts w:cs="Arial"/>
          <w:color w:val="000000" w:themeColor="text1"/>
          <w:szCs w:val="16"/>
        </w:rPr>
        <w:br/>
        <w:t>Disproportionality Technical Assistance Network (http://www.thenetworkwi.com/)</w:t>
      </w:r>
      <w:r w:rsidRPr="005C29F8">
        <w:rPr>
          <w:rFonts w:cs="Arial"/>
          <w:color w:val="000000" w:themeColor="text1"/>
          <w:szCs w:val="16"/>
        </w:rPr>
        <w:br/>
        <w:t>Early Childhood Program Support and Leadership (http://dpi.wi.gov/sped/early-childhood)</w:t>
      </w:r>
      <w:r w:rsidRPr="005C29F8">
        <w:rPr>
          <w:rFonts w:cs="Arial"/>
          <w:color w:val="000000" w:themeColor="text1"/>
          <w:szCs w:val="16"/>
        </w:rPr>
        <w:br/>
        <w:t>Wisconsin RtI Center (http://www.wisconsinrticenter.org/)</w:t>
      </w:r>
      <w:r w:rsidRPr="005C29F8">
        <w:rPr>
          <w:rFonts w:cs="Arial"/>
          <w:color w:val="000000" w:themeColor="text1"/>
          <w:szCs w:val="16"/>
        </w:rPr>
        <w:br/>
        <w:t>Wisconsin Special Education Mediation System (http://www.wsems.us/)</w:t>
      </w:r>
      <w:r w:rsidRPr="005C29F8">
        <w:rPr>
          <w:rFonts w:cs="Arial"/>
          <w:color w:val="000000" w:themeColor="text1"/>
          <w:szCs w:val="16"/>
        </w:rPr>
        <w:br/>
        <w:t>Transition Improvement Grant (http://www.witig.org/)</w:t>
      </w:r>
      <w:r w:rsidRPr="005C29F8">
        <w:rPr>
          <w:rFonts w:cs="Arial"/>
          <w:color w:val="000000" w:themeColor="text1"/>
          <w:szCs w:val="16"/>
        </w:rPr>
        <w:br/>
        <w:t>Independent Charter School Special Education Capacity Building Initiative (http://dpi.wi.gov/sped/educators/discretionary-grants/summaries)</w:t>
      </w:r>
      <w:r w:rsidRPr="005C29F8">
        <w:rPr>
          <w:rFonts w:cs="Arial"/>
          <w:color w:val="000000" w:themeColor="text1"/>
          <w:szCs w:val="16"/>
        </w:rPr>
        <w:br/>
        <w:t>Universal Design for Learning (http://dpi.wi.gov/universal-design-learning)</w:t>
      </w:r>
      <w:r w:rsidRPr="005C29F8">
        <w:rPr>
          <w:rFonts w:cs="Arial"/>
          <w:color w:val="000000" w:themeColor="text1"/>
          <w:szCs w:val="16"/>
        </w:rPr>
        <w:br/>
        <w:t>WI Family Assistance Center for Education, Training and Support (WI FACETS) Milwaukee Public Schools Initiative (www.wifacets.org)</w:t>
      </w:r>
      <w:r w:rsidRPr="005C29F8">
        <w:rPr>
          <w:rFonts w:cs="Arial"/>
          <w:color w:val="000000" w:themeColor="text1"/>
          <w:szCs w:val="16"/>
        </w:rPr>
        <w:br/>
        <w:t>Technical Assistance Network for Improvement (https://dpi.wi.gov/continuous-improvement/resources-supports/ta-network)</w:t>
      </w:r>
      <w:r w:rsidRPr="005C29F8">
        <w:rPr>
          <w:rFonts w:cs="Arial"/>
          <w:color w:val="000000" w:themeColor="text1"/>
          <w:szCs w:val="16"/>
        </w:rPr>
        <w:br/>
        <w:t>Research to Practice Inclusive Communities Project (https://dpi.wi.gov/sped/research-practice-inclusive-communities-rpic-project)</w:t>
      </w:r>
      <w:r w:rsidRPr="005C29F8">
        <w:rPr>
          <w:rFonts w:cs="Arial"/>
          <w:color w:val="000000" w:themeColor="text1"/>
          <w:szCs w:val="16"/>
        </w:rPr>
        <w:br/>
      </w:r>
      <w:r w:rsidRPr="005C29F8">
        <w:rPr>
          <w:rFonts w:cs="Arial"/>
          <w:color w:val="000000" w:themeColor="text1"/>
          <w:szCs w:val="16"/>
        </w:rPr>
        <w:br/>
        <w:t>Finally, DPI is engaged with the OSEP-funded State Implementation and Scaling-up of Evidence-Based Practices (SISEP) Center. Through this targeted technical assistance partnership, DPI infuses principles of implementation science within its professional learning and technical assistance and has established regional implementation teams (RITs) to provide coaching to district implementation teams (DITs). RITs coach DITs from districts needing assistance, identified through a coordinated system with Title I and Educator Effectiveness, focusing on an evidence-based district improvement planning process through WISExplore. This coordinated process is one improvement strategy outlined in Wisconsin's State Systemic Improvement Plan.</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To ensure that service providers have the skills to effectively provide services that improve results for students with disabilities, DPI has prioritized IDEA discretionary funds for creating, scaling up, and sustaining systems change initiatives with a focus on improved results for students with disabilities. Through these initiatives, DPI funds professional development providers regionally throughout the state in order to equitably address the unique needs within different areas of the state. With a focus on the principles of implementation science, each initiative has mechanisms for ensuring fidelity of professional development provision, as well as evaluation processes to determine impact on service providers’ practice, and, where available, impact on student-level outcomes. Each initiative has a focus on unique results for students with disabilities, while each is currently increasing its capacity to additionally address Wisconsin’s State Identified Measurable Result: literacy outcomes for students with disabilities.</w:t>
      </w:r>
      <w:r w:rsidRPr="005C29F8">
        <w:rPr>
          <w:rFonts w:cs="Arial"/>
          <w:color w:val="000000" w:themeColor="text1"/>
          <w:szCs w:val="16"/>
        </w:rPr>
        <w:br/>
      </w:r>
      <w:r w:rsidRPr="005C29F8">
        <w:rPr>
          <w:rFonts w:cs="Arial"/>
          <w:color w:val="000000" w:themeColor="text1"/>
          <w:szCs w:val="16"/>
        </w:rPr>
        <w:br/>
        <w:t>Examples of Wisconsin systems change initiatives with a focus on high quality professional development include:</w:t>
      </w:r>
      <w:r w:rsidRPr="005C29F8">
        <w:rPr>
          <w:rFonts w:cs="Arial"/>
          <w:color w:val="000000" w:themeColor="text1"/>
          <w:szCs w:val="16"/>
        </w:rPr>
        <w:br/>
        <w:t>The Wisconsin Regional Special Education Network (RSN) (https://dpi.wi.gov/sped/educators/initiatives/regional-special-education-network)</w:t>
      </w:r>
      <w:r w:rsidRPr="005C29F8">
        <w:rPr>
          <w:rFonts w:cs="Arial"/>
          <w:color w:val="000000" w:themeColor="text1"/>
          <w:szCs w:val="16"/>
        </w:rPr>
        <w:br/>
        <w:t>Wisconsin RtI Center (http://www.wisconsinrticenter.org/)</w:t>
      </w:r>
      <w:r w:rsidRPr="005C29F8">
        <w:rPr>
          <w:rFonts w:cs="Arial"/>
          <w:color w:val="000000" w:themeColor="text1"/>
          <w:szCs w:val="16"/>
        </w:rPr>
        <w:br/>
        <w:t>Wisconsin Statewide Parent Educator Initiative (http://wspei.org/)</w:t>
      </w:r>
      <w:r w:rsidRPr="005C29F8">
        <w:rPr>
          <w:rFonts w:cs="Arial"/>
          <w:color w:val="000000" w:themeColor="text1"/>
          <w:szCs w:val="16"/>
        </w:rPr>
        <w:br/>
        <w:t>Transition Improvement Grant (http://www.witig.org/)</w:t>
      </w:r>
      <w:r w:rsidRPr="005C29F8">
        <w:rPr>
          <w:rFonts w:cs="Arial"/>
          <w:color w:val="000000" w:themeColor="text1"/>
          <w:szCs w:val="16"/>
        </w:rPr>
        <w:br/>
        <w:t>Disproportionality Technical Assistance Network (http://www.thenetworkwi.com/)</w:t>
      </w:r>
      <w:r w:rsidRPr="005C29F8">
        <w:rPr>
          <w:rFonts w:cs="Arial"/>
          <w:color w:val="000000" w:themeColor="text1"/>
          <w:szCs w:val="16"/>
        </w:rPr>
        <w:br/>
        <w:t>Early Childhood Program Support and Leadership (http://dpi.wi.gov/sped/early-childhood)</w:t>
      </w:r>
      <w:r w:rsidRPr="005C29F8">
        <w:rPr>
          <w:rFonts w:cs="Arial"/>
          <w:color w:val="000000" w:themeColor="text1"/>
          <w:szCs w:val="16"/>
        </w:rPr>
        <w:br/>
        <w:t>Independent Charter School Special Education Capacity Building Initiative (http://dpi.wi.gov/sped/educators/discretionary-grants/summaries)</w:t>
      </w:r>
      <w:r w:rsidRPr="005C29F8">
        <w:rPr>
          <w:rFonts w:cs="Arial"/>
          <w:color w:val="000000" w:themeColor="text1"/>
          <w:szCs w:val="16"/>
        </w:rPr>
        <w:br/>
        <w:t>Universal Design for Learning (http://dpi.wi.gov/universal-design-learning)</w:t>
      </w:r>
      <w:r w:rsidRPr="005C29F8">
        <w:rPr>
          <w:rFonts w:cs="Arial"/>
          <w:color w:val="000000" w:themeColor="text1"/>
          <w:szCs w:val="16"/>
        </w:rPr>
        <w:br/>
        <w:t>Technical Assistance Network for Improvement (https://dpi.wi.gov/continuous-improvement/resources-supports/ta-network)</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 xml:space="preserve">How and where the State reported to the public on the FFY18 performance of each LEA located in the State on the targets in the SPP/APR as soon as practicable, but no later than 120 days following the State’s submission of its FFY 2018 APR, as required by 34 CFR §300.602(b)(1)(i)(A);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Through the Special Education District Profile, DPI reports annually to the public on the performance of each district located in Wisconsin on the targets in the SPP/APR as soon as practicable, but no later than 120 days following submission of the APR, as required by 34 CFR §300.602(b)(1)(i)(A). The District Profile is posted on the DPI website at https://dpi.wi.gov/sped/educators/local-performance-plans/profile. The District Profile includes district data, state data, the target for each indicator, sources of data, and links to additional information about each indicator. DPI includes the most recently available performance data on each district and the date the data were obtained. DPI does not report to the public any information that would result in the disclosure of personally identifiable information about individual children. For Indicators 8, 11, and 14, DPI uses a 5-year monitoring cycle to identify cohorts of districts for data collection. DPI collects and reports on the performance of each district on each of the sampling indicators at least once during the course of the SPP. For all other indicators for which DPI is required to report at the district level, DPI reports annually on every district. Copies of the SPP and APR are posted on the DPI website at https://dpi.wi.gov/sped/about/state-performance-plan.</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DPI will report FFY2019 data for the State-identified Measurable Result and consistent with its evaluation plan described in Phase II, assess and report on progress in implementing the SSIP. This report will be submitted no later than April 2, 2021.</w:t>
      </w:r>
      <w:r w:rsidRPr="005C29F8">
        <w:rPr>
          <w:rFonts w:cs="Arial"/>
          <w:color w:val="000000" w:themeColor="text1"/>
          <w:szCs w:val="16"/>
        </w:rPr>
        <w:br/>
      </w:r>
      <w:r w:rsidRPr="005C29F8">
        <w:rPr>
          <w:rFonts w:cs="Arial"/>
          <w:color w:val="000000" w:themeColor="text1"/>
          <w:szCs w:val="16"/>
        </w:rPr>
        <w:br/>
        <w:t>One attachment in the State's FFY 2018 APR submission was not posted on the U.S. Department of Education's IDEA website. That document is posted on DPI's website at https://dpi.wi.gov/sped/about/state-performance-plan/apr.</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0C24C2" w:rsidP="001F692C">
      <w:pPr>
        <w:rPr>
          <w:rFonts w:cs="Arial"/>
          <w:color w:val="000000" w:themeColor="text1"/>
          <w:szCs w:val="16"/>
        </w:rPr>
      </w:pP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67.10%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68.99%</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67.51%</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68.54%</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68.24%</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68.59%</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85.00%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Number of youth with IEPs graduating with a regular diploma</w:t>
            </w:r>
          </w:p>
        </w:tc>
        <w:tc>
          <w:tcPr>
            <w:tcW w:w="1040" w:type="pct"/>
            <w:shd w:val="clear" w:color="auto" w:fill="auto"/>
          </w:tcPr>
          <w:p w14:paraId="18434B19" w14:textId="15F19809" w:rsidR="00866B4D" w:rsidRPr="005C29F8" w:rsidRDefault="009A6600" w:rsidP="00A018D4">
            <w:pPr>
              <w:jc w:val="center"/>
              <w:rPr>
                <w:rFonts w:cs="Arial"/>
                <w:color w:val="000000" w:themeColor="text1"/>
                <w:szCs w:val="16"/>
              </w:rPr>
            </w:pPr>
            <w:r>
              <w:rPr>
                <w:rFonts w:cs="Arial"/>
                <w:color w:val="000000" w:themeColor="text1"/>
                <w:szCs w:val="16"/>
              </w:rPr>
              <w:t>*</w:t>
            </w:r>
            <w:bookmarkStart w:id="3" w:name="_Ref78292545"/>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Number of youth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7,649</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6E46F803" w:rsidR="00866B4D" w:rsidRPr="005C29F8" w:rsidRDefault="002B7490" w:rsidP="00A018D4">
            <w:pPr>
              <w:jc w:val="center"/>
              <w:rPr>
                <w:rFonts w:cs="Arial"/>
                <w:color w:val="000000" w:themeColor="text1"/>
                <w:szCs w:val="16"/>
              </w:rPr>
            </w:pPr>
            <w:r w:rsidRPr="005C29F8">
              <w:rPr>
                <w:rFonts w:cs="Arial"/>
                <w:color w:val="000000" w:themeColor="text1"/>
                <w:szCs w:val="16"/>
              </w:rPr>
              <w:t>69.</w:t>
            </w:r>
            <w:r w:rsidR="009A6600">
              <w:rPr>
                <w:rFonts w:cs="Arial"/>
                <w:color w:val="000000" w:themeColor="text1"/>
                <w:szCs w:val="16"/>
              </w:rPr>
              <w:t>8</w:t>
            </w:r>
            <w:r w:rsidRPr="005C29F8">
              <w:rPr>
                <w:rFonts w:cs="Arial"/>
                <w:color w:val="000000" w:themeColor="text1"/>
                <w:szCs w:val="16"/>
              </w:rPr>
              <w:t>%</w:t>
            </w:r>
            <w:bookmarkStart w:id="4" w:name="_Ref78292549"/>
            <w:r w:rsidR="00806C53">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Number of youth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Number of youth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0CB15C3F" w:rsidR="0098478C" w:rsidRPr="005C29F8" w:rsidRDefault="009A6600" w:rsidP="00A018D4">
            <w:pPr>
              <w:jc w:val="center"/>
              <w:rPr>
                <w:rFonts w:cs="Arial"/>
                <w:color w:val="000000" w:themeColor="text1"/>
                <w:szCs w:val="16"/>
              </w:rPr>
            </w:pPr>
            <w:r>
              <w:rPr>
                <w:rFonts w:cs="Arial"/>
                <w:color w:val="000000" w:themeColor="text1"/>
                <w:szCs w:val="16"/>
              </w:rPr>
              <w:t>*</w:t>
            </w:r>
            <w:r w:rsidR="00806C53" w:rsidRPr="00806C53">
              <w:rPr>
                <w:rFonts w:cs="Arial"/>
                <w:color w:val="000000" w:themeColor="text1"/>
                <w:szCs w:val="16"/>
                <w:vertAlign w:val="superscript"/>
              </w:rPr>
              <w:fldChar w:fldCharType="begin"/>
            </w:r>
            <w:r w:rsidR="00806C53" w:rsidRPr="00806C53">
              <w:rPr>
                <w:rFonts w:cs="Arial"/>
                <w:color w:val="000000" w:themeColor="text1"/>
                <w:szCs w:val="16"/>
                <w:vertAlign w:val="superscript"/>
              </w:rPr>
              <w:instrText xml:space="preserve"> NOTEREF _Ref78292545 \h </w:instrText>
            </w:r>
            <w:r w:rsidR="00806C53">
              <w:rPr>
                <w:rFonts w:cs="Arial"/>
                <w:color w:val="000000" w:themeColor="text1"/>
                <w:szCs w:val="16"/>
                <w:vertAlign w:val="superscript"/>
              </w:rPr>
              <w:instrText xml:space="preserve"> \* MERGEFORMAT </w:instrText>
            </w:r>
            <w:r w:rsidR="00806C53" w:rsidRPr="00806C53">
              <w:rPr>
                <w:rFonts w:cs="Arial"/>
                <w:color w:val="000000" w:themeColor="text1"/>
                <w:szCs w:val="16"/>
                <w:vertAlign w:val="superscript"/>
              </w:rPr>
            </w:r>
            <w:r w:rsidR="00806C53" w:rsidRPr="00806C53">
              <w:rPr>
                <w:rFonts w:cs="Arial"/>
                <w:color w:val="000000" w:themeColor="text1"/>
                <w:szCs w:val="16"/>
                <w:vertAlign w:val="superscript"/>
              </w:rPr>
              <w:fldChar w:fldCharType="separate"/>
            </w:r>
            <w:r w:rsidR="00806C53" w:rsidRPr="00806C53">
              <w:rPr>
                <w:rFonts w:cs="Arial"/>
                <w:color w:val="000000" w:themeColor="text1"/>
                <w:szCs w:val="16"/>
                <w:vertAlign w:val="superscript"/>
              </w:rPr>
              <w:t>1</w:t>
            </w:r>
            <w:r w:rsidR="00806C53" w:rsidRPr="00806C53">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7,649</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68.59%</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633" w:type="pct"/>
            <w:shd w:val="clear" w:color="auto" w:fill="auto"/>
          </w:tcPr>
          <w:p w14:paraId="4A53AF2D" w14:textId="27D0B4B5" w:rsidR="0098478C" w:rsidRPr="005C29F8" w:rsidRDefault="002B7490" w:rsidP="00A018D4">
            <w:pPr>
              <w:jc w:val="center"/>
              <w:rPr>
                <w:rFonts w:cs="Arial"/>
                <w:color w:val="000000" w:themeColor="text1"/>
                <w:szCs w:val="16"/>
              </w:rPr>
            </w:pPr>
            <w:r w:rsidRPr="005C29F8">
              <w:rPr>
                <w:rFonts w:cs="Arial"/>
                <w:color w:val="000000" w:themeColor="text1"/>
                <w:szCs w:val="16"/>
              </w:rPr>
              <w:t>69.</w:t>
            </w:r>
            <w:r w:rsidR="009A6600">
              <w:rPr>
                <w:rFonts w:cs="Arial"/>
                <w:color w:val="000000" w:themeColor="text1"/>
                <w:szCs w:val="16"/>
              </w:rPr>
              <w:t>8</w:t>
            </w:r>
            <w:r w:rsidRPr="005C29F8">
              <w:rPr>
                <w:rFonts w:cs="Arial"/>
                <w:color w:val="000000" w:themeColor="text1"/>
                <w:szCs w:val="16"/>
              </w:rPr>
              <w:t>%</w:t>
            </w:r>
            <w:r w:rsidR="00806C53" w:rsidRPr="00806C53">
              <w:rPr>
                <w:rFonts w:cs="Arial"/>
                <w:color w:val="000000" w:themeColor="text1"/>
                <w:szCs w:val="16"/>
                <w:vertAlign w:val="superscript"/>
              </w:rPr>
              <w:fldChar w:fldCharType="begin"/>
            </w:r>
            <w:r w:rsidR="00806C53" w:rsidRPr="00806C53">
              <w:rPr>
                <w:rFonts w:cs="Arial"/>
                <w:color w:val="000000" w:themeColor="text1"/>
                <w:szCs w:val="16"/>
                <w:vertAlign w:val="superscript"/>
              </w:rPr>
              <w:instrText xml:space="preserve"> NOTEREF _Ref78292549 \h </w:instrText>
            </w:r>
            <w:r w:rsidR="00806C53">
              <w:rPr>
                <w:rFonts w:cs="Arial"/>
                <w:color w:val="000000" w:themeColor="text1"/>
                <w:szCs w:val="16"/>
                <w:vertAlign w:val="superscript"/>
              </w:rPr>
              <w:instrText xml:space="preserve"> \* MERGEFORMAT </w:instrText>
            </w:r>
            <w:r w:rsidR="00806C53" w:rsidRPr="00806C53">
              <w:rPr>
                <w:rFonts w:cs="Arial"/>
                <w:color w:val="000000" w:themeColor="text1"/>
                <w:szCs w:val="16"/>
                <w:vertAlign w:val="superscript"/>
              </w:rPr>
            </w:r>
            <w:r w:rsidR="00806C53" w:rsidRPr="00806C53">
              <w:rPr>
                <w:rFonts w:cs="Arial"/>
                <w:color w:val="000000" w:themeColor="text1"/>
                <w:szCs w:val="16"/>
                <w:vertAlign w:val="superscript"/>
              </w:rPr>
              <w:fldChar w:fldCharType="separate"/>
            </w:r>
            <w:r w:rsidR="00806C53" w:rsidRPr="00806C53">
              <w:rPr>
                <w:rFonts w:cs="Arial"/>
                <w:color w:val="000000" w:themeColor="text1"/>
                <w:szCs w:val="16"/>
                <w:vertAlign w:val="superscript"/>
              </w:rPr>
              <w:t>2</w:t>
            </w:r>
            <w:r w:rsidR="00806C53" w:rsidRPr="00806C53">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The requirements for obtaining a regular diploma in Wisconsin for FFY 2019 reporting are the same for students with disabilities and students without disabilities with one exception. Under Wisconsin State Statute §118.33(1m), students without IEPs must take and pass the high school civics test before they may be awarded a high school diploma. Students with IEPs must take the high school civics test (unless the IEP team determines that it is not appropriate to administer the test), but students with IEPs are not required to pass the high school civics test in order to receive a high school diploma. This statutory requirement went into effect beginning in the 2016-2017 school year. Otherwise, the requirements below apply to students both with and without IEPs.</w:t>
      </w:r>
      <w:r w:rsidRPr="005C29F8">
        <w:rPr>
          <w:rFonts w:cs="Arial"/>
          <w:color w:val="000000" w:themeColor="text1"/>
          <w:szCs w:val="16"/>
        </w:rPr>
        <w:br/>
      </w:r>
      <w:r w:rsidRPr="005C29F8">
        <w:rPr>
          <w:rFonts w:cs="Arial"/>
          <w:color w:val="000000" w:themeColor="text1"/>
          <w:szCs w:val="16"/>
        </w:rPr>
        <w:br/>
        <w:t>A graduate is defined as a student who has met the requirements established by a school board for a prescribed course of study. Wisconsin State Statute §118.33(1)(a) defines the requirements for receipt of a high school diploma as: except as provided in §118.33(1)(d)(see below), a school board may not grant a high school diploma to any pupil unless the pupil has earned:</w:t>
      </w:r>
      <w:r w:rsidRPr="005C29F8">
        <w:rPr>
          <w:rFonts w:cs="Arial"/>
          <w:color w:val="000000" w:themeColor="text1"/>
          <w:szCs w:val="16"/>
        </w:rPr>
        <w:br/>
        <w:t>1. In the high school grades, at least 4 credits of English including writing composition, 3 credits of social studies including state and local government, 3 credits of mathematics, 3 credits of science and 1.5 credits of physical education.</w:t>
      </w:r>
      <w:r w:rsidRPr="005C29F8">
        <w:rPr>
          <w:rFonts w:cs="Arial"/>
          <w:color w:val="000000" w:themeColor="text1"/>
          <w:szCs w:val="16"/>
        </w:rPr>
        <w:br/>
        <w:t>2. In grades 7 to 12, at least 0.5 credit of health education.</w:t>
      </w:r>
      <w:r w:rsidRPr="005C29F8">
        <w:rPr>
          <w:rFonts w:cs="Arial"/>
          <w:color w:val="000000" w:themeColor="text1"/>
          <w:szCs w:val="16"/>
        </w:rPr>
        <w:br/>
      </w:r>
      <w:r w:rsidRPr="005C29F8">
        <w:rPr>
          <w:rFonts w:cs="Arial"/>
          <w:color w:val="000000" w:themeColor="text1"/>
          <w:szCs w:val="16"/>
        </w:rPr>
        <w:br/>
        <w:t>Under Wisconsin State Statute §118.33(1)(d), a school board may grant a high school diploma to a pupil who has not satisfied the requirements under</w:t>
      </w:r>
      <w:r w:rsidRPr="005C29F8">
        <w:rPr>
          <w:rFonts w:cs="Arial"/>
          <w:color w:val="000000" w:themeColor="text1"/>
          <w:szCs w:val="16"/>
        </w:rPr>
        <w:br/>
        <w:t>118.33(1)(a) if all of the following apply:</w:t>
      </w:r>
      <w:r w:rsidRPr="005C29F8">
        <w:rPr>
          <w:rFonts w:cs="Arial"/>
          <w:color w:val="000000" w:themeColor="text1"/>
          <w:szCs w:val="16"/>
        </w:rPr>
        <w:br/>
        <w:t>1. The student was enrolled in an alternative education program, as defined in Wisconsin State Statute §115.28(7)(e)</w:t>
      </w:r>
      <w:r w:rsidRPr="005C29F8">
        <w:rPr>
          <w:rFonts w:cs="Arial"/>
          <w:color w:val="000000" w:themeColor="text1"/>
          <w:szCs w:val="16"/>
        </w:rPr>
        <w:br/>
        <w:t>2. The school board determines that the student has demonstrated a level of proficiency in the subjects listed in par. (a) equivalent to that which he or she would have attained if he or she had satisfied the requirements under par. (a).</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YES</w:t>
      </w:r>
    </w:p>
    <w:p w14:paraId="1CD0A276" w14:textId="5047B5D7" w:rsidR="00C14D48" w:rsidRPr="005C29F8" w:rsidRDefault="00742F8B" w:rsidP="003D436D">
      <w:pPr>
        <w:rPr>
          <w:rFonts w:cs="Arial"/>
          <w:b/>
          <w:iCs/>
          <w:color w:val="000000" w:themeColor="text1"/>
          <w:szCs w:val="16"/>
        </w:rPr>
      </w:pPr>
      <w:bookmarkStart w:id="5" w:name="_Toc392159261"/>
      <w:r w:rsidRPr="005C29F8">
        <w:rPr>
          <w:rFonts w:cs="Arial"/>
          <w:b/>
          <w:iCs/>
          <w:color w:val="000000" w:themeColor="text1"/>
          <w:szCs w:val="16"/>
        </w:rPr>
        <w:t>If yes, explain the difference in conditions that youth with IEPs must meet.</w:t>
      </w:r>
    </w:p>
    <w:p w14:paraId="081D930A" w14:textId="3A6096AF" w:rsidR="00E418E6" w:rsidRDefault="002B7490" w:rsidP="000E33D0">
      <w:pPr>
        <w:rPr>
          <w:rFonts w:cs="Arial"/>
          <w:color w:val="000000" w:themeColor="text1"/>
          <w:szCs w:val="16"/>
        </w:rPr>
      </w:pPr>
      <w:r w:rsidRPr="005C29F8">
        <w:rPr>
          <w:rFonts w:cs="Arial"/>
          <w:color w:val="000000" w:themeColor="text1"/>
          <w:szCs w:val="16"/>
        </w:rPr>
        <w:t>The requirements for obtaining a regular diploma in Wisconsin for FFY 2019 reporting are the same for students with disabilities and students without disabilities with one exception. Under Wisconsin State Statute §118.33(1m), students without IEPs must take and pass the high school civics test before they may be awarded a high school diploma. Students with IEPs must take the high school civics test (unless the IEP team determines that it is not appropriate to administer the test), but students with IEPs are not required to pass the high school civics test in order to receive a high school diploma. This statutory requirement went into effect beginning in the 2016-2017 school year. Otherwise, the requirements below apply to students both with and without IEPs.</w:t>
      </w:r>
      <w:r w:rsidRPr="005C29F8">
        <w:rPr>
          <w:rFonts w:cs="Arial"/>
          <w:color w:val="000000" w:themeColor="text1"/>
          <w:szCs w:val="16"/>
        </w:rPr>
        <w:br/>
      </w:r>
      <w:r w:rsidRPr="005C29F8">
        <w:rPr>
          <w:rFonts w:cs="Arial"/>
          <w:color w:val="000000" w:themeColor="text1"/>
          <w:szCs w:val="16"/>
        </w:rPr>
        <w:br/>
        <w:t>A graduate is defined as a student who has met the requirements established by a school board for a prescribed course of study. Wisconsin State Statute §118.33(1)(a) defines the requirements for receipt of a high school diploma as: except as provided in §118.33(1)(d)(see below), a school board may not grant a high school diploma to any pupil unless the pupil has earned:</w:t>
      </w:r>
      <w:r w:rsidRPr="005C29F8">
        <w:rPr>
          <w:rFonts w:cs="Arial"/>
          <w:color w:val="000000" w:themeColor="text1"/>
          <w:szCs w:val="16"/>
        </w:rPr>
        <w:br/>
        <w:t>1. In the high school grades, at least 4 credits of English including writing composition, 3 credits of social studies including state and local government, 3 credits of mathematics, 3 credits of science and 1.5 credits of physical education.</w:t>
      </w:r>
      <w:r w:rsidRPr="005C29F8">
        <w:rPr>
          <w:rFonts w:cs="Arial"/>
          <w:color w:val="000000" w:themeColor="text1"/>
          <w:szCs w:val="16"/>
        </w:rPr>
        <w:br/>
        <w:t>2. In grades 7 to 12, at least 0.5 credit of health education.</w:t>
      </w:r>
      <w:r w:rsidRPr="005C29F8">
        <w:rPr>
          <w:rFonts w:cs="Arial"/>
          <w:color w:val="000000" w:themeColor="text1"/>
          <w:szCs w:val="16"/>
        </w:rPr>
        <w:br/>
      </w:r>
      <w:r w:rsidRPr="005C29F8">
        <w:rPr>
          <w:rFonts w:cs="Arial"/>
          <w:color w:val="000000" w:themeColor="text1"/>
          <w:szCs w:val="16"/>
        </w:rPr>
        <w:br/>
        <w:t>Under Wisconsin State Statute §118.33(1)(d), a school board may grant a high school diploma to a pupil who has not satisfied the requirements under</w:t>
      </w:r>
      <w:r w:rsidRPr="005C29F8">
        <w:rPr>
          <w:rFonts w:cs="Arial"/>
          <w:color w:val="000000" w:themeColor="text1"/>
          <w:szCs w:val="16"/>
        </w:rPr>
        <w:br/>
        <w:t>118.33(1)(a) if all of the following apply:</w:t>
      </w:r>
      <w:r w:rsidRPr="005C29F8">
        <w:rPr>
          <w:rFonts w:cs="Arial"/>
          <w:color w:val="000000" w:themeColor="text1"/>
          <w:szCs w:val="16"/>
        </w:rPr>
        <w:br/>
        <w:t>1. The student was enrolled in an alternative education program, as defined in Wisconsin State Statute §115.28(7)(e)</w:t>
      </w:r>
      <w:r w:rsidRPr="005C29F8">
        <w:rPr>
          <w:rFonts w:cs="Arial"/>
          <w:color w:val="000000" w:themeColor="text1"/>
          <w:szCs w:val="16"/>
        </w:rPr>
        <w:br/>
        <w:t>2. The school board determines that the student has demonstrated a level of proficiency in the subjects listed in par. (a) equivalent to that which he or she would have attained if he or she had satisfied the requirements under par. (a).</w:t>
      </w:r>
      <w:bookmarkStart w:id="6" w:name="_Hlk525545190"/>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7" w:name="_Toc382082358"/>
      <w:bookmarkEnd w:id="5"/>
      <w:bookmarkEnd w:id="6"/>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8" w:name="_Hlk21352084"/>
      <w:r w:rsidRPr="0033429D">
        <w:t xml:space="preserve">1 - </w:t>
      </w:r>
      <w:bookmarkEnd w:id="8"/>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9"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t>Indicator 2: Drop Out</w:t>
      </w:r>
      <w:bookmarkEnd w:id="7"/>
      <w:bookmarkEnd w:id="9"/>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10"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States must report a percentage using the number of youth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Do not include in the denominator the number of youths with IEPs who exited special education due to: (a) transferring to regular education; or (b) who moved, but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10"/>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2005</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2.13%</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1.80%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1.70%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1.60%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1.50%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1.40%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2.29%</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2.24%</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2.14%</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2.45%</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2.42%</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1.40%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Number of youth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5,816</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120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76</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1,568</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Number of youth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21</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NO</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YES</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1" w:name="_Toc392159265"/>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Number of youth with IEPs Grades 7-12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Students with IEPs in Grades 7-12</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1,236</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51,585</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2.42%</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1.40%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2.40%</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The dropout rate is the number of students who dropped out during the school term divided by the total expected to complete that school term in that school or district. "Total expected to complete the school term" is the denominator used to calculate all dropout rates and is the sum of (a) students who completed the school term plus (b) dropouts.</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"total expected to complete the school term" may be more or less than the enrollment count because this "total" adjusts for student transfers in and out after the enrollment count date. More information is available at https://dpi.wi.gov/wisedash/about-data/dropouts. DPI calculates the dropout rate uniformly across all students and subgroups, including students with IEPs.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2" w:name="_Toc382082362"/>
      <w:bookmarkStart w:id="13" w:name="_Toc392159270"/>
      <w:bookmarkStart w:id="14" w:name="_Toc365403651"/>
      <w:bookmarkEnd w:id="1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Consistent with the methodology used in FFY 2010 SPP/APR submitted on February 1, 2012, and in accordance with the National Center for Education Statistic's Common Core of Data, DPI uses the annual event school dropout rate for students leaving in a single year. The calculation is the percentage of youth with IEPs previously enrolled in grades 7 - 12 who exit special education as a result of dropping out, divided by the total number of youths with IEPs in grades 7 - 12 who are expected to complete the school term. DPI is reporting 2018-2019 data for FFY 2019.</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t>Indicator 3B: Participation for Students with IEPs</w:t>
      </w:r>
      <w:bookmarkEnd w:id="12"/>
      <w:bookmarkEnd w:id="13"/>
    </w:p>
    <w:p w14:paraId="66C662B8" w14:textId="77777777" w:rsidR="007C3C89" w:rsidRPr="005C29F8" w:rsidRDefault="007C3C89" w:rsidP="00A018D4">
      <w:pPr>
        <w:rPr>
          <w:color w:val="000000" w:themeColor="text1"/>
          <w:szCs w:val="20"/>
        </w:rPr>
      </w:pPr>
      <w:bookmarkStart w:id="15"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5"/>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p>
        </w:tc>
      </w:tr>
      <w:tr w:rsidR="005C29F8" w:rsidRPr="005C29F8" w14:paraId="6C213D9F" w14:textId="77777777" w:rsidTr="00044B5C">
        <w:trPr>
          <w:trHeight w:val="361"/>
        </w:trPr>
        <w:tc>
          <w:tcPr>
            <w:tcW w:w="270" w:type="pct"/>
            <w:shd w:val="clear" w:color="auto" w:fill="auto"/>
            <w:vAlign w:val="center"/>
          </w:tcPr>
          <w:p w14:paraId="743E9538" w14:textId="0FE9543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tcPr>
          <w:p w14:paraId="1FEF8DA4" w14:textId="7EFE021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tcPr>
          <w:p w14:paraId="44198FA4" w14:textId="2BEAD3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A84FDC" w14:textId="3BA3FB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0C7721" w14:textId="52B4D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842D60C" w14:textId="2B3C80E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71A78E1" w14:textId="22C78159" w:rsidR="00421D14" w:rsidRPr="005C29F8" w:rsidRDefault="00421D14" w:rsidP="004E2151">
            <w:pPr>
              <w:pStyle w:val="Default"/>
              <w:jc w:val="center"/>
              <w:rPr>
                <w:b/>
                <w:color w:val="000000" w:themeColor="text1"/>
                <w:sz w:val="16"/>
                <w:szCs w:val="16"/>
              </w:rPr>
            </w:pPr>
          </w:p>
        </w:tc>
        <w:tc>
          <w:tcPr>
            <w:tcW w:w="394" w:type="pct"/>
            <w:shd w:val="clear" w:color="auto" w:fill="auto"/>
          </w:tcPr>
          <w:p w14:paraId="0D9C2695" w14:textId="7C53894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80E99C" w14:textId="43D2966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E8EEA72" w14:textId="470AFE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C52361" w14:textId="744BBF60" w:rsidR="00421D14" w:rsidRPr="005C29F8" w:rsidRDefault="00421D14" w:rsidP="004E2151">
            <w:pPr>
              <w:pStyle w:val="Default"/>
              <w:jc w:val="center"/>
              <w:rPr>
                <w:b/>
                <w:color w:val="000000" w:themeColor="text1"/>
                <w:sz w:val="16"/>
                <w:szCs w:val="16"/>
              </w:rPr>
            </w:pPr>
          </w:p>
        </w:tc>
        <w:tc>
          <w:tcPr>
            <w:tcW w:w="394" w:type="pct"/>
            <w:shd w:val="clear" w:color="auto" w:fill="auto"/>
          </w:tcPr>
          <w:p w14:paraId="64EB25C4" w14:textId="061B7CFB" w:rsidR="00421D14" w:rsidRPr="005C29F8" w:rsidRDefault="00421D14" w:rsidP="004E2151">
            <w:pPr>
              <w:pStyle w:val="Default"/>
              <w:jc w:val="center"/>
              <w:rPr>
                <w:b/>
                <w:color w:val="000000" w:themeColor="text1"/>
                <w:sz w:val="16"/>
                <w:szCs w:val="16"/>
              </w:rPr>
            </w:pPr>
          </w:p>
        </w:tc>
        <w:tc>
          <w:tcPr>
            <w:tcW w:w="394" w:type="pct"/>
            <w:shd w:val="clear" w:color="auto" w:fill="auto"/>
          </w:tcPr>
          <w:p w14:paraId="2C14AEC4" w14:textId="4036B8FC" w:rsidR="00421D14" w:rsidRPr="005C29F8" w:rsidRDefault="00421D14" w:rsidP="004E2151">
            <w:pPr>
              <w:pStyle w:val="Default"/>
              <w:jc w:val="center"/>
              <w:rPr>
                <w:b/>
                <w:color w:val="000000" w:themeColor="text1"/>
                <w:sz w:val="16"/>
                <w:szCs w:val="16"/>
              </w:rPr>
            </w:pPr>
          </w:p>
        </w:tc>
      </w:tr>
      <w:tr w:rsidR="005C29F8" w:rsidRPr="005C29F8" w14:paraId="389B0E67" w14:textId="77777777" w:rsidTr="00044B5C">
        <w:trPr>
          <w:trHeight w:val="361"/>
        </w:trPr>
        <w:tc>
          <w:tcPr>
            <w:tcW w:w="270" w:type="pct"/>
            <w:shd w:val="clear" w:color="auto" w:fill="auto"/>
            <w:vAlign w:val="center"/>
          </w:tcPr>
          <w:p w14:paraId="7F91EC77" w14:textId="054FB173"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tcPr>
          <w:p w14:paraId="1C299B40" w14:textId="18C26384"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tcPr>
          <w:p w14:paraId="0335B035" w14:textId="2E4BD4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59F72" w14:textId="255346B7"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B2A91C" w14:textId="0335ED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100EA012" w14:textId="45F211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1F809F" w14:textId="0A897DCF"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F96226F" w14:textId="5EF099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3F1E3" w14:textId="6BAE8A65" w:rsidR="00421D14" w:rsidRPr="005C29F8" w:rsidRDefault="00421D14" w:rsidP="004E2151">
            <w:pPr>
              <w:pStyle w:val="Default"/>
              <w:jc w:val="center"/>
              <w:rPr>
                <w:b/>
                <w:color w:val="000000" w:themeColor="text1"/>
                <w:sz w:val="16"/>
                <w:szCs w:val="16"/>
              </w:rPr>
            </w:pPr>
          </w:p>
        </w:tc>
        <w:tc>
          <w:tcPr>
            <w:tcW w:w="394" w:type="pct"/>
            <w:shd w:val="clear" w:color="auto" w:fill="auto"/>
          </w:tcPr>
          <w:p w14:paraId="3B536B28" w14:textId="2A87273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42A145" w14:textId="1EB9DC6B"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318F56" w14:textId="5C1336C4"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54A3B8" w14:textId="08EBD448" w:rsidR="00421D14" w:rsidRPr="005C29F8" w:rsidRDefault="00421D14" w:rsidP="004E2151">
            <w:pPr>
              <w:pStyle w:val="Default"/>
              <w:jc w:val="center"/>
              <w:rPr>
                <w:b/>
                <w:color w:val="000000" w:themeColor="text1"/>
                <w:sz w:val="16"/>
                <w:szCs w:val="16"/>
              </w:rPr>
            </w:pPr>
          </w:p>
        </w:tc>
      </w:tr>
      <w:tr w:rsidR="005C29F8" w:rsidRPr="005C29F8" w14:paraId="0D121E28" w14:textId="77777777" w:rsidTr="00044B5C">
        <w:trPr>
          <w:trHeight w:val="361"/>
        </w:trPr>
        <w:tc>
          <w:tcPr>
            <w:tcW w:w="270" w:type="pct"/>
            <w:shd w:val="clear" w:color="auto" w:fill="auto"/>
            <w:vAlign w:val="center"/>
          </w:tcPr>
          <w:p w14:paraId="33D6B950" w14:textId="5D572D7E"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tcPr>
          <w:p w14:paraId="4F9004EF" w14:textId="179EAF9F"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tcPr>
          <w:p w14:paraId="631A1A9E" w14:textId="27512D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7BF869" w14:textId="51579064" w:rsidR="00421D14" w:rsidRPr="005C29F8" w:rsidRDefault="00421D14" w:rsidP="004E2151">
            <w:pPr>
              <w:pStyle w:val="Default"/>
              <w:jc w:val="center"/>
              <w:rPr>
                <w:b/>
                <w:color w:val="000000" w:themeColor="text1"/>
                <w:sz w:val="16"/>
                <w:szCs w:val="16"/>
              </w:rPr>
            </w:pPr>
          </w:p>
        </w:tc>
        <w:tc>
          <w:tcPr>
            <w:tcW w:w="394" w:type="pct"/>
            <w:shd w:val="clear" w:color="auto" w:fill="auto"/>
          </w:tcPr>
          <w:p w14:paraId="5DF5CC41" w14:textId="78BD36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A9BA0C" w14:textId="17BD20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F532F6F" w14:textId="452C84B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4F7D54" w14:textId="61658A9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587EEB7" w14:textId="6DF33E9B"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DD84DF" w14:textId="15BF72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F3F472A" w14:textId="119EEAFF" w:rsidR="00421D14" w:rsidRPr="005C29F8" w:rsidRDefault="00421D14" w:rsidP="004E2151">
            <w:pPr>
              <w:pStyle w:val="Default"/>
              <w:jc w:val="center"/>
              <w:rPr>
                <w:b/>
                <w:color w:val="000000" w:themeColor="text1"/>
                <w:sz w:val="16"/>
                <w:szCs w:val="16"/>
              </w:rPr>
            </w:pPr>
          </w:p>
        </w:tc>
        <w:tc>
          <w:tcPr>
            <w:tcW w:w="394" w:type="pct"/>
            <w:shd w:val="clear" w:color="auto" w:fill="auto"/>
          </w:tcPr>
          <w:p w14:paraId="2999DC2B" w14:textId="217905E5"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A02328" w14:textId="2F5C0C59" w:rsidR="00421D14" w:rsidRPr="005C29F8" w:rsidRDefault="00421D14" w:rsidP="004E2151">
            <w:pPr>
              <w:pStyle w:val="Default"/>
              <w:jc w:val="center"/>
              <w:rPr>
                <w:b/>
                <w:color w:val="000000" w:themeColor="text1"/>
                <w:sz w:val="16"/>
                <w:szCs w:val="16"/>
              </w:rPr>
            </w:pPr>
          </w:p>
        </w:tc>
      </w:tr>
      <w:tr w:rsidR="005C29F8" w:rsidRPr="005C29F8" w14:paraId="188854A6" w14:textId="77777777" w:rsidTr="00044B5C">
        <w:trPr>
          <w:trHeight w:val="361"/>
        </w:trPr>
        <w:tc>
          <w:tcPr>
            <w:tcW w:w="270" w:type="pct"/>
            <w:shd w:val="clear" w:color="auto" w:fill="auto"/>
            <w:vAlign w:val="center"/>
          </w:tcPr>
          <w:p w14:paraId="4CDC0B99" w14:textId="747914C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tcPr>
          <w:p w14:paraId="30B5CA2C" w14:textId="083C6103"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11</w:t>
            </w:r>
          </w:p>
        </w:tc>
        <w:tc>
          <w:tcPr>
            <w:tcW w:w="394" w:type="pct"/>
            <w:shd w:val="clear" w:color="auto" w:fill="auto"/>
          </w:tcPr>
          <w:p w14:paraId="4919BF71" w14:textId="6B436DB2"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D23A7F" w14:textId="40F0BE26"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1B2248" w14:textId="5391DE68" w:rsidR="00421D14" w:rsidRPr="005C29F8" w:rsidRDefault="00421D14" w:rsidP="004E2151">
            <w:pPr>
              <w:pStyle w:val="Default"/>
              <w:jc w:val="center"/>
              <w:rPr>
                <w:b/>
                <w:color w:val="000000" w:themeColor="text1"/>
                <w:sz w:val="16"/>
                <w:szCs w:val="16"/>
              </w:rPr>
            </w:pPr>
          </w:p>
        </w:tc>
        <w:tc>
          <w:tcPr>
            <w:tcW w:w="394" w:type="pct"/>
            <w:shd w:val="clear" w:color="auto" w:fill="auto"/>
          </w:tcPr>
          <w:p w14:paraId="6AFEFFA4" w14:textId="4B8964A8"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A22E76" w14:textId="54C144BD" w:rsidR="00421D14" w:rsidRPr="005C29F8" w:rsidRDefault="00421D14" w:rsidP="004E2151">
            <w:pPr>
              <w:pStyle w:val="Default"/>
              <w:jc w:val="center"/>
              <w:rPr>
                <w:b/>
                <w:color w:val="000000" w:themeColor="text1"/>
                <w:sz w:val="16"/>
                <w:szCs w:val="16"/>
              </w:rPr>
            </w:pPr>
          </w:p>
        </w:tc>
        <w:tc>
          <w:tcPr>
            <w:tcW w:w="394" w:type="pct"/>
            <w:shd w:val="clear" w:color="auto" w:fill="auto"/>
          </w:tcPr>
          <w:p w14:paraId="0FDD56B0" w14:textId="2F9275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534E0B" w14:textId="173C77F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E5C700" w14:textId="7288B707" w:rsidR="00421D14" w:rsidRPr="005C29F8" w:rsidRDefault="00421D14" w:rsidP="004E2151">
            <w:pPr>
              <w:pStyle w:val="Default"/>
              <w:jc w:val="center"/>
              <w:rPr>
                <w:b/>
                <w:color w:val="000000" w:themeColor="text1"/>
                <w:sz w:val="16"/>
                <w:szCs w:val="16"/>
              </w:rPr>
            </w:pPr>
          </w:p>
        </w:tc>
        <w:tc>
          <w:tcPr>
            <w:tcW w:w="394" w:type="pct"/>
            <w:shd w:val="clear" w:color="auto" w:fill="auto"/>
          </w:tcPr>
          <w:p w14:paraId="49101E05" w14:textId="24890A7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A5C898D" w14:textId="182098F1" w:rsidR="00421D14" w:rsidRPr="005C29F8" w:rsidRDefault="00421D14" w:rsidP="004E2151">
            <w:pPr>
              <w:pStyle w:val="Default"/>
              <w:jc w:val="center"/>
              <w:rPr>
                <w:b/>
                <w:color w:val="000000" w:themeColor="text1"/>
                <w:sz w:val="16"/>
                <w:szCs w:val="16"/>
              </w:rPr>
            </w:pPr>
          </w:p>
        </w:tc>
        <w:tc>
          <w:tcPr>
            <w:tcW w:w="394" w:type="pct"/>
            <w:shd w:val="clear" w:color="auto" w:fill="auto"/>
          </w:tcPr>
          <w:p w14:paraId="1B1590A2" w14:textId="79E7CBF8" w:rsidR="00421D14" w:rsidRPr="005C29F8" w:rsidRDefault="00421D14" w:rsidP="004E2151">
            <w:pPr>
              <w:pStyle w:val="Default"/>
              <w:jc w:val="center"/>
              <w:rPr>
                <w:b/>
                <w:color w:val="000000" w:themeColor="text1"/>
                <w:sz w:val="16"/>
                <w:szCs w:val="16"/>
              </w:rPr>
            </w:pP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97.37%</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96.30%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97.37%</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97.78%</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97.51%</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96.99%</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2015</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96.85%</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96.09%</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96.85%</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97.33%</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97.36%</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96.59%</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2015</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97.14%</w:t>
            </w: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96.96%</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97.14%</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97.67%</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97.12%</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97.10%</w:t>
            </w:r>
          </w:p>
        </w:tc>
      </w:tr>
      <w:tr w:rsidR="005C29F8" w:rsidRPr="005C29F8" w14:paraId="51CF64E7" w14:textId="77777777" w:rsidTr="00044B5C">
        <w:trPr>
          <w:trHeight w:val="152"/>
        </w:trPr>
        <w:tc>
          <w:tcPr>
            <w:tcW w:w="331" w:type="pct"/>
            <w:shd w:val="clear" w:color="auto" w:fill="auto"/>
            <w:vAlign w:val="center"/>
          </w:tcPr>
          <w:p w14:paraId="355AB0E8" w14:textId="77777777" w:rsidR="008667B9" w:rsidRPr="00691ABA" w:rsidRDefault="008667B9" w:rsidP="001474EC">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3418BB8" w14:textId="77777777"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49A1113" w14:textId="66A6F4E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2015</w:t>
            </w:r>
          </w:p>
        </w:tc>
        <w:tc>
          <w:tcPr>
            <w:tcW w:w="497" w:type="pct"/>
            <w:shd w:val="clear" w:color="auto" w:fill="auto"/>
            <w:vAlign w:val="center"/>
          </w:tcPr>
          <w:p w14:paraId="158DC9DD" w14:textId="2E0ECF70"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7B85F375" w14:textId="0938BD0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CD9B6FA" w14:textId="60B8780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4D8F2E" w14:textId="1FE09CA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57AA2F0" w14:textId="06E56C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2CC9B91D" w14:textId="2A90D9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384DF809" w14:textId="77777777" w:rsidTr="00044B5C">
        <w:trPr>
          <w:trHeight w:val="80"/>
        </w:trPr>
        <w:tc>
          <w:tcPr>
            <w:tcW w:w="331" w:type="pct"/>
            <w:shd w:val="clear" w:color="auto" w:fill="auto"/>
            <w:vAlign w:val="center"/>
          </w:tcPr>
          <w:p w14:paraId="1C5EC3D1" w14:textId="31907CB1" w:rsidR="00F621BD" w:rsidRPr="00691ABA" w:rsidRDefault="00F621BD" w:rsidP="00F621BD">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A8AF0DB" w14:textId="0F0C645A" w:rsidR="00F621BD" w:rsidRPr="005C29F8" w:rsidRDefault="00F621BD">
            <w:pPr>
              <w:spacing w:before="0" w:after="0"/>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5B609F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97.21%</w:t>
            </w:r>
          </w:p>
          <w:p w14:paraId="3F46E9C9" w14:textId="330BFC2A" w:rsidR="00F621BD" w:rsidRPr="005C29F8" w:rsidRDefault="00F621BD">
            <w:pPr>
              <w:spacing w:before="0" w:after="0"/>
              <w:jc w:val="center"/>
              <w:rPr>
                <w:rFonts w:cs="Arial"/>
                <w:color w:val="000000" w:themeColor="text1"/>
                <w:szCs w:val="16"/>
              </w:rPr>
            </w:pPr>
          </w:p>
        </w:tc>
        <w:tc>
          <w:tcPr>
            <w:tcW w:w="497" w:type="pct"/>
            <w:shd w:val="clear" w:color="auto" w:fill="auto"/>
            <w:vAlign w:val="center"/>
          </w:tcPr>
          <w:p w14:paraId="1E8390F9" w14:textId="77777777" w:rsidR="00F621BD" w:rsidRPr="005C29F8" w:rsidRDefault="00F621B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385D68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96.50%</w:t>
            </w:r>
          </w:p>
        </w:tc>
        <w:tc>
          <w:tcPr>
            <w:tcW w:w="659" w:type="pct"/>
            <w:tcBorders>
              <w:bottom w:val="single" w:sz="4" w:space="0" w:color="auto"/>
            </w:tcBorders>
            <w:shd w:val="clear" w:color="auto" w:fill="auto"/>
            <w:vAlign w:val="bottom"/>
          </w:tcPr>
          <w:p w14:paraId="728BC569"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97.21%</w:t>
            </w:r>
          </w:p>
        </w:tc>
        <w:tc>
          <w:tcPr>
            <w:tcW w:w="659" w:type="pct"/>
            <w:tcBorders>
              <w:bottom w:val="single" w:sz="4" w:space="0" w:color="auto"/>
            </w:tcBorders>
            <w:shd w:val="clear" w:color="auto" w:fill="auto"/>
            <w:vAlign w:val="bottom"/>
          </w:tcPr>
          <w:p w14:paraId="77214E05"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97.10%</w:t>
            </w:r>
          </w:p>
        </w:tc>
        <w:tc>
          <w:tcPr>
            <w:tcW w:w="659" w:type="pct"/>
            <w:tcBorders>
              <w:bottom w:val="single" w:sz="4" w:space="0" w:color="auto"/>
            </w:tcBorders>
            <w:shd w:val="clear" w:color="auto" w:fill="auto"/>
            <w:vAlign w:val="bottom"/>
          </w:tcPr>
          <w:p w14:paraId="53BAFF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96.45%</w:t>
            </w:r>
          </w:p>
        </w:tc>
        <w:tc>
          <w:tcPr>
            <w:tcW w:w="655" w:type="pct"/>
            <w:tcBorders>
              <w:bottom w:val="single" w:sz="4" w:space="0" w:color="auto"/>
            </w:tcBorders>
            <w:shd w:val="clear" w:color="auto" w:fill="auto"/>
            <w:vAlign w:val="bottom"/>
          </w:tcPr>
          <w:p w14:paraId="47F5B5D8"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96.53%</w:t>
            </w:r>
          </w:p>
        </w:tc>
      </w:tr>
      <w:tr w:rsidR="005C29F8" w:rsidRPr="005C29F8" w14:paraId="666B419B" w14:textId="77777777" w:rsidTr="00044B5C">
        <w:trPr>
          <w:trHeight w:val="152"/>
        </w:trPr>
        <w:tc>
          <w:tcPr>
            <w:tcW w:w="331" w:type="pct"/>
            <w:shd w:val="clear" w:color="auto" w:fill="auto"/>
            <w:vAlign w:val="center"/>
          </w:tcPr>
          <w:p w14:paraId="38755F1F" w14:textId="11EB5095"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43E6B98F" w14:textId="25386E70"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24A02621" w14:textId="572351BC" w:rsidR="00AA55EE" w:rsidRPr="005C29F8" w:rsidRDefault="00AA55EE">
            <w:pPr>
              <w:spacing w:before="0" w:after="0"/>
              <w:jc w:val="center"/>
              <w:rPr>
                <w:rFonts w:cs="Arial"/>
                <w:color w:val="000000" w:themeColor="text1"/>
                <w:szCs w:val="16"/>
              </w:rPr>
            </w:pPr>
            <w:r w:rsidRPr="005C29F8">
              <w:rPr>
                <w:rFonts w:cs="Arial"/>
                <w:color w:val="000000" w:themeColor="text1"/>
                <w:szCs w:val="16"/>
              </w:rPr>
              <w:t>2015</w:t>
            </w:r>
          </w:p>
        </w:tc>
        <w:tc>
          <w:tcPr>
            <w:tcW w:w="497" w:type="pct"/>
            <w:shd w:val="clear" w:color="auto" w:fill="auto"/>
            <w:vAlign w:val="center"/>
          </w:tcPr>
          <w:p w14:paraId="60FBF314" w14:textId="01037B28"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3CA92786" w14:textId="5C4D13D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05E10AD" w14:textId="7ADF016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3B2A43F" w14:textId="0A32001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53F834" w14:textId="46AD164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B65AB58" w14:textId="3C4C4E5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9930D10" w14:textId="77777777" w:rsidTr="00044B5C">
        <w:trPr>
          <w:trHeight w:val="80"/>
        </w:trPr>
        <w:tc>
          <w:tcPr>
            <w:tcW w:w="331" w:type="pct"/>
            <w:shd w:val="clear" w:color="auto" w:fill="auto"/>
            <w:vAlign w:val="center"/>
          </w:tcPr>
          <w:p w14:paraId="2534B78C" w14:textId="0C8355EC" w:rsidR="0020456D" w:rsidRPr="00691ABA" w:rsidRDefault="0020456D" w:rsidP="0020456D">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72723013" w14:textId="2583F2E3" w:rsidR="0020456D" w:rsidRPr="005C29F8" w:rsidRDefault="0020456D">
            <w:pPr>
              <w:spacing w:before="0" w:after="0"/>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12A1CB10" w14:textId="77777777" w:rsidR="00AA55EE" w:rsidRPr="005C29F8" w:rsidRDefault="00AA55EE">
            <w:pPr>
              <w:spacing w:before="0" w:after="0"/>
              <w:jc w:val="center"/>
              <w:rPr>
                <w:rFonts w:cs="Arial"/>
                <w:color w:val="000000" w:themeColor="text1"/>
                <w:szCs w:val="16"/>
              </w:rPr>
            </w:pPr>
            <w:r w:rsidRPr="005C29F8">
              <w:rPr>
                <w:rFonts w:cs="Arial"/>
                <w:color w:val="000000" w:themeColor="text1"/>
                <w:szCs w:val="16"/>
              </w:rPr>
              <w:t>96.62%</w:t>
            </w:r>
          </w:p>
          <w:p w14:paraId="67ABE412" w14:textId="21AEE350" w:rsidR="0020456D" w:rsidRPr="005C29F8" w:rsidRDefault="0020456D">
            <w:pPr>
              <w:spacing w:before="0" w:after="0"/>
              <w:jc w:val="center"/>
              <w:rPr>
                <w:rFonts w:cs="Arial"/>
                <w:color w:val="000000" w:themeColor="text1"/>
                <w:szCs w:val="16"/>
              </w:rPr>
            </w:pPr>
          </w:p>
        </w:tc>
        <w:tc>
          <w:tcPr>
            <w:tcW w:w="497" w:type="pct"/>
            <w:shd w:val="clear" w:color="auto" w:fill="auto"/>
            <w:vAlign w:val="center"/>
          </w:tcPr>
          <w:p w14:paraId="6F945435" w14:textId="6EDDA048" w:rsidR="0020456D" w:rsidRPr="005C29F8" w:rsidRDefault="0020456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86F72C3" w14:textId="0C60C4AC" w:rsidR="0020456D" w:rsidRPr="005C29F8" w:rsidRDefault="0020456D" w:rsidP="00A018D4">
            <w:pPr>
              <w:jc w:val="center"/>
              <w:rPr>
                <w:rFonts w:cs="Arial"/>
                <w:color w:val="000000" w:themeColor="text1"/>
                <w:szCs w:val="16"/>
              </w:rPr>
            </w:pPr>
            <w:r w:rsidRPr="005C29F8">
              <w:rPr>
                <w:rFonts w:cs="Arial"/>
                <w:color w:val="000000" w:themeColor="text1"/>
                <w:szCs w:val="16"/>
              </w:rPr>
              <w:t>95.47%</w:t>
            </w:r>
          </w:p>
        </w:tc>
        <w:tc>
          <w:tcPr>
            <w:tcW w:w="659" w:type="pct"/>
            <w:tcBorders>
              <w:bottom w:val="single" w:sz="4" w:space="0" w:color="auto"/>
            </w:tcBorders>
            <w:shd w:val="clear" w:color="auto" w:fill="auto"/>
            <w:vAlign w:val="bottom"/>
          </w:tcPr>
          <w:p w14:paraId="56925FE8" w14:textId="7FB5503C" w:rsidR="0020456D" w:rsidRPr="005C29F8" w:rsidRDefault="0020456D" w:rsidP="00A018D4">
            <w:pPr>
              <w:jc w:val="center"/>
              <w:rPr>
                <w:rFonts w:cs="Arial"/>
                <w:color w:val="000000" w:themeColor="text1"/>
                <w:szCs w:val="16"/>
              </w:rPr>
            </w:pPr>
            <w:r w:rsidRPr="005C29F8">
              <w:rPr>
                <w:rFonts w:cs="Arial"/>
                <w:color w:val="000000" w:themeColor="text1"/>
                <w:szCs w:val="16"/>
              </w:rPr>
              <w:t>96.62%</w:t>
            </w:r>
          </w:p>
        </w:tc>
        <w:tc>
          <w:tcPr>
            <w:tcW w:w="659" w:type="pct"/>
            <w:tcBorders>
              <w:bottom w:val="single" w:sz="4" w:space="0" w:color="auto"/>
            </w:tcBorders>
            <w:shd w:val="clear" w:color="auto" w:fill="auto"/>
            <w:vAlign w:val="bottom"/>
          </w:tcPr>
          <w:p w14:paraId="4876228B" w14:textId="7DFE7116" w:rsidR="0020456D" w:rsidRPr="005C29F8" w:rsidRDefault="0020456D" w:rsidP="00A018D4">
            <w:pPr>
              <w:jc w:val="center"/>
              <w:rPr>
                <w:rFonts w:cs="Arial"/>
                <w:color w:val="000000" w:themeColor="text1"/>
                <w:szCs w:val="16"/>
              </w:rPr>
            </w:pPr>
            <w:r w:rsidRPr="005C29F8">
              <w:rPr>
                <w:rFonts w:cs="Arial"/>
                <w:color w:val="000000" w:themeColor="text1"/>
                <w:szCs w:val="16"/>
              </w:rPr>
              <w:t>97.08%</w:t>
            </w:r>
          </w:p>
        </w:tc>
        <w:tc>
          <w:tcPr>
            <w:tcW w:w="659" w:type="pct"/>
            <w:tcBorders>
              <w:bottom w:val="single" w:sz="4" w:space="0" w:color="auto"/>
            </w:tcBorders>
            <w:shd w:val="clear" w:color="auto" w:fill="auto"/>
            <w:vAlign w:val="bottom"/>
          </w:tcPr>
          <w:p w14:paraId="77181179" w14:textId="2395DA67" w:rsidR="0020456D" w:rsidRPr="005C29F8" w:rsidRDefault="0020456D" w:rsidP="00A018D4">
            <w:pPr>
              <w:jc w:val="center"/>
              <w:rPr>
                <w:rFonts w:cs="Arial"/>
                <w:color w:val="000000" w:themeColor="text1"/>
                <w:szCs w:val="16"/>
              </w:rPr>
            </w:pPr>
            <w:r w:rsidRPr="005C29F8">
              <w:rPr>
                <w:rFonts w:cs="Arial"/>
                <w:color w:val="000000" w:themeColor="text1"/>
                <w:szCs w:val="16"/>
              </w:rPr>
              <w:t>96.42%</w:t>
            </w:r>
          </w:p>
        </w:tc>
        <w:tc>
          <w:tcPr>
            <w:tcW w:w="655" w:type="pct"/>
            <w:tcBorders>
              <w:bottom w:val="single" w:sz="4" w:space="0" w:color="auto"/>
            </w:tcBorders>
            <w:shd w:val="clear" w:color="auto" w:fill="auto"/>
            <w:vAlign w:val="bottom"/>
          </w:tcPr>
          <w:p w14:paraId="71634D22" w14:textId="1F3129B0" w:rsidR="0020456D" w:rsidRPr="005C29F8" w:rsidRDefault="0020456D" w:rsidP="00A018D4">
            <w:pPr>
              <w:jc w:val="center"/>
              <w:rPr>
                <w:rFonts w:cs="Arial"/>
                <w:color w:val="000000" w:themeColor="text1"/>
                <w:szCs w:val="16"/>
              </w:rPr>
            </w:pPr>
            <w:r w:rsidRPr="005C29F8">
              <w:rPr>
                <w:rFonts w:cs="Arial"/>
                <w:color w:val="000000" w:themeColor="text1"/>
                <w:szCs w:val="16"/>
              </w:rPr>
              <w:t>95.69%</w:t>
            </w:r>
          </w:p>
        </w:tc>
      </w:tr>
      <w:tr w:rsidR="005C29F8" w:rsidRPr="005C29F8" w14:paraId="7655CAA8" w14:textId="77777777" w:rsidTr="00044B5C">
        <w:trPr>
          <w:trHeight w:val="152"/>
        </w:trPr>
        <w:tc>
          <w:tcPr>
            <w:tcW w:w="331" w:type="pct"/>
            <w:shd w:val="clear" w:color="auto" w:fill="auto"/>
            <w:vAlign w:val="center"/>
          </w:tcPr>
          <w:p w14:paraId="46DDB38A" w14:textId="35FE2CFB"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tcPr>
          <w:p w14:paraId="423D8CA6" w14:textId="5B64C151"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tcPr>
          <w:p w14:paraId="4E499C23" w14:textId="5FB3A10E" w:rsidR="00864E23" w:rsidRPr="005C29F8" w:rsidRDefault="00864E23">
            <w:pPr>
              <w:spacing w:before="0" w:after="0"/>
              <w:jc w:val="center"/>
              <w:rPr>
                <w:rFonts w:cs="Arial"/>
                <w:color w:val="000000" w:themeColor="text1"/>
                <w:szCs w:val="16"/>
              </w:rPr>
            </w:pPr>
            <w:r w:rsidRPr="005C29F8">
              <w:rPr>
                <w:rFonts w:cs="Arial"/>
                <w:color w:val="000000" w:themeColor="text1"/>
                <w:szCs w:val="16"/>
              </w:rPr>
              <w:t>2015</w:t>
            </w:r>
          </w:p>
        </w:tc>
        <w:tc>
          <w:tcPr>
            <w:tcW w:w="497" w:type="pct"/>
            <w:shd w:val="clear" w:color="auto" w:fill="auto"/>
            <w:vAlign w:val="center"/>
          </w:tcPr>
          <w:p w14:paraId="78F7D0C4" w14:textId="09368A2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610D82D" w14:textId="0C5EBB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F42229E" w14:textId="294C2CB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736F34D" w14:textId="6A5B3A3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22073AA" w14:textId="48D47D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12021E6C" w14:textId="1AD918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3A58411" w14:textId="77777777" w:rsidTr="00044B5C">
        <w:trPr>
          <w:trHeight w:val="80"/>
        </w:trPr>
        <w:tc>
          <w:tcPr>
            <w:tcW w:w="331" w:type="pct"/>
            <w:shd w:val="clear" w:color="auto" w:fill="auto"/>
            <w:vAlign w:val="center"/>
          </w:tcPr>
          <w:p w14:paraId="544C7C6D" w14:textId="40FC6943" w:rsidR="008667B9" w:rsidRPr="00691ABA" w:rsidRDefault="00736AE6" w:rsidP="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vAlign w:val="center"/>
          </w:tcPr>
          <w:p w14:paraId="154E42EF" w14:textId="0D71AC96" w:rsidR="008667B9" w:rsidRPr="005C29F8" w:rsidRDefault="00736AE6">
            <w:pPr>
              <w:spacing w:before="0" w:after="0"/>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vAlign w:val="center"/>
          </w:tcPr>
          <w:p w14:paraId="4DE74DA5" w14:textId="77777777" w:rsidR="00864E23" w:rsidRPr="005C29F8" w:rsidRDefault="00864E23">
            <w:pPr>
              <w:spacing w:before="0" w:after="0"/>
              <w:jc w:val="center"/>
              <w:rPr>
                <w:rFonts w:cs="Arial"/>
                <w:color w:val="000000" w:themeColor="text1"/>
                <w:szCs w:val="16"/>
              </w:rPr>
            </w:pPr>
            <w:r w:rsidRPr="005C29F8">
              <w:rPr>
                <w:rFonts w:cs="Arial"/>
                <w:color w:val="000000" w:themeColor="text1"/>
                <w:szCs w:val="16"/>
              </w:rPr>
              <w:t>95.55%</w:t>
            </w:r>
          </w:p>
          <w:p w14:paraId="766A7C6C" w14:textId="0FDA37B6"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6E3444E0" w14:textId="77777777" w:rsidR="008667B9" w:rsidRPr="005C29F8" w:rsidRDefault="008667B9"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66433923" w14:textId="4D41DBB5" w:rsidR="008667B9" w:rsidRPr="005C29F8" w:rsidRDefault="008667B9" w:rsidP="00A018D4">
            <w:pPr>
              <w:jc w:val="center"/>
              <w:rPr>
                <w:rFonts w:cs="Arial"/>
                <w:color w:val="000000" w:themeColor="text1"/>
                <w:szCs w:val="16"/>
              </w:rPr>
            </w:pPr>
            <w:r w:rsidRPr="005C29F8">
              <w:rPr>
                <w:rFonts w:cs="Arial"/>
                <w:color w:val="000000" w:themeColor="text1"/>
                <w:szCs w:val="16"/>
              </w:rPr>
              <w:t>94.70%</w:t>
            </w:r>
          </w:p>
        </w:tc>
        <w:tc>
          <w:tcPr>
            <w:tcW w:w="659" w:type="pct"/>
            <w:tcBorders>
              <w:bottom w:val="single" w:sz="4" w:space="0" w:color="auto"/>
            </w:tcBorders>
            <w:shd w:val="clear" w:color="auto" w:fill="auto"/>
            <w:vAlign w:val="bottom"/>
          </w:tcPr>
          <w:p w14:paraId="3BF3E5FB" w14:textId="091CD0A5" w:rsidR="008667B9" w:rsidRPr="005C29F8" w:rsidRDefault="008667B9" w:rsidP="00A018D4">
            <w:pPr>
              <w:jc w:val="center"/>
              <w:rPr>
                <w:rFonts w:cs="Arial"/>
                <w:color w:val="000000" w:themeColor="text1"/>
                <w:szCs w:val="16"/>
              </w:rPr>
            </w:pPr>
            <w:r w:rsidRPr="005C29F8">
              <w:rPr>
                <w:rFonts w:cs="Arial"/>
                <w:color w:val="000000" w:themeColor="text1"/>
                <w:szCs w:val="16"/>
              </w:rPr>
              <w:t>95.55%</w:t>
            </w:r>
          </w:p>
        </w:tc>
        <w:tc>
          <w:tcPr>
            <w:tcW w:w="659" w:type="pct"/>
            <w:tcBorders>
              <w:bottom w:val="single" w:sz="4" w:space="0" w:color="auto"/>
            </w:tcBorders>
            <w:shd w:val="clear" w:color="auto" w:fill="auto"/>
            <w:vAlign w:val="bottom"/>
          </w:tcPr>
          <w:p w14:paraId="16CAA81A" w14:textId="76B7D3C1" w:rsidR="008667B9" w:rsidRPr="005C29F8" w:rsidRDefault="008667B9" w:rsidP="00A018D4">
            <w:pPr>
              <w:jc w:val="center"/>
              <w:rPr>
                <w:rFonts w:cs="Arial"/>
                <w:color w:val="000000" w:themeColor="text1"/>
                <w:szCs w:val="16"/>
              </w:rPr>
            </w:pPr>
            <w:r w:rsidRPr="005C29F8">
              <w:rPr>
                <w:rFonts w:cs="Arial"/>
                <w:color w:val="000000" w:themeColor="text1"/>
                <w:szCs w:val="16"/>
              </w:rPr>
              <w:t>96.03%</w:t>
            </w:r>
          </w:p>
        </w:tc>
        <w:tc>
          <w:tcPr>
            <w:tcW w:w="659" w:type="pct"/>
            <w:tcBorders>
              <w:bottom w:val="single" w:sz="4" w:space="0" w:color="auto"/>
            </w:tcBorders>
            <w:shd w:val="clear" w:color="auto" w:fill="auto"/>
            <w:vAlign w:val="bottom"/>
          </w:tcPr>
          <w:p w14:paraId="779F9FB8" w14:textId="40488D9C" w:rsidR="008667B9" w:rsidRPr="005C29F8" w:rsidRDefault="008667B9" w:rsidP="00A018D4">
            <w:pPr>
              <w:jc w:val="center"/>
              <w:rPr>
                <w:rFonts w:cs="Arial"/>
                <w:color w:val="000000" w:themeColor="text1"/>
                <w:szCs w:val="16"/>
              </w:rPr>
            </w:pPr>
            <w:r w:rsidRPr="005C29F8">
              <w:rPr>
                <w:rFonts w:cs="Arial"/>
                <w:color w:val="000000" w:themeColor="text1"/>
                <w:szCs w:val="16"/>
              </w:rPr>
              <w:t>95.55%</w:t>
            </w:r>
          </w:p>
        </w:tc>
        <w:tc>
          <w:tcPr>
            <w:tcW w:w="655" w:type="pct"/>
            <w:tcBorders>
              <w:bottom w:val="single" w:sz="4" w:space="0" w:color="auto"/>
            </w:tcBorders>
            <w:shd w:val="clear" w:color="auto" w:fill="auto"/>
            <w:vAlign w:val="bottom"/>
          </w:tcPr>
          <w:p w14:paraId="41BF517A" w14:textId="019C03A3" w:rsidR="008667B9" w:rsidRPr="005C29F8" w:rsidRDefault="008667B9" w:rsidP="00A018D4">
            <w:pPr>
              <w:jc w:val="center"/>
              <w:rPr>
                <w:rFonts w:cs="Arial"/>
                <w:color w:val="000000" w:themeColor="text1"/>
                <w:szCs w:val="16"/>
              </w:rPr>
            </w:pPr>
            <w:r w:rsidRPr="005C29F8">
              <w:rPr>
                <w:rFonts w:cs="Arial"/>
                <w:color w:val="000000" w:themeColor="text1"/>
                <w:szCs w:val="16"/>
              </w:rPr>
              <w:t>95.03%</w:t>
            </w:r>
          </w:p>
        </w:tc>
      </w:tr>
      <w:tr w:rsidR="005C29F8" w:rsidRPr="005C29F8" w14:paraId="070B7E55" w14:textId="77777777" w:rsidTr="00044B5C">
        <w:trPr>
          <w:trHeight w:val="152"/>
        </w:trPr>
        <w:tc>
          <w:tcPr>
            <w:tcW w:w="331" w:type="pct"/>
            <w:shd w:val="clear" w:color="auto" w:fill="auto"/>
            <w:vAlign w:val="center"/>
          </w:tcPr>
          <w:p w14:paraId="435E81CB" w14:textId="1DB360E9"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t>G</w:t>
            </w:r>
          </w:p>
        </w:tc>
        <w:tc>
          <w:tcPr>
            <w:tcW w:w="417" w:type="pct"/>
            <w:shd w:val="clear" w:color="auto" w:fill="auto"/>
          </w:tcPr>
          <w:p w14:paraId="1BA61912" w14:textId="5F196B38"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11</w:t>
            </w:r>
          </w:p>
        </w:tc>
        <w:tc>
          <w:tcPr>
            <w:tcW w:w="501" w:type="pct"/>
            <w:shd w:val="clear" w:color="auto" w:fill="auto"/>
          </w:tcPr>
          <w:p w14:paraId="41AC4A0A" w14:textId="77777777" w:rsidR="00047CB5" w:rsidRPr="005C29F8" w:rsidRDefault="00047CB5">
            <w:pPr>
              <w:spacing w:before="0" w:after="0"/>
              <w:jc w:val="center"/>
              <w:rPr>
                <w:rFonts w:cs="Arial"/>
                <w:color w:val="000000" w:themeColor="text1"/>
                <w:szCs w:val="16"/>
              </w:rPr>
            </w:pPr>
            <w:r w:rsidRPr="005C29F8">
              <w:rPr>
                <w:rFonts w:cs="Arial"/>
                <w:color w:val="000000" w:themeColor="text1"/>
                <w:szCs w:val="16"/>
              </w:rPr>
              <w:t>2015</w:t>
            </w:r>
          </w:p>
          <w:p w14:paraId="4E1C9696" w14:textId="131E4DB8"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39C9EA89" w14:textId="0C9841DF"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2374EC8" w14:textId="4823BA1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D60D4B" w14:textId="1DA5DE8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4C8F0C1" w14:textId="7F572F1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BC8F55A" w14:textId="4EB6993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7796458" w14:textId="4E1FAED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F28F2E1" w14:textId="77777777" w:rsidTr="00044B5C">
        <w:trPr>
          <w:trHeight w:val="80"/>
        </w:trPr>
        <w:tc>
          <w:tcPr>
            <w:tcW w:w="331" w:type="pct"/>
            <w:shd w:val="clear" w:color="auto" w:fill="auto"/>
            <w:vAlign w:val="center"/>
          </w:tcPr>
          <w:p w14:paraId="5EFA27D1" w14:textId="3B4A7886" w:rsidR="00A03745" w:rsidRPr="00691ABA" w:rsidRDefault="00A03745" w:rsidP="00A03745">
            <w:pPr>
              <w:spacing w:before="0" w:after="0"/>
              <w:jc w:val="center"/>
              <w:rPr>
                <w:rFonts w:cs="Arial"/>
                <w:b/>
                <w:bCs/>
                <w:color w:val="000000" w:themeColor="text1"/>
                <w:szCs w:val="16"/>
              </w:rPr>
            </w:pPr>
            <w:r w:rsidRPr="00691ABA">
              <w:rPr>
                <w:rFonts w:cs="Arial"/>
                <w:b/>
                <w:bCs/>
                <w:color w:val="000000" w:themeColor="text1"/>
                <w:szCs w:val="16"/>
              </w:rPr>
              <w:t>G</w:t>
            </w:r>
          </w:p>
        </w:tc>
        <w:tc>
          <w:tcPr>
            <w:tcW w:w="417" w:type="pct"/>
            <w:shd w:val="clear" w:color="auto" w:fill="auto"/>
          </w:tcPr>
          <w:p w14:paraId="3DD66BD2" w14:textId="32FE8B2A" w:rsidR="00A03745" w:rsidRPr="005C29F8" w:rsidRDefault="00A03745">
            <w:pPr>
              <w:spacing w:before="0" w:after="0"/>
              <w:jc w:val="center"/>
              <w:rPr>
                <w:rFonts w:cs="Arial"/>
                <w:color w:val="000000" w:themeColor="text1"/>
                <w:szCs w:val="16"/>
              </w:rPr>
            </w:pPr>
            <w:r w:rsidRPr="005C29F8">
              <w:rPr>
                <w:rFonts w:cs="Arial"/>
                <w:color w:val="000000" w:themeColor="text1"/>
                <w:szCs w:val="16"/>
              </w:rPr>
              <w:t>Grade 11</w:t>
            </w:r>
          </w:p>
        </w:tc>
        <w:tc>
          <w:tcPr>
            <w:tcW w:w="501" w:type="pct"/>
            <w:shd w:val="clear" w:color="auto" w:fill="auto"/>
          </w:tcPr>
          <w:p w14:paraId="65F32A88" w14:textId="7BE5EF3F" w:rsidR="00047CB5" w:rsidRPr="005C29F8" w:rsidRDefault="00047CB5">
            <w:pPr>
              <w:spacing w:before="0" w:after="0"/>
              <w:jc w:val="center"/>
              <w:rPr>
                <w:rFonts w:cs="Arial"/>
                <w:color w:val="000000" w:themeColor="text1"/>
                <w:szCs w:val="16"/>
              </w:rPr>
            </w:pPr>
            <w:r w:rsidRPr="005C29F8">
              <w:rPr>
                <w:rFonts w:cs="Arial"/>
                <w:color w:val="000000" w:themeColor="text1"/>
                <w:szCs w:val="16"/>
              </w:rPr>
              <w:t>86.64%</w:t>
            </w:r>
          </w:p>
        </w:tc>
        <w:tc>
          <w:tcPr>
            <w:tcW w:w="497" w:type="pct"/>
            <w:shd w:val="clear" w:color="auto" w:fill="auto"/>
            <w:vAlign w:val="center"/>
          </w:tcPr>
          <w:p w14:paraId="3CB39C0B" w14:textId="77777777" w:rsidR="00A03745" w:rsidRPr="005C29F8" w:rsidRDefault="00A03745"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51761668" w14:textId="1F99256E" w:rsidR="00A03745" w:rsidRPr="005C29F8" w:rsidRDefault="00A03745" w:rsidP="00A018D4">
            <w:pPr>
              <w:jc w:val="center"/>
              <w:rPr>
                <w:rFonts w:cs="Arial"/>
                <w:color w:val="000000" w:themeColor="text1"/>
                <w:szCs w:val="16"/>
              </w:rPr>
            </w:pPr>
            <w:r w:rsidRPr="005C29F8">
              <w:rPr>
                <w:rFonts w:cs="Arial"/>
                <w:color w:val="000000" w:themeColor="text1"/>
                <w:szCs w:val="16"/>
              </w:rPr>
              <w:t>84.09%</w:t>
            </w:r>
          </w:p>
        </w:tc>
        <w:tc>
          <w:tcPr>
            <w:tcW w:w="659" w:type="pct"/>
            <w:tcBorders>
              <w:bottom w:val="single" w:sz="4" w:space="0" w:color="auto"/>
            </w:tcBorders>
            <w:shd w:val="clear" w:color="auto" w:fill="auto"/>
            <w:vAlign w:val="bottom"/>
          </w:tcPr>
          <w:p w14:paraId="3A466767" w14:textId="3482BC76" w:rsidR="00A03745" w:rsidRPr="005C29F8" w:rsidRDefault="00A03745" w:rsidP="00A018D4">
            <w:pPr>
              <w:jc w:val="center"/>
              <w:rPr>
                <w:rFonts w:cs="Arial"/>
                <w:color w:val="000000" w:themeColor="text1"/>
                <w:szCs w:val="16"/>
              </w:rPr>
            </w:pPr>
            <w:r w:rsidRPr="005C29F8">
              <w:rPr>
                <w:rFonts w:cs="Arial"/>
                <w:color w:val="000000" w:themeColor="text1"/>
                <w:szCs w:val="16"/>
              </w:rPr>
              <w:t>86.64%</w:t>
            </w:r>
          </w:p>
        </w:tc>
        <w:tc>
          <w:tcPr>
            <w:tcW w:w="659" w:type="pct"/>
            <w:tcBorders>
              <w:bottom w:val="single" w:sz="4" w:space="0" w:color="auto"/>
            </w:tcBorders>
            <w:shd w:val="clear" w:color="auto" w:fill="auto"/>
            <w:vAlign w:val="bottom"/>
          </w:tcPr>
          <w:p w14:paraId="39F9A92B" w14:textId="7E94B17F" w:rsidR="00A03745" w:rsidRPr="005C29F8" w:rsidRDefault="00A03745" w:rsidP="00A018D4">
            <w:pPr>
              <w:jc w:val="center"/>
              <w:rPr>
                <w:rFonts w:cs="Arial"/>
                <w:color w:val="000000" w:themeColor="text1"/>
                <w:szCs w:val="16"/>
              </w:rPr>
            </w:pPr>
            <w:r w:rsidRPr="005C29F8">
              <w:rPr>
                <w:rFonts w:cs="Arial"/>
                <w:color w:val="000000" w:themeColor="text1"/>
                <w:szCs w:val="16"/>
              </w:rPr>
              <w:t>91.37%</w:t>
            </w:r>
          </w:p>
        </w:tc>
        <w:tc>
          <w:tcPr>
            <w:tcW w:w="659" w:type="pct"/>
            <w:tcBorders>
              <w:bottom w:val="single" w:sz="4" w:space="0" w:color="auto"/>
            </w:tcBorders>
            <w:shd w:val="clear" w:color="auto" w:fill="auto"/>
            <w:vAlign w:val="bottom"/>
          </w:tcPr>
          <w:p w14:paraId="39DBACCA" w14:textId="0EE9E628" w:rsidR="00A03745" w:rsidRPr="005C29F8" w:rsidRDefault="00A03745" w:rsidP="00A018D4">
            <w:pPr>
              <w:jc w:val="center"/>
              <w:rPr>
                <w:rFonts w:cs="Arial"/>
                <w:color w:val="000000" w:themeColor="text1"/>
                <w:szCs w:val="16"/>
              </w:rPr>
            </w:pPr>
            <w:r w:rsidRPr="005C29F8">
              <w:rPr>
                <w:rFonts w:cs="Arial"/>
                <w:color w:val="000000" w:themeColor="text1"/>
                <w:szCs w:val="16"/>
              </w:rPr>
              <w:t>87.32%</w:t>
            </w:r>
          </w:p>
        </w:tc>
        <w:tc>
          <w:tcPr>
            <w:tcW w:w="655" w:type="pct"/>
            <w:tcBorders>
              <w:bottom w:val="single" w:sz="4" w:space="0" w:color="auto"/>
            </w:tcBorders>
            <w:shd w:val="clear" w:color="auto" w:fill="auto"/>
            <w:vAlign w:val="bottom"/>
          </w:tcPr>
          <w:p w14:paraId="3B8096E0" w14:textId="29D949A6" w:rsidR="00A03745" w:rsidRPr="005C29F8" w:rsidRDefault="00A03745" w:rsidP="00A018D4">
            <w:pPr>
              <w:jc w:val="center"/>
              <w:rPr>
                <w:rFonts w:cs="Arial"/>
                <w:color w:val="000000" w:themeColor="text1"/>
                <w:szCs w:val="16"/>
              </w:rPr>
            </w:pPr>
            <w:r w:rsidRPr="005C29F8">
              <w:rPr>
                <w:rFonts w:cs="Arial"/>
                <w:color w:val="000000" w:themeColor="text1"/>
                <w:szCs w:val="16"/>
              </w:rPr>
              <w:t>87.33%</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97.30%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96.11%</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97.30%</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97.82%</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97.53%</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96.98%</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2015</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96.76%</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95.74%</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96.76%</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97.53%</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97.36%</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96.60%</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2015</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4F18724" w14:textId="6EB006FC" w:rsidR="004D1EAB" w:rsidRPr="005C29F8" w:rsidRDefault="00A44BD9">
            <w:pPr>
              <w:spacing w:before="0" w:after="0"/>
              <w:jc w:val="center"/>
              <w:rPr>
                <w:rFonts w:cs="Arial"/>
                <w:color w:val="000000" w:themeColor="text1"/>
                <w:szCs w:val="16"/>
              </w:rPr>
            </w:pPr>
            <w:r w:rsidRPr="005C29F8">
              <w:rPr>
                <w:rFonts w:cs="Arial"/>
                <w:color w:val="000000" w:themeColor="text1"/>
                <w:szCs w:val="16"/>
              </w:rPr>
              <w:t>97.10%</w:t>
            </w: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96.57%</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97.10%</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97.70%</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97.18%</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97.08%</w:t>
            </w:r>
          </w:p>
        </w:tc>
      </w:tr>
      <w:tr w:rsidR="005C29F8" w:rsidRPr="005C29F8" w14:paraId="6412DEC5" w14:textId="77777777" w:rsidTr="00044B5C">
        <w:trPr>
          <w:trHeight w:val="152"/>
        </w:trPr>
        <w:tc>
          <w:tcPr>
            <w:tcW w:w="331" w:type="pct"/>
            <w:shd w:val="clear" w:color="auto" w:fill="auto"/>
            <w:vAlign w:val="center"/>
          </w:tcPr>
          <w:p w14:paraId="477B0C0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1C705D23" w14:textId="1DB1C263"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6272011C" w14:textId="5686827C" w:rsidR="00631A85" w:rsidRPr="005C29F8" w:rsidRDefault="00631A85">
            <w:pPr>
              <w:spacing w:before="0" w:after="0"/>
              <w:jc w:val="center"/>
              <w:rPr>
                <w:rFonts w:cs="Arial"/>
                <w:color w:val="000000" w:themeColor="text1"/>
                <w:szCs w:val="16"/>
              </w:rPr>
            </w:pPr>
            <w:r w:rsidRPr="005C29F8">
              <w:rPr>
                <w:rFonts w:cs="Arial"/>
                <w:color w:val="000000" w:themeColor="text1"/>
                <w:szCs w:val="16"/>
              </w:rPr>
              <w:t>2015</w:t>
            </w:r>
          </w:p>
        </w:tc>
        <w:tc>
          <w:tcPr>
            <w:tcW w:w="455" w:type="pct"/>
            <w:shd w:val="clear" w:color="auto" w:fill="auto"/>
            <w:vAlign w:val="center"/>
          </w:tcPr>
          <w:p w14:paraId="11AEEE82" w14:textId="0148AE6F"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F00BD6D" w14:textId="5C58949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A6FF462" w14:textId="4D485A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3FF4220" w14:textId="6BB21A8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2987607" w14:textId="5F2E91D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6DF4D16B" w14:textId="2AAF928B"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C9DCD25" w14:textId="77777777" w:rsidTr="00044B5C">
        <w:trPr>
          <w:trHeight w:val="80"/>
        </w:trPr>
        <w:tc>
          <w:tcPr>
            <w:tcW w:w="331" w:type="pct"/>
            <w:shd w:val="clear" w:color="auto" w:fill="auto"/>
            <w:vAlign w:val="center"/>
          </w:tcPr>
          <w:p w14:paraId="4334542F" w14:textId="36877619"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498E6CA9" w14:textId="05CA79C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2EB09978" w14:textId="0CAED06D" w:rsidR="004D1EAB" w:rsidRPr="005C29F8" w:rsidRDefault="00631A85">
            <w:pPr>
              <w:spacing w:before="0" w:after="0"/>
              <w:jc w:val="center"/>
              <w:rPr>
                <w:rFonts w:cs="Arial"/>
                <w:color w:val="000000" w:themeColor="text1"/>
                <w:szCs w:val="16"/>
              </w:rPr>
            </w:pPr>
            <w:r w:rsidRPr="005C29F8">
              <w:rPr>
                <w:rFonts w:cs="Arial"/>
                <w:color w:val="000000" w:themeColor="text1"/>
                <w:szCs w:val="16"/>
              </w:rPr>
              <w:t>97.07%</w:t>
            </w:r>
          </w:p>
        </w:tc>
        <w:tc>
          <w:tcPr>
            <w:tcW w:w="455" w:type="pct"/>
            <w:shd w:val="clear" w:color="auto" w:fill="auto"/>
            <w:vAlign w:val="center"/>
          </w:tcPr>
          <w:p w14:paraId="680624CB" w14:textId="4AA1727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4EBE72E9" w14:textId="5328FFB0" w:rsidR="004D1EAB" w:rsidRPr="005C29F8" w:rsidRDefault="004D1EAB" w:rsidP="00A018D4">
            <w:pPr>
              <w:jc w:val="center"/>
              <w:rPr>
                <w:rFonts w:cs="Arial"/>
                <w:color w:val="000000" w:themeColor="text1"/>
                <w:szCs w:val="16"/>
              </w:rPr>
            </w:pPr>
            <w:r w:rsidRPr="005C29F8">
              <w:rPr>
                <w:rFonts w:cs="Arial"/>
                <w:color w:val="000000" w:themeColor="text1"/>
                <w:szCs w:val="16"/>
              </w:rPr>
              <w:t>95.62%</w:t>
            </w:r>
          </w:p>
        </w:tc>
        <w:tc>
          <w:tcPr>
            <w:tcW w:w="641" w:type="pct"/>
            <w:tcBorders>
              <w:bottom w:val="single" w:sz="4" w:space="0" w:color="auto"/>
            </w:tcBorders>
            <w:shd w:val="clear" w:color="auto" w:fill="auto"/>
            <w:vAlign w:val="bottom"/>
          </w:tcPr>
          <w:p w14:paraId="7B4B3573" w14:textId="22CE742C" w:rsidR="004D1EAB" w:rsidRPr="005C29F8" w:rsidRDefault="004D1EAB" w:rsidP="00A018D4">
            <w:pPr>
              <w:jc w:val="center"/>
              <w:rPr>
                <w:rFonts w:cs="Arial"/>
                <w:color w:val="000000" w:themeColor="text1"/>
                <w:szCs w:val="16"/>
              </w:rPr>
            </w:pPr>
            <w:r w:rsidRPr="005C29F8">
              <w:rPr>
                <w:rFonts w:cs="Arial"/>
                <w:color w:val="000000" w:themeColor="text1"/>
                <w:szCs w:val="16"/>
              </w:rPr>
              <w:t>97.07%</w:t>
            </w:r>
          </w:p>
        </w:tc>
        <w:tc>
          <w:tcPr>
            <w:tcW w:w="641" w:type="pct"/>
            <w:tcBorders>
              <w:bottom w:val="single" w:sz="4" w:space="0" w:color="auto"/>
            </w:tcBorders>
            <w:shd w:val="clear" w:color="auto" w:fill="auto"/>
            <w:vAlign w:val="bottom"/>
          </w:tcPr>
          <w:p w14:paraId="0F4E70B2" w14:textId="40E745B9" w:rsidR="004D1EAB" w:rsidRPr="005C29F8" w:rsidRDefault="004D1EAB" w:rsidP="00A018D4">
            <w:pPr>
              <w:jc w:val="center"/>
              <w:rPr>
                <w:rFonts w:cs="Arial"/>
                <w:color w:val="000000" w:themeColor="text1"/>
                <w:szCs w:val="16"/>
              </w:rPr>
            </w:pPr>
            <w:r w:rsidRPr="005C29F8">
              <w:rPr>
                <w:rFonts w:cs="Arial"/>
                <w:color w:val="000000" w:themeColor="text1"/>
                <w:szCs w:val="16"/>
              </w:rPr>
              <w:t>97.21%</w:t>
            </w:r>
          </w:p>
        </w:tc>
        <w:tc>
          <w:tcPr>
            <w:tcW w:w="641" w:type="pct"/>
            <w:tcBorders>
              <w:bottom w:val="single" w:sz="4" w:space="0" w:color="auto"/>
            </w:tcBorders>
            <w:shd w:val="clear" w:color="auto" w:fill="auto"/>
            <w:vAlign w:val="bottom"/>
          </w:tcPr>
          <w:p w14:paraId="4F461024" w14:textId="1A17352F" w:rsidR="004D1EAB" w:rsidRPr="005C29F8" w:rsidRDefault="004D1EAB" w:rsidP="00A018D4">
            <w:pPr>
              <w:jc w:val="center"/>
              <w:rPr>
                <w:rFonts w:cs="Arial"/>
                <w:color w:val="000000" w:themeColor="text1"/>
                <w:szCs w:val="16"/>
              </w:rPr>
            </w:pPr>
            <w:r w:rsidRPr="005C29F8">
              <w:rPr>
                <w:rFonts w:cs="Arial"/>
                <w:color w:val="000000" w:themeColor="text1"/>
                <w:szCs w:val="16"/>
              </w:rPr>
              <w:t>96.40%</w:t>
            </w:r>
          </w:p>
        </w:tc>
        <w:tc>
          <w:tcPr>
            <w:tcW w:w="624" w:type="pct"/>
            <w:tcBorders>
              <w:bottom w:val="single" w:sz="4" w:space="0" w:color="auto"/>
            </w:tcBorders>
            <w:shd w:val="clear" w:color="auto" w:fill="auto"/>
            <w:vAlign w:val="bottom"/>
          </w:tcPr>
          <w:p w14:paraId="4DE606C0" w14:textId="1C476FEB" w:rsidR="004D1EAB" w:rsidRPr="005C29F8" w:rsidRDefault="004D1EAB" w:rsidP="00A018D4">
            <w:pPr>
              <w:jc w:val="center"/>
              <w:rPr>
                <w:rFonts w:cs="Arial"/>
                <w:color w:val="000000" w:themeColor="text1"/>
                <w:szCs w:val="16"/>
              </w:rPr>
            </w:pPr>
            <w:r w:rsidRPr="005C29F8">
              <w:rPr>
                <w:rFonts w:cs="Arial"/>
                <w:color w:val="000000" w:themeColor="text1"/>
                <w:szCs w:val="16"/>
              </w:rPr>
              <w:t>96.50%</w:t>
            </w:r>
          </w:p>
        </w:tc>
      </w:tr>
      <w:tr w:rsidR="005C29F8" w:rsidRPr="005C29F8" w14:paraId="4053C457" w14:textId="77777777" w:rsidTr="00044B5C">
        <w:trPr>
          <w:trHeight w:val="152"/>
        </w:trPr>
        <w:tc>
          <w:tcPr>
            <w:tcW w:w="331" w:type="pct"/>
            <w:shd w:val="clear" w:color="auto" w:fill="auto"/>
            <w:vAlign w:val="center"/>
          </w:tcPr>
          <w:p w14:paraId="181AF4D2"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CA025C0" w14:textId="66D51888"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36671A35" w14:textId="32B99C93" w:rsidR="001A6B81" w:rsidRPr="005C29F8" w:rsidRDefault="001A6B81">
            <w:pPr>
              <w:spacing w:before="0" w:after="0"/>
              <w:jc w:val="center"/>
              <w:rPr>
                <w:rFonts w:cs="Arial"/>
                <w:color w:val="000000" w:themeColor="text1"/>
                <w:szCs w:val="16"/>
              </w:rPr>
            </w:pPr>
            <w:r w:rsidRPr="005C29F8">
              <w:rPr>
                <w:rFonts w:cs="Arial"/>
                <w:color w:val="000000" w:themeColor="text1"/>
                <w:szCs w:val="16"/>
              </w:rPr>
              <w:t>2015</w:t>
            </w:r>
          </w:p>
        </w:tc>
        <w:tc>
          <w:tcPr>
            <w:tcW w:w="455" w:type="pct"/>
            <w:shd w:val="clear" w:color="auto" w:fill="auto"/>
            <w:vAlign w:val="center"/>
          </w:tcPr>
          <w:p w14:paraId="7F85F816" w14:textId="15B88D52"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B5655" w14:textId="6412351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97BDBE9" w14:textId="298AA272"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B05C1A" w14:textId="4686BE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3BCA1ED9" w14:textId="3A3467A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40E36A9" w14:textId="077A825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0B19FC2" w14:textId="77777777" w:rsidTr="00044B5C">
        <w:trPr>
          <w:trHeight w:val="80"/>
        </w:trPr>
        <w:tc>
          <w:tcPr>
            <w:tcW w:w="331" w:type="pct"/>
            <w:shd w:val="clear" w:color="auto" w:fill="auto"/>
            <w:vAlign w:val="center"/>
          </w:tcPr>
          <w:p w14:paraId="54113404" w14:textId="091EE06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3056DF6" w14:textId="0093F7B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43474EFE" w14:textId="0CF4988B" w:rsidR="004D1EAB" w:rsidRPr="005C29F8" w:rsidRDefault="001A6B81">
            <w:pPr>
              <w:spacing w:before="0" w:after="0"/>
              <w:jc w:val="center"/>
              <w:rPr>
                <w:rFonts w:cs="Arial"/>
                <w:color w:val="000000" w:themeColor="text1"/>
                <w:szCs w:val="16"/>
              </w:rPr>
            </w:pPr>
            <w:r w:rsidRPr="005C29F8">
              <w:rPr>
                <w:rFonts w:cs="Arial"/>
                <w:color w:val="000000" w:themeColor="text1"/>
                <w:szCs w:val="16"/>
              </w:rPr>
              <w:t>96.46%</w:t>
            </w:r>
          </w:p>
        </w:tc>
        <w:tc>
          <w:tcPr>
            <w:tcW w:w="455" w:type="pct"/>
            <w:shd w:val="clear" w:color="auto" w:fill="auto"/>
            <w:vAlign w:val="center"/>
          </w:tcPr>
          <w:p w14:paraId="61205D0A" w14:textId="2C653FA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19E411E" w14:textId="54342E62" w:rsidR="004D1EAB" w:rsidRPr="005C29F8" w:rsidRDefault="004D1EAB" w:rsidP="00A018D4">
            <w:pPr>
              <w:jc w:val="center"/>
              <w:rPr>
                <w:rFonts w:cs="Arial"/>
                <w:color w:val="000000" w:themeColor="text1"/>
                <w:szCs w:val="16"/>
              </w:rPr>
            </w:pPr>
            <w:r w:rsidRPr="005C29F8">
              <w:rPr>
                <w:rFonts w:cs="Arial"/>
                <w:color w:val="000000" w:themeColor="text1"/>
                <w:szCs w:val="16"/>
              </w:rPr>
              <w:t>94.73%</w:t>
            </w:r>
          </w:p>
        </w:tc>
        <w:tc>
          <w:tcPr>
            <w:tcW w:w="641" w:type="pct"/>
            <w:tcBorders>
              <w:bottom w:val="single" w:sz="4" w:space="0" w:color="auto"/>
            </w:tcBorders>
            <w:shd w:val="clear" w:color="auto" w:fill="auto"/>
            <w:vAlign w:val="bottom"/>
          </w:tcPr>
          <w:p w14:paraId="1F34F8BD" w14:textId="43173970" w:rsidR="004D1EAB" w:rsidRPr="005C29F8" w:rsidRDefault="004D1EAB" w:rsidP="00A018D4">
            <w:pPr>
              <w:jc w:val="center"/>
              <w:rPr>
                <w:rFonts w:cs="Arial"/>
                <w:color w:val="000000" w:themeColor="text1"/>
                <w:szCs w:val="16"/>
              </w:rPr>
            </w:pPr>
            <w:r w:rsidRPr="005C29F8">
              <w:rPr>
                <w:rFonts w:cs="Arial"/>
                <w:color w:val="000000" w:themeColor="text1"/>
                <w:szCs w:val="16"/>
              </w:rPr>
              <w:t>96.46%</w:t>
            </w:r>
          </w:p>
        </w:tc>
        <w:tc>
          <w:tcPr>
            <w:tcW w:w="641" w:type="pct"/>
            <w:tcBorders>
              <w:bottom w:val="single" w:sz="4" w:space="0" w:color="auto"/>
            </w:tcBorders>
            <w:shd w:val="clear" w:color="auto" w:fill="auto"/>
            <w:vAlign w:val="bottom"/>
          </w:tcPr>
          <w:p w14:paraId="4E372029" w14:textId="562C1128" w:rsidR="004D1EAB" w:rsidRPr="005C29F8" w:rsidRDefault="004D1EAB" w:rsidP="00A018D4">
            <w:pPr>
              <w:jc w:val="center"/>
              <w:rPr>
                <w:rFonts w:cs="Arial"/>
                <w:color w:val="000000" w:themeColor="text1"/>
                <w:szCs w:val="16"/>
              </w:rPr>
            </w:pPr>
            <w:r w:rsidRPr="005C29F8">
              <w:rPr>
                <w:rFonts w:cs="Arial"/>
                <w:color w:val="000000" w:themeColor="text1"/>
                <w:szCs w:val="16"/>
              </w:rPr>
              <w:t>97.17%</w:t>
            </w:r>
          </w:p>
        </w:tc>
        <w:tc>
          <w:tcPr>
            <w:tcW w:w="641" w:type="pct"/>
            <w:tcBorders>
              <w:bottom w:val="single" w:sz="4" w:space="0" w:color="auto"/>
            </w:tcBorders>
            <w:shd w:val="clear" w:color="auto" w:fill="auto"/>
            <w:vAlign w:val="bottom"/>
          </w:tcPr>
          <w:p w14:paraId="33D992E5" w14:textId="6E12928F" w:rsidR="004D1EAB" w:rsidRPr="005C29F8" w:rsidRDefault="004D1EAB" w:rsidP="00A018D4">
            <w:pPr>
              <w:jc w:val="center"/>
              <w:rPr>
                <w:rFonts w:cs="Arial"/>
                <w:color w:val="000000" w:themeColor="text1"/>
                <w:szCs w:val="16"/>
              </w:rPr>
            </w:pPr>
            <w:r w:rsidRPr="005C29F8">
              <w:rPr>
                <w:rFonts w:cs="Arial"/>
                <w:color w:val="000000" w:themeColor="text1"/>
                <w:szCs w:val="16"/>
              </w:rPr>
              <w:t>96.38%</w:t>
            </w:r>
          </w:p>
        </w:tc>
        <w:tc>
          <w:tcPr>
            <w:tcW w:w="624" w:type="pct"/>
            <w:tcBorders>
              <w:bottom w:val="single" w:sz="4" w:space="0" w:color="auto"/>
            </w:tcBorders>
            <w:shd w:val="clear" w:color="auto" w:fill="auto"/>
            <w:vAlign w:val="bottom"/>
          </w:tcPr>
          <w:p w14:paraId="3CE53867" w14:textId="29F73ED6" w:rsidR="004D1EAB" w:rsidRPr="005C29F8" w:rsidRDefault="004D1EAB" w:rsidP="00A018D4">
            <w:pPr>
              <w:jc w:val="center"/>
              <w:rPr>
                <w:rFonts w:cs="Arial"/>
                <w:color w:val="000000" w:themeColor="text1"/>
                <w:szCs w:val="16"/>
              </w:rPr>
            </w:pPr>
            <w:r w:rsidRPr="005C29F8">
              <w:rPr>
                <w:rFonts w:cs="Arial"/>
                <w:color w:val="000000" w:themeColor="text1"/>
                <w:szCs w:val="16"/>
              </w:rPr>
              <w:t>95.66%</w:t>
            </w:r>
          </w:p>
        </w:tc>
      </w:tr>
      <w:tr w:rsidR="005C29F8" w:rsidRPr="005C29F8" w14:paraId="6CE72DE1" w14:textId="77777777" w:rsidTr="00044B5C">
        <w:trPr>
          <w:trHeight w:val="152"/>
        </w:trPr>
        <w:tc>
          <w:tcPr>
            <w:tcW w:w="331" w:type="pct"/>
            <w:shd w:val="clear" w:color="auto" w:fill="auto"/>
            <w:vAlign w:val="center"/>
          </w:tcPr>
          <w:p w14:paraId="3E26A129"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3812A238" w14:textId="3DE610FD"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36CCD3F7" w14:textId="0332CE38" w:rsidR="00724EC4" w:rsidRPr="005C29F8" w:rsidRDefault="00724EC4">
            <w:pPr>
              <w:spacing w:before="0" w:after="0"/>
              <w:jc w:val="center"/>
              <w:rPr>
                <w:rFonts w:cs="Arial"/>
                <w:color w:val="000000" w:themeColor="text1"/>
                <w:szCs w:val="16"/>
              </w:rPr>
            </w:pPr>
            <w:r w:rsidRPr="005C29F8">
              <w:rPr>
                <w:rFonts w:cs="Arial"/>
                <w:color w:val="000000" w:themeColor="text1"/>
                <w:szCs w:val="16"/>
              </w:rPr>
              <w:t>2015</w:t>
            </w:r>
          </w:p>
        </w:tc>
        <w:tc>
          <w:tcPr>
            <w:tcW w:w="455" w:type="pct"/>
            <w:shd w:val="clear" w:color="auto" w:fill="auto"/>
            <w:vAlign w:val="center"/>
          </w:tcPr>
          <w:p w14:paraId="42179DE2" w14:textId="21AE4D01"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w:t>
            </w:r>
          </w:p>
        </w:tc>
        <w:tc>
          <w:tcPr>
            <w:tcW w:w="625" w:type="pct"/>
            <w:shd w:val="clear" w:color="auto" w:fill="auto"/>
            <w:vAlign w:val="bottom"/>
          </w:tcPr>
          <w:p w14:paraId="1F10ADE9" w14:textId="4F1DFF8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DEC9012" w14:textId="4CDFC47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5FE6DE" w14:textId="3F8005F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528B4CF" w14:textId="2D7158D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5AD1ABA" w14:textId="706A7CA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E034BDA" w14:textId="77777777" w:rsidTr="00044B5C">
        <w:trPr>
          <w:trHeight w:val="80"/>
        </w:trPr>
        <w:tc>
          <w:tcPr>
            <w:tcW w:w="331" w:type="pct"/>
            <w:shd w:val="clear" w:color="auto" w:fill="auto"/>
            <w:vAlign w:val="center"/>
          </w:tcPr>
          <w:p w14:paraId="7BCC04F3" w14:textId="4365474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5CE6D0D7" w14:textId="1F6CBB93"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0BD8070C" w14:textId="098EDB8C" w:rsidR="004D1EAB" w:rsidRPr="005C29F8" w:rsidRDefault="00724EC4">
            <w:pPr>
              <w:spacing w:before="0" w:after="0"/>
              <w:jc w:val="center"/>
              <w:rPr>
                <w:rFonts w:cs="Arial"/>
                <w:color w:val="000000" w:themeColor="text1"/>
                <w:szCs w:val="16"/>
              </w:rPr>
            </w:pPr>
            <w:r w:rsidRPr="005C29F8">
              <w:rPr>
                <w:rFonts w:cs="Arial"/>
                <w:color w:val="000000" w:themeColor="text1"/>
                <w:szCs w:val="16"/>
              </w:rPr>
              <w:t>95.67%</w:t>
            </w:r>
          </w:p>
        </w:tc>
        <w:tc>
          <w:tcPr>
            <w:tcW w:w="455" w:type="pct"/>
            <w:shd w:val="clear" w:color="auto" w:fill="auto"/>
            <w:vAlign w:val="center"/>
          </w:tcPr>
          <w:p w14:paraId="29CCCDC9" w14:textId="6AEC71D6"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0FF534A" w14:textId="737B02CB" w:rsidR="004D1EAB" w:rsidRPr="005C29F8" w:rsidRDefault="004D1EAB" w:rsidP="00A018D4">
            <w:pPr>
              <w:jc w:val="center"/>
              <w:rPr>
                <w:rFonts w:cs="Arial"/>
                <w:color w:val="000000" w:themeColor="text1"/>
                <w:szCs w:val="16"/>
              </w:rPr>
            </w:pPr>
            <w:r w:rsidRPr="005C29F8">
              <w:rPr>
                <w:rFonts w:cs="Arial"/>
                <w:color w:val="000000" w:themeColor="text1"/>
                <w:szCs w:val="16"/>
              </w:rPr>
              <w:t>93.94%</w:t>
            </w:r>
          </w:p>
        </w:tc>
        <w:tc>
          <w:tcPr>
            <w:tcW w:w="641" w:type="pct"/>
            <w:tcBorders>
              <w:bottom w:val="single" w:sz="4" w:space="0" w:color="auto"/>
            </w:tcBorders>
            <w:shd w:val="clear" w:color="auto" w:fill="auto"/>
            <w:vAlign w:val="bottom"/>
          </w:tcPr>
          <w:p w14:paraId="4E2B0B5C" w14:textId="60727351" w:rsidR="004D1EAB" w:rsidRPr="005C29F8" w:rsidRDefault="004D1EAB" w:rsidP="00A018D4">
            <w:pPr>
              <w:jc w:val="center"/>
              <w:rPr>
                <w:rFonts w:cs="Arial"/>
                <w:color w:val="000000" w:themeColor="text1"/>
                <w:szCs w:val="16"/>
              </w:rPr>
            </w:pPr>
            <w:r w:rsidRPr="005C29F8">
              <w:rPr>
                <w:rFonts w:cs="Arial"/>
                <w:color w:val="000000" w:themeColor="text1"/>
                <w:szCs w:val="16"/>
              </w:rPr>
              <w:t>95.67%</w:t>
            </w:r>
          </w:p>
        </w:tc>
        <w:tc>
          <w:tcPr>
            <w:tcW w:w="641" w:type="pct"/>
            <w:tcBorders>
              <w:bottom w:val="single" w:sz="4" w:space="0" w:color="auto"/>
            </w:tcBorders>
            <w:shd w:val="clear" w:color="auto" w:fill="auto"/>
            <w:vAlign w:val="bottom"/>
          </w:tcPr>
          <w:p w14:paraId="645F9B37" w14:textId="540FE827" w:rsidR="004D1EAB" w:rsidRPr="005C29F8" w:rsidRDefault="004D1EAB" w:rsidP="00A018D4">
            <w:pPr>
              <w:jc w:val="center"/>
              <w:rPr>
                <w:rFonts w:cs="Arial"/>
                <w:color w:val="000000" w:themeColor="text1"/>
                <w:szCs w:val="16"/>
              </w:rPr>
            </w:pPr>
            <w:r w:rsidRPr="005C29F8">
              <w:rPr>
                <w:rFonts w:cs="Arial"/>
                <w:color w:val="000000" w:themeColor="text1"/>
                <w:szCs w:val="16"/>
              </w:rPr>
              <w:t>95.97%</w:t>
            </w:r>
          </w:p>
        </w:tc>
        <w:tc>
          <w:tcPr>
            <w:tcW w:w="641" w:type="pct"/>
            <w:tcBorders>
              <w:bottom w:val="single" w:sz="4" w:space="0" w:color="auto"/>
            </w:tcBorders>
            <w:shd w:val="clear" w:color="auto" w:fill="auto"/>
            <w:vAlign w:val="bottom"/>
          </w:tcPr>
          <w:p w14:paraId="42D2822B" w14:textId="19F322C5" w:rsidR="004D1EAB" w:rsidRPr="005C29F8" w:rsidRDefault="004D1EAB" w:rsidP="00A018D4">
            <w:pPr>
              <w:jc w:val="center"/>
              <w:rPr>
                <w:rFonts w:cs="Arial"/>
                <w:color w:val="000000" w:themeColor="text1"/>
                <w:szCs w:val="16"/>
              </w:rPr>
            </w:pPr>
            <w:r w:rsidRPr="005C29F8">
              <w:rPr>
                <w:rFonts w:cs="Arial"/>
                <w:color w:val="000000" w:themeColor="text1"/>
                <w:szCs w:val="16"/>
              </w:rPr>
              <w:t>95.44%</w:t>
            </w:r>
          </w:p>
        </w:tc>
        <w:tc>
          <w:tcPr>
            <w:tcW w:w="624" w:type="pct"/>
            <w:tcBorders>
              <w:bottom w:val="single" w:sz="4" w:space="0" w:color="auto"/>
            </w:tcBorders>
            <w:shd w:val="clear" w:color="auto" w:fill="auto"/>
            <w:vAlign w:val="bottom"/>
          </w:tcPr>
          <w:p w14:paraId="20D888C2" w14:textId="20DBD572" w:rsidR="004D1EAB" w:rsidRPr="005C29F8" w:rsidRDefault="004D1EAB" w:rsidP="00A018D4">
            <w:pPr>
              <w:jc w:val="center"/>
              <w:rPr>
                <w:rFonts w:cs="Arial"/>
                <w:color w:val="000000" w:themeColor="text1"/>
                <w:szCs w:val="16"/>
              </w:rPr>
            </w:pPr>
            <w:r w:rsidRPr="005C29F8">
              <w:rPr>
                <w:rFonts w:cs="Arial"/>
                <w:color w:val="000000" w:themeColor="text1"/>
                <w:szCs w:val="16"/>
              </w:rPr>
              <w:t>94.91%</w:t>
            </w:r>
          </w:p>
        </w:tc>
      </w:tr>
      <w:tr w:rsidR="005C29F8" w:rsidRPr="005C29F8" w14:paraId="0B6EB437" w14:textId="77777777" w:rsidTr="00044B5C">
        <w:trPr>
          <w:trHeight w:val="152"/>
        </w:trPr>
        <w:tc>
          <w:tcPr>
            <w:tcW w:w="331" w:type="pct"/>
            <w:shd w:val="clear" w:color="auto" w:fill="auto"/>
            <w:vAlign w:val="center"/>
          </w:tcPr>
          <w:p w14:paraId="205ACFE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4BBFD243" w14:textId="18F23EAA"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11</w:t>
            </w:r>
          </w:p>
        </w:tc>
        <w:tc>
          <w:tcPr>
            <w:tcW w:w="500" w:type="pct"/>
            <w:shd w:val="clear" w:color="auto" w:fill="auto"/>
            <w:vAlign w:val="center"/>
          </w:tcPr>
          <w:p w14:paraId="182D8FC3" w14:textId="6FA9BB1F" w:rsidR="00D1639C" w:rsidRPr="005C29F8" w:rsidRDefault="008E64EB" w:rsidP="006A01BD">
            <w:pPr>
              <w:jc w:val="center"/>
              <w:rPr>
                <w:color w:val="000000" w:themeColor="text1"/>
              </w:rPr>
            </w:pPr>
            <w:r w:rsidRPr="005C29F8">
              <w:rPr>
                <w:color w:val="000000" w:themeColor="text1"/>
              </w:rPr>
              <w:t>2015</w:t>
            </w:r>
          </w:p>
        </w:tc>
        <w:tc>
          <w:tcPr>
            <w:tcW w:w="455" w:type="pct"/>
            <w:shd w:val="clear" w:color="auto" w:fill="auto"/>
            <w:vAlign w:val="center"/>
          </w:tcPr>
          <w:p w14:paraId="3C0BCFD4" w14:textId="0A553718"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2C30C245" w14:textId="022F5403"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599AB21" w14:textId="6CB6A4B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346F790" w14:textId="35DA187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49442B3" w14:textId="0AE8595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6CFC2BE" w14:textId="0EB7C0C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05BFED" w14:textId="77777777" w:rsidTr="00044B5C">
        <w:trPr>
          <w:trHeight w:val="80"/>
        </w:trPr>
        <w:tc>
          <w:tcPr>
            <w:tcW w:w="331" w:type="pct"/>
            <w:shd w:val="clear" w:color="auto" w:fill="auto"/>
            <w:vAlign w:val="center"/>
          </w:tcPr>
          <w:p w14:paraId="12297229" w14:textId="5AA73D0E"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5B0D47FD" w14:textId="5CDE32B4"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11</w:t>
            </w:r>
          </w:p>
        </w:tc>
        <w:tc>
          <w:tcPr>
            <w:tcW w:w="500" w:type="pct"/>
            <w:shd w:val="clear" w:color="auto" w:fill="auto"/>
          </w:tcPr>
          <w:p w14:paraId="0512514E" w14:textId="4E6822F7" w:rsidR="004D1EAB" w:rsidRPr="005C29F8" w:rsidRDefault="00D1639C">
            <w:pPr>
              <w:spacing w:before="0" w:after="0"/>
              <w:jc w:val="center"/>
              <w:rPr>
                <w:rFonts w:cs="Arial"/>
                <w:color w:val="000000" w:themeColor="text1"/>
                <w:szCs w:val="16"/>
              </w:rPr>
            </w:pPr>
            <w:r w:rsidRPr="005C29F8">
              <w:rPr>
                <w:rFonts w:cs="Arial"/>
                <w:color w:val="000000" w:themeColor="text1"/>
                <w:szCs w:val="16"/>
              </w:rPr>
              <w:t>92.16%</w:t>
            </w:r>
          </w:p>
        </w:tc>
        <w:tc>
          <w:tcPr>
            <w:tcW w:w="455" w:type="pct"/>
            <w:shd w:val="clear" w:color="auto" w:fill="auto"/>
            <w:vAlign w:val="center"/>
          </w:tcPr>
          <w:p w14:paraId="0E77795E" w14:textId="26F0F5CC"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877D136" w14:textId="1CB4D667" w:rsidR="004D1EAB" w:rsidRPr="005C29F8" w:rsidRDefault="004D1EAB" w:rsidP="00A018D4">
            <w:pPr>
              <w:jc w:val="center"/>
              <w:rPr>
                <w:rFonts w:cs="Arial"/>
                <w:color w:val="000000" w:themeColor="text1"/>
                <w:szCs w:val="16"/>
              </w:rPr>
            </w:pPr>
            <w:r w:rsidRPr="005C29F8">
              <w:rPr>
                <w:rFonts w:cs="Arial"/>
                <w:color w:val="000000" w:themeColor="text1"/>
                <w:szCs w:val="16"/>
              </w:rPr>
              <w:t>86.10%</w:t>
            </w:r>
          </w:p>
        </w:tc>
        <w:tc>
          <w:tcPr>
            <w:tcW w:w="641" w:type="pct"/>
            <w:tcBorders>
              <w:bottom w:val="single" w:sz="4" w:space="0" w:color="auto"/>
            </w:tcBorders>
            <w:shd w:val="clear" w:color="auto" w:fill="auto"/>
            <w:vAlign w:val="bottom"/>
          </w:tcPr>
          <w:p w14:paraId="47A1B1B9" w14:textId="1B17123B" w:rsidR="004D1EAB" w:rsidRPr="005C29F8" w:rsidRDefault="004D1EAB" w:rsidP="00A018D4">
            <w:pPr>
              <w:jc w:val="center"/>
              <w:rPr>
                <w:rFonts w:cs="Arial"/>
                <w:color w:val="000000" w:themeColor="text1"/>
                <w:szCs w:val="16"/>
              </w:rPr>
            </w:pPr>
            <w:r w:rsidRPr="005C29F8">
              <w:rPr>
                <w:rFonts w:cs="Arial"/>
                <w:color w:val="000000" w:themeColor="text1"/>
                <w:szCs w:val="16"/>
              </w:rPr>
              <w:t>92.16%</w:t>
            </w:r>
          </w:p>
        </w:tc>
        <w:tc>
          <w:tcPr>
            <w:tcW w:w="641" w:type="pct"/>
            <w:tcBorders>
              <w:bottom w:val="single" w:sz="4" w:space="0" w:color="auto"/>
            </w:tcBorders>
            <w:shd w:val="clear" w:color="auto" w:fill="auto"/>
            <w:vAlign w:val="bottom"/>
          </w:tcPr>
          <w:p w14:paraId="212BED63" w14:textId="2F597A81" w:rsidR="004D1EAB" w:rsidRPr="005C29F8" w:rsidRDefault="004D1EAB" w:rsidP="00A018D4">
            <w:pPr>
              <w:jc w:val="center"/>
              <w:rPr>
                <w:rFonts w:cs="Arial"/>
                <w:color w:val="000000" w:themeColor="text1"/>
                <w:szCs w:val="16"/>
              </w:rPr>
            </w:pPr>
            <w:r w:rsidRPr="005C29F8">
              <w:rPr>
                <w:rFonts w:cs="Arial"/>
                <w:color w:val="000000" w:themeColor="text1"/>
                <w:szCs w:val="16"/>
              </w:rPr>
              <w:t>91.52%</w:t>
            </w:r>
          </w:p>
        </w:tc>
        <w:tc>
          <w:tcPr>
            <w:tcW w:w="641" w:type="pct"/>
            <w:tcBorders>
              <w:bottom w:val="single" w:sz="4" w:space="0" w:color="auto"/>
            </w:tcBorders>
            <w:shd w:val="clear" w:color="auto" w:fill="auto"/>
            <w:vAlign w:val="bottom"/>
          </w:tcPr>
          <w:p w14:paraId="2D3EA703" w14:textId="5EC9D593" w:rsidR="004D1EAB" w:rsidRPr="005C29F8" w:rsidRDefault="004D1EAB" w:rsidP="00A018D4">
            <w:pPr>
              <w:jc w:val="center"/>
              <w:rPr>
                <w:rFonts w:cs="Arial"/>
                <w:color w:val="000000" w:themeColor="text1"/>
                <w:szCs w:val="16"/>
              </w:rPr>
            </w:pPr>
            <w:r w:rsidRPr="005C29F8">
              <w:rPr>
                <w:rFonts w:cs="Arial"/>
                <w:color w:val="000000" w:themeColor="text1"/>
                <w:szCs w:val="16"/>
              </w:rPr>
              <w:t>87.57%</w:t>
            </w:r>
          </w:p>
        </w:tc>
        <w:tc>
          <w:tcPr>
            <w:tcW w:w="624" w:type="pct"/>
            <w:tcBorders>
              <w:bottom w:val="single" w:sz="4" w:space="0" w:color="auto"/>
            </w:tcBorders>
            <w:shd w:val="clear" w:color="auto" w:fill="auto"/>
            <w:vAlign w:val="bottom"/>
          </w:tcPr>
          <w:p w14:paraId="5799F2D5" w14:textId="2A6007C9" w:rsidR="004D1EAB" w:rsidRPr="005C29F8" w:rsidRDefault="004D1EAB" w:rsidP="00A018D4">
            <w:pPr>
              <w:jc w:val="center"/>
              <w:rPr>
                <w:rFonts w:cs="Arial"/>
                <w:color w:val="000000" w:themeColor="text1"/>
                <w:szCs w:val="16"/>
              </w:rPr>
            </w:pPr>
            <w:r w:rsidRPr="005C29F8">
              <w:rPr>
                <w:rFonts w:cs="Arial"/>
                <w:color w:val="000000" w:themeColor="text1"/>
                <w:szCs w:val="16"/>
              </w:rPr>
              <w:t>87.56%</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153FBAC" w14:textId="4CF0CC42" w:rsidTr="0033429D">
        <w:tc>
          <w:tcPr>
            <w:tcW w:w="600" w:type="pct"/>
            <w:shd w:val="clear" w:color="auto" w:fill="auto"/>
            <w:vAlign w:val="center"/>
          </w:tcPr>
          <w:p w14:paraId="1534F462" w14:textId="227579C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B900847" w14:textId="76EEEF0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5794C9DD" w14:textId="2D02C4E2"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F9A59DE" w14:textId="47544A43"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2E85B30" w14:textId="37CCA5B8" w:rsidTr="0033429D">
        <w:tc>
          <w:tcPr>
            <w:tcW w:w="600" w:type="pct"/>
            <w:shd w:val="clear" w:color="auto" w:fill="auto"/>
            <w:vAlign w:val="center"/>
          </w:tcPr>
          <w:p w14:paraId="3C348699" w14:textId="0FCCCDD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461C63AA" w14:textId="4C6E08F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5FFF6F7A" w14:textId="0C81CE4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4A28408E" w14:textId="345ACDD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0F87DC8" w14:textId="755D8248" w:rsidTr="0033429D">
        <w:tc>
          <w:tcPr>
            <w:tcW w:w="600" w:type="pct"/>
            <w:shd w:val="clear" w:color="auto" w:fill="auto"/>
            <w:vAlign w:val="center"/>
          </w:tcPr>
          <w:p w14:paraId="498F5397" w14:textId="3F0153B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1A8692C9" w14:textId="1925F67B"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5D7905D5" w14:textId="3806E960"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37B9F513" w14:textId="606D9DC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B2FFC5E" w14:textId="29733FE9" w:rsidTr="0033429D">
        <w:tc>
          <w:tcPr>
            <w:tcW w:w="600" w:type="pct"/>
            <w:shd w:val="clear" w:color="auto" w:fill="auto"/>
            <w:vAlign w:val="center"/>
          </w:tcPr>
          <w:p w14:paraId="6F116C6D" w14:textId="30F5B6E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0A797601" w14:textId="75A8D4E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16CE39B5" w14:textId="234E976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11</w:t>
            </w:r>
          </w:p>
        </w:tc>
        <w:tc>
          <w:tcPr>
            <w:tcW w:w="2291" w:type="pct"/>
            <w:shd w:val="clear" w:color="auto" w:fill="auto"/>
            <w:vAlign w:val="center"/>
          </w:tcPr>
          <w:p w14:paraId="70B0C71F" w14:textId="68FB847E"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7F190C8" w14:textId="36F810AE" w:rsidTr="0033429D">
        <w:tc>
          <w:tcPr>
            <w:tcW w:w="600" w:type="pct"/>
            <w:shd w:val="clear" w:color="auto" w:fill="auto"/>
            <w:vAlign w:val="center"/>
          </w:tcPr>
          <w:p w14:paraId="69C3737B" w14:textId="0F274A9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0A3230CB" w14:textId="6EE3497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1D8CD484" w14:textId="6FB74A9A"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2869FEE" w14:textId="2086543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0C55BA5" w14:textId="7CF26203" w:rsidTr="0033429D">
        <w:tc>
          <w:tcPr>
            <w:tcW w:w="600" w:type="pct"/>
            <w:shd w:val="clear" w:color="auto" w:fill="auto"/>
            <w:vAlign w:val="center"/>
          </w:tcPr>
          <w:p w14:paraId="51A85D71" w14:textId="716517D5"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43158C32" w14:textId="73122C1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2195A160" w14:textId="78997EA8"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2CB03355" w14:textId="1B32B6F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A40626E" w14:textId="1609A6C6" w:rsidTr="0033429D">
        <w:tc>
          <w:tcPr>
            <w:tcW w:w="600" w:type="pct"/>
            <w:shd w:val="clear" w:color="auto" w:fill="auto"/>
            <w:vAlign w:val="center"/>
          </w:tcPr>
          <w:p w14:paraId="49BC99D4" w14:textId="4E50413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366405E" w14:textId="5174606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7059A0AC" w14:textId="31D22BE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64C034A2" w14:textId="78A32A2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323805" w14:textId="0EFACF92" w:rsidTr="0033429D">
        <w:tc>
          <w:tcPr>
            <w:tcW w:w="600" w:type="pct"/>
            <w:shd w:val="clear" w:color="auto" w:fill="auto"/>
            <w:vAlign w:val="center"/>
          </w:tcPr>
          <w:p w14:paraId="436962CB" w14:textId="77E19D2F" w:rsidR="00085D89" w:rsidRPr="005C29F8" w:rsidRDefault="00085D89">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3CFFEC53" w14:textId="40F0A288" w:rsidR="00085D89" w:rsidRPr="005C29F8" w:rsidRDefault="00085D89">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79FA8CDF" w14:textId="6295DE8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11</w:t>
            </w:r>
          </w:p>
        </w:tc>
        <w:tc>
          <w:tcPr>
            <w:tcW w:w="2291" w:type="pct"/>
            <w:shd w:val="clear" w:color="auto" w:fill="auto"/>
            <w:vAlign w:val="center"/>
          </w:tcPr>
          <w:p w14:paraId="4119F92E" w14:textId="6A981C1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6"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6"/>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96.99%</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96.59%</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97.10%</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CD51123" w14:textId="77777777" w:rsidTr="0033429D">
        <w:tc>
          <w:tcPr>
            <w:tcW w:w="290" w:type="pct"/>
            <w:shd w:val="clear" w:color="auto" w:fill="auto"/>
            <w:vAlign w:val="center"/>
          </w:tcPr>
          <w:p w14:paraId="790216D1" w14:textId="7854482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21" w:type="pct"/>
            <w:shd w:val="clear" w:color="auto" w:fill="auto"/>
            <w:vAlign w:val="center"/>
          </w:tcPr>
          <w:p w14:paraId="7C34CF41" w14:textId="3166063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60324590" w14:textId="2AB323B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03A3860D" w14:textId="352661E3"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35A40F1" w14:textId="112E2B36" w:rsidR="004E1F6F" w:rsidRPr="005C29F8" w:rsidRDefault="004E1F6F" w:rsidP="004E1F6F">
            <w:pPr>
              <w:jc w:val="center"/>
              <w:rPr>
                <w:rFonts w:cs="Arial"/>
                <w:color w:val="000000" w:themeColor="text1"/>
                <w:szCs w:val="16"/>
              </w:rPr>
            </w:pPr>
            <w:r w:rsidRPr="005C29F8">
              <w:rPr>
                <w:rFonts w:cs="Arial"/>
                <w:color w:val="000000" w:themeColor="text1"/>
                <w:szCs w:val="16"/>
              </w:rPr>
              <w:t>96.53%</w:t>
            </w:r>
          </w:p>
        </w:tc>
        <w:tc>
          <w:tcPr>
            <w:tcW w:w="766" w:type="pct"/>
            <w:shd w:val="clear" w:color="auto" w:fill="auto"/>
            <w:vAlign w:val="center"/>
          </w:tcPr>
          <w:p w14:paraId="287A3B70" w14:textId="1F85212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4470203" w14:textId="2F61D114"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325347C" w14:textId="3EE24CF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55B5B94" w14:textId="194AEAB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C844914" w14:textId="77777777" w:rsidTr="0033429D">
        <w:tc>
          <w:tcPr>
            <w:tcW w:w="290" w:type="pct"/>
            <w:shd w:val="clear" w:color="auto" w:fill="auto"/>
            <w:vAlign w:val="center"/>
          </w:tcPr>
          <w:p w14:paraId="176F7E66" w14:textId="5460C8D9"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21" w:type="pct"/>
            <w:shd w:val="clear" w:color="auto" w:fill="auto"/>
            <w:vAlign w:val="center"/>
          </w:tcPr>
          <w:p w14:paraId="458CD642" w14:textId="526E2D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2B50D736" w14:textId="356EE2D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575D0962" w14:textId="1C86054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273DDB7B" w14:textId="32512EC7" w:rsidR="004E1F6F" w:rsidRPr="005C29F8" w:rsidRDefault="004E1F6F" w:rsidP="004E1F6F">
            <w:pPr>
              <w:jc w:val="center"/>
              <w:rPr>
                <w:rFonts w:cs="Arial"/>
                <w:color w:val="000000" w:themeColor="text1"/>
                <w:szCs w:val="16"/>
              </w:rPr>
            </w:pPr>
            <w:r w:rsidRPr="005C29F8">
              <w:rPr>
                <w:rFonts w:cs="Arial"/>
                <w:color w:val="000000" w:themeColor="text1"/>
                <w:szCs w:val="16"/>
              </w:rPr>
              <w:t>95.69%</w:t>
            </w:r>
          </w:p>
        </w:tc>
        <w:tc>
          <w:tcPr>
            <w:tcW w:w="766" w:type="pct"/>
            <w:shd w:val="clear" w:color="auto" w:fill="auto"/>
            <w:vAlign w:val="center"/>
          </w:tcPr>
          <w:p w14:paraId="0B19C039" w14:textId="5C78CD0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5F00992" w14:textId="36949909"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14AC0F17" w14:textId="3ABE900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7CBB24F" w14:textId="78F7322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148C735" w14:textId="77777777" w:rsidTr="0033429D">
        <w:tc>
          <w:tcPr>
            <w:tcW w:w="290" w:type="pct"/>
            <w:shd w:val="clear" w:color="auto" w:fill="auto"/>
            <w:vAlign w:val="center"/>
          </w:tcPr>
          <w:p w14:paraId="609276B9" w14:textId="20060E2B"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21" w:type="pct"/>
            <w:shd w:val="clear" w:color="auto" w:fill="auto"/>
            <w:vAlign w:val="center"/>
          </w:tcPr>
          <w:p w14:paraId="13E35D85" w14:textId="57390FB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6DE17850" w14:textId="7A009855"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DD17E7C" w14:textId="5C85370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8EE4AC3" w14:textId="0E49CC81" w:rsidR="004E1F6F" w:rsidRPr="005C29F8" w:rsidRDefault="004E1F6F" w:rsidP="004E1F6F">
            <w:pPr>
              <w:jc w:val="center"/>
              <w:rPr>
                <w:rFonts w:cs="Arial"/>
                <w:color w:val="000000" w:themeColor="text1"/>
                <w:szCs w:val="16"/>
              </w:rPr>
            </w:pPr>
            <w:r w:rsidRPr="005C29F8">
              <w:rPr>
                <w:rFonts w:cs="Arial"/>
                <w:color w:val="000000" w:themeColor="text1"/>
                <w:szCs w:val="16"/>
              </w:rPr>
              <w:t>95.03%</w:t>
            </w:r>
          </w:p>
        </w:tc>
        <w:tc>
          <w:tcPr>
            <w:tcW w:w="766" w:type="pct"/>
            <w:shd w:val="clear" w:color="auto" w:fill="auto"/>
            <w:vAlign w:val="center"/>
          </w:tcPr>
          <w:p w14:paraId="18B71474" w14:textId="3E7EF93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4298520C" w14:textId="386E41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8908121" w14:textId="45CB8AF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AB6C8FA" w14:textId="28E641F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55F7F8B" w14:textId="77777777" w:rsidTr="0033429D">
        <w:tc>
          <w:tcPr>
            <w:tcW w:w="290" w:type="pct"/>
            <w:shd w:val="clear" w:color="auto" w:fill="auto"/>
            <w:vAlign w:val="center"/>
          </w:tcPr>
          <w:p w14:paraId="0167682F" w14:textId="235A393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21" w:type="pct"/>
            <w:shd w:val="clear" w:color="auto" w:fill="auto"/>
            <w:vAlign w:val="center"/>
          </w:tcPr>
          <w:p w14:paraId="2CD8FFBC" w14:textId="2B4D7B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vAlign w:val="center"/>
          </w:tcPr>
          <w:p w14:paraId="77149575" w14:textId="03E0F35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6BB6A728" w14:textId="7D9CF74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5937A66F" w14:textId="220086AC" w:rsidR="004E1F6F" w:rsidRPr="005C29F8" w:rsidRDefault="004E1F6F" w:rsidP="004E1F6F">
            <w:pPr>
              <w:jc w:val="center"/>
              <w:rPr>
                <w:rFonts w:cs="Arial"/>
                <w:color w:val="000000" w:themeColor="text1"/>
                <w:szCs w:val="16"/>
              </w:rPr>
            </w:pPr>
            <w:r w:rsidRPr="005C29F8">
              <w:rPr>
                <w:rFonts w:cs="Arial"/>
                <w:color w:val="000000" w:themeColor="text1"/>
                <w:szCs w:val="16"/>
              </w:rPr>
              <w:t>87.33%</w:t>
            </w:r>
          </w:p>
        </w:tc>
        <w:tc>
          <w:tcPr>
            <w:tcW w:w="766" w:type="pct"/>
            <w:shd w:val="clear" w:color="auto" w:fill="auto"/>
            <w:vAlign w:val="center"/>
          </w:tcPr>
          <w:p w14:paraId="46F8E8BC" w14:textId="760F0A9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56054A2A" w14:textId="35A61D02"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23FB0D3E" w14:textId="1414E14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7137D125" w14:textId="5841EC0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96.98%</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96.60%</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97.08%</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1BE7924" w14:textId="77777777" w:rsidTr="0033429D">
        <w:tc>
          <w:tcPr>
            <w:tcW w:w="222" w:type="pct"/>
            <w:shd w:val="clear" w:color="auto" w:fill="auto"/>
            <w:vAlign w:val="center"/>
          </w:tcPr>
          <w:p w14:paraId="742B080E"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5" w:type="pct"/>
            <w:shd w:val="clear" w:color="auto" w:fill="auto"/>
            <w:vAlign w:val="center"/>
          </w:tcPr>
          <w:p w14:paraId="069B01DE" w14:textId="2E8D6AE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31E0FBF8" w14:textId="0E208F6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1F2F2EBD" w14:textId="1A836A6A"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7020D3BC" w14:textId="5F831C88" w:rsidR="004E1F6F" w:rsidRPr="005C29F8" w:rsidRDefault="004E1F6F" w:rsidP="004E1F6F">
            <w:pPr>
              <w:jc w:val="center"/>
              <w:rPr>
                <w:rFonts w:cs="Arial"/>
                <w:color w:val="000000" w:themeColor="text1"/>
                <w:szCs w:val="16"/>
              </w:rPr>
            </w:pPr>
            <w:r w:rsidRPr="005C29F8">
              <w:rPr>
                <w:rFonts w:cs="Arial"/>
                <w:color w:val="000000" w:themeColor="text1"/>
                <w:szCs w:val="16"/>
              </w:rPr>
              <w:t>96.50%</w:t>
            </w:r>
          </w:p>
        </w:tc>
        <w:tc>
          <w:tcPr>
            <w:tcW w:w="766" w:type="pct"/>
            <w:shd w:val="clear" w:color="auto" w:fill="auto"/>
            <w:vAlign w:val="center"/>
          </w:tcPr>
          <w:p w14:paraId="3667D3A6" w14:textId="40AD443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82F66FD" w14:textId="1FFDE73D"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D8ED006" w14:textId="28CF5C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ACF6765" w14:textId="6A45F93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7D90299" w14:textId="77777777" w:rsidTr="0033429D">
        <w:tc>
          <w:tcPr>
            <w:tcW w:w="222" w:type="pct"/>
            <w:shd w:val="clear" w:color="auto" w:fill="auto"/>
            <w:vAlign w:val="center"/>
          </w:tcPr>
          <w:p w14:paraId="533A1FB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5" w:type="pct"/>
            <w:shd w:val="clear" w:color="auto" w:fill="auto"/>
            <w:vAlign w:val="center"/>
          </w:tcPr>
          <w:p w14:paraId="2B1CA8C6" w14:textId="6A353FD4"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77DE72F5" w14:textId="122A0CFB"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BED20E8" w14:textId="3E961E34"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43144085" w14:textId="1225F1F5" w:rsidR="004E1F6F" w:rsidRPr="005C29F8" w:rsidRDefault="004E1F6F" w:rsidP="004E1F6F">
            <w:pPr>
              <w:jc w:val="center"/>
              <w:rPr>
                <w:rFonts w:cs="Arial"/>
                <w:color w:val="000000" w:themeColor="text1"/>
                <w:szCs w:val="16"/>
              </w:rPr>
            </w:pPr>
            <w:r w:rsidRPr="005C29F8">
              <w:rPr>
                <w:rFonts w:cs="Arial"/>
                <w:color w:val="000000" w:themeColor="text1"/>
                <w:szCs w:val="16"/>
              </w:rPr>
              <w:t>95.66%</w:t>
            </w:r>
          </w:p>
        </w:tc>
        <w:tc>
          <w:tcPr>
            <w:tcW w:w="766" w:type="pct"/>
            <w:shd w:val="clear" w:color="auto" w:fill="auto"/>
            <w:vAlign w:val="center"/>
          </w:tcPr>
          <w:p w14:paraId="7AFBF8CB" w14:textId="45CEF0B6"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F8472B7" w14:textId="73463C9B"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731B0C6" w14:textId="6B81AD4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8574AB0" w14:textId="25BA72A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0EFAD1C" w14:textId="77777777" w:rsidTr="0033429D">
        <w:tc>
          <w:tcPr>
            <w:tcW w:w="222" w:type="pct"/>
            <w:shd w:val="clear" w:color="auto" w:fill="auto"/>
            <w:vAlign w:val="center"/>
          </w:tcPr>
          <w:p w14:paraId="0B459E6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5" w:type="pct"/>
            <w:shd w:val="clear" w:color="auto" w:fill="auto"/>
            <w:vAlign w:val="center"/>
          </w:tcPr>
          <w:p w14:paraId="211984CE" w14:textId="585905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08DB4BDC" w14:textId="7240B34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FF9FA5B" w14:textId="2011857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1406612F" w14:textId="6734D0EF" w:rsidR="004E1F6F" w:rsidRPr="005C29F8" w:rsidRDefault="004E1F6F" w:rsidP="004E1F6F">
            <w:pPr>
              <w:jc w:val="center"/>
              <w:rPr>
                <w:rFonts w:cs="Arial"/>
                <w:color w:val="000000" w:themeColor="text1"/>
                <w:szCs w:val="16"/>
              </w:rPr>
            </w:pPr>
            <w:r w:rsidRPr="005C29F8">
              <w:rPr>
                <w:rFonts w:cs="Arial"/>
                <w:color w:val="000000" w:themeColor="text1"/>
                <w:szCs w:val="16"/>
              </w:rPr>
              <w:t>94.91%</w:t>
            </w:r>
          </w:p>
        </w:tc>
        <w:tc>
          <w:tcPr>
            <w:tcW w:w="766" w:type="pct"/>
            <w:shd w:val="clear" w:color="auto" w:fill="auto"/>
            <w:vAlign w:val="center"/>
          </w:tcPr>
          <w:p w14:paraId="53CAFFAC" w14:textId="2FA8BC3C"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DBF3AC8" w14:textId="0EC78A35"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C3EE792" w14:textId="77A7249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34468882" w14:textId="220042F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0C7C96" w14:textId="77777777" w:rsidTr="0033429D">
        <w:tc>
          <w:tcPr>
            <w:tcW w:w="222" w:type="pct"/>
            <w:shd w:val="clear" w:color="auto" w:fill="auto"/>
            <w:vAlign w:val="center"/>
          </w:tcPr>
          <w:p w14:paraId="55D0C26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5" w:type="pct"/>
            <w:shd w:val="clear" w:color="auto" w:fill="auto"/>
            <w:vAlign w:val="center"/>
          </w:tcPr>
          <w:p w14:paraId="417A1835" w14:textId="2D3EBAB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vAlign w:val="center"/>
          </w:tcPr>
          <w:p w14:paraId="44BE7183" w14:textId="372995B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91579BE" w14:textId="5B3AC2A8"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EC4EFC" w14:textId="6F6CEB82" w:rsidR="004E1F6F" w:rsidRPr="005C29F8" w:rsidRDefault="004E1F6F" w:rsidP="004E1F6F">
            <w:pPr>
              <w:jc w:val="center"/>
              <w:rPr>
                <w:rFonts w:cs="Arial"/>
                <w:color w:val="000000" w:themeColor="text1"/>
                <w:szCs w:val="16"/>
              </w:rPr>
            </w:pPr>
            <w:r w:rsidRPr="005C29F8">
              <w:rPr>
                <w:rFonts w:cs="Arial"/>
                <w:color w:val="000000" w:themeColor="text1"/>
                <w:szCs w:val="16"/>
              </w:rPr>
              <w:t>87.56%</w:t>
            </w:r>
          </w:p>
        </w:tc>
        <w:tc>
          <w:tcPr>
            <w:tcW w:w="766" w:type="pct"/>
            <w:shd w:val="clear" w:color="auto" w:fill="auto"/>
            <w:vAlign w:val="center"/>
          </w:tcPr>
          <w:p w14:paraId="2F9ECEAC" w14:textId="71242CE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A6B6E01" w14:textId="19B1EBA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6680E2F" w14:textId="49C1FE7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60F4D140" w14:textId="13A321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Data files: https://dpi.wi.gov/wisedash/download-files/type?field_wisedash_upload_type_value=Forward; https://dpi.wi.gov/wisedash/download-files/type?field_wisedash_upload_type_value=ACT11</w:t>
      </w:r>
      <w:r w:rsidRPr="005C29F8">
        <w:rPr>
          <w:rFonts w:cs="Arial"/>
          <w:color w:val="000000" w:themeColor="text1"/>
          <w:szCs w:val="16"/>
        </w:rPr>
        <w:br/>
        <w:t>Dashboard: https://wisedash.dpi.wi.gov/Dashboard/index.html</w:t>
      </w:r>
      <w:r w:rsidRPr="005C29F8">
        <w:rPr>
          <w:rFonts w:cs="Arial"/>
          <w:color w:val="000000" w:themeColor="text1"/>
          <w:szCs w:val="16"/>
        </w:rPr>
        <w:br/>
        <w:t>Special Education District Profiles: https://sped.dpi.wi.gov/spedprofile</w:t>
      </w:r>
    </w:p>
    <w:p w14:paraId="2BE473B4" w14:textId="77777777" w:rsidR="00053391" w:rsidRPr="005C29F8" w:rsidRDefault="00053391" w:rsidP="004369B2">
      <w:pPr>
        <w:rPr>
          <w:b/>
          <w:color w:val="000000" w:themeColor="text1"/>
        </w:rPr>
      </w:pPr>
      <w:bookmarkStart w:id="17" w:name="_Toc382082367"/>
      <w:bookmarkStart w:id="18"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No data is available for this indicator in the 2019-20 school year. In a letter dated March 27, 2020, the U.S. Department of Education, Office of Elementary and Secondary Education, waived Wisconsin's statewide assessment, accountability and reporting requirements in the Elementary and Secondary Education Act (ESEA) for the 2019-2020 school year due to widespread</w:t>
      </w:r>
      <w:r w:rsidRPr="005C29F8">
        <w:rPr>
          <w:rFonts w:cs="Arial"/>
          <w:color w:val="000000" w:themeColor="text1"/>
          <w:szCs w:val="16"/>
        </w:rPr>
        <w:br/>
        <w:t xml:space="preserve">school closures related to the novel Coronavirus disease (COVID-19).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t>Indicator 3C: Proficiency for Students with IEPs</w:t>
      </w:r>
      <w:bookmarkEnd w:id="17"/>
      <w:bookmarkEnd w:id="18"/>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9" w:name="_Toc384383330"/>
      <w:bookmarkStart w:id="20" w:name="_Toc392159282"/>
      <w:bookmarkStart w:id="21"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11</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43.80%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19.01%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19.01%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21.20%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19.01%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27.88%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19.01%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18.71%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16.24%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14.72%</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37.80%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43.80%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18.00%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18.00%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21.20%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18.00%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25.28%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18.00%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18.97%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17.99%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16.45%</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37.80%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43.80%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14.80%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17.40%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21.20%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14.77%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22.89%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14.77%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15.30%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14.72%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12.38%</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37.80%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43.80%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13.60%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17.40%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21.20%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12.42%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16.54%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12.42%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12.30%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10.91%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10.58%</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37.80%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43.80%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13.60%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17.40%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21.20%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12.51%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16.88%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12.51%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12.00%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11.99%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11.67%</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37.80%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43.80%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13.60%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17.40%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21.20%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11.06%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18.97%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11.06%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10.46%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9.01%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8.56%</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37.80%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43.80%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13.60%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17.40%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21.20%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Grade 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11.83%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14.00%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11.83%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10.23%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9.95%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9.70%</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50.40%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57.80%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24.20%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24.20%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24.20%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24.12%</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29.14%</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24.12%</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23.90%</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24.34%</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23.13%</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50.40%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57.80%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20.70%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20.70%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20.66%</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24.49%</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20.66%</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19.37%</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19.52%</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19.20%</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50.40%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57.80%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17.40%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17.40%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17.37%</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16.62%</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17.37%</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16.30%</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17.05%</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17.20%</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50.40%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57.80%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13.60%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17.30%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21.00%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13.05%</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14.24%</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13.05%</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12.70%</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11.89%</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11.65%</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50.40%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57.80%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13.60%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17.30%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9.86%</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13.25%</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9.86%</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9.65%</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9.00%</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8.84%</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50.40%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57.80%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13.60%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17.30%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7.27%</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10.66%</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7.27%</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6.59%</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7.12%</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6.98%</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11</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50.40%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57.80%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13.60%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17.30%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11</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6.12%</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7.67%</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6.12%</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6.82%</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6.56%</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5.22%</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21.20%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21.20%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21.20%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21.20%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21.20%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21.20%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11</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21.20%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24.20%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21.00%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21.00%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21.00%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21.00%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21.00%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11</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21.00%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14.72%</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21.20%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16.45%</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21.20%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12.38%</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21.20%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10.58%</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21.20%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11.67%</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21.20%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8.56%</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21.20%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9.70%</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21.20%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23.13%</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24.20%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19.20%</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21.00%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17.20%</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21.00%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11.65%</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21.00%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8.84%</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21.00%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6.98%</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21.00%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11</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5.22%</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21.00%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Data files: https://dpi.wi.gov/wisedash/download-files/type?field_wisedash_upload_type_value=Forward; https://dpi.wi.gov/wisedash/download-files/type?field_wisedash_upload_type_value=ACT11</w:t>
      </w:r>
      <w:r w:rsidRPr="00DD3719">
        <w:rPr>
          <w:rFonts w:cs="Arial"/>
          <w:color w:val="000000" w:themeColor="text1"/>
          <w:szCs w:val="16"/>
          <w:shd w:val="clear" w:color="auto" w:fill="FFFFFF"/>
        </w:rPr>
        <w:br/>
        <w:t>Dashboard: https://wisedash.dpi.wi.gov/Dashboard/index.html</w:t>
      </w:r>
      <w:r w:rsidRPr="00DD3719">
        <w:rPr>
          <w:rFonts w:cs="Arial"/>
          <w:color w:val="000000" w:themeColor="text1"/>
          <w:szCs w:val="16"/>
          <w:shd w:val="clear" w:color="auto" w:fill="FFFFFF"/>
        </w:rPr>
        <w:br/>
        <w:t>Special Education District Profiles: https://sped.dpi.wi.gov/spedprofile</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No data is available for this indicator in the 2019-20 school year. In a letter dated March 27, 2020, the U.S. Department of Education, Office of Elementary and Secondary Education, waived Wisconsin's statewide assessment, accountability and reporting requirements in the Elementary and Secondary Education Act (ESEA) for the 2019-2020 school year due to widespread</w:t>
      </w:r>
      <w:r w:rsidRPr="005C29F8">
        <w:rPr>
          <w:rFonts w:cs="Arial"/>
          <w:color w:val="000000" w:themeColor="text1"/>
          <w:szCs w:val="16"/>
          <w:shd w:val="clear" w:color="auto" w:fill="FFFFFF"/>
        </w:rPr>
        <w:br/>
        <w:t xml:space="preserve">school closures related to the novel Coronavirus disease (COVID-19). </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t>Indicator 4A: Suspension/Expulsion</w:t>
      </w:r>
      <w:bookmarkEnd w:id="19"/>
      <w:bookmarkEnd w:id="20"/>
    </w:p>
    <w:p w14:paraId="6B24B370" w14:textId="77777777" w:rsidR="006E5AE4" w:rsidRPr="005C29F8" w:rsidRDefault="006E5AE4" w:rsidP="00A018D4">
      <w:pPr>
        <w:rPr>
          <w:color w:val="000000" w:themeColor="text1"/>
          <w:szCs w:val="20"/>
        </w:rPr>
      </w:pPr>
      <w:bookmarkStart w:id="22" w:name="_Toc384383331"/>
      <w:bookmarkStart w:id="23"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of districts that meet the State-established n size (if applicable) that have a significant discrepancy in the rates of suspensions and expulsions for greater than 10 days in a school year of children with IEPs) divided by the (# of districts in the State that meet the State-established n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If the State has established a minimum n size requirement, the State may only include, in both the numerator and the denominator, districts that met that State-established n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4" w:name="_Toc384383332"/>
      <w:bookmarkStart w:id="25" w:name="_Toc392159284"/>
      <w:bookmarkEnd w:id="22"/>
      <w:bookmarkEnd w:id="23"/>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4.00%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2.24%</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2.45%</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2.45%</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4.50%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33.33%</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2.50%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4"/>
      <w:bookmarkEnd w:id="25"/>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16</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446</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33.33%</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3.59%</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DPI defines significant discrepancy as a district rate of suspension or expulsion for students with IEPs of greater than ten days that is two standard deviations above the average statewide rate (statewide risk). For FFY 2019 reporting (using data from the 2018-19 school year), the average statewide risk was 0.2506% and the standard deviation was 0.6625%. Thus, districts with a rate of suspension or expulsion greater than 1.5755% were identified with significant discrepancy for FFY 2019 reporting.</w:t>
      </w:r>
    </w:p>
    <w:p w14:paraId="47F07052" w14:textId="77777777" w:rsidR="00BB504D" w:rsidRPr="005C29F8" w:rsidRDefault="00BB504D" w:rsidP="004369B2">
      <w:pPr>
        <w:rPr>
          <w:b/>
          <w:color w:val="000000" w:themeColor="text1"/>
        </w:rPr>
      </w:pPr>
      <w:bookmarkStart w:id="26" w:name="_Toc384383334"/>
      <w:bookmarkStart w:id="27"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6"/>
    <w:bookmarkEnd w:id="27"/>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For districts identified in FFY 2019 with significant discrepancy (using 2018-19 data), a review was conducted of the district's policies, procedures, and practices that impact suspension and expulsion rates, including the development and implementation of IEPs, the use of positive behavioral interventions and supports, and procedural safeguards as required by 34 CFR § 300.170(b). The districts have either adopted DPI's model policies and procedures or have submitted policies and procedures that have been reviewed and approved by DPI staff. Likewise, with IEP forms, the districts have either adopted the department's model IEP forms or use forms approved by DPI. In addition, DPI staff review IDEA State complaint decisions, due process decisions, and pupil nondiscrimination appeals and, when necessary, conduct additional record reviews and interviews using standard protocols. Based on DPI's review, it was determined that the policies, procedures, and practices were in compliance for all districts identified under Indicator 4A.</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8" w:name="_Toc381956335"/>
      <w:bookmarkStart w:id="29" w:name="_Toc384383336"/>
      <w:bookmarkStart w:id="30"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t>Indicator 4B: Suspension/Expulsion</w:t>
      </w:r>
      <w:bookmarkEnd w:id="28"/>
      <w:bookmarkEnd w:id="29"/>
      <w:bookmarkEnd w:id="30"/>
    </w:p>
    <w:p w14:paraId="1BA30D93" w14:textId="77777777" w:rsidR="008637F8" w:rsidRPr="005C29F8" w:rsidRDefault="008637F8" w:rsidP="00A018D4">
      <w:pPr>
        <w:rPr>
          <w:color w:val="000000" w:themeColor="text1"/>
          <w:szCs w:val="20"/>
        </w:rPr>
      </w:pPr>
      <w:bookmarkStart w:id="31" w:name="_Toc384383338"/>
      <w:bookmarkStart w:id="32"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districts that meet the State-established n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n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has established a minimum n size requirement, the State may only include, in both the numerator and the denominator, districts that met that State-established n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Indicator 4B: Provide the following: (a) the number of districts that met the State-established n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0.23%</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1"/>
      <w:bookmarkEnd w:id="32"/>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NO</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in the State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60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446</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3"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DPI defines significant discrepancy as a district rate of suspension or expulsion for students with IEPs of greater than ten days that is two standard deviations above the average statewide rate (statewide risk). For FFY 2019 reporting (using data from the 2018-19 school year), the average statewide risk was 0.2506% and the standard deviation was 0.6625%. Thus, districts with a rate of suspension or expulsion greater than 1.5755% were identified with significant discrepancy for FFY 2019 reporting.</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For districts identified in FFY 2019 with significant discrepancy (using 2018-2019 data), DPI conducted a review of the districts' policies, procedures, and practices that impact suspension and expulsion rates, including the development and implementation of IEPs, the use of positive behavioral interventions and supports, and procedural safeguards as required by 34 CFR §300.170(b). The districts have either adopted DPI's model policies and procedures or have submitted policies and procedures that have been reviewed and approved by DPI staff. Likewise, with IEP forms, the districts have either adopted the department's model IEP forms or use forms approved by DPI. In addition, identified districts conduct a Disproportionality Procedural Compliance Self-Assessment where districts review a sample of student records, disaggregated by race, and assess related compliance items as identified by OSEP, which is verified by the department. DPI also reviewed IDEA State complaint decisions, due process decisions, and pupil nondiscrimination appeals, and conducted additional record reviews and interviews using standard protocols. Based on the review as described above, there were zero districts with policies, procedures, or practices that contributed to the significant discrepancy and did not comply with a procedural safeguard provision under 34 CFR § 300.530.</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9A755E" w:rsidP="00A018D4">
            <w:pPr>
              <w:jc w:val="center"/>
              <w:rPr>
                <w:rFonts w:cs="Arial"/>
                <w:color w:val="000000" w:themeColor="text1"/>
                <w:szCs w:val="16"/>
              </w:rPr>
            </w:pPr>
          </w:p>
        </w:tc>
        <w:tc>
          <w:tcPr>
            <w:tcW w:w="1271" w:type="pct"/>
            <w:shd w:val="clear" w:color="auto" w:fill="auto"/>
          </w:tcPr>
          <w:p w14:paraId="58D166B5" w14:textId="6ADFFC16" w:rsidR="009A755E" w:rsidRPr="005C29F8" w:rsidRDefault="009A755E" w:rsidP="00A018D4">
            <w:pPr>
              <w:jc w:val="center"/>
              <w:rPr>
                <w:rFonts w:cs="Arial"/>
                <w:color w:val="000000" w:themeColor="text1"/>
                <w:szCs w:val="16"/>
              </w:rPr>
            </w:pP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9A755E" w:rsidP="00A018D4">
            <w:pPr>
              <w:jc w:val="center"/>
              <w:rPr>
                <w:rFonts w:cs="Arial"/>
                <w:color w:val="000000" w:themeColor="text1"/>
                <w:szCs w:val="16"/>
              </w:rPr>
            </w:pP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t xml:space="preserve">Indicator 5: </w:t>
      </w:r>
      <w:bookmarkEnd w:id="14"/>
      <w:r w:rsidRPr="005C29F8">
        <w:rPr>
          <w:color w:val="000000" w:themeColor="text1"/>
          <w:sz w:val="22"/>
        </w:rPr>
        <w:t>Education Environments (children 6-21)</w:t>
      </w:r>
      <w:bookmarkEnd w:id="21"/>
      <w:bookmarkEnd w:id="33"/>
    </w:p>
    <w:p w14:paraId="52AD89A1" w14:textId="77777777" w:rsidR="00775845" w:rsidRPr="005C29F8" w:rsidRDefault="00775845" w:rsidP="00A018D4">
      <w:pPr>
        <w:rPr>
          <w:color w:val="000000" w:themeColor="text1"/>
          <w:szCs w:val="20"/>
        </w:rPr>
      </w:pPr>
      <w:bookmarkStart w:id="34"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4"/>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63.60%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66.80%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68.40%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70.00%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50.83%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65.10%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66.22%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67.39%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68.94%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70.14%</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9.10%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8.70%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8.30%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7.90%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12.09%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9.56%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9.16%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8.84%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8.48%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8.47%</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0.95%</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1.30%</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70.00%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7.90%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0.95%</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107,678</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77,111</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8,771</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961</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207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243</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77,111</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107,678</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70.14%</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71.61%</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8,771</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107,678</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8.47%</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7.90%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8.15%</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1,411</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107,678</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0.95%</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1.31%</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t>Indicator 6: Preschool Environments</w:t>
      </w:r>
    </w:p>
    <w:p w14:paraId="0EEB38B7" w14:textId="59C9FCA0" w:rsidR="00897094" w:rsidRPr="005C29F8" w:rsidRDefault="00897094" w:rsidP="00A018D4">
      <w:pPr>
        <w:rPr>
          <w:color w:val="000000" w:themeColor="text1"/>
          <w:szCs w:val="20"/>
        </w:rPr>
      </w:pPr>
      <w:bookmarkStart w:id="35"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r w:rsidR="00CC634E" w:rsidRPr="005C29F8">
        <w:rPr>
          <w:rFonts w:cs="Arial"/>
          <w:color w:val="000000" w:themeColor="text1"/>
          <w:szCs w:val="16"/>
        </w:rPr>
        <w:t>the majority of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5"/>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33.50%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34.50%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35.50%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36.50%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37.50%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30.98%</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35.16%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35.91%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32.43%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34.66%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35.35%</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21.25%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20.25%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19.25%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18.25%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17.25%</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25.89%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18.53%</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16.75%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19.36%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17.82%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16.25%</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37.50%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17.25%</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6" w:name="_Toc382082378"/>
      <w:bookmarkStart w:id="37"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16,665</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a1. Number of children attending a regular early childhood program and receiving the majority of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6,201</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2,559</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22</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701145">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701145">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701145">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701145">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701145">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701145">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701145">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701145">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701145">
            <w:pPr>
              <w:rPr>
                <w:rFonts w:cs="Arial"/>
                <w:color w:val="000000" w:themeColor="text1"/>
                <w:szCs w:val="16"/>
              </w:rPr>
            </w:pPr>
            <w:r w:rsidRPr="005C29F8">
              <w:rPr>
                <w:rFonts w:cs="Arial"/>
                <w:color w:val="000000" w:themeColor="text1"/>
                <w:szCs w:val="16"/>
                <w:shd w:val="clear" w:color="auto" w:fill="FFFFFF"/>
              </w:rPr>
              <w:t>A. A regular early childhood program and receiving the majority of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6,201</w:t>
            </w:r>
          </w:p>
          <w:p w14:paraId="15603987" w14:textId="77777777" w:rsidR="007239EC" w:rsidRPr="005C29F8" w:rsidRDefault="007239EC" w:rsidP="00701145">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16,665</w:t>
            </w:r>
          </w:p>
        </w:tc>
        <w:tc>
          <w:tcPr>
            <w:tcW w:w="518" w:type="pct"/>
            <w:shd w:val="clear" w:color="auto" w:fill="auto"/>
            <w:vAlign w:val="center"/>
          </w:tcPr>
          <w:p w14:paraId="328B9CCF"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35.35%</w:t>
            </w:r>
          </w:p>
        </w:tc>
        <w:tc>
          <w:tcPr>
            <w:tcW w:w="518" w:type="pct"/>
            <w:shd w:val="clear" w:color="auto" w:fill="auto"/>
            <w:vAlign w:val="center"/>
          </w:tcPr>
          <w:p w14:paraId="310B8439"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37.50%</w:t>
            </w:r>
          </w:p>
        </w:tc>
        <w:tc>
          <w:tcPr>
            <w:tcW w:w="518" w:type="pct"/>
            <w:shd w:val="clear" w:color="auto" w:fill="auto"/>
            <w:vAlign w:val="center"/>
          </w:tcPr>
          <w:p w14:paraId="21DC3C13"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37.21%</w:t>
            </w:r>
          </w:p>
        </w:tc>
        <w:tc>
          <w:tcPr>
            <w:tcW w:w="518" w:type="pct"/>
            <w:shd w:val="clear" w:color="auto" w:fill="auto"/>
            <w:vAlign w:val="center"/>
          </w:tcPr>
          <w:p w14:paraId="18F975AE"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701145">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2,581</w:t>
            </w:r>
          </w:p>
        </w:tc>
        <w:tc>
          <w:tcPr>
            <w:tcW w:w="518" w:type="pct"/>
            <w:shd w:val="clear" w:color="auto" w:fill="auto"/>
            <w:vAlign w:val="center"/>
          </w:tcPr>
          <w:p w14:paraId="60383339"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16,665</w:t>
            </w:r>
          </w:p>
        </w:tc>
        <w:tc>
          <w:tcPr>
            <w:tcW w:w="518" w:type="pct"/>
            <w:shd w:val="clear" w:color="auto" w:fill="auto"/>
            <w:vAlign w:val="center"/>
          </w:tcPr>
          <w:p w14:paraId="6711F61C"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16.25%</w:t>
            </w:r>
          </w:p>
        </w:tc>
        <w:tc>
          <w:tcPr>
            <w:tcW w:w="518" w:type="pct"/>
            <w:shd w:val="clear" w:color="auto" w:fill="auto"/>
            <w:vAlign w:val="center"/>
          </w:tcPr>
          <w:p w14:paraId="371B794C"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17.25%</w:t>
            </w:r>
          </w:p>
        </w:tc>
        <w:tc>
          <w:tcPr>
            <w:tcW w:w="518" w:type="pct"/>
            <w:shd w:val="clear" w:color="auto" w:fill="auto"/>
            <w:vAlign w:val="center"/>
          </w:tcPr>
          <w:p w14:paraId="34092C61"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15.49%</w:t>
            </w:r>
          </w:p>
        </w:tc>
        <w:tc>
          <w:tcPr>
            <w:tcW w:w="518" w:type="pct"/>
            <w:shd w:val="clear" w:color="auto" w:fill="auto"/>
            <w:vAlign w:val="center"/>
          </w:tcPr>
          <w:p w14:paraId="5EF861EC"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701145">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t>Indicator 7: Preschool Outcomes</w:t>
      </w:r>
      <w:bookmarkEnd w:id="36"/>
      <w:bookmarkEnd w:id="37"/>
    </w:p>
    <w:p w14:paraId="1404DCF9" w14:textId="77777777" w:rsidR="00531E54" w:rsidRPr="005C29F8" w:rsidRDefault="00531E54" w:rsidP="00A018D4">
      <w:pPr>
        <w:rPr>
          <w:color w:val="000000" w:themeColor="text1"/>
          <w:szCs w:val="20"/>
        </w:rPr>
      </w:pPr>
      <w:bookmarkStart w:id="38"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8"/>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78.70%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78.90%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79.10%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79.30%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79.50%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78.20%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79.13%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80.68%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73.98%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69.35%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69.50%</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74.50%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75.00%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72.50%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64.55%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65.10%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61.34%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61.97%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61.52%</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79.85%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80.20%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80.55%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80.90%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81.25%</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82.08%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83.87%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77.55%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74.23%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72.97%</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61.20%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61.40%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61.80%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62.00%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60.80%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53.20%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51.08%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51.93%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51.69%</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78.90%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79.30%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79.70%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80.10%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80.50%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78.20%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81.34%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83.07%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77.56%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74.83%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73.06%</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81.70%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81.90%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82.10%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82.30%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82.50%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81.30%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75.41%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74.77%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72.27%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71.84%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71.11%</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79.50%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75.00%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81.25%</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62.00%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80.50%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82.50%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7,317</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83</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1.13%</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1,615</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22.07%</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1,188</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16.24%</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2,314</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31.62%</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2,117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28.93%</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alculation:(c+d)/(a+b+c+d)</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3,502</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5,200</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69.50%</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79.50%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67.35%</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(d+e)/(a+b+c+d+e)</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4,431</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7,317</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61.52%</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75.00%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60.56%</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71</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0.97%</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1,843</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25.19%</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1,732</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23.67%</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2,955</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40.39%</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716</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9.79%</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(c+d)/(a+b+c+d)</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4,687</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6,601</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72.97%</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81.25%</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(d+e)/(a+b+c+d+e)</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3,671</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7,317</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51.69%</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62.00%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50.17%</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70</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0.96%</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1,301</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17.78%</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932</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12.74%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2,354</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32.17%</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2,660</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36.35%</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Calculation:(c+d)/(a+b+c+d)</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3,286</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4,657</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73.06%</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80.50%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70.56%</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(d+e)/(a+b+c+d+e)</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5,014</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7,317</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71.11%</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68.53%</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DPI introduced during the 2016-17 school year a web-based application for the reporting of child outcomes. This application guides the child outcomes team through the rating process by use of the Child Outcomes Decision Tree. This guided approach has led to more accurate rating reporting, which has resulted in slippage.</w:t>
            </w:r>
            <w:r w:rsidRPr="005C29F8">
              <w:rPr>
                <w:rFonts w:cs="Arial"/>
                <w:color w:val="000000" w:themeColor="text1"/>
                <w:szCs w:val="16"/>
              </w:rPr>
              <w:br/>
            </w:r>
            <w:r w:rsidRPr="005C29F8">
              <w:rPr>
                <w:rFonts w:cs="Arial"/>
                <w:color w:val="000000" w:themeColor="text1"/>
                <w:szCs w:val="16"/>
              </w:rPr>
              <w:br/>
              <w:t>Statewide training has been provided throughout the state specific to the three early childhood indicators. For Indicator 7, this training focused on the use of an age-anchoring assessment tool to accurately rate a child, as well as the need for ongoing assessment to inform instruction. DPI, through discretionary grants, provides both targeted and statewide technical assistance to improve early childhood outcomes. DPI funds twelve regional early childhood program support teachers, a position working directly with the largest school district, and a statewide early childhood coordinator. These regional discretionary grant staff members provide professional development statewide, as well as targeted to specific districts, and are directly involved in supporting DPI’s work related to College and Career Ready IEPs. The professional development provided by the regional discretionary grant focuses on the development and implementation of quality IEPs at the early childhood level.</w:t>
            </w:r>
            <w:r w:rsidRPr="005C29F8">
              <w:rPr>
                <w:rFonts w:cs="Arial"/>
                <w:color w:val="000000" w:themeColor="text1"/>
                <w:szCs w:val="16"/>
              </w:rPr>
              <w:br/>
            </w:r>
            <w:r w:rsidRPr="005C29F8">
              <w:rPr>
                <w:rFonts w:cs="Arial"/>
                <w:color w:val="000000" w:themeColor="text1"/>
                <w:szCs w:val="16"/>
              </w:rPr>
              <w:br/>
              <w:t>DPI has also launched a statewide initiative focusing on preschool inclusion. Focus districts have been identified through the use of data. The regional discretionary grant staff are directly working with these focus districts to increase opportunities for young children to receive special education and related services in inclusive settings. It is expected that expanded access to high quality preschool inclusion will lead to more positive outcomes for young children.</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DPI introduced during the 2016-17 school year a web-based application for the reporting of child outcomes. This application guides the child outcomes team through the rating process by use of the Child Outcomes Decision Tree. This guided approach has led to more accurate rating reporting, which has resulted in slippage.</w:t>
            </w:r>
            <w:r w:rsidRPr="005C29F8">
              <w:rPr>
                <w:rFonts w:cs="Arial"/>
                <w:color w:val="000000" w:themeColor="text1"/>
                <w:szCs w:val="16"/>
              </w:rPr>
              <w:br/>
            </w:r>
            <w:r w:rsidRPr="005C29F8">
              <w:rPr>
                <w:rFonts w:cs="Arial"/>
                <w:color w:val="000000" w:themeColor="text1"/>
                <w:szCs w:val="16"/>
              </w:rPr>
              <w:br/>
              <w:t>Statewide training has been provided throughout the state specific to the three early childhood indicators. For Indicator 7, this training focused on the use of an age-anchoring assessment tool to accurately rate a child, as well as the need for ongoing assessment to inform instruction. DPI, through discretionary grants, provides both targeted and statewide technical assistance to improve early childhood outcomes. DPI funds twelve regional early childhood program support teachers, a position working directly with the largest school district, and a statewide early childhood coordinator. These regional discretionary grant staff members provide professional development statewide, as well as targeted to specific districts, and are directly involved in supporting DPI’s work related to College and Career Ready IEPs. The professional development provided by the regional discretionary grant focuses on the development and implementation of quality IEPs at the early childhood level.</w:t>
            </w:r>
            <w:r w:rsidRPr="005C29F8">
              <w:rPr>
                <w:rFonts w:cs="Arial"/>
                <w:color w:val="000000" w:themeColor="text1"/>
                <w:szCs w:val="16"/>
              </w:rPr>
              <w:br/>
            </w:r>
            <w:r w:rsidRPr="005C29F8">
              <w:rPr>
                <w:rFonts w:cs="Arial"/>
                <w:color w:val="000000" w:themeColor="text1"/>
                <w:szCs w:val="16"/>
              </w:rPr>
              <w:br/>
              <w:t>DPI has also launched a statewide initiative focusing on preschool inclusion. Focus districts have been identified through the use of data. The regional discretionary grant staff are directly working with these focus districts to increase opportunities for young children to receive special education and related services in inclusive settings. It is expected that expanded access to high quality preschool inclusion will lead to more positive outcomes for young children.</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DPI introduced during the 2016-17 school year a web-based application for the reporting of child outcomes. This application guides the child outcomes team through the rating process by use of the Child Outcomes Decision Tree. This guided approach has led to more accurate rating reporting, which has resulted in slippage.</w:t>
            </w:r>
            <w:r w:rsidRPr="005C29F8">
              <w:rPr>
                <w:rFonts w:cs="Arial"/>
                <w:color w:val="000000" w:themeColor="text1"/>
                <w:szCs w:val="16"/>
              </w:rPr>
              <w:br/>
            </w:r>
            <w:r w:rsidRPr="005C29F8">
              <w:rPr>
                <w:rFonts w:cs="Arial"/>
                <w:color w:val="000000" w:themeColor="text1"/>
                <w:szCs w:val="16"/>
              </w:rPr>
              <w:br/>
              <w:t>Statewide training has been provided throughout the state specific to the three early childhood indicators. For Indicator 7, this training focused on the use of an age-anchoring assessment tool to accurately rate a child, as well as the need for ongoing assessment to inform instruction. DPI, through discretionary grants, provides both targeted and statewide technical assistance to improve early childhood outcomes. DPI funds twelve regional early childhood program support teachers, a position working directly with the largest school district, and a statewide early childhood coordinator. These regional discretionary grant staff members provide professional development statewide, as well as targeted to specific districts, and are directly involved in supporting DPI’s work related to College and Career Ready IEPs. The professional development provided by the regional discretionary grant focuses on the development and implementation of quality IEPs at the early childhood level.</w:t>
            </w:r>
            <w:r w:rsidRPr="005C29F8">
              <w:rPr>
                <w:rFonts w:cs="Arial"/>
                <w:color w:val="000000" w:themeColor="text1"/>
                <w:szCs w:val="16"/>
              </w:rPr>
              <w:br/>
            </w:r>
            <w:r w:rsidRPr="005C29F8">
              <w:rPr>
                <w:rFonts w:cs="Arial"/>
                <w:color w:val="000000" w:themeColor="text1"/>
                <w:szCs w:val="16"/>
              </w:rPr>
              <w:br/>
              <w:t>DPI has also launched a statewide initiative focusing on preschool inclusion. Focus districts have been identified through the use of data. The regional discretionary grant staff are directly working with these focus districts to increase opportunities for young children to receive special education and related services in inclusive settings. It is expected that expanded access to high quality preschool inclusion will lead to more positive outcomes for young children.</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DPI introduced during the 2016-17 school year a web-based application for the reporting of child outcomes. This application guides the child outcomes team through the rating process by use of the Child Outcomes Decision Tree. This guided approach has led to more accurate rating reporting, which has resulted in slippage.</w:t>
            </w:r>
            <w:r w:rsidRPr="005C29F8">
              <w:rPr>
                <w:rFonts w:cs="Arial"/>
                <w:color w:val="000000" w:themeColor="text1"/>
                <w:szCs w:val="16"/>
              </w:rPr>
              <w:br/>
            </w:r>
            <w:r w:rsidRPr="005C29F8">
              <w:rPr>
                <w:rFonts w:cs="Arial"/>
                <w:color w:val="000000" w:themeColor="text1"/>
                <w:szCs w:val="16"/>
              </w:rPr>
              <w:br/>
              <w:t>Statewide training has been provided throughout the state specific to the three early childhood indicators. For Indicator 7, this training focused on the use of an age-anchoring assessment tool to accurately rate a child, as well as the need for ongoing assessment to inform instruction. DPI, through discretionary grants, provides both targeted and statewide technical assistance to improve early childhood outcomes. DPI funds twelve regional early childhood program support teachers, a position working directly with the largest school district, and a statewide early childhood coordinator. These regional discretionary grant staff members provide professional development statewide, as well as targeted to specific districts, and are directly involved in supporting DPI’s work related to College and Career Ready IEPs. The professional development provided by the regional discretionary grant focuses on the development and implementation of quality IEPs at the early childhood level.</w:t>
            </w:r>
            <w:r w:rsidRPr="005C29F8">
              <w:rPr>
                <w:rFonts w:cs="Arial"/>
                <w:color w:val="000000" w:themeColor="text1"/>
                <w:szCs w:val="16"/>
              </w:rPr>
              <w:br/>
            </w:r>
            <w:r w:rsidRPr="005C29F8">
              <w:rPr>
                <w:rFonts w:cs="Arial"/>
                <w:color w:val="000000" w:themeColor="text1"/>
                <w:szCs w:val="16"/>
              </w:rPr>
              <w:br/>
              <w:t>DPI has also launched a statewide initiative focusing on preschool inclusion. Focus districts have been identified through the use of data. The regional discretionary grant staff are directly working with these focus districts to increase opportunities for young children to receive special education and related services in inclusive settings. It is expected that expanded access to high quality preschool inclusion will lead to more positive outcomes for young children.</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DPI introduced during the 2016-17 school year a web-based application for the reporting of child outcomes. This application guides the child outcomes team through the rating process by use of the Child Outcomes Decision Tree. This guided approach has led to more accurate rating reporting, which has resulted in slippage.</w:t>
            </w:r>
            <w:r w:rsidRPr="005C29F8">
              <w:rPr>
                <w:rFonts w:cs="Arial"/>
                <w:color w:val="000000" w:themeColor="text1"/>
                <w:szCs w:val="16"/>
              </w:rPr>
              <w:br/>
            </w:r>
            <w:r w:rsidRPr="005C29F8">
              <w:rPr>
                <w:rFonts w:cs="Arial"/>
                <w:color w:val="000000" w:themeColor="text1"/>
                <w:szCs w:val="16"/>
              </w:rPr>
              <w:br/>
              <w:t>Statewide training has been provided throughout the state specific to the three early childhood indicators. For Indicator 7, this training focused on the use of an age-anchoring assessment tool to accurately rate a child, as well as the need for ongoing assessment to inform instruction. DPI, through discretionary grants, provides both targeted and statewide technical assistance to improve early childhood outcomes. DPI funds twelve regional early childhood program support teachers, a position working directly with the largest school district, and a statewide early childhood coordinator. These regional discretionary grant staff members provide professional development statewide, as well as targeted to specific districts, and are directly involved in supporting DPI’s work related to College and Career Ready IEPs. The professional development provided by the regional discretionary grant focuses on the development and implementation of quality IEPs at the early childhood level.</w:t>
            </w:r>
            <w:r w:rsidRPr="005C29F8">
              <w:rPr>
                <w:rFonts w:cs="Arial"/>
                <w:color w:val="000000" w:themeColor="text1"/>
                <w:szCs w:val="16"/>
              </w:rPr>
              <w:br/>
            </w:r>
            <w:r w:rsidRPr="005C29F8">
              <w:rPr>
                <w:rFonts w:cs="Arial"/>
                <w:color w:val="000000" w:themeColor="text1"/>
                <w:szCs w:val="16"/>
              </w:rPr>
              <w:br/>
              <w:t>DPI has also launched a statewide initiative focusing on preschool inclusion. Focus districts have been identified through the use of data. The regional discretionary grant staff are directly working with these focus districts to increase opportunities for young children to receive special education and related services in inclusive settings. It is expected that expanded access to high quality preschool inclusion will lead to more positive outcomes for young children.</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9" w:name="_Toc382082381"/>
      <w:bookmarkStart w:id="40"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During FFY19, DPI continued to use the individual child web-based application for the purpose of reporting Indicator 7 child outcomes that was</w:t>
      </w:r>
      <w:r w:rsidRPr="005C29F8">
        <w:rPr>
          <w:rFonts w:cs="Arial"/>
          <w:color w:val="000000" w:themeColor="text1"/>
          <w:szCs w:val="16"/>
        </w:rPr>
        <w:br/>
        <w:t>introduced during the 2016-17 school year. This application uses the Child Outcomes Decision Tree developed by the Early Childhood Technical</w:t>
      </w:r>
      <w:r w:rsidRPr="005C29F8">
        <w:rPr>
          <w:rFonts w:cs="Arial"/>
          <w:color w:val="000000" w:themeColor="text1"/>
          <w:szCs w:val="16"/>
        </w:rPr>
        <w:br/>
        <w:t>Assistance Center to guide the child outcomes team through the child outcomes process for both the entry and exit rating. When using the application, the child outcomes team identifies the sources of information obtained and responds to a series of questions using the Child Outcomes Decision Tree. In using the application, the child outcomes team is required to document evidence supporting the responses provided. Based on the responses provided by the child outcomes team, the child’s entry or exit rating for each outcome area is determined by the application relative to the 7-point scale used in the child outcomes process. This 7-point scale compares the child’s level of current functioning to that of same-age typically developing peers. The ratings using the 7-point scale are then converted for the purpose of reporting the child outcomes progress categories and summary statements.</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The COVID-19 impact on data completeness, validity and reliability for Indicator 7:</w:t>
      </w:r>
      <w:r w:rsidRPr="005C29F8">
        <w:rPr>
          <w:rFonts w:cs="Arial"/>
          <w:color w:val="000000" w:themeColor="text1"/>
          <w:szCs w:val="16"/>
        </w:rPr>
        <w:br/>
        <w:t>On March 13, Wisconsin Department of Health Services Secretary-designee Andrea Palm, under the direction of Gov. Evers, issued an order closing Wisconsin public and private schools, effective at 5 p.m. on March 18, 2020, and lasting through April 6, 2020; the order was subsequently extended through the end of the 2019-2020 school year. For districts, this school closure order in some cases delayed their ability to determine exit ratings at the time a child exited early childhood special education. Districts also reported using observation more than an age anchoring assessment tool when determining exit ratings. Both the delay in determining exit ratings and the reliance on observation may have impacted data for the FFY2019 reporting year.</w:t>
      </w:r>
      <w:r w:rsidRPr="005C29F8">
        <w:rPr>
          <w:rFonts w:cs="Arial"/>
          <w:color w:val="000000" w:themeColor="text1"/>
          <w:szCs w:val="16"/>
        </w:rPr>
        <w:br/>
      </w:r>
      <w:r w:rsidRPr="005C29F8">
        <w:rPr>
          <w:rFonts w:cs="Arial"/>
          <w:color w:val="000000" w:themeColor="text1"/>
          <w:szCs w:val="16"/>
        </w:rPr>
        <w:br/>
        <w:t>Explanation of how COVID-19 specifically impacted the State's ability to collect the data for the indicator:</w:t>
      </w:r>
      <w:r w:rsidRPr="005C29F8">
        <w:rPr>
          <w:rFonts w:cs="Arial"/>
          <w:color w:val="000000" w:themeColor="text1"/>
          <w:szCs w:val="16"/>
        </w:rPr>
        <w:br/>
        <w:t>N/A</w:t>
      </w:r>
      <w:r w:rsidRPr="005C29F8">
        <w:rPr>
          <w:rFonts w:cs="Arial"/>
          <w:color w:val="000000" w:themeColor="text1"/>
          <w:szCs w:val="16"/>
        </w:rPr>
        <w:br/>
      </w:r>
      <w:r w:rsidRPr="005C29F8">
        <w:rPr>
          <w:rFonts w:cs="Arial"/>
          <w:color w:val="000000" w:themeColor="text1"/>
          <w:szCs w:val="16"/>
        </w:rPr>
        <w:br/>
        <w:t>Any steps the State took to mitigate the impact of COVID-19 on the Indicator 7 data collection:</w:t>
      </w:r>
      <w:r w:rsidRPr="005C29F8">
        <w:rPr>
          <w:rFonts w:cs="Arial"/>
          <w:color w:val="000000" w:themeColor="text1"/>
          <w:szCs w:val="16"/>
        </w:rPr>
        <w:br/>
        <w:t>Through the IDEA-funded twelve regional early childhood program support teachers, a position working directly with the largest school district, and a statewide early childhood coordinator, WDPI provided specific technical assistance to districts regarding the collection of data for purposes of Indicator 7.</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t>Indicator 8: Parent involvement</w:t>
      </w:r>
      <w:bookmarkEnd w:id="39"/>
      <w:bookmarkEnd w:id="40"/>
    </w:p>
    <w:p w14:paraId="66FBCA03" w14:textId="77777777" w:rsidR="00B654C1" w:rsidRPr="005C29F8" w:rsidRDefault="00B654C1" w:rsidP="00A018D4">
      <w:pPr>
        <w:rPr>
          <w:color w:val="000000" w:themeColor="text1"/>
          <w:szCs w:val="20"/>
        </w:rPr>
      </w:pPr>
      <w:bookmarkStart w:id="41"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1"/>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2016</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88.52%</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85.50%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88.75%</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89.00%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84.66%</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83.75%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88.52%</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88.94%</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89.41%</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89.00%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1,519</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1,693</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89.41%</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89.00%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89.72%</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23,148</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7.31%</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As part of the revisions to the survey questions implemented in FFY 2016, the questions for school-age and preschool surveys were examined and paired to ensure that the subject matter of each question were comparable. As a result of this effort, respondents of both surveys complete the same number of questions covering the same types of family engagement, articulated in a manner that is most applicable to the student population being considered.</w:t>
      </w:r>
      <w:r w:rsidRPr="005C29F8">
        <w:rPr>
          <w:rFonts w:cs="Arial"/>
          <w:color w:val="000000" w:themeColor="text1"/>
          <w:szCs w:val="16"/>
        </w:rPr>
        <w:br/>
      </w:r>
      <w:r w:rsidRPr="005C29F8">
        <w:rPr>
          <w:rFonts w:cs="Arial"/>
          <w:color w:val="000000" w:themeColor="text1"/>
          <w:szCs w:val="16"/>
        </w:rPr>
        <w:br/>
        <w:t>DPI uses the following methodology for calculating Indicator 8 results: the mean rate of agreement is calculated for each completed survey, which is then summed across all respondent data and then divided by the total number of survey's submitted. Due to the interface's requirement that the numerator be an integer, this was rounded to the nearest whole number. All included surveys are weighted equally, and all partially completed surveys are counted so long as more than 50% of the survey questions were answered.</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If yes, has your previously-approved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DPI's Family Engagement Survey is conducted between February and July with roughly one-fifth of the districts in the state conducting the survey each year. Milwaukee Public Schools, with an average daily enrollment of over 50,000, conducts the survey on an annual basis. The sample of districts within each cycle are representative of the following statewide characteristics: geographic regions, total enrollment of students with disabilities, racial/ethnic makeup of the students with disabilities subgroup, and distribution of primary disabilities. For relevant demographics, a 95% confidence interval about the median was used to construct the five-year cohort cycle.</w:t>
      </w:r>
      <w:r w:rsidRPr="005C29F8">
        <w:rPr>
          <w:rFonts w:cs="Arial"/>
          <w:color w:val="000000" w:themeColor="text1"/>
          <w:szCs w:val="16"/>
        </w:rPr>
        <w:br/>
      </w:r>
      <w:r w:rsidRPr="005C29F8">
        <w:rPr>
          <w:rFonts w:cs="Arial"/>
          <w:color w:val="000000" w:themeColor="text1"/>
          <w:szCs w:val="16"/>
        </w:rPr>
        <w:br/>
        <w:t>To help ensure that results of the survey are valid and reliable, DPI requires that districts meet a minimum response rate that is calculated for each district based on the number of students with IEPs in the district. Because of an expanded population from which to solicit responses, many districts exceed their minimum response rates requirements. The FFY 2019 response rate of 7.31% yields a margin of error of 0.97% (95% CI), which is in line with the conventional measure of rigor for survey research.</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The COVID-19 impact on data completeness, validity and reliability for Indicator 8:</w:t>
      </w:r>
      <w:r w:rsidRPr="005C29F8">
        <w:rPr>
          <w:rFonts w:cs="Arial"/>
          <w:color w:val="000000" w:themeColor="text1"/>
          <w:szCs w:val="16"/>
        </w:rPr>
        <w:br/>
        <w:t>On March 13, Wisconsin Department of Health Services Secretary-designee Andrea Palm, under the direction of Gov. Evers, issued an order closing Wisconsin public and private schools, effective at 5 p.m. on March 18, 2020, and lasting through April 6, 2020; the order was subsequently extended through the end of the 2019-2020 school year. The first order took effect partway through the Indicator 8 data collection period.</w:t>
      </w:r>
      <w:r w:rsidRPr="005C29F8">
        <w:rPr>
          <w:rFonts w:cs="Arial"/>
          <w:color w:val="000000" w:themeColor="text1"/>
          <w:szCs w:val="16"/>
        </w:rPr>
        <w:br/>
      </w:r>
      <w:r w:rsidRPr="005C29F8">
        <w:rPr>
          <w:rFonts w:cs="Arial"/>
          <w:color w:val="000000" w:themeColor="text1"/>
          <w:szCs w:val="16"/>
        </w:rPr>
        <w:br/>
        <w:t>Any explanation of how COVID-19 specifically impacted the State's ability to collect the data for the indicator:</w:t>
      </w:r>
      <w:r w:rsidRPr="005C29F8">
        <w:rPr>
          <w:rFonts w:cs="Arial"/>
          <w:color w:val="000000" w:themeColor="text1"/>
          <w:szCs w:val="16"/>
        </w:rPr>
        <w:br/>
        <w:t xml:space="preserve">DPI was scheduled to implement new response rate minimums for the FFY 2019 collection which, when combined with post-collection stratified sampling, would yield representative results. Due to COVID-19, DPI delayed implementation of these strategies and, therefore, the demographics of the parents responding are not representative of the demographics of children receiving special education services. </w:t>
      </w:r>
      <w:r w:rsidRPr="005C29F8">
        <w:rPr>
          <w:rFonts w:cs="Arial"/>
          <w:color w:val="000000" w:themeColor="text1"/>
          <w:szCs w:val="16"/>
        </w:rPr>
        <w:br/>
      </w:r>
      <w:r w:rsidRPr="005C29F8">
        <w:rPr>
          <w:rFonts w:cs="Arial"/>
          <w:color w:val="000000" w:themeColor="text1"/>
          <w:szCs w:val="16"/>
        </w:rPr>
        <w:br/>
        <w:t>Any steps the State took to mitigate the impact of COVID-19 on the data collection:</w:t>
      </w:r>
      <w:r w:rsidRPr="005C29F8">
        <w:rPr>
          <w:rFonts w:cs="Arial"/>
          <w:color w:val="000000" w:themeColor="text1"/>
          <w:szCs w:val="16"/>
        </w:rPr>
        <w:br/>
        <w:t>DPI did leave the survey window open through June and DPI met with staff from the Wisconsin Statewide Parent-Educator Initiative (IDEA discretionary grant funded project, more information at https://dpi.wi.gov/sped/families/wspei) to review Indicator 8 data collection and supporting district data collection during COVID-19.</w:t>
      </w:r>
      <w:r w:rsidRPr="005C29F8">
        <w:rPr>
          <w:rFonts w:cs="Arial"/>
          <w:color w:val="000000" w:themeColor="text1"/>
          <w:szCs w:val="16"/>
        </w:rPr>
        <w:br/>
      </w:r>
      <w:r w:rsidRPr="005C29F8">
        <w:rPr>
          <w:rFonts w:cs="Arial"/>
          <w:color w:val="000000" w:themeColor="text1"/>
          <w:szCs w:val="16"/>
        </w:rPr>
        <w:br/>
        <w:t>FFY2020 and beyond</w:t>
      </w:r>
      <w:r w:rsidRPr="005C29F8">
        <w:rPr>
          <w:rFonts w:cs="Arial"/>
          <w:color w:val="000000" w:themeColor="text1"/>
          <w:szCs w:val="16"/>
        </w:rPr>
        <w:br/>
        <w:t>DPI performed an analysis of Indicator 8 demographic representation in the Spring of 2019, and concluded that major revisions to the sampling and methodology needed to take place to make survey responses representative of statewide demographics. Toward that end, DPI is implementing the following changes (will report beginning in FFY 2020): First, the minimum response rate for districts in the reporting cycle will increase to 10%. While statewide responses are already at approximately 10%,the responses are disproportionately coming from smaller, majority white districts, which skews the demographic representativeness of the results. This change is expected to double black and Hispanic response rates, but the overall representativeness would still be below achieving the 3% threshhold recommended by the National Post-School Outcomes Center guidance. Second, to address the remaining under-representation of black and Hispanic respondents, DPI will implement post-collection stratified sampling on the surveys (prioritizing race first, followed by disability reporting category). Based on data from past years, the post-stratified sampling likely can achieve a demographically representative sample while also preserving approximately 91% of responses in the statewide calculation. Recognizing the valuable contribution of time and thought each respondent provided, however, 100% of these responses will remain in district level calculations; DPI continues to recognizes the importance of facilitating dialogue between districts and families through the survey.</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Districts report the race/ethnicity and primary disability status of their students on the annual October 1st count of children with disabilities. This data is used to determine the race/ethnicity and primary disability of students whose family members completed an Indicator 8 survey. A benchmark of 3% (inline with National Post-School Outcomes Center guidance for indicator 14) is used to assess the extent to which survey data reflect the demographics of the state; namely, that parents who responded to the survey have students of diverse racial/ethnic backgrounds and primary disabilities. The attached table "FFY_2019_Ind8_Demographics.csv" compares the disability and racial/ethnic makeup of students with completed surveys with statewide demographics.</w:t>
      </w:r>
      <w:r w:rsidRPr="005C29F8">
        <w:rPr>
          <w:rFonts w:cs="Arial"/>
          <w:color w:val="000000" w:themeColor="text1"/>
          <w:szCs w:val="16"/>
        </w:rPr>
        <w:br/>
      </w:r>
      <w:r w:rsidRPr="005C29F8">
        <w:rPr>
          <w:rFonts w:cs="Arial"/>
          <w:color w:val="000000" w:themeColor="text1"/>
          <w:szCs w:val="16"/>
        </w:rPr>
        <w:br/>
        <w:t>For FFY 2019, the sample was representative of the demographics of children receiving special education services, but the responses were not. The parent responses fail to meet the 3% threshold in several areas. Among race reporting categories, Black students are underrepresented by 8.95% and Hispanic students are underrepresented by 3.43%. White students are over-represented by 13.81%. The sample is also unrepresentative along several disability reporting categories. Students with Specific Learning Disabilities are underrepresented by 3.53%, while students with Autism and Speech and Language identifications are over represented by 4.26% and 6.11%, respectively.</w:t>
      </w:r>
    </w:p>
    <w:p w14:paraId="1A0A4F5E" w14:textId="77777777" w:rsidR="00221EC9" w:rsidRPr="005C29F8" w:rsidRDefault="00221EC9" w:rsidP="00221EC9">
      <w:pPr>
        <w:rPr>
          <w:rFonts w:cs="Arial"/>
          <w:b/>
          <w:color w:val="000000" w:themeColor="text1"/>
          <w:szCs w:val="16"/>
        </w:rPr>
      </w:pPr>
      <w:bookmarkStart w:id="42" w:name="_Toc381956336"/>
      <w:bookmarkStart w:id="43" w:name="_Toc384383342"/>
      <w:bookmarkStart w:id="44" w:name="_Toc392159310"/>
      <w:bookmarkStart w:id="45"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Included in Indicator 8, Indicator Data section, above.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In its description of its FFY 2019 data, the State did not address whether the response group was representative of the demographics of children receiving special education services in the State. However, in its narrative, the State reported the sample of districts within each cycle are representative of the following statewide characteristics: geographic regions, total enrollment of students with disabilities, racial/ethnic makeup of the students with disabilities subgroup, and distribution of primary disabilities.</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3B14849" w14:textId="77777777" w:rsidR="004D7D58" w:rsidRDefault="004D7D58">
      <w:pPr>
        <w:spacing w:before="0" w:after="200" w:line="276" w:lineRule="auto"/>
        <w:rPr>
          <w:rFonts w:cs="Arial"/>
          <w:color w:val="000000" w:themeColor="text1"/>
          <w:szCs w:val="16"/>
        </w:rPr>
      </w:pPr>
    </w:p>
    <w:p w14:paraId="532EEEE9" w14:textId="1098D742" w:rsidR="004D7D58" w:rsidRPr="0033429D" w:rsidRDefault="004D7D58" w:rsidP="004D7D58">
      <w:pPr>
        <w:pStyle w:val="Heading2"/>
      </w:pPr>
      <w:r w:rsidRPr="0033429D">
        <w:t xml:space="preserve">8 - </w:t>
      </w:r>
      <w:r w:rsidR="001D7EEC">
        <w:t>State Attachments</w:t>
      </w:r>
    </w:p>
    <w:bookmarkStart w:id="46" w:name="_MON_1689411728"/>
    <w:bookmarkEnd w:id="46"/>
    <w:p w14:paraId="6D95E736" w14:textId="10394F05" w:rsidR="00102FA3" w:rsidRPr="005C29F8" w:rsidRDefault="006449AE">
      <w:pPr>
        <w:spacing w:before="0" w:after="200" w:line="276" w:lineRule="auto"/>
        <w:rPr>
          <w:rFonts w:eastAsiaTheme="majorEastAsia" w:cs="Arial"/>
          <w:b/>
          <w:bCs/>
          <w:color w:val="000000" w:themeColor="text1"/>
          <w:szCs w:val="16"/>
        </w:rPr>
      </w:pPr>
      <w:r>
        <w:rPr>
          <w:rFonts w:cs="Arial"/>
          <w:color w:val="000000" w:themeColor="text1"/>
          <w:szCs w:val="16"/>
        </w:rPr>
        <w:object w:dxaOrig="1541" w:dyaOrig="998" w14:anchorId="4D2F98C5">
          <v:shape id="_x0000_i1025" type="#_x0000_t75" alt="FFY_2019_Ind8_Demographics" style="width:77.3pt;height:50.25pt" o:ole="">
            <v:imagedata r:id="rId12" o:title=""/>
          </v:shape>
          <o:OLEObject Type="Embed" ProgID="Excel.SheetMacroEnabled.12" ShapeID="_x0000_i1025" DrawAspect="Icon" ObjectID="_1689399455" r:id="rId13"/>
        </w:object>
      </w:r>
      <w:r w:rsidR="00102FA3"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t>Indicator 9: Disproportionate Representation</w:t>
      </w:r>
      <w:bookmarkEnd w:id="42"/>
      <w:bookmarkEnd w:id="43"/>
      <w:bookmarkEnd w:id="44"/>
    </w:p>
    <w:p w14:paraId="30C4375D" w14:textId="77777777" w:rsidR="00AF5AFB" w:rsidRPr="005C29F8" w:rsidRDefault="00AF5AFB" w:rsidP="00A018D4">
      <w:pPr>
        <w:rPr>
          <w:color w:val="000000" w:themeColor="text1"/>
          <w:szCs w:val="20"/>
        </w:rPr>
      </w:pPr>
      <w:bookmarkStart w:id="47" w:name="_Toc384383343"/>
      <w:bookmarkStart w:id="48"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9" w:name="_Toc384383344"/>
      <w:bookmarkStart w:id="50" w:name="_Toc392159312"/>
      <w:bookmarkEnd w:id="47"/>
      <w:bookmarkEnd w:id="48"/>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9"/>
      <w:bookmarkEnd w:id="50"/>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23</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424</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51" w:name="_Hlk494459610"/>
      <w:r w:rsidRPr="005C29F8">
        <w:rPr>
          <w:rFonts w:cs="Arial"/>
          <w:color w:val="000000" w:themeColor="text1"/>
          <w:szCs w:val="16"/>
        </w:rPr>
        <w:t>Definition of Disproportionate Representation:</w:t>
      </w:r>
      <w:r w:rsidRPr="005C29F8">
        <w:rPr>
          <w:rFonts w:cs="Arial"/>
          <w:color w:val="000000" w:themeColor="text1"/>
          <w:szCs w:val="16"/>
        </w:rPr>
        <w:br/>
      </w:r>
      <w:r w:rsidRPr="005C29F8">
        <w:rPr>
          <w:rFonts w:cs="Arial"/>
          <w:color w:val="000000" w:themeColor="text1"/>
          <w:szCs w:val="16"/>
        </w:rPr>
        <w:br/>
        <w:t>A Risk Ratio or Alternate Risk Ratio of 2.0 or Greater: In calculating the risk ratio for over-representation, DPI uses the Westat technical assistance guidance for calculating disproportionality based on the Risk Ratio, which is the risk for the racial/ethnic group within the disability category divided by the risk for the comparison group to be in special education. When the local comparison group does not meet the state's minimum cell and n sizes, DPI uses the Alternate Risk Ratio for its calculation, as is recommended by the Westat technical assistance guidance. This calculation is the local risk for the racial/ethnic group divided by the statewide risk for the comparison group.</w:t>
      </w:r>
      <w:r w:rsidRPr="005C29F8">
        <w:rPr>
          <w:rFonts w:cs="Arial"/>
          <w:color w:val="000000" w:themeColor="text1"/>
          <w:szCs w:val="16"/>
        </w:rPr>
        <w:br/>
      </w:r>
      <w:r w:rsidRPr="005C29F8">
        <w:rPr>
          <w:rFonts w:cs="Arial"/>
          <w:color w:val="000000" w:themeColor="text1"/>
          <w:szCs w:val="16"/>
        </w:rPr>
        <w:br/>
        <w:t>Cell size: To be identified for over-representation, a racial or ethnic group must have at least ten students with IEPs in a given cell used for risk ratio analysis, and a total enrollment of 30 students in the given racial or ethnic group. A district can be identified when one racial or ethnic group has a total enrollment of 30 students, even if the other racial or ethnic groups in the district have a total enrollment of less than 30 students.</w:t>
      </w:r>
      <w:r w:rsidRPr="005C29F8">
        <w:rPr>
          <w:rFonts w:cs="Arial"/>
          <w:color w:val="000000" w:themeColor="text1"/>
          <w:szCs w:val="16"/>
        </w:rPr>
        <w:br/>
      </w:r>
      <w:r w:rsidRPr="005C29F8">
        <w:rPr>
          <w:rFonts w:cs="Arial"/>
          <w:color w:val="000000" w:themeColor="text1"/>
          <w:szCs w:val="16"/>
        </w:rPr>
        <w:br/>
        <w:t>Consecutive Years: Acknowledging changing demographics, potential anomalies in data collection, and other factors, DPI requires districts to meet the above criteria for three consecutive years.</w:t>
      </w:r>
    </w:p>
    <w:bookmarkEnd w:id="51"/>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Once districts are identified based on data for disproportionate representation, district and DPI staff review policies, procedures, and practices used in identification to determine whether students are appropriately identified, and that all policies, procedures, and practices are race neutral and in compliance with state special education law and Part B of IDEA 2004, including the requirements of 34 CFR 300.111, 300.201, and 300.301 through 300.311. The districts have either adopted DPI’s model policies and procedures or have submitted policies and procedures that have been reviewed and approved by DPI staff. The districts also have either adopted the DPI’s model IEP forms or use forms approved by DPI. In determining eligibility for special education, the districts use state eligibility criteria. In determining whether a district's disproportionality was a result of inappropriate identification, the DPI also reviews IDEA state complaint decisions, due process decisions, and pupil nondiscrimination appeals. Finally, identified districts conduct a Disproportionality Procedural Compliance Self-Assessment. Districts review a sample of student records, disaggregated by race, and assess compliance items identified by OSEP as related to disproportionality, which is verified by DPI. Through the review described above, the DPI determined that there were zero districts with disproportionate representation of racial and ethnic groups in special education that is the result of inappropriate identification.</w:t>
      </w:r>
    </w:p>
    <w:p w14:paraId="3B71A72A" w14:textId="77777777" w:rsidR="00DF1529" w:rsidRPr="005C29F8" w:rsidRDefault="00DF1529" w:rsidP="00DF1529">
      <w:pPr>
        <w:rPr>
          <w:rFonts w:cs="Arial"/>
          <w:b/>
          <w:color w:val="000000" w:themeColor="text1"/>
          <w:szCs w:val="16"/>
        </w:rPr>
      </w:pPr>
      <w:bookmarkStart w:id="52" w:name="_Toc381956337"/>
      <w:bookmarkStart w:id="53" w:name="_Toc384383347"/>
      <w:bookmarkStart w:id="54"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t>Indicator 10: Disproportionate Representation in Specific Disability Categories</w:t>
      </w:r>
      <w:bookmarkEnd w:id="52"/>
      <w:bookmarkEnd w:id="53"/>
      <w:bookmarkEnd w:id="54"/>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5" w:name="_Toc384383348"/>
      <w:bookmarkStart w:id="56"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7" w:name="_Toc384383349"/>
      <w:bookmarkStart w:id="58" w:name="_Toc392159317"/>
      <w:bookmarkEnd w:id="55"/>
      <w:bookmarkEnd w:id="56"/>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7"/>
      <w:bookmarkEnd w:id="58"/>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51881593" w14:textId="15FAF06D" w:rsidR="00C2395D" w:rsidRDefault="00C2395D">
      <w:pPr>
        <w:rPr>
          <w:rFonts w:cs="Arial"/>
          <w:color w:val="000000" w:themeColor="text1"/>
          <w:szCs w:val="16"/>
        </w:rPr>
      </w:pPr>
      <w:bookmarkStart w:id="59" w:name="_Hlk20258880"/>
      <w:r w:rsidRPr="005C29F8">
        <w:rPr>
          <w:rFonts w:cs="Arial"/>
          <w:color w:val="000000" w:themeColor="text1"/>
          <w:szCs w:val="16"/>
        </w:rPr>
        <w:t>YES</w:t>
      </w:r>
    </w:p>
    <w:bookmarkEnd w:id="59"/>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51</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370</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Definition of Disproportionate Representation:</w:t>
      </w:r>
      <w:r w:rsidRPr="005C29F8">
        <w:rPr>
          <w:rFonts w:cs="Arial"/>
          <w:color w:val="000000" w:themeColor="text1"/>
          <w:szCs w:val="16"/>
        </w:rPr>
        <w:br/>
      </w:r>
      <w:r w:rsidRPr="005C29F8">
        <w:rPr>
          <w:rFonts w:cs="Arial"/>
          <w:color w:val="000000" w:themeColor="text1"/>
          <w:szCs w:val="16"/>
        </w:rPr>
        <w:br/>
        <w:t>A Risk Ratio or Alternate Risk Ratio of 2.0 or Greater: In calculating the risk ratio for over-representation, DPI uses the Westat technical assistance guidance for calculating disproportionality based on the Risk Ratio, which is the risk for the racial/ethnic group within the disability category divided by the risk for the comparison group to be in special education. When the local comparison group does not meet the state's minimum cell and n sizes, DPI uses the Alternate Risk Ratio for its calculation, as is recommended by the Westat technical assistance guidance. This calculation is the local risk for the racial/ethnic group divided by the statewide risk for the comparison group.</w:t>
      </w:r>
      <w:r w:rsidRPr="005C29F8">
        <w:rPr>
          <w:rFonts w:cs="Arial"/>
          <w:color w:val="000000" w:themeColor="text1"/>
          <w:szCs w:val="16"/>
        </w:rPr>
        <w:br/>
      </w:r>
      <w:r w:rsidRPr="005C29F8">
        <w:rPr>
          <w:rFonts w:cs="Arial"/>
          <w:color w:val="000000" w:themeColor="text1"/>
          <w:szCs w:val="16"/>
        </w:rPr>
        <w:br/>
        <w:t>Cell size: To be identified for over-representation, a racial or ethnic group must have at least ten students with IEPs in a given cell used for risk ratio analysis, and a total enrollment of 30 students in the given racial or ethnic group. A district can be identified when one racial or ethnic group has a total enrollment of 30 students, even if the other racial or ethnic groups in the district have a total enrollment of less than 30 students.</w:t>
      </w:r>
      <w:r w:rsidRPr="005C29F8">
        <w:rPr>
          <w:rFonts w:cs="Arial"/>
          <w:color w:val="000000" w:themeColor="text1"/>
          <w:szCs w:val="16"/>
        </w:rPr>
        <w:br/>
      </w:r>
      <w:r w:rsidRPr="005C29F8">
        <w:rPr>
          <w:rFonts w:cs="Arial"/>
          <w:color w:val="000000" w:themeColor="text1"/>
          <w:szCs w:val="16"/>
        </w:rPr>
        <w:br/>
        <w:t>Consecutive Years: Acknowledging changing demographics, potential anomalies in data collection, and other factors, DPI requires districts to meet the above criteria for three consecutive years.</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Once districts are identified based on data for disproportionate representation, district and DPI staff review policies, procedures, and practices used in identification to determine whether students are appropriately identified, and that all policies, procedures, and practices are race neutral and in compliance with state special education law and Part B of IDEA 2004, including the requirements of 34 CFR 300.111, 300.201, and 300.301 through 300.311. The districts have either adopted DPI’s model policies and procedures or have submitted policies and procedures that have been reviewed and approved by DPI staff. The districts also have either adopted the DPI’s model IEP forms or use forms approved by DPI. In determining eligibility for special education, the districts use state eligibility criteria. In determining whether a district's disproportionality was a result of inappropriate identification, the DPI also reviews IDEA state complaint decisions, due process decisions, and pupil nondiscrimination appeals. Finally, identified districts conduct a Disproportionality Procedural Compliance Self-Assessment. Districts review a sample of student records, disaggregated by race, and assess compliance items identified by OSEP as related to disproportionality, which is verified by DPI. Through the review described above, the DPI determined that there were zero districts with disproportionate representation of racial and ethnic groups in specific disability categories that is the result of inappropriate identification.</w:t>
      </w:r>
    </w:p>
    <w:p w14:paraId="1FCF1BF3" w14:textId="77777777" w:rsidR="00DF1529" w:rsidRPr="005C29F8" w:rsidRDefault="00DF1529" w:rsidP="00DF1529">
      <w:pPr>
        <w:rPr>
          <w:rFonts w:cs="Arial"/>
          <w:b/>
          <w:color w:val="000000" w:themeColor="text1"/>
          <w:szCs w:val="16"/>
        </w:rPr>
      </w:pPr>
      <w:bookmarkStart w:id="60" w:name="_Toc381956338"/>
      <w:bookmarkStart w:id="61" w:name="_Toc384383352"/>
      <w:bookmarkStart w:id="62"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t>Indicator 11: Child Find</w:t>
      </w:r>
      <w:bookmarkEnd w:id="60"/>
      <w:bookmarkEnd w:id="61"/>
      <w:bookmarkEnd w:id="62"/>
    </w:p>
    <w:p w14:paraId="4F5D642D" w14:textId="77777777" w:rsidR="00E119B0" w:rsidRPr="005C29F8" w:rsidRDefault="00E119B0" w:rsidP="00A018D4">
      <w:pPr>
        <w:rPr>
          <w:color w:val="000000" w:themeColor="text1"/>
          <w:szCs w:val="20"/>
        </w:rPr>
      </w:pPr>
      <w:bookmarkStart w:id="63" w:name="_Toc384383353"/>
      <w:bookmarkStart w:id="64"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5" w:name="_Toc384383354"/>
      <w:bookmarkStart w:id="66" w:name="_Toc392159322"/>
      <w:bookmarkEnd w:id="63"/>
      <w:bookmarkEnd w:id="64"/>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88.41%</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98.64%</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97.72%</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98.93%</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91.28%</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97.76%</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3,863</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3,819</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97.76%</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98.86%</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44</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The range of days beyond the timeline was 1 to 220. Reasons for the delay include: staff, parent, interpreter or evaluation data (from other agency or parent) unavailable; district error.</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used the 60 day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DPI used the Indicator 11: Timely Initial Evaluations web-based application to collect student-level data from districts from the selected cohort. Wisconsin's districts are divided into 5 groups (cohorts), and roughly one-fifth of the districts in the state report the data through the Indicator 11 application each year, with Milwaukee Public Schools, with average daily membership of over 50,000, reporting on an annual basis. The sample of districts within each cycle year are representative of the following statewide characteristics: geographic regions, total enrollment of students with disabilities, racial/ethnic makeup of the students with disabilities subgroup, and distribution of primary disabilities. For relevant demographics, a 95% confidence interval about the median was used to construct the five-year cohort cycle. See Introduction to the SPP/APR for more information. For FFY 2019, 90 districts reported on the percent of children with parental consent to evaluate, who were evaluated and eligibility determined within 60 calendar days. Of the 90, 23 had one or more initial evaluations beyond the 60 day timeline with no applicable exception (noncompliant).The percent of children with parental consent to evaluate who were evaluated and eligibility determined within 60 days during FFY 2019 was 98.86%.</w:t>
      </w:r>
    </w:p>
    <w:p w14:paraId="4F981BFF" w14:textId="77777777" w:rsidR="00C86164" w:rsidRPr="005C29F8" w:rsidRDefault="00C86164" w:rsidP="00C86164">
      <w:pPr>
        <w:rPr>
          <w:rFonts w:cs="Arial"/>
          <w:b/>
          <w:color w:val="000000" w:themeColor="text1"/>
          <w:szCs w:val="16"/>
        </w:rPr>
      </w:pPr>
      <w:bookmarkStart w:id="67" w:name="_Toc381956339"/>
      <w:bookmarkStart w:id="68" w:name="_Toc384383357"/>
      <w:bookmarkStart w:id="69"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174</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174</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Consistent with OSEP memo 09-02, DPI verified each district with noncompliance identified in FFY 2018: (1) is correctly implementing the specific regulatory requirements (i.e., achieved 100% compliance) based on a review of updated data subsequently collected through monitoring; and (2) has corrected each individual case of noncompliance, unless the child is no longer within the jurisdiction of the district.</w:t>
      </w:r>
      <w:r w:rsidRPr="005C29F8">
        <w:rPr>
          <w:rFonts w:cs="Arial"/>
          <w:color w:val="000000" w:themeColor="text1"/>
          <w:szCs w:val="16"/>
        </w:rPr>
        <w:br/>
        <w:t>To verify current compliance, DPI staff examined a separate sample of current student records. Districts provided DPI with a list of students whose initial evaluations were completed during a specified time period. For each student on the list, districts were directed to indicate the date parental consent was received and the date the evaluation was completed. From this list, DPI selected records for a specific number of students with the most recently completed initial evaluations. The exact number of records to be submitted for review was determined by DPI and was dependent upon the size of the district and the number of initial evaluations completed by the district. DPI staff reviewed the records to determine whether the evaluations were completed within 60 days of receiving parental consent. If all reviewed evaluations were completed within the required timeline, DPI determined the district is currently in compliance. If one or more of the evaluations were not completed within 60 days, DPI staff reviewed the regulatory requirement with the district, and for students who had been found eligible for special education and related services, directed correction of the error(s) within 20 days. Correction involved submission of evidence that the district had considered compensatory services by holding an IEP team meeting, or, with the agreement of the parent: (1) developed a written document to amend or modify the student’s IEP to reflect compensatory services, or (2) discussed with the student’s parent and documented an agreement that no compensatory services were necessary. The district submitted the corrected record(s) for review by DPI staff. In addition, when one or more evaluations were not completed within 60 days, the district then submitted a new separate sample of the next new initial evaluation records generated within a given timeframe after making the previous corrections. These records were then reviewed by DPI staff to verify that the evaluations had been completed within 60 days. In the event that one or more of the records did not meet the regulatory requirement, the process continued until the district corrected each individual case of noncompliance, and the district was found in current compliance. Following these two-pronged verification procedures, which are consistent with OSEP Memo 09-02, DPI determined almost all districts found in noncompliance during FFY 2018 have corrected each individual case of noncompliance and are currently in compliance with 34 CFR 300.301(c) and the exceptions at 34 CFR 300.301(d) and 34 CFR 300.309(c). In the case of two districts, DPI determined that they corrected each individual case of noncompliance; due to the school closure order related to COVID-19, neither school received referrals for initial evaluations during WDPI sampling period. WDPI extended the sampling period for these two districts into FFY2020.</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To verify each instance of individual student noncompliance was corrected, DPI staff reviewed a randomly drawn sample of initial evaluation records of students whose evaluations were not completed within 60 days. The size of the sample of records reviewed was dependent upon the size of the district and the number of noncompliant files. For most districts, the sample included all records. Each record was reviewed to verify the evaluation was completed, although late. In instances when students were found eligible for special education services, each record was reviewed to ensure compensatory services had been considered. All records demonstrated the evaluation(s) had been completed and compensatory services had been considered. DPI determined, based on this review of records, each individual instance of noncompliance found in FFY 2018 was corrected.</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two LEAs corrected the findings of noncompliance identified in FFY 2018 because it did not report that it verified correction of those findings, consistent with OSEP Memo 09-02. Specifically, the State reported that “[i]n the case of two districts, DPI determined that they corrected each individual case of noncompliance; due to the school closure order related to COVID-19, neither school received referrals for initial evaluations during WDPI sampling period. WDPI extended the sampling period for these two districts into FFY2020. Therefore, the State did not report that that it verified that each LEA with noncompliance identified in FFY 2018 is correctly implementing the specific regulatory requirements (i.e., achieved 100% compliance) based on a review of updated data such as data subsequently collected through on-site monitoring or a State data system.  </w:t>
      </w: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t xml:space="preserve">  </w:t>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t>Indicator 12: Early Childhood Transition</w:t>
      </w:r>
      <w:bookmarkEnd w:id="67"/>
      <w:bookmarkEnd w:id="68"/>
      <w:bookmarkEnd w:id="69"/>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70" w:name="_Toc384383358"/>
      <w:bookmarkStart w:id="71"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2" w:name="_Toc384383359"/>
      <w:bookmarkStart w:id="73" w:name="_Toc392159327"/>
      <w:bookmarkEnd w:id="70"/>
      <w:bookmarkEnd w:id="71"/>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65.60%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2"/>
          <w:bookmarkEnd w:id="73"/>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98.85%</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99.11%</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98.71%</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98.53%</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98.60%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3,606</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350</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1,799</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1,374</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77</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1,799</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1,805</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98.60%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99.67%</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6</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Children not accounted for above include 6 children found eligible for Part B whose IEPs were implemented after their third birthdays.</w:t>
      </w:r>
      <w:r w:rsidRPr="005C29F8">
        <w:rPr>
          <w:bCs/>
          <w:color w:val="000000" w:themeColor="text1"/>
        </w:rPr>
        <w:br/>
      </w:r>
      <w:r w:rsidRPr="005C29F8">
        <w:rPr>
          <w:bCs/>
          <w:color w:val="000000" w:themeColor="text1"/>
        </w:rPr>
        <w:br/>
        <w:t>The range of days for late implementation of the IEP was from 6 days to 27 days. Reasons for the delays include scheduling errors by the LEA and failure to send placement notice timely.</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4" w:name="_Hlk20318414"/>
      <w:bookmarkEnd w:id="74"/>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For FFY 2019, DPI introduced a new application, the Preschool Transition Application, used by districts to electronically access referrals from the Part C program as well complete Indicator 12 reporting. In developing this application, DPI and the Wisconsin Department of Health Services (WDHS), the Part C lead agency, worked collaboratively to develop a system for sharing referrals from Part C with DPI. Referrals received from Part C are loaded by DPI into the Preschool Transition Application three times daily at which time staff identified by the district receive an email notifying them of receipt of a referral. Using the Preschool Transition Application, districts are required to complete the Indicator 12 reporting for each referral received which promotes data accuracy and allows for monitoring of progress on Indicator 12 by the district and DPI.</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The COVID-19 impact on data completeness, validity and reliability for Indicator 12:</w:t>
      </w:r>
      <w:r w:rsidRPr="005C29F8">
        <w:rPr>
          <w:rFonts w:cs="Arial"/>
          <w:color w:val="000000" w:themeColor="text1"/>
          <w:szCs w:val="16"/>
        </w:rPr>
        <w:br/>
        <w:t xml:space="preserve">On March 13, Wisconsin Department of Health Services Secretary-designee Andrea Palm, under the direction of Gov. Evers, issued an order closing Wisconsin public and private schools, effective at 5 p.m. on March 18, 2020, and lasting through April 6, 2020; the order was subsequently extended through the end of the 2019-2020 school year. This school closure order impacted the ability of districts to complete evaluations for referrals received from Part C during the order as well evaluations that were in progress when the order took effect. The number of children who have been served in Part C and referred to Part B for Part B eligibility determination reported above in Data Set A reflects those referrals received for which districts have determined eligibility or for which parents denied consent for evaluation. There are an additional 35 referrals received for FFY2019 for which districts have been unable to determine eligibility. </w:t>
      </w:r>
      <w:r w:rsidRPr="005C29F8">
        <w:rPr>
          <w:rFonts w:cs="Arial"/>
          <w:color w:val="000000" w:themeColor="text1"/>
          <w:szCs w:val="16"/>
        </w:rPr>
        <w:br/>
      </w:r>
      <w:r w:rsidRPr="005C29F8">
        <w:rPr>
          <w:rFonts w:cs="Arial"/>
          <w:color w:val="000000" w:themeColor="text1"/>
          <w:szCs w:val="16"/>
        </w:rPr>
        <w:br/>
        <w:t>Any explanation of how COVID-19 specifically impacted the State's ability to collect the data for Indicator 12:</w:t>
      </w:r>
      <w:r w:rsidRPr="005C29F8">
        <w:rPr>
          <w:rFonts w:cs="Arial"/>
          <w:color w:val="000000" w:themeColor="text1"/>
          <w:szCs w:val="16"/>
        </w:rPr>
        <w:br/>
        <w:t>N/A</w:t>
      </w:r>
      <w:r w:rsidRPr="005C29F8">
        <w:rPr>
          <w:rFonts w:cs="Arial"/>
          <w:color w:val="000000" w:themeColor="text1"/>
          <w:szCs w:val="16"/>
        </w:rPr>
        <w:br/>
      </w:r>
      <w:r w:rsidRPr="005C29F8">
        <w:rPr>
          <w:rFonts w:cs="Arial"/>
          <w:color w:val="000000" w:themeColor="text1"/>
          <w:szCs w:val="16"/>
        </w:rPr>
        <w:br/>
        <w:t>Any steps the State took to mitigate the impact of COVID-19 on the Indicator 12 data collection:</w:t>
      </w:r>
      <w:r w:rsidRPr="005C29F8">
        <w:rPr>
          <w:rFonts w:cs="Arial"/>
          <w:color w:val="000000" w:themeColor="text1"/>
          <w:szCs w:val="16"/>
        </w:rPr>
        <w:br/>
        <w:t>DPI has been in contact with these districts. For a number of children, the eligibility determination meeting is scheduled for the upcoming weeks. For a few children, the parents are still interested in an evaluation but do not feel comfortable making their child available at this time due to the risks associated with COVID-19. DPI will continue to follow-up with these districts to ensure that eligibility is determined.</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Consistent with OSEP memo 09-02, DPI verified each district with noncompliance identified in FFY 2018: (1) is correctly implementing the specific</w:t>
      </w:r>
      <w:r w:rsidRPr="005C29F8">
        <w:rPr>
          <w:rFonts w:cs="Arial"/>
          <w:color w:val="000000" w:themeColor="text1"/>
          <w:szCs w:val="16"/>
        </w:rPr>
        <w:br/>
        <w:t>regulatory requirements (i.e., achieved 100% compliance) based on a quarterly review of current year district records; and (2) has corrected each</w:t>
      </w:r>
      <w:r w:rsidRPr="005C29F8">
        <w:rPr>
          <w:rFonts w:cs="Arial"/>
          <w:color w:val="000000" w:themeColor="text1"/>
          <w:szCs w:val="16"/>
        </w:rPr>
        <w:br/>
        <w:t>individual case of noncompliance by ensuring that eligibility was determined, and if eligible, an IEP was developed. To verify current compliance, DPI staff examined all current referrals for each district with noncompliance. DPI staff reviewed the records to determine whether the evaluations were completed by the student's third birthday, and if eligible, an IEP was developed and implemented by the student's third birthday. If all reviewed evaluations and IEPs were completed and implemented by the student's third birthday within the quarterly review, DPI determined that the district is currently in compliance. Following this verification procedure, which is consistent with OSEP Memo 09-02, the DPI determined all districts found in noncompliance during FFY 20108 have corrected each individual case of noncompliance and are currently in compliance with 34 CFR 300.124.</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To verify each instance of individual student noncompliance was corrected, DPI staff reviewed submitted data for each student record to determine that the evaluation was completed, and if eligible, that an IEP was developed and implemented for the child (although late). DPI reviewed all records with noncompliance to ensure correction Consistent with OSEP memo 09-02, DPI verified each district with noncompliance identified in FFY 2018: (1) is correctly implementing the specific regulatory requirements (i.e., achieved 100% compliance) based on a review of updated data subsequently collected through a review of district referrals, evaluations, and IEPs; and (2) has corrected each individual case of noncompliance by ensuring that eligibility was determined, and if eligible, an IEP was developed.</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2B7490" w:rsidP="00212954">
      <w:pPr>
        <w:rPr>
          <w:rFonts w:cs="Arial"/>
          <w:color w:val="000000" w:themeColor="text1"/>
          <w:szCs w:val="16"/>
        </w:rPr>
      </w:pPr>
      <w:r w:rsidRPr="005C29F8">
        <w:rPr>
          <w:rFonts w:cs="Arial"/>
          <w:color w:val="000000" w:themeColor="text1"/>
          <w:szCs w:val="16"/>
        </w:rPr>
        <w:t>The State reported that the COVID-19 pandemic impacted the data for this indicator. Specifically, the State reported, the "school closure order impacted the ability of districts to complete evaluations for referrals received from Part C during the order as well evaluations that were in progress when the order took effect. The number of children who have been served in Part C and referred to Part B for Part B eligibility determination reported above in Data Set A reflects those referrals received for which districts have determined eligibility or for which parents denied consent for evaluation. There are an additional 35 referrals received for FFY2019 for which districts have been unable to determine eligibility."</w:t>
      </w: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t>Indicator 13: Secondary Transition</w:t>
      </w:r>
    </w:p>
    <w:p w14:paraId="20F3CA53" w14:textId="77777777" w:rsidR="00D04044" w:rsidRPr="005C29F8" w:rsidRDefault="00D04044" w:rsidP="00A018D4">
      <w:pPr>
        <w:rPr>
          <w:color w:val="000000" w:themeColor="text1"/>
          <w:szCs w:val="20"/>
        </w:rPr>
      </w:pPr>
      <w:bookmarkStart w:id="75" w:name="_Toc384383363"/>
      <w:bookmarkStart w:id="76"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7" w:name="_Toc384383364"/>
      <w:bookmarkStart w:id="78" w:name="_Toc392159332"/>
      <w:bookmarkEnd w:id="75"/>
      <w:bookmarkEnd w:id="76"/>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71.21%</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99.65%</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99.83%</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99.93%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99.86%</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99.94%</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26,042</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26,070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99.94%</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99.89%</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DPI utilizes an online Postsecondary Transition Plan (PTP) application. The PTP application enables DPI to efficiently collect Indicator 13 data and help ensure each student’s IEP is in compliance with Indicator 13 requirements. The PTP application contains electronic edit checks designed to prevent IEP documentation errors commonly resulting in noncompliance, while enhancing the discussion about transition and allowing the flexibility needed for student individualization in postsecondary transition planning. All districts are required to use the PTP application when developing postsecondary transition plans for students with disabilities aged 16 years and above. Indicator 13 data is collected through the online application on an ongoing basis.</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 xml:space="preserve">While the State’s policies and procedures provide that public agencies must meet these requirements at an age younger than 16, the State exercises flexibility offered by OSEP in the Measurement Table and chooses not to include youth at an age younger than 16 in its data for this indicator. </w:t>
      </w:r>
    </w:p>
    <w:p w14:paraId="735DB55A" w14:textId="18C77FF1" w:rsidR="00644AC8" w:rsidRPr="005C29F8" w:rsidRDefault="00644AC8" w:rsidP="005F442C">
      <w:pPr>
        <w:rPr>
          <w:rFonts w:cs="Arial"/>
          <w:b/>
          <w:color w:val="000000" w:themeColor="text1"/>
          <w:szCs w:val="16"/>
        </w:rPr>
      </w:pPr>
      <w:bookmarkStart w:id="79"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17</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17</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Verification is consistent with the two-pronged approach established by OSEP memo 09-02.</w:t>
      </w:r>
      <w:r w:rsidRPr="005C29F8">
        <w:rPr>
          <w:rFonts w:cs="Arial"/>
          <w:color w:val="000000" w:themeColor="text1"/>
          <w:szCs w:val="16"/>
        </w:rPr>
        <w:br/>
        <w:t>To verify current compliance, DPI staff examined a separate sample of current student IEP records created after training and technical assistance of staff occurred. LEAs provided DPI with a list of students with IEPs age 16 years old or older. From this list, DPI selected a sample of IEPs of students with IEP meeting dates during the relevant time period and directed LEAs to submit the IEPs to DPI for review. The exact number of IEPs to be submitted for review was dependent upon the size of the district and the number of IEPs developed and revised by the district. DPI staff reviewed the IEPs to determine whether the Indicator 13 transition regulatory requirements had been met. If all reviewed IEPs met the transition regulatory requirements, DPI determined the district currently in compliance. If one or more of the IEPs did not meet one or more of the transition regulatory requirements, DPI staff reviewed the regulatory requirement(s) with the district and directed correction of the error(s) within 20 days. The district submitted the corrected IEP(s) for review. DPI staff reviewed the IEP(s) to verify the district has corrected each individual case of noncompliance. The district then submitted a new, separate sample of the next new IEPs generated within a given timeframe after making the previous corrections. These records were then reviewed by DPI staff to verify that the transition regulatory requirements were currently in compliance. In the event that one or more of the IEPs did not meet one or more of the transition regulatory requirements, the process continued until the district corrected each individual case of noncompliance, unless the child was no longer within the jurisdiction of the district, and the district was found in current compliance.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To verify each instance of individual student noncompliance was corrected, DPI staff reviewed each student record to determine that the evaluation was completed, and if eligible, that an IEP was developed and implemented for the child (although late). DPI reviewed all records with noncompliance to ensure correction. In instances when the IEP was implemented after the child's birthday, each record was reviewed to ensure compensatory services had been considered. Consistent with OSEP memo 09-02, DPI verified each district with noncompliance identified in FFY 2018: (1) is correctly implementing the specific regulatory requirements (i.e., achieved 100% compliance) based on a review of updated data subsequently collected through a review of district referrals, evaluations, and IEPs; and (2) has corrected each individual case of noncompliance by ensuring that eligibility was determined, and if eligible, an IEP was developed and compensatory services were considered.</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t>Indicator 14: Post-School Outcomes</w:t>
      </w:r>
      <w:bookmarkEnd w:id="45"/>
      <w:bookmarkEnd w:id="79"/>
    </w:p>
    <w:p w14:paraId="22761492" w14:textId="77777777" w:rsidR="005C50DB" w:rsidRPr="00D37503" w:rsidRDefault="005C50DB" w:rsidP="00A018D4">
      <w:pPr>
        <w:rPr>
          <w:szCs w:val="20"/>
        </w:rPr>
      </w:pPr>
      <w:bookmarkStart w:id="80"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80"/>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30.30%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30.80%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31.30%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31.80%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32.30%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29.80%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27.15%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31.44%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28.40%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27.79%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24.44%</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63.50%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67.50%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69.50%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59.40%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64.51%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68.39%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71.12%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68.24%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63.48%</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83.00%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72.90%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77.81%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81.05%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83.15%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81.95%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76.56%</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32.30%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69.50%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83.00%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81"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1,341</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280</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608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61</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81</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280</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1,341</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24.44%</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32.30%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20.88%</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888</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1,341</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63.48%</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69.50%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66.22%</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1,030</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1,341</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76.56%</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76.81%</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The cyclical nature of DPI's post-secondary outcomes survey make year to year comparisons difficult, as regional variations in employment opportunities and post-secondary educational institutions can result in inconsistent outcomes. While DPI attempts to control for this variation by including a mix of rural and urban communities in each cycle, there is no perfect solution to eliminate this variation.</w:t>
            </w:r>
            <w:r w:rsidRPr="005C29F8">
              <w:rPr>
                <w:rFonts w:cs="Arial"/>
                <w:color w:val="000000" w:themeColor="text1"/>
                <w:szCs w:val="16"/>
              </w:rPr>
              <w:br/>
            </w:r>
            <w:r w:rsidRPr="005C29F8">
              <w:rPr>
                <w:rFonts w:cs="Arial"/>
                <w:color w:val="000000" w:themeColor="text1"/>
                <w:szCs w:val="16"/>
              </w:rPr>
              <w:br/>
              <w:t xml:space="preserve">Additionally, the overrepresentation of Wisconsin's largest district in the data (detailed below) easily accounts for the 4% decline in post-secondary enrollment, which is believed to be the result of a combination of lower graduation rates, higher dropout rates, and high rates of economic hardship among exiters in the overrepresented district. </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If yes, has your previously-approved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 xml:space="preserve">The Wisconsin Indicator 14 Survey is conducted as a within-district census so all exiters from participating districts have an opportunity to complete the survey. Wisconsin’s districts are divided into 5 groups (cohorts), and roughly one-fifth of districts in the state are required to participate in the survey each year. One exception is that Milwaukee Public Schools, with average daily enrollment over 50,000, participates in the survey on an annual basis. </w:t>
      </w:r>
      <w:r w:rsidRPr="005C29F8">
        <w:rPr>
          <w:rFonts w:cs="Arial"/>
          <w:color w:val="000000" w:themeColor="text1"/>
          <w:szCs w:val="16"/>
        </w:rPr>
        <w:br/>
      </w:r>
      <w:r w:rsidRPr="005C29F8">
        <w:rPr>
          <w:rFonts w:cs="Arial"/>
          <w:color w:val="000000" w:themeColor="text1"/>
          <w:szCs w:val="16"/>
        </w:rPr>
        <w:br/>
        <w:t>The cyclical sampling plan ensures the set of participating districts within each year is representative of the following statewide characteristics: geographic regions, total enrollment of students with disabilities, racial/ethnic makeup of the students within the disability subgroups, and distribution of primary disabilities. For relevant demographics, a 95% confidence interval about the median was used to construct the five-year cohort cycle. See Introduction to the SPP/APR for more information.</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To help ensure survey results are indeed representative, DPI requires that each district meet a minimum response rate of 20% of its total number of exiters from the previous year. For FFY 2019, DPI reports a response rate of 72% on the Wisconsin Indicator 14 Survey. This response rate yields a margin of error of 2.208% (95% CI), which is in line with the conventional measure of rigor for survey research.</w:t>
      </w:r>
      <w:r w:rsidRPr="005C29F8">
        <w:rPr>
          <w:rFonts w:cs="Arial"/>
          <w:color w:val="000000" w:themeColor="text1"/>
          <w:szCs w:val="16"/>
        </w:rPr>
        <w:br/>
      </w:r>
      <w:r w:rsidRPr="005C29F8">
        <w:rPr>
          <w:rFonts w:cs="Arial"/>
          <w:color w:val="000000" w:themeColor="text1"/>
          <w:szCs w:val="16"/>
        </w:rPr>
        <w:br/>
        <w:t>For the FFY 2019 survey of 2018-19 exiters, the cohort included 16% of districts (62 out of a total of 380 districts with an exiter population). This was below the intended 20% makeup due to a variety of LEA closures and consolidations which have occurred since the district sampling calculations were made. This resulted in a sampled population more diverse than Wisconsin's statewide demographics.</w:t>
      </w:r>
      <w:r w:rsidRPr="005C29F8">
        <w:rPr>
          <w:rFonts w:cs="Arial"/>
          <w:color w:val="000000" w:themeColor="text1"/>
          <w:szCs w:val="16"/>
        </w:rPr>
        <w:br/>
      </w:r>
      <w:r w:rsidRPr="005C29F8">
        <w:rPr>
          <w:rFonts w:cs="Arial"/>
          <w:color w:val="000000" w:themeColor="text1"/>
          <w:szCs w:val="16"/>
        </w:rPr>
        <w:br/>
        <w:t>The representativeness of the survey fails to meet the three percent threshold recommended by the National Technical Assistance Center on Transition (NTACT) in the following ways: Black and Hispanic respondents are overrepresented by 19.9% and 3.5% respectively, while White students are underrepresented by 21%. Respondents with Emotional Behavioral Disabilities and Specific Learning Disabilities are also underrepresented by 3.5% and 4 % respectively, while students with Intellectual Disabilities and Other Health Impairments are overrepresented by 4.4% and 5.4% respectively.</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2"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DPI's analysis of the data has determined that this unrepresentativeness is the result of the reduction in predominantly White districts due to the aforementioned LEA consolidations which have occurred since the LEA sampling cohorts were developed, combined with an unprecedented response completion rate from the state's largest district, which participates in the survey annually. When evaluated based on the possible responses of exiters within the response cycle, the results are representative across all race and disability reporting categories.</w:t>
      </w:r>
      <w:r w:rsidRPr="005C29F8">
        <w:rPr>
          <w:rFonts w:cs="Arial"/>
          <w:color w:val="000000" w:themeColor="text1"/>
          <w:szCs w:val="16"/>
        </w:rPr>
        <w:br/>
      </w:r>
      <w:r w:rsidRPr="005C29F8">
        <w:rPr>
          <w:rFonts w:cs="Arial"/>
          <w:color w:val="000000" w:themeColor="text1"/>
          <w:szCs w:val="16"/>
        </w:rPr>
        <w:br/>
        <w:t>DPI intends to to perform an in-depth review of its district sampling and survey methodology for FFY 2020 to help ensure more representative results of statewide demographics in subsequent years.</w:t>
      </w:r>
    </w:p>
    <w:p w14:paraId="62361D73" w14:textId="77777777" w:rsidR="00644AC8" w:rsidRPr="005C29F8" w:rsidRDefault="00644AC8" w:rsidP="00644AC8">
      <w:pPr>
        <w:rPr>
          <w:rFonts w:cs="Arial"/>
          <w:b/>
          <w:color w:val="000000" w:themeColor="text1"/>
          <w:szCs w:val="16"/>
        </w:rPr>
      </w:pPr>
      <w:bookmarkStart w:id="83" w:name="_Toc382082390"/>
      <w:bookmarkStart w:id="84" w:name="_Toc392159339"/>
      <w:bookmarkEnd w:id="82"/>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The COVID-19 impact on data completeness, validity and reliability for the indicator:</w:t>
      </w:r>
      <w:r w:rsidRPr="005C29F8">
        <w:rPr>
          <w:rFonts w:cs="Arial"/>
          <w:color w:val="000000" w:themeColor="text1"/>
          <w:szCs w:val="16"/>
        </w:rPr>
        <w:br/>
        <w:t xml:space="preserve"> On March 13, Wisconsin Department of Health Services Secretary-designee Andrea Palm, under the direction of Gov. Evers, issued an order closing Wisconsin public and private schools, effective at 5 p.m. on March 18, 2020, and lasting through April 6, 2020; the order was subsequently extended through the end of the 2019-2020 school year. The first order took effect partway through the Indicator 14 data collection period; the response rate and subsequent representativeness of Indicator 14 was less affected by school closures for a variety of reasons, including the financial incentives the state provides to LEAs for survey completion as well as its existing use of phone surveys to solicit responses.</w:t>
      </w:r>
      <w:r w:rsidRPr="005C29F8">
        <w:rPr>
          <w:rFonts w:cs="Arial"/>
          <w:color w:val="000000" w:themeColor="text1"/>
          <w:szCs w:val="16"/>
        </w:rPr>
        <w:br/>
      </w:r>
      <w:r w:rsidRPr="005C29F8">
        <w:rPr>
          <w:rFonts w:cs="Arial"/>
          <w:color w:val="000000" w:themeColor="text1"/>
          <w:szCs w:val="16"/>
        </w:rPr>
        <w:br/>
        <w:t>Any explanation of how COVID-19 specifically impacted the State's ability to collect the data for the indicator:</w:t>
      </w:r>
      <w:r w:rsidRPr="005C29F8">
        <w:rPr>
          <w:rFonts w:cs="Arial"/>
          <w:color w:val="000000" w:themeColor="text1"/>
          <w:szCs w:val="16"/>
        </w:rPr>
        <w:br/>
        <w:t>N/A</w:t>
      </w:r>
      <w:r w:rsidRPr="005C29F8">
        <w:rPr>
          <w:rFonts w:cs="Arial"/>
          <w:color w:val="000000" w:themeColor="text1"/>
          <w:szCs w:val="16"/>
        </w:rPr>
        <w:br/>
      </w:r>
      <w:r w:rsidRPr="005C29F8">
        <w:rPr>
          <w:rFonts w:cs="Arial"/>
          <w:color w:val="000000" w:themeColor="text1"/>
          <w:szCs w:val="16"/>
        </w:rPr>
        <w:br/>
        <w:t>Any steps the State took to mitigate the impact of COVID-19 on the Indicator 14 data collection:</w:t>
      </w:r>
      <w:r w:rsidRPr="005C29F8">
        <w:rPr>
          <w:rFonts w:cs="Arial"/>
          <w:color w:val="000000" w:themeColor="text1"/>
          <w:szCs w:val="16"/>
        </w:rPr>
        <w:br/>
        <w:t xml:space="preserve">DPI left the survey window open through June and DPI met with staff from Wisconsin's Transition Improvement Grant (TIG) to review Indicator 14 data collection and supporting district data collection during COVID-19.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DPI reported on these required action in the Indicator 14, Indicator Data section, above.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2AE0549D" w14:textId="09E9C648" w:rsidR="008C1ACE" w:rsidRPr="0033429D" w:rsidRDefault="008C1ACE" w:rsidP="008C1ACE">
      <w:pPr>
        <w:pStyle w:val="Heading2"/>
      </w:pPr>
      <w:r>
        <w:t>14</w:t>
      </w:r>
      <w:r w:rsidRPr="0033429D">
        <w:t xml:space="preserve"> - </w:t>
      </w:r>
      <w:r>
        <w:t>State Attachments</w:t>
      </w:r>
    </w:p>
    <w:bookmarkStart w:id="85" w:name="_MON_1689411777"/>
    <w:bookmarkEnd w:id="85"/>
    <w:p w14:paraId="1ADD288B" w14:textId="57AE3625" w:rsidR="00102FA3" w:rsidRDefault="005A2EFA">
      <w:pPr>
        <w:spacing w:before="0" w:after="200" w:line="276" w:lineRule="auto"/>
        <w:rPr>
          <w:rFonts w:cs="Arial"/>
          <w:color w:val="000000" w:themeColor="text1"/>
          <w:szCs w:val="16"/>
        </w:rPr>
      </w:pPr>
      <w:r>
        <w:rPr>
          <w:rFonts w:cs="Arial"/>
          <w:color w:val="000000" w:themeColor="text1"/>
          <w:szCs w:val="16"/>
        </w:rPr>
        <w:object w:dxaOrig="1541" w:dyaOrig="998" w14:anchorId="1E571EEC">
          <v:shape id="_x0000_i1026" type="#_x0000_t75" alt="FFY_2019__Ind14_Demographics" style="width:77.3pt;height:50.25pt" o:ole="">
            <v:imagedata r:id="rId14" o:title=""/>
          </v:shape>
          <o:OLEObject Type="Embed" ProgID="Excel.SheetMacroEnabled.12" ShapeID="_x0000_i1026" DrawAspect="Icon" ObjectID="_1689399456" r:id="rId15"/>
        </w:object>
      </w:r>
      <w:r w:rsidR="00102FA3" w:rsidRPr="005C29F8">
        <w:rPr>
          <w:rFonts w:cs="Arial"/>
          <w:color w:val="000000" w:themeColor="text1"/>
          <w:szCs w:val="16"/>
        </w:rPr>
        <w:br w:type="page"/>
      </w:r>
    </w:p>
    <w:p w14:paraId="6B6D48B7" w14:textId="77777777" w:rsidR="008C1ACE" w:rsidRPr="005C29F8" w:rsidRDefault="008C1ACE">
      <w:pPr>
        <w:spacing w:before="0" w:after="200" w:line="276" w:lineRule="auto"/>
        <w:rPr>
          <w:rFonts w:eastAsiaTheme="majorEastAsia" w:cs="Arial"/>
          <w:b/>
          <w:bCs/>
          <w:color w:val="000000" w:themeColor="text1"/>
          <w:szCs w:val="16"/>
        </w:rPr>
      </w:pPr>
    </w:p>
    <w:p w14:paraId="7E15DEAF" w14:textId="72984127" w:rsidR="00B3462E" w:rsidRPr="005C29F8" w:rsidRDefault="00B3462E" w:rsidP="000444E2">
      <w:pPr>
        <w:pStyle w:val="Heading1"/>
        <w:rPr>
          <w:color w:val="000000" w:themeColor="text1"/>
          <w:sz w:val="22"/>
        </w:rPr>
      </w:pPr>
      <w:r w:rsidRPr="005C29F8">
        <w:rPr>
          <w:color w:val="000000" w:themeColor="text1"/>
          <w:sz w:val="22"/>
        </w:rPr>
        <w:t>Indicator 15: Resolution Sessions</w:t>
      </w:r>
      <w:bookmarkEnd w:id="83"/>
      <w:bookmarkEnd w:id="84"/>
    </w:p>
    <w:p w14:paraId="7EA31497" w14:textId="77777777" w:rsidR="005B0B58" w:rsidRPr="005C29F8" w:rsidRDefault="005B0B58" w:rsidP="00A018D4">
      <w:pPr>
        <w:rPr>
          <w:color w:val="000000" w:themeColor="text1"/>
          <w:szCs w:val="20"/>
        </w:rPr>
      </w:pPr>
      <w:bookmarkStart w:id="86" w:name="_Toc381786822"/>
      <w:bookmarkStart w:id="87" w:name="_Toc382731911"/>
      <w:bookmarkStart w:id="88" w:name="_Toc382731912"/>
      <w:bookmarkStart w:id="89" w:name="_Toc392159340"/>
      <w:bookmarkEnd w:id="86"/>
      <w:bookmarkEnd w:id="87"/>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8"/>
    <w:bookmarkEnd w:id="89"/>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bl>
    <w:p w14:paraId="162CEFB3" w14:textId="55A4ED3A" w:rsidR="004A33CD" w:rsidRPr="005C29F8" w:rsidRDefault="00E31E29">
      <w:pPr>
        <w:rPr>
          <w:b/>
          <w:color w:val="000000" w:themeColor="text1"/>
        </w:rPr>
      </w:pPr>
      <w:bookmarkStart w:id="90" w:name="_Toc382731913"/>
      <w:bookmarkStart w:id="91"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43B1695A" w14:textId="2970A905" w:rsidR="000A2C83" w:rsidRPr="005C29F8" w:rsidRDefault="000A2C83" w:rsidP="000A2C83">
      <w:pPr>
        <w:rPr>
          <w:rFonts w:cs="Arial"/>
          <w:color w:val="000000" w:themeColor="text1"/>
          <w:szCs w:val="16"/>
        </w:rPr>
      </w:pPr>
    </w:p>
    <w:bookmarkEnd w:id="90"/>
    <w:bookmarkEnd w:id="91"/>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2012</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41.18%</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42.00%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44.44%</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16.67%</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37.50%</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42.00%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37.50%</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t>Indicator 16: Mediation</w:t>
      </w:r>
    </w:p>
    <w:p w14:paraId="589E185D" w14:textId="77777777" w:rsidR="00BF232E" w:rsidRPr="005C29F8" w:rsidRDefault="00BF232E" w:rsidP="00A018D4">
      <w:pPr>
        <w:rPr>
          <w:color w:val="000000" w:themeColor="text1"/>
          <w:szCs w:val="20"/>
        </w:rPr>
      </w:pPr>
      <w:bookmarkStart w:id="92" w:name="_Toc382731916"/>
      <w:bookmarkStart w:id="93"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92"/>
    <w:bookmarkEnd w:id="93"/>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75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4</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69</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DPI has a State Superintendent’s Advisory Council on Special Education (Council) for obtaining broad stakeholder input on targets in the SPP, including revisions to targets. The Council represents a diverse stakeholder group including parents of children with disabilities, regular and special education teachers, and representatives of school boards, charter schools, private schools, institutions of higher education, representatives of tribal education, the Wisconsin Department of Corrections, and the Wisconsin Department of Health Services Birth to 3 Programs. Using trend data, DPI determined, with broad stakeholder input, the annual measurable and rigorous targets for the SPP results indicators. DPI meets quarterly with the Council to analyze data, set targets if needed, review and revise the SPP and give updates on Wisconsin’s progress. In addition to working with the Council to develop the SPP, the DPI Special Education Team works collaboratively with the DPI Office of Educational Accountability, the Content and Learning Team, the Literacy and Mathematics Team, the Title I Team, and the Educator Development and Support Team.</w:t>
      </w:r>
      <w:r w:rsidRPr="005C29F8">
        <w:rPr>
          <w:rFonts w:cs="Arial"/>
          <w:color w:val="000000" w:themeColor="text1"/>
          <w:szCs w:val="16"/>
        </w:rPr>
        <w:br/>
      </w:r>
      <w:r w:rsidRPr="005C29F8">
        <w:rPr>
          <w:rFonts w:cs="Arial"/>
          <w:color w:val="000000" w:themeColor="text1"/>
          <w:szCs w:val="16"/>
        </w:rPr>
        <w:br/>
        <w:t>During FFY2019, DPI staff met with Council on September 27, 2019; January 24, 2020; March 13, 2020; and June 19, 2020. DPI staff and Council analyzed data, reviewed the SPP and discussed updates, especially related to COVID-19 and data collection for the FFY2019 APR.</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2012</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75.51%</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76.00%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76.00%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76.00%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76.00%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76.00%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92.54%</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86.36%</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93.98%</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93.62%</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92.22%</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76.00%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4</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69</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75</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92.22%</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76.00%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97.33%</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07DD7EFA" w14:textId="69584AE7" w:rsidR="00F850F3" w:rsidRDefault="00F850F3" w:rsidP="00D01281">
      <w:pPr>
        <w:pStyle w:val="Heading1"/>
        <w:rPr>
          <w:rFonts w:cs="Arial"/>
          <w:color w:val="000000"/>
          <w:shd w:val="clear" w:color="auto" w:fill="FFFFFF"/>
        </w:rPr>
      </w:pPr>
      <w:r>
        <w:rPr>
          <w:rFonts w:cs="Arial"/>
          <w:color w:val="000000"/>
          <w:shd w:val="clear" w:color="auto" w:fill="FFFFFF"/>
        </w:rPr>
        <w:t>Indicator 17: State Systemic Improvement Plan</w:t>
      </w:r>
    </w:p>
    <w:p w14:paraId="7B3E70E8" w14:textId="57E3A5BB" w:rsidR="00F850F3" w:rsidRPr="00F850F3" w:rsidRDefault="00855128" w:rsidP="00F850F3">
      <w:r>
        <w:object w:dxaOrig="1541" w:dyaOrig="998" w14:anchorId="17F3C2E7">
          <v:shape id="_x0000_i1027" type="#_x0000_t75" alt="WI FFY19 SSIP " style="width:77.3pt;height:50.25pt" o:ole="">
            <v:imagedata r:id="rId16" o:title=""/>
          </v:shape>
          <o:OLEObject Type="Embed" ProgID="Acrobat.Document.DC" ShapeID="_x0000_i1027" DrawAspect="Icon" ObjectID="_1689399457" r:id="rId17"/>
        </w:object>
      </w:r>
    </w:p>
    <w:p w14:paraId="396B796D" w14:textId="77777777" w:rsidR="00855128" w:rsidRDefault="00855128">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5359DC76" w:rsidR="00251CC0" w:rsidRPr="005C29F8" w:rsidRDefault="00755AF7" w:rsidP="00D01281">
      <w:pPr>
        <w:pStyle w:val="Heading1"/>
        <w:rPr>
          <w:color w:val="000000" w:themeColor="text1"/>
        </w:rPr>
      </w:pPr>
      <w:r w:rsidRPr="005C29F8">
        <w:rPr>
          <w:color w:val="000000" w:themeColor="text1"/>
        </w:rPr>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4"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Julia Hartwig</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julia.hartwig@dpi.wi.gov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16082661781</w:t>
      </w:r>
    </w:p>
    <w:bookmarkEnd w:id="94"/>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6B1E2D47"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04/27/21  4:36:13 PM</w:t>
      </w:r>
    </w:p>
    <w:p w14:paraId="7FBBDF18" w14:textId="656AA7E8" w:rsidR="00855128" w:rsidRDefault="00855128" w:rsidP="000657F0">
      <w:pPr>
        <w:autoSpaceDE w:val="0"/>
        <w:autoSpaceDN w:val="0"/>
        <w:adjustRightInd w:val="0"/>
        <w:rPr>
          <w:rFonts w:cs="Arial"/>
          <w:color w:val="000000" w:themeColor="text1"/>
          <w:szCs w:val="16"/>
        </w:rPr>
      </w:pPr>
    </w:p>
    <w:p w14:paraId="228BD806" w14:textId="77777777" w:rsidR="00855128" w:rsidRDefault="00855128">
      <w:pPr>
        <w:spacing w:before="0" w:after="200" w:line="276" w:lineRule="auto"/>
        <w:rPr>
          <w:rFonts w:cs="Arial"/>
          <w:color w:val="000000" w:themeColor="text1"/>
          <w:szCs w:val="16"/>
        </w:rPr>
      </w:pPr>
      <w:r>
        <w:rPr>
          <w:rFonts w:cs="Arial"/>
          <w:color w:val="000000" w:themeColor="text1"/>
          <w:szCs w:val="16"/>
        </w:rPr>
        <w:br w:type="page"/>
      </w:r>
    </w:p>
    <w:p w14:paraId="47B869CA" w14:textId="7D0E2B44" w:rsidR="00855128" w:rsidRDefault="00855128" w:rsidP="00855128">
      <w:pPr>
        <w:pStyle w:val="Heading1"/>
      </w:pPr>
      <w:r>
        <w:t>ED Attachments</w:t>
      </w:r>
    </w:p>
    <w:p w14:paraId="239EC4AB" w14:textId="77777777" w:rsidR="00855128" w:rsidRPr="00855128" w:rsidRDefault="00855128" w:rsidP="00855128"/>
    <w:p w14:paraId="596B3C30" w14:textId="2953CE4F" w:rsidR="00755AF7" w:rsidRPr="005C29F8" w:rsidRDefault="00701145" w:rsidP="00EE4B59">
      <w:pPr>
        <w:rPr>
          <w:rFonts w:cs="Arial"/>
          <w:color w:val="000000" w:themeColor="text1"/>
          <w:szCs w:val="16"/>
        </w:rPr>
      </w:pPr>
      <w:r>
        <w:rPr>
          <w:rFonts w:cs="Arial"/>
          <w:color w:val="000000" w:themeColor="text1"/>
          <w:szCs w:val="16"/>
        </w:rPr>
        <w:object w:dxaOrig="1541" w:dyaOrig="998" w14:anchorId="06F50E48">
          <v:shape id="_x0000_i1028" type="#_x0000_t75" alt="wi-resultsmatrix-2021b&#10;" style="width:77.3pt;height:50.25pt" o:ole="">
            <v:imagedata r:id="rId18" o:title=""/>
          </v:shape>
          <o:OLEObject Type="Embed" ProgID="Acrobat.Document.DC" ShapeID="_x0000_i1028" DrawAspect="Icon" ObjectID="_1689399458" r:id="rId19"/>
        </w:object>
      </w:r>
      <w:r w:rsidR="00855128">
        <w:rPr>
          <w:rFonts w:cs="Arial"/>
          <w:color w:val="000000" w:themeColor="text1"/>
          <w:szCs w:val="16"/>
        </w:rPr>
        <w:tab/>
      </w:r>
      <w:r>
        <w:rPr>
          <w:rFonts w:cs="Arial"/>
          <w:color w:val="000000" w:themeColor="text1"/>
          <w:szCs w:val="16"/>
        </w:rPr>
        <w:object w:dxaOrig="1541" w:dyaOrig="998" w14:anchorId="4046B464">
          <v:shape id="_x0000_i1029" type="#_x0000_t75" alt="WI-2021DataRubricPartB" style="width:77.3pt;height:50.25pt" o:ole="">
            <v:imagedata r:id="rId20" o:title=""/>
          </v:shape>
          <o:OLEObject Type="Embed" ProgID="Excel.Sheet.12" ShapeID="_x0000_i1029" DrawAspect="Icon" ObjectID="_1689399459" r:id="rId21"/>
        </w:object>
      </w:r>
      <w:r w:rsidR="002676D0">
        <w:rPr>
          <w:rFonts w:cs="Arial"/>
          <w:color w:val="000000" w:themeColor="text1"/>
          <w:szCs w:val="16"/>
        </w:rPr>
        <w:tab/>
      </w:r>
      <w:r>
        <w:rPr>
          <w:rFonts w:cs="Arial"/>
          <w:color w:val="000000" w:themeColor="text1"/>
          <w:szCs w:val="16"/>
        </w:rPr>
        <w:object w:dxaOrig="1541" w:dyaOrig="998" w14:anchorId="3446C9BE">
          <v:shape id="_x0000_i1030" type="#_x0000_t75" alt="WI-B-Dispute-Resolution-2019-20" style="width:77.3pt;height:50.25pt" o:ole="">
            <v:imagedata r:id="rId22" o:title=""/>
          </v:shape>
          <o:OLEObject Type="Embed" ProgID="Acrobat.Document.DC" ShapeID="_x0000_i1030" DrawAspect="Icon" ObjectID="_1689399460" r:id="rId23"/>
        </w:object>
      </w:r>
    </w:p>
    <w:sectPr w:rsidR="00755AF7" w:rsidRPr="005C29F8"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30E17" w14:textId="77777777" w:rsidR="00434BE1" w:rsidRDefault="00434BE1" w:rsidP="000802F7">
      <w:pPr>
        <w:spacing w:before="0" w:after="0"/>
      </w:pPr>
      <w:r>
        <w:separator/>
      </w:r>
    </w:p>
  </w:endnote>
  <w:endnote w:type="continuationSeparator" w:id="0">
    <w:p w14:paraId="60A78C8D" w14:textId="77777777" w:rsidR="00434BE1" w:rsidRDefault="00434BE1" w:rsidP="000802F7">
      <w:pPr>
        <w:spacing w:before="0" w:after="0"/>
      </w:pPr>
      <w:r>
        <w:continuationSeparator/>
      </w:r>
    </w:p>
  </w:endnote>
  <w:endnote w:type="continuationNotice" w:id="1">
    <w:p w14:paraId="0CF9A252" w14:textId="77777777" w:rsidR="00434BE1" w:rsidRDefault="00434B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65003" w14:textId="77777777" w:rsidR="00434BE1" w:rsidRDefault="00434BE1" w:rsidP="000802F7">
      <w:pPr>
        <w:spacing w:before="0" w:after="0"/>
      </w:pPr>
      <w:r>
        <w:separator/>
      </w:r>
    </w:p>
  </w:footnote>
  <w:footnote w:type="continuationSeparator" w:id="0">
    <w:p w14:paraId="49208DF4" w14:textId="77777777" w:rsidR="00434BE1" w:rsidRDefault="00434BE1" w:rsidP="000802F7">
      <w:pPr>
        <w:spacing w:before="0" w:after="0"/>
      </w:pPr>
      <w:r>
        <w:continuationSeparator/>
      </w:r>
    </w:p>
  </w:footnote>
  <w:footnote w:type="continuationNotice" w:id="1">
    <w:p w14:paraId="7670E31F" w14:textId="77777777" w:rsidR="00434BE1" w:rsidRDefault="00434BE1">
      <w:pPr>
        <w:spacing w:before="0" w:after="0"/>
      </w:pPr>
    </w:p>
  </w:footnote>
  <w:footnote w:id="2">
    <w:p w14:paraId="70625D05" w14:textId="3C06CFAE" w:rsidR="009A6600" w:rsidRPr="00806C53" w:rsidRDefault="009A6600">
      <w:pPr>
        <w:pStyle w:val="FootnoteText"/>
        <w:rPr>
          <w:b/>
          <w:bCs/>
          <w:sz w:val="16"/>
          <w:szCs w:val="16"/>
        </w:rPr>
      </w:pPr>
      <w:r w:rsidRPr="00806C53">
        <w:rPr>
          <w:rStyle w:val="FootnoteReference"/>
          <w:sz w:val="16"/>
          <w:szCs w:val="16"/>
        </w:rPr>
        <w:footnoteRef/>
      </w:r>
      <w:r w:rsidRPr="00806C53">
        <w:rPr>
          <w:sz w:val="16"/>
          <w:szCs w:val="16"/>
        </w:rPr>
        <w:t xml:space="preserve"> Data suppressed due to privacy protection</w:t>
      </w:r>
    </w:p>
  </w:footnote>
  <w:footnote w:id="3">
    <w:p w14:paraId="33A58932" w14:textId="6FE43714" w:rsidR="00806C53" w:rsidRPr="00806C53" w:rsidRDefault="00806C53">
      <w:pPr>
        <w:pStyle w:val="FootnoteText"/>
        <w:rPr>
          <w:sz w:val="16"/>
          <w:szCs w:val="16"/>
        </w:rPr>
      </w:pPr>
      <w:r w:rsidRPr="00806C53">
        <w:rPr>
          <w:rStyle w:val="FootnoteReference"/>
          <w:sz w:val="16"/>
          <w:szCs w:val="16"/>
        </w:rPr>
        <w:footnoteRef/>
      </w:r>
      <w:r w:rsidRPr="00806C53">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75pt;visibility:visibl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D7EEC"/>
    <w:rsid w:val="001E0824"/>
    <w:rsid w:val="001E141D"/>
    <w:rsid w:val="001E1828"/>
    <w:rsid w:val="001E1D93"/>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3EF8"/>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676D0"/>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1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1560"/>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4BE1"/>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D5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223F"/>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EFA"/>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9AE"/>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145"/>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5CB"/>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B1"/>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953"/>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6C53"/>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128"/>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1ACE"/>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1EF"/>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600"/>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CB0"/>
    <w:rsid w:val="00A12F48"/>
    <w:rsid w:val="00A13E00"/>
    <w:rsid w:val="00A13F7C"/>
    <w:rsid w:val="00A148BB"/>
    <w:rsid w:val="00A14932"/>
    <w:rsid w:val="00A14AEA"/>
    <w:rsid w:val="00A14B5D"/>
    <w:rsid w:val="00A14DB4"/>
    <w:rsid w:val="00A15C8A"/>
    <w:rsid w:val="00A171A9"/>
    <w:rsid w:val="00A17ED1"/>
    <w:rsid w:val="00A2001D"/>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52A"/>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4FF9"/>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0F3"/>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9BDA5469-39FC-41C9-8206-F2433CB4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1898078886">
          <w:marLeft w:val="0"/>
          <w:marRight w:val="0"/>
          <w:marTop w:val="0"/>
          <w:marBottom w:val="150"/>
          <w:divBdr>
            <w:top w:val="none" w:sz="0" w:space="0" w:color="auto"/>
            <w:left w:val="none" w:sz="0" w:space="0" w:color="auto"/>
            <w:bottom w:val="none" w:sz="0" w:space="0" w:color="auto"/>
            <w:right w:val="none" w:sz="0" w:space="0" w:color="auto"/>
          </w:divBdr>
        </w:div>
        <w:div w:id="2020041191">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289673781">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1092167359">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676611782">
          <w:marLeft w:val="0"/>
          <w:marRight w:val="0"/>
          <w:marTop w:val="0"/>
          <w:marBottom w:val="210"/>
          <w:divBdr>
            <w:top w:val="none" w:sz="0" w:space="0" w:color="auto"/>
            <w:left w:val="none" w:sz="0" w:space="0" w:color="auto"/>
            <w:bottom w:val="none" w:sz="0" w:space="0" w:color="auto"/>
            <w:right w:val="none" w:sz="0" w:space="0" w:color="auto"/>
          </w:divBdr>
        </w:div>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185751529">
          <w:marLeft w:val="0"/>
          <w:marRight w:val="0"/>
          <w:marTop w:val="75"/>
          <w:marBottom w:val="225"/>
          <w:divBdr>
            <w:top w:val="none" w:sz="0" w:space="0" w:color="auto"/>
            <w:left w:val="none" w:sz="0" w:space="0" w:color="auto"/>
            <w:bottom w:val="none" w:sz="0" w:space="0" w:color="auto"/>
            <w:right w:val="none" w:sz="0" w:space="0" w:color="auto"/>
          </w:divBdr>
        </w:div>
        <w:div w:id="751465934">
          <w:marLeft w:val="0"/>
          <w:marRight w:val="0"/>
          <w:marTop w:val="75"/>
          <w:marBottom w:val="7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94712170">
          <w:marLeft w:val="0"/>
          <w:marRight w:val="0"/>
          <w:marTop w:val="0"/>
          <w:marBottom w:val="150"/>
          <w:divBdr>
            <w:top w:val="none" w:sz="0" w:space="0" w:color="auto"/>
            <w:left w:val="none" w:sz="0" w:space="0" w:color="auto"/>
            <w:bottom w:val="none" w:sz="0" w:space="0" w:color="auto"/>
            <w:right w:val="none" w:sz="0" w:space="0" w:color="auto"/>
          </w:divBdr>
        </w:div>
        <w:div w:id="1955480511">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969017410">
          <w:marLeft w:val="0"/>
          <w:marRight w:val="0"/>
          <w:marTop w:val="0"/>
          <w:marBottom w:val="150"/>
          <w:divBdr>
            <w:top w:val="none" w:sz="0" w:space="0" w:color="auto"/>
            <w:left w:val="none" w:sz="0" w:space="0" w:color="auto"/>
            <w:bottom w:val="none" w:sz="0" w:space="0" w:color="auto"/>
            <w:right w:val="none" w:sz="0" w:space="0" w:color="auto"/>
          </w:divBdr>
        </w:div>
        <w:div w:id="2121759734">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18758744">
          <w:marLeft w:val="0"/>
          <w:marRight w:val="0"/>
          <w:marTop w:val="0"/>
          <w:marBottom w:val="150"/>
          <w:divBdr>
            <w:top w:val="none" w:sz="0" w:space="0" w:color="auto"/>
            <w:left w:val="none" w:sz="0" w:space="0" w:color="auto"/>
            <w:bottom w:val="none" w:sz="0" w:space="0" w:color="auto"/>
            <w:right w:val="none" w:sz="0" w:space="0" w:color="auto"/>
          </w:divBdr>
        </w:div>
        <w:div w:id="1634751897">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1966891675">
          <w:marLeft w:val="0"/>
          <w:marRight w:val="0"/>
          <w:marTop w:val="0"/>
          <w:marBottom w:val="150"/>
          <w:divBdr>
            <w:top w:val="none" w:sz="0" w:space="0" w:color="auto"/>
            <w:left w:val="none" w:sz="0" w:space="0" w:color="auto"/>
            <w:bottom w:val="none" w:sz="0" w:space="0" w:color="auto"/>
            <w:right w:val="none" w:sz="0" w:space="0" w:color="auto"/>
          </w:divBdr>
        </w:div>
        <w:div w:id="201367785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1529B34A-2400-4C51-97CE-00762AC62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E34A9DCB-E3D8-4048-BDD4-1F7881EB959B}">
  <ds:schemaRefs>
    <ds:schemaRef ds:uri="http://schemas.microsoft.com/office/2006/documentManagement/types"/>
    <ds:schemaRef ds:uri="http://purl.org/dc/dcmitype/"/>
    <ds:schemaRef ds:uri="ffcb171c-5eb6-4b7e-bff7-850b4441ed9e"/>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dd23999d-55bb-4b1f-885e-83712e5c49d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32116</Words>
  <Characters>183065</Characters>
  <Application>Microsoft Office Word</Application>
  <DocSecurity>4</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O'Grady</dc:creator>
  <cp:keywords/>
  <cp:lastModifiedBy>Freeman, Vinetta</cp:lastModifiedBy>
  <cp:revision>18</cp:revision>
  <cp:lastPrinted>2014-08-19T19:56:00Z</cp:lastPrinted>
  <dcterms:created xsi:type="dcterms:W3CDTF">2021-07-22T06:42:00Z</dcterms:created>
  <dcterms:modified xsi:type="dcterms:W3CDTF">2021-08-02T18:51:00Z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b1e47aad-dd4f-4f52-aee7-920030faccbc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