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Wisconsin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Wisconsin Department of Public Instruction (DPI)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submit an Annual Performance Report (APR), which measures and reports on the State of Wisconsin's (Wisconsin) progress in meeting the targets and goals for students with disabilities specified in the Wisconsin State Performance Plan (SPP). This report </w:t>
      </w:r>
      <w:proofErr w:type="gramStart"/>
      <w:r w:rsidRPr="00781112">
        <w:rPr>
          <w:rFonts w:cs="Arial"/>
          <w:color w:val="000000" w:themeColor="text1"/>
          <w:szCs w:val="16"/>
        </w:rPr>
        <w:t>is submitted</w:t>
      </w:r>
      <w:proofErr w:type="gramEnd"/>
      <w:r w:rsidRPr="00781112">
        <w:rPr>
          <w:rFonts w:cs="Arial"/>
          <w:color w:val="000000" w:themeColor="text1"/>
          <w:szCs w:val="16"/>
        </w:rPr>
        <w:t xml:space="preserve"> each year on February 1 to the United States Department of Education, Office of Special Education Programs (OSEP). The State is monitored on 17 indicators reflecting a mix of compliance and results indicators.</w:t>
      </w:r>
      <w:r w:rsidRPr="00781112">
        <w:rPr>
          <w:rFonts w:cs="Arial"/>
          <w:color w:val="000000" w:themeColor="text1"/>
          <w:szCs w:val="16"/>
        </w:rPr>
        <w:br/>
      </w:r>
      <w:r w:rsidRPr="00781112">
        <w:rPr>
          <w:rFonts w:cs="Arial"/>
          <w:color w:val="000000" w:themeColor="text1"/>
          <w:szCs w:val="16"/>
        </w:rPr>
        <w:br/>
        <w:t>The Federal Fiscal Year (FFY) 2021 APR targets, results, slippage from the previous APR, and verification of correction of all previous findings of all noncompliance found in FFY 2020 are compiled in the report that follows.</w:t>
      </w:r>
      <w:r w:rsidRPr="00781112">
        <w:rPr>
          <w:rFonts w:cs="Arial"/>
          <w:color w:val="000000" w:themeColor="text1"/>
          <w:szCs w:val="16"/>
        </w:rPr>
        <w:br/>
      </w:r>
      <w:r w:rsidRPr="00781112">
        <w:rPr>
          <w:rFonts w:cs="Arial"/>
          <w:color w:val="000000" w:themeColor="text1"/>
          <w:szCs w:val="16"/>
        </w:rPr>
        <w:br/>
        <w:t>Procedurally compliant individualized education programs (IEPs) form the basis for practices that drive improved results for students with IEPs, and the DPI demonstrated substantial compliance in all compliance indicators. Additionally, the DPI continues to support district implementation of the "College and Career Ready IEP Framework," which allows districts to continuously monitor procedural compliance while at the same time improving key areas in developing and implementing IEPs that are correlated with improvement in academic and functional performance. The DPI, as well as staff funded through discretionary grants, provide ongoing technical assistance and training, grant activities, and the development of additional resources.</w:t>
      </w:r>
      <w:r w:rsidRPr="00781112">
        <w:rPr>
          <w:rFonts w:cs="Arial"/>
          <w:color w:val="000000" w:themeColor="text1"/>
          <w:szCs w:val="16"/>
        </w:rPr>
        <w:br/>
      </w:r>
      <w:r w:rsidRPr="00781112">
        <w:rPr>
          <w:rFonts w:cs="Arial"/>
          <w:color w:val="000000" w:themeColor="text1"/>
          <w:szCs w:val="16"/>
        </w:rPr>
        <w:br/>
        <w:t xml:space="preserve">In aggregate, the results indicators (1, 2, 3, 4a, 5, 6, 7, 8, 14) offer a snapshot of how students with IEPs are performing throughout their educational lives. During this reporting period, the DPI is reporting that Wisconsin met target and/or did not experience slippage in the following areas: graduation, assessment participation for children with IEPs, suspension/expulsion, education environments for children aged </w:t>
      </w:r>
      <w:proofErr w:type="gramStart"/>
      <w:r w:rsidRPr="00781112">
        <w:rPr>
          <w:rFonts w:cs="Arial"/>
          <w:color w:val="000000" w:themeColor="text1"/>
          <w:szCs w:val="16"/>
        </w:rPr>
        <w:t>5</w:t>
      </w:r>
      <w:proofErr w:type="gramEnd"/>
      <w:r w:rsidRPr="00781112">
        <w:rPr>
          <w:rFonts w:cs="Arial"/>
          <w:color w:val="000000" w:themeColor="text1"/>
          <w:szCs w:val="16"/>
        </w:rPr>
        <w:t xml:space="preserve"> and in kindergarten through 21, parent involvement, and post-school outcomes. The DPI is reporting slippage in the following areas: dropout, proficiency for children with IEPs as measured by grade level academic and alternate achievement standards, gap in proficiency rates as measured by grade level academic achievement standards, preschool environments, and preschool outcomes. </w:t>
      </w:r>
      <w:r w:rsidRPr="00781112">
        <w:rPr>
          <w:rFonts w:cs="Arial"/>
          <w:color w:val="000000" w:themeColor="text1"/>
          <w:szCs w:val="16"/>
        </w:rPr>
        <w:br/>
      </w:r>
      <w:r w:rsidRPr="00781112">
        <w:rPr>
          <w:rFonts w:cs="Arial"/>
          <w:color w:val="000000" w:themeColor="text1"/>
          <w:szCs w:val="16"/>
        </w:rPr>
        <w:br/>
        <w:t xml:space="preserve">The DPI invests IDEA discretionary funds in improvement activities designed, in part, to accelerate academic growth for students with IEPs. Specifically, the DPI is building capacity in implementation science and is measuring how quickly and how effectively that investment can change adult practices and improve student outcomes. In Wisconsin, stakeholders asked the DPI to focus on early literacy for students with IEPs. More detail and information on this investment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Indicator 17. </w:t>
      </w:r>
      <w:r w:rsidRPr="00781112">
        <w:rPr>
          <w:rFonts w:cs="Arial"/>
          <w:color w:val="000000" w:themeColor="text1"/>
          <w:szCs w:val="16"/>
        </w:rPr>
        <w:br/>
      </w:r>
      <w:r w:rsidRPr="00781112">
        <w:rPr>
          <w:rFonts w:cs="Arial"/>
          <w:color w:val="000000" w:themeColor="text1"/>
          <w:szCs w:val="16"/>
        </w:rPr>
        <w:br/>
        <w:t>If indicator data are impacted due to COVID-19, the DPI includes in the narrative:</w:t>
      </w:r>
      <w:r w:rsidRPr="00781112">
        <w:rPr>
          <w:rFonts w:cs="Arial"/>
          <w:color w:val="000000" w:themeColor="text1"/>
          <w:szCs w:val="16"/>
        </w:rPr>
        <w:br/>
        <w:t>(1) The impact on data completeness, validity and reliability for the indicator;</w:t>
      </w:r>
      <w:r w:rsidRPr="00781112">
        <w:rPr>
          <w:rFonts w:cs="Arial"/>
          <w:color w:val="000000" w:themeColor="text1"/>
          <w:szCs w:val="16"/>
        </w:rPr>
        <w:br/>
        <w:t>(2) An explanation of how COVID-19 specifically impacted the State's ability to collect the data for the indicator; and</w:t>
      </w:r>
      <w:r w:rsidRPr="00781112">
        <w:rPr>
          <w:rFonts w:cs="Arial"/>
          <w:color w:val="000000" w:themeColor="text1"/>
          <w:szCs w:val="16"/>
        </w:rPr>
        <w:br/>
        <w:t>(3) Any steps the State took to mitigate the impact of COVID-19 on the data collection.</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Data collection and reporting continue to </w:t>
      </w:r>
      <w:proofErr w:type="gramStart"/>
      <w:r w:rsidRPr="00781112">
        <w:rPr>
          <w:color w:val="000000" w:themeColor="text1"/>
        </w:rPr>
        <w:t>be affected</w:t>
      </w:r>
      <w:proofErr w:type="gramEnd"/>
      <w:r w:rsidRPr="00781112">
        <w:rPr>
          <w:color w:val="000000" w:themeColor="text1"/>
        </w:rPr>
        <w:t xml:space="preserve"> by the COVID-19 pandemic. During this reporting period, Wisconsin LEAs offered full academic years of in-person instruction, as compared to virtual instruction provided March 18-June 30, 2020 (see Wisconsin Department of Health Secretary-designee Andrea Palm’s Order for Statewide School Closure), and then instruction in-person, virtual, and hybrid during the 2020-21 school year. While the return to school amid the COVID-19 pandemic was – for many districts - safe, efficient, and equitable, it was not without challenges that affected data collecting and reporting.</w:t>
      </w:r>
      <w:r w:rsidRPr="00781112">
        <w:rPr>
          <w:color w:val="000000" w:themeColor="text1"/>
        </w:rPr>
        <w:br/>
      </w:r>
      <w:r w:rsidRPr="00781112">
        <w:rPr>
          <w:color w:val="000000" w:themeColor="text1"/>
        </w:rPr>
        <w:br/>
        <w:t xml:space="preserve">First, the Wisconsin Statewide Student Assessment System (WSAS) exams given to students during the 2020-21 school year saw a decline in participation. Assessments </w:t>
      </w:r>
      <w:proofErr w:type="gramStart"/>
      <w:r w:rsidRPr="00781112">
        <w:rPr>
          <w:color w:val="000000" w:themeColor="text1"/>
        </w:rPr>
        <w:t>were administered</w:t>
      </w:r>
      <w:proofErr w:type="gramEnd"/>
      <w:r w:rsidRPr="00781112">
        <w:rPr>
          <w:color w:val="000000" w:themeColor="text1"/>
        </w:rPr>
        <w:t xml:space="preserve"> to students in spring 2021 following standard in-person test taking procedures amid the COVID-19 pandemic. Participation improved </w:t>
      </w:r>
      <w:proofErr w:type="gramStart"/>
      <w:r w:rsidRPr="00781112">
        <w:rPr>
          <w:color w:val="000000" w:themeColor="text1"/>
        </w:rPr>
        <w:t>substantially during</w:t>
      </w:r>
      <w:proofErr w:type="gramEnd"/>
      <w:r w:rsidRPr="00781112">
        <w:rPr>
          <w:color w:val="000000" w:themeColor="text1"/>
        </w:rPr>
        <w:t xml:space="preserve"> the 2021-22 school year but remains below pre-COVID 19 levels. The DPI anticipates it will take </w:t>
      </w:r>
      <w:proofErr w:type="gramStart"/>
      <w:r w:rsidRPr="00781112">
        <w:rPr>
          <w:color w:val="000000" w:themeColor="text1"/>
        </w:rPr>
        <w:t>several</w:t>
      </w:r>
      <w:proofErr w:type="gramEnd"/>
      <w:r w:rsidRPr="00781112">
        <w:rPr>
          <w:color w:val="000000" w:themeColor="text1"/>
        </w:rPr>
        <w:t xml:space="preserve"> more years to fully rebound.</w:t>
      </w:r>
      <w:r w:rsidRPr="00781112">
        <w:rPr>
          <w:color w:val="000000" w:themeColor="text1"/>
        </w:rPr>
        <w:br/>
      </w:r>
      <w:r w:rsidRPr="00781112">
        <w:rPr>
          <w:color w:val="000000" w:themeColor="text1"/>
        </w:rPr>
        <w:br/>
        <w:t xml:space="preserve">The DPI worked with districts to improve statewide assessment participation from the previous school year, providing suggestions for family messaging that emphasized the assessments' importance to oversight and accountability. Wisconsin includes this indicator in its IDEA LEA Determination criteria to encourage all LEAs to keep their participation rates at or above 95%. </w:t>
      </w:r>
      <w:r w:rsidRPr="00781112">
        <w:rPr>
          <w:color w:val="000000" w:themeColor="text1"/>
        </w:rPr>
        <w:br/>
      </w:r>
      <w:r w:rsidRPr="00781112">
        <w:rPr>
          <w:color w:val="000000" w:themeColor="text1"/>
        </w:rPr>
        <w:br/>
        <w:t xml:space="preserve">Second, the Indicator 14 Post School Outcome survey demonstrated the lasting impact of the COVID-19 pandemic on post school activities for students with disabilities. Results of the survey, finalized in Fall 2022, gathered information on postsecondary activities of former students with disabilities. Of those respondents, 23% had completed at least one term of postsecondary education and training. This was a slight increase from the 2021 survey where 22% of respondents had completed postsecondary education, and both years represented a decrease from the 2020 survey where 26% of respondents had completed postsecondary education. </w:t>
      </w:r>
      <w:r w:rsidRPr="00781112">
        <w:rPr>
          <w:color w:val="000000" w:themeColor="text1"/>
        </w:rPr>
        <w:br/>
      </w:r>
      <w:r w:rsidRPr="00781112">
        <w:rPr>
          <w:color w:val="000000" w:themeColor="text1"/>
        </w:rPr>
        <w:br/>
        <w:t>Third, the Indicator 7 Preschool Outcome data also demonstrated the growing and long-term impact of the COVID-19 pandemic on the youngest learners with disabilities. In this reporting period, 4,894 students exited early childhood programs as compared to 11,210 during FFY2020 and 7,739 in FFY2019. While this shift also reflects the changes in reporting for five year old learners, the largest attribution to this drop in numbers is the school closures during COVID-19 and then learning that relied on remote and/or hybrid learning, which was not developmentally appropriate for the youngest learners and many parents withdrew consent for special education and related services when in-person learning was not available.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lastRenderedPageBreak/>
        <w:t xml:space="preserve">The Wisconsin Department of Public Instruction (DPI) has a general supervision system to ensure the Individuals with Disabilities Education Act (IDEA) Part B requirements </w:t>
      </w:r>
      <w:proofErr w:type="gramStart"/>
      <w:r w:rsidRPr="00781112">
        <w:rPr>
          <w:rFonts w:cs="Arial"/>
          <w:color w:val="000000" w:themeColor="text1"/>
          <w:szCs w:val="16"/>
        </w:rPr>
        <w:t>are met</w:t>
      </w:r>
      <w:proofErr w:type="gramEnd"/>
      <w:r w:rsidRPr="00781112">
        <w:rPr>
          <w:rFonts w:cs="Arial"/>
          <w:color w:val="000000" w:themeColor="text1"/>
          <w:szCs w:val="16"/>
        </w:rPr>
        <w:t>. The system is based on seven critical elements:</w:t>
      </w:r>
      <w:r w:rsidRPr="00781112">
        <w:rPr>
          <w:rFonts w:cs="Arial"/>
          <w:color w:val="000000" w:themeColor="text1"/>
          <w:szCs w:val="16"/>
        </w:rPr>
        <w:br/>
      </w:r>
      <w:r w:rsidRPr="00781112">
        <w:rPr>
          <w:rFonts w:cs="Arial"/>
          <w:color w:val="000000" w:themeColor="text1"/>
          <w:szCs w:val="16"/>
        </w:rPr>
        <w:br/>
        <w:t>1) Establishment of effective model policies, procedures, and practices</w:t>
      </w:r>
      <w:r w:rsidRPr="00781112">
        <w:rPr>
          <w:rFonts w:cs="Arial"/>
          <w:color w:val="000000" w:themeColor="text1"/>
          <w:szCs w:val="16"/>
        </w:rPr>
        <w:br/>
        <w:t xml:space="preserve">The DPI ensures all districts have adopted policies, procedures, and practices that comply with IDEA and state special education law. The DPI developed Model Local Educational Agency Special Education Policies and Procedures, as well as Sample Individualized Education Program (IEP) Forms and Guide, to help districts meet their obligation to comply with all special education requirements. All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either submit an assurance to the department that they have adopted the DPI model policies and procedures and model forms or submit local versions to the DPI for review and approval. In addition, districts identified with racial disproportionality conduct a review of their policies, procedures, and practices to determine and address any inappropriate identification associated with Indicators 4B, 9, and 10.</w:t>
      </w:r>
      <w:r w:rsidRPr="00781112">
        <w:rPr>
          <w:rFonts w:cs="Arial"/>
          <w:color w:val="000000" w:themeColor="text1"/>
          <w:szCs w:val="16"/>
        </w:rPr>
        <w:br/>
      </w:r>
      <w:r w:rsidRPr="00781112">
        <w:rPr>
          <w:rFonts w:cs="Arial"/>
          <w:color w:val="000000" w:themeColor="text1"/>
          <w:szCs w:val="16"/>
        </w:rPr>
        <w:br/>
        <w:t>2) Data collection and fiscal monitoring</w:t>
      </w:r>
      <w:r w:rsidRPr="00781112">
        <w:rPr>
          <w:rFonts w:cs="Arial"/>
          <w:color w:val="000000" w:themeColor="text1"/>
          <w:szCs w:val="16"/>
        </w:rPr>
        <w:br/>
        <w:t xml:space="preserve">The DPI collects data related to SPP indicators and priority areas through the Wisconsin Student Assessment System, the WISEdata Collection System, Indicator 7 Child Outcomes Decision Tree Application, Indicator 8 Family Engagement Survey, Post High School Outcomes Survey, Special Education Web Portal, and the WISEgrants federal grant management system. Each school year, all Wisconsin districts, including independent charter schools, complete and submit an annual budget to the DPI for review through the WISEgrants system. WISEgrants is a web-based application, and it is the IDEA flow-through and preschool funding mechanism that must </w:t>
      </w:r>
      <w:proofErr w:type="gramStart"/>
      <w:r w:rsidRPr="00781112">
        <w:rPr>
          <w:rFonts w:cs="Arial"/>
          <w:color w:val="000000" w:themeColor="text1"/>
          <w:szCs w:val="16"/>
        </w:rPr>
        <w:t>be completed</w:t>
      </w:r>
      <w:proofErr w:type="gramEnd"/>
      <w:r w:rsidRPr="00781112">
        <w:rPr>
          <w:rFonts w:cs="Arial"/>
          <w:color w:val="000000" w:themeColor="text1"/>
          <w:szCs w:val="16"/>
        </w:rPr>
        <w:t xml:space="preserve"> in an approvable form before a district may encumber and expend federal monies. Through WISEgrants, districts submit their IDEA flow-through and preschool budgets and provide an assurance to the DPI of compliance with state and federal special education requirements. Both the budgets and assurances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by a DPI staff member assigned to work with the individual district. Through the WISEgrants system, maintenance of effort (MOE) eligibility and compliance </w:t>
      </w:r>
      <w:proofErr w:type="gramStart"/>
      <w:r w:rsidRPr="00781112">
        <w:rPr>
          <w:rFonts w:cs="Arial"/>
          <w:color w:val="000000" w:themeColor="text1"/>
          <w:szCs w:val="16"/>
        </w:rPr>
        <w:t>is monitored</w:t>
      </w:r>
      <w:proofErr w:type="gramEnd"/>
      <w:r w:rsidRPr="00781112">
        <w:rPr>
          <w:rFonts w:cs="Arial"/>
          <w:color w:val="000000" w:themeColor="text1"/>
          <w:szCs w:val="16"/>
        </w:rPr>
        <w:t xml:space="preserve"> for every Wisconsin school district every year. Risk-based monitoring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when warranted.</w:t>
      </w:r>
      <w:r w:rsidRPr="00781112">
        <w:rPr>
          <w:rFonts w:cs="Arial"/>
          <w:color w:val="000000" w:themeColor="text1"/>
          <w:szCs w:val="16"/>
        </w:rPr>
        <w:br/>
      </w:r>
      <w:r w:rsidRPr="00781112">
        <w:rPr>
          <w:rFonts w:cs="Arial"/>
          <w:color w:val="000000" w:themeColor="text1"/>
          <w:szCs w:val="16"/>
        </w:rPr>
        <w:br/>
        <w:t>3) Targeted training and technical assistance</w:t>
      </w:r>
      <w:r w:rsidRPr="00781112">
        <w:rPr>
          <w:rFonts w:cs="Arial"/>
          <w:color w:val="000000" w:themeColor="text1"/>
          <w:szCs w:val="16"/>
        </w:rPr>
        <w:br/>
        <w:t>The DPI develops information bulletins, training documents and modules, as well as provides statewide and regional training to ensure understanding of the requirements of IDEA and Wisconsin state law. Identified districts receive targeted training and technical assistance to improve results for children with disabilities, correct noncompliance or fiscal mismanagement, and address inappropriate dentification resulting in racial disproportionality.</w:t>
      </w:r>
      <w:r w:rsidRPr="00781112">
        <w:rPr>
          <w:rFonts w:cs="Arial"/>
          <w:color w:val="000000" w:themeColor="text1"/>
          <w:szCs w:val="16"/>
        </w:rPr>
        <w:br/>
      </w:r>
      <w:r w:rsidRPr="00781112">
        <w:rPr>
          <w:rFonts w:cs="Arial"/>
          <w:color w:val="000000" w:themeColor="text1"/>
          <w:szCs w:val="16"/>
        </w:rPr>
        <w:br/>
        <w:t>4) Effective, responsive dispute resolution process</w:t>
      </w:r>
      <w:r w:rsidRPr="00781112">
        <w:rPr>
          <w:rFonts w:cs="Arial"/>
          <w:color w:val="000000" w:themeColor="text1"/>
          <w:szCs w:val="16"/>
        </w:rPr>
        <w:br/>
        <w:t>The DPI has established effective, responsive systems for IDEA complaints, due process hearings, and mediation.</w:t>
      </w:r>
      <w:r w:rsidRPr="00781112">
        <w:rPr>
          <w:rFonts w:cs="Arial"/>
          <w:color w:val="000000" w:themeColor="text1"/>
          <w:szCs w:val="16"/>
        </w:rPr>
        <w:br/>
      </w:r>
      <w:r w:rsidRPr="00781112">
        <w:rPr>
          <w:rFonts w:cs="Arial"/>
          <w:color w:val="000000" w:themeColor="text1"/>
          <w:szCs w:val="16"/>
        </w:rPr>
        <w:br/>
        <w:t>4a) IDEA Complaints</w:t>
      </w:r>
      <w:r w:rsidRPr="00781112">
        <w:rPr>
          <w:rFonts w:cs="Arial"/>
          <w:color w:val="000000" w:themeColor="text1"/>
          <w:szCs w:val="16"/>
        </w:rPr>
        <w:br/>
        <w:t xml:space="preserve">The DPI is responsible for investigating complaints and issuing decisions within 60 calendar days of receipt of the complaint. The DPI reviews all relevant information and </w:t>
      </w:r>
      <w:proofErr w:type="gramStart"/>
      <w:r w:rsidRPr="00781112">
        <w:rPr>
          <w:rFonts w:cs="Arial"/>
          <w:color w:val="000000" w:themeColor="text1"/>
          <w:szCs w:val="16"/>
        </w:rPr>
        <w:t>make</w:t>
      </w:r>
      <w:proofErr w:type="gramEnd"/>
      <w:r w:rsidRPr="00781112">
        <w:rPr>
          <w:rFonts w:cs="Arial"/>
          <w:color w:val="000000" w:themeColor="text1"/>
          <w:szCs w:val="16"/>
        </w:rPr>
        <w:t xml:space="preserve"> an independent determination about whether the district has met the Part B requirement. The DPI's decision includes findings of fact, a conclusion for each issue, and the reasons that support the decision. The complaint </w:t>
      </w:r>
      <w:proofErr w:type="gramStart"/>
      <w:r w:rsidRPr="00781112">
        <w:rPr>
          <w:rFonts w:cs="Arial"/>
          <w:color w:val="000000" w:themeColor="text1"/>
          <w:szCs w:val="16"/>
        </w:rPr>
        <w:t>is closed</w:t>
      </w:r>
      <w:proofErr w:type="gramEnd"/>
      <w:r w:rsidRPr="00781112">
        <w:rPr>
          <w:rFonts w:cs="Arial"/>
          <w:color w:val="000000" w:themeColor="text1"/>
          <w:szCs w:val="16"/>
        </w:rPr>
        <w:t xml:space="preserve"> when the DPI verifies the district: 1) corrected each individual case of student-specific noncompliance; and 2) is correctly implementing the specific regulatory requirement(s). The DPI has developed a model form to assist parents and other parties in filing an IDEA state complaint.</w:t>
      </w:r>
      <w:r w:rsidRPr="00781112">
        <w:rPr>
          <w:rFonts w:cs="Arial"/>
          <w:color w:val="000000" w:themeColor="text1"/>
          <w:szCs w:val="16"/>
        </w:rPr>
        <w:br/>
      </w:r>
      <w:r w:rsidRPr="00781112">
        <w:rPr>
          <w:rFonts w:cs="Arial"/>
          <w:color w:val="000000" w:themeColor="text1"/>
          <w:szCs w:val="16"/>
        </w:rPr>
        <w:br/>
        <w:t>4b) Due Process</w:t>
      </w:r>
      <w:r w:rsidRPr="00781112">
        <w:rPr>
          <w:rFonts w:cs="Arial"/>
          <w:color w:val="000000" w:themeColor="text1"/>
          <w:szCs w:val="16"/>
        </w:rPr>
        <w:br/>
        <w:t xml:space="preserve">A due process hearing </w:t>
      </w:r>
      <w:proofErr w:type="gramStart"/>
      <w:r w:rsidRPr="00781112">
        <w:rPr>
          <w:rFonts w:cs="Arial"/>
          <w:color w:val="000000" w:themeColor="text1"/>
          <w:szCs w:val="16"/>
        </w:rPr>
        <w:t>is requested</w:t>
      </w:r>
      <w:proofErr w:type="gramEnd"/>
      <w:r w:rsidRPr="00781112">
        <w:rPr>
          <w:rFonts w:cs="Arial"/>
          <w:color w:val="000000" w:themeColor="text1"/>
          <w:szCs w:val="16"/>
        </w:rPr>
        <w:t xml:space="preserve"> by sending a letter or a completed sample form to the DPI. The DPI acknowledges receipt of a hearing request in a letter describing district responsibilities including the holding of a resolution session within </w:t>
      </w:r>
      <w:proofErr w:type="gramStart"/>
      <w:r w:rsidRPr="00781112">
        <w:rPr>
          <w:rFonts w:cs="Arial"/>
          <w:color w:val="000000" w:themeColor="text1"/>
          <w:szCs w:val="16"/>
        </w:rPr>
        <w:t>15</w:t>
      </w:r>
      <w:proofErr w:type="gramEnd"/>
      <w:r w:rsidRPr="00781112">
        <w:rPr>
          <w:rFonts w:cs="Arial"/>
          <w:color w:val="000000" w:themeColor="text1"/>
          <w:szCs w:val="16"/>
        </w:rPr>
        <w:t xml:space="preserve"> calendar days of receiving the hearing request, or 7 calendar days if it is an expedited due process hearing. When a hearing is requested, the DPI, by contract with the Wisconsin Department of Administration-Division of Hearings and Appeals (DHA), appoints an impartial hearing officer to conduct the hearing.</w:t>
      </w:r>
      <w:r w:rsidRPr="00781112">
        <w:rPr>
          <w:rFonts w:cs="Arial"/>
          <w:color w:val="000000" w:themeColor="text1"/>
          <w:szCs w:val="16"/>
        </w:rPr>
        <w:br/>
      </w:r>
      <w:r w:rsidRPr="00781112">
        <w:rPr>
          <w:rFonts w:cs="Arial"/>
          <w:color w:val="000000" w:themeColor="text1"/>
          <w:szCs w:val="16"/>
        </w:rPr>
        <w:br/>
        <w:t>4c) Mediation</w:t>
      </w:r>
      <w:r w:rsidRPr="00781112">
        <w:rPr>
          <w:rFonts w:cs="Arial"/>
          <w:color w:val="000000" w:themeColor="text1"/>
          <w:szCs w:val="16"/>
        </w:rPr>
        <w:br/>
        <w:t xml:space="preserve">The DPI provides mediation, as a dispute resolution option, through the nationally recognized Wisconsin Special Education Mediation System (WSEMS). WSEMS maintains a list of mediators who are from a wide range of professional backgrounds. The system also provides a facilitated IEP meeting process. Mediation and the IEP meeting facilitation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at no cost to the parties. Survey data consistently indicates that participants are overwhelmingly satisfied with these processes.</w:t>
      </w:r>
      <w:r w:rsidRPr="00781112">
        <w:rPr>
          <w:rFonts w:cs="Arial"/>
          <w:color w:val="000000" w:themeColor="text1"/>
          <w:szCs w:val="16"/>
        </w:rPr>
        <w:br/>
      </w:r>
      <w:r w:rsidRPr="00781112">
        <w:rPr>
          <w:rFonts w:cs="Arial"/>
          <w:color w:val="000000" w:themeColor="text1"/>
          <w:szCs w:val="16"/>
        </w:rPr>
        <w:br/>
        <w:t>5) Procedural Compliance Self-Assessment</w:t>
      </w:r>
      <w:r w:rsidRPr="00781112">
        <w:rPr>
          <w:rFonts w:cs="Arial"/>
          <w:color w:val="000000" w:themeColor="text1"/>
          <w:szCs w:val="16"/>
        </w:rPr>
        <w:br/>
        <w:t xml:space="preserve">The DPI uses a Procedural Compliance Self-Assessment (PCSA) to identify and correct noncompliance. Items in the PCSA </w:t>
      </w:r>
      <w:proofErr w:type="gramStart"/>
      <w:r w:rsidRPr="00781112">
        <w:rPr>
          <w:rFonts w:cs="Arial"/>
          <w:color w:val="000000" w:themeColor="text1"/>
          <w:szCs w:val="16"/>
        </w:rPr>
        <w:t>are aligned</w:t>
      </w:r>
      <w:proofErr w:type="gramEnd"/>
      <w:r w:rsidRPr="00781112">
        <w:rPr>
          <w:rFonts w:cs="Arial"/>
          <w:color w:val="000000" w:themeColor="text1"/>
          <w:szCs w:val="16"/>
        </w:rPr>
        <w:t xml:space="preserve"> with and support Wisconsin's results driven accountability system, with its focus on improving literacy outcomes for students with disabilities, as well as determined through a review of our IDEA complaints, stakeholder contacts, and general supervision reviews. Annually, the DPI gathers monitoring data from approximately one-fifth of the districts in the state through the PCSA. Each cohort of districts is representative of the state considering such variables as geography, disability categories, age, race, and gender. The DPI includes every district in the PCSA at least once during the five-year cycle and each district with an average daily membership greater than 50,000 every year. To assure valid and reliable data, the PCSA checklist includes standards and directions for reviewing the procedural requirements and the DPI requires all district staff conducting the assessment to complete a training and certification e-course. Information about the PCSA is posted on the DPI website at https://dpi.wi.gov/sped/educators/rdapcsa.</w:t>
      </w:r>
      <w:r w:rsidRPr="00781112">
        <w:rPr>
          <w:rFonts w:cs="Arial"/>
          <w:color w:val="000000" w:themeColor="text1"/>
          <w:szCs w:val="16"/>
        </w:rPr>
        <w:br/>
      </w:r>
      <w:r w:rsidRPr="00781112">
        <w:rPr>
          <w:rFonts w:cs="Arial"/>
          <w:color w:val="000000" w:themeColor="text1"/>
          <w:szCs w:val="16"/>
        </w:rPr>
        <w:br/>
        <w:t>6) Early Childhood Transition System</w:t>
      </w:r>
      <w:r w:rsidRPr="00781112">
        <w:rPr>
          <w:rFonts w:cs="Arial"/>
          <w:color w:val="000000" w:themeColor="text1"/>
          <w:szCs w:val="16"/>
        </w:rPr>
        <w:br/>
        <w:t xml:space="preserve">The DPI and the Wisconsin Department of Health Services (DHS), the Part C lead agency, worked collaboratively to develop an electronic referral and reporting system to ensure children participating in county Birth to 3 programs (Part C) experience a smooth and effective transition to early childhood programs (Part B). County Birth to </w:t>
      </w:r>
      <w:proofErr w:type="gramStart"/>
      <w:r w:rsidRPr="00781112">
        <w:rPr>
          <w:rFonts w:cs="Arial"/>
          <w:color w:val="000000" w:themeColor="text1"/>
          <w:szCs w:val="16"/>
        </w:rPr>
        <w:t>3</w:t>
      </w:r>
      <w:proofErr w:type="gramEnd"/>
      <w:r w:rsidRPr="00781112">
        <w:rPr>
          <w:rFonts w:cs="Arial"/>
          <w:color w:val="000000" w:themeColor="text1"/>
          <w:szCs w:val="16"/>
        </w:rPr>
        <w:t xml:space="preserve"> program data is daily uploaded into the Indicator 12 web-based application for districts; the application then notifies districts of the referral from county Birth to 3 programs. Finally, districts submit data for Indicator 12 through the application. In addition to ensuring a smooth and effective transition, this data collection system promotes accurate reporting of data. Districts report child-specific data on a real-time basis. This allows for timely identification and correction of noncompliance.</w:t>
      </w:r>
      <w:r w:rsidRPr="00781112">
        <w:rPr>
          <w:rFonts w:cs="Arial"/>
          <w:color w:val="000000" w:themeColor="text1"/>
          <w:szCs w:val="16"/>
        </w:rPr>
        <w:br/>
      </w:r>
      <w:r w:rsidRPr="00781112">
        <w:rPr>
          <w:rFonts w:cs="Arial"/>
          <w:color w:val="000000" w:themeColor="text1"/>
          <w:szCs w:val="16"/>
        </w:rPr>
        <w:br/>
        <w:t>7) Postsecondary Transition Plan Application</w:t>
      </w:r>
      <w:r w:rsidRPr="00781112">
        <w:rPr>
          <w:rFonts w:cs="Arial"/>
          <w:color w:val="000000" w:themeColor="text1"/>
          <w:szCs w:val="16"/>
        </w:rPr>
        <w:br/>
        <w:t xml:space="preserve">The DPI utilizes a web-based Postsecondary Transition Plan (PTP) application to collect Indicator 13 data from all districts with students aged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with an IEP. The PTP ensures every student’s IEP meets state and federal transition requirements. IEP teams develop a student’s transition plan using the PTP application in real time during an IEP team meeting.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data is collected through the online application on an ongoing basis. The PTP application is the state data system for monitoring Indicator 13 requirements. The DPI reviews data from the database for the reporting year and identifies noncompliance. The DPI makes findings of noncompliance and notifies districts when the data indicates noncompliance with the Indicator 13 transition requirements. The DPI verifies all identified noncompliance </w:t>
      </w:r>
      <w:proofErr w:type="gramStart"/>
      <w:r w:rsidRPr="00781112">
        <w:rPr>
          <w:rFonts w:cs="Arial"/>
          <w:color w:val="000000" w:themeColor="text1"/>
          <w:szCs w:val="16"/>
        </w:rPr>
        <w:t>is corrected</w:t>
      </w:r>
      <w:proofErr w:type="gramEnd"/>
      <w:r w:rsidRPr="00781112">
        <w:rPr>
          <w:rFonts w:cs="Arial"/>
          <w:color w:val="000000" w:themeColor="text1"/>
          <w:szCs w:val="16"/>
        </w:rPr>
        <w:t xml:space="preserve"> within one year.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 xml:space="preserve">The DPI has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mechanisms in place to ensure the timely delivery of high quality, evidence based technical assistance and support to districts. As indicated above, within Wisconsin’s general supervision system, the DPI develops information bulletins, training documents and modules, as well as provides statewide and regional training designed to improve results for children with disabilities and to ensure understanding of and compliance with the requirements of IDEA and state special education law. In addition, each week the DPI sends an email to all districts and stakeholders that includes updates on new guidance materials, </w:t>
      </w:r>
      <w:proofErr w:type="gramStart"/>
      <w:r w:rsidRPr="00781112">
        <w:rPr>
          <w:rFonts w:cs="Arial"/>
          <w:color w:val="000000" w:themeColor="text1"/>
          <w:szCs w:val="16"/>
        </w:rPr>
        <w:t>grants</w:t>
      </w:r>
      <w:proofErr w:type="gramEnd"/>
      <w:r w:rsidRPr="00781112">
        <w:rPr>
          <w:rFonts w:cs="Arial"/>
          <w:color w:val="000000" w:themeColor="text1"/>
          <w:szCs w:val="16"/>
        </w:rPr>
        <w:t xml:space="preserve"> and other supports, as well as technical assistance opportunities. Identified districts receive targeted training and technical assistance to improve results for children with disabilities, correct </w:t>
      </w:r>
      <w:proofErr w:type="gramStart"/>
      <w:r w:rsidRPr="00781112">
        <w:rPr>
          <w:rFonts w:cs="Arial"/>
          <w:color w:val="000000" w:themeColor="text1"/>
          <w:szCs w:val="16"/>
        </w:rPr>
        <w:t>noncompliance</w:t>
      </w:r>
      <w:proofErr w:type="gramEnd"/>
      <w:r w:rsidRPr="00781112">
        <w:rPr>
          <w:rFonts w:cs="Arial"/>
          <w:color w:val="000000" w:themeColor="text1"/>
          <w:szCs w:val="16"/>
        </w:rPr>
        <w:t xml:space="preserve"> or fiscal mismanagement, and address inappropriate identification resulting in racial disproportionality.</w:t>
      </w:r>
      <w:r w:rsidRPr="00781112">
        <w:rPr>
          <w:rFonts w:cs="Arial"/>
          <w:color w:val="000000" w:themeColor="text1"/>
          <w:szCs w:val="16"/>
        </w:rPr>
        <w:br/>
      </w:r>
      <w:r w:rsidRPr="00781112">
        <w:rPr>
          <w:rFonts w:cs="Arial"/>
          <w:color w:val="000000" w:themeColor="text1"/>
          <w:szCs w:val="16"/>
        </w:rPr>
        <w:br/>
        <w:t>The DPI also has a system to support those that provide professional learning opportunities in the area of special education and IEP development and implementation. Technical assistance, including webinars, conferences, trainings, communities of practice, and web-based resources, is systematically provided on a regular basis by the DPI.</w:t>
      </w:r>
      <w:r w:rsidRPr="00781112">
        <w:rPr>
          <w:rFonts w:cs="Arial"/>
          <w:color w:val="000000" w:themeColor="text1"/>
          <w:szCs w:val="16"/>
        </w:rPr>
        <w:br/>
      </w:r>
      <w:r w:rsidRPr="00781112">
        <w:rPr>
          <w:rFonts w:cs="Arial"/>
          <w:color w:val="000000" w:themeColor="text1"/>
          <w:szCs w:val="16"/>
        </w:rPr>
        <w:br/>
        <w:t>Additionally, the DPI has a number of IDEA discretionary grant initiatives in place to systematically provide general and targeted, evidence based professional learning and technical assistance to districts based upon area of need. Examples include:</w:t>
      </w:r>
      <w:r w:rsidRPr="00781112">
        <w:rPr>
          <w:rFonts w:cs="Arial"/>
          <w:color w:val="000000" w:themeColor="text1"/>
          <w:szCs w:val="16"/>
        </w:rPr>
        <w:br/>
        <w:t xml:space="preserve">The Wisconsin Regional Special Education Network (RSN) (https://dpi.wi.gov/sped/educators/initiatives/regional-special-education-network) </w:t>
      </w:r>
      <w:r w:rsidRPr="00781112">
        <w:rPr>
          <w:rFonts w:cs="Arial"/>
          <w:color w:val="000000" w:themeColor="text1"/>
          <w:szCs w:val="16"/>
        </w:rPr>
        <w:br/>
        <w:t>Wisconsin Statewide Parent Educator Initiative (http://wspei.org/)</w:t>
      </w:r>
      <w:r w:rsidRPr="00781112">
        <w:rPr>
          <w:rFonts w:cs="Arial"/>
          <w:color w:val="000000" w:themeColor="text1"/>
          <w:szCs w:val="16"/>
        </w:rPr>
        <w:br/>
        <w:t>Disproportionality Technical Assistance Network (http://www.thenetworkwi.com/)</w:t>
      </w:r>
      <w:r w:rsidRPr="00781112">
        <w:rPr>
          <w:rFonts w:cs="Arial"/>
          <w:color w:val="000000" w:themeColor="text1"/>
          <w:szCs w:val="16"/>
        </w:rPr>
        <w:br/>
        <w:t xml:space="preserve">Early Childhood Program Support and Leadership (https://dpi.wi.gov/sped/early-childhood) </w:t>
      </w:r>
      <w:r w:rsidRPr="00781112">
        <w:rPr>
          <w:rFonts w:cs="Arial"/>
          <w:color w:val="000000" w:themeColor="text1"/>
          <w:szCs w:val="16"/>
        </w:rPr>
        <w:br/>
        <w:t>Wisconsin RtI Center (http://www.wisconsinrticenter.org/)</w:t>
      </w:r>
      <w:r w:rsidRPr="00781112">
        <w:rPr>
          <w:rFonts w:cs="Arial"/>
          <w:color w:val="000000" w:themeColor="text1"/>
          <w:szCs w:val="16"/>
        </w:rPr>
        <w:br/>
        <w:t xml:space="preserve">Wisconsin Special Education Mediation System (http://www.wsems.us/) </w:t>
      </w:r>
      <w:r w:rsidRPr="00781112">
        <w:rPr>
          <w:rFonts w:cs="Arial"/>
          <w:color w:val="000000" w:themeColor="text1"/>
          <w:szCs w:val="16"/>
        </w:rPr>
        <w:br/>
        <w:t>Transition Improvement Grant (http://www.witig.org/)</w:t>
      </w:r>
      <w:r w:rsidRPr="00781112">
        <w:rPr>
          <w:rFonts w:cs="Arial"/>
          <w:color w:val="000000" w:themeColor="text1"/>
          <w:szCs w:val="16"/>
        </w:rPr>
        <w:br/>
        <w:t>Independent Charter School Special Education Capacity Building Initiative</w:t>
      </w:r>
      <w:r w:rsidRPr="00781112">
        <w:rPr>
          <w:rFonts w:cs="Arial"/>
          <w:color w:val="000000" w:themeColor="text1"/>
          <w:szCs w:val="16"/>
        </w:rPr>
        <w:br/>
        <w:t>Universal Design for Learning (https://dpi.wi.gov/universal-design-learning)</w:t>
      </w:r>
      <w:r w:rsidRPr="00781112">
        <w:rPr>
          <w:rFonts w:cs="Arial"/>
          <w:color w:val="000000" w:themeColor="text1"/>
          <w:szCs w:val="16"/>
        </w:rPr>
        <w:br/>
        <w:t xml:space="preserve">WI Family Assistance Center for Education, Training and Support (WI FACETS) Milwaukee Public Schools Initiative (www.wifacets.org) </w:t>
      </w:r>
      <w:r w:rsidRPr="00781112">
        <w:rPr>
          <w:rFonts w:cs="Arial"/>
          <w:color w:val="000000" w:themeColor="text1"/>
          <w:szCs w:val="16"/>
        </w:rPr>
        <w:br/>
        <w:t>Technical Assistance Network for Improvement (https://dpi.wi.gov/continuous-improvement/resources-supports/ta-network)</w:t>
      </w:r>
      <w:r w:rsidRPr="00781112">
        <w:rPr>
          <w:rFonts w:cs="Arial"/>
          <w:color w:val="000000" w:themeColor="text1"/>
          <w:szCs w:val="16"/>
        </w:rPr>
        <w:br/>
        <w:t>Research to Practice Inclusive Communities Project (https://dpi.wi.gov/sped/research-practice-inclusive-communities-rpic-project)</w:t>
      </w:r>
      <w:r w:rsidRPr="00781112">
        <w:rPr>
          <w:rFonts w:cs="Arial"/>
          <w:color w:val="000000" w:themeColor="text1"/>
          <w:szCs w:val="16"/>
        </w:rPr>
        <w:br/>
      </w:r>
      <w:r w:rsidRPr="00781112">
        <w:rPr>
          <w:rFonts w:cs="Arial"/>
          <w:color w:val="000000" w:themeColor="text1"/>
          <w:szCs w:val="16"/>
        </w:rPr>
        <w:br/>
        <w:t xml:space="preserve">Finally, the DPI is engaged with multiple OSEP-funded national technical assistance centers (i.e., IDEA Data Center, the OSEP-funded State Implementation and Scaling-up of Evidence-Based Practices (SISEP) Center, Center for IDEA Fiscal Reporting, the National Center for Systemic Improvement, the Early Childhood Technical Assistance Center, and the Center for Appropriate Dispute Resolution in Special Education). Through these technical assistance partnerships, the DPI is up to date on - and can ensure timely delivery of - high quality, </w:t>
      </w:r>
      <w:proofErr w:type="gramStart"/>
      <w:r w:rsidRPr="00781112">
        <w:rPr>
          <w:rFonts w:cs="Arial"/>
          <w:color w:val="000000" w:themeColor="text1"/>
          <w:szCs w:val="16"/>
        </w:rPr>
        <w:t>evidence based</w:t>
      </w:r>
      <w:proofErr w:type="gramEnd"/>
      <w:r w:rsidRPr="00781112">
        <w:rPr>
          <w:rFonts w:cs="Arial"/>
          <w:color w:val="000000" w:themeColor="text1"/>
          <w:szCs w:val="16"/>
        </w:rPr>
        <w:t xml:space="preserve"> technical assistance and support to LEAs.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To ensure that service providers have the skills to effectively provide services that improve results for students with disabilities, the DPI has prioritized IDEA discretionary funds for creating, scaling up, and sustaining systems change initiatives with a focus on improved results for students with IEPs.</w:t>
      </w:r>
      <w:r w:rsidRPr="00781112">
        <w:rPr>
          <w:rFonts w:cs="Arial"/>
          <w:color w:val="000000" w:themeColor="text1"/>
          <w:szCs w:val="16"/>
        </w:rPr>
        <w:br/>
      </w:r>
      <w:r w:rsidRPr="00781112">
        <w:rPr>
          <w:rFonts w:cs="Arial"/>
          <w:color w:val="000000" w:themeColor="text1"/>
          <w:szCs w:val="16"/>
        </w:rPr>
        <w:br/>
        <w:t>Through these initiatives, the DPI funds professional development providers regionally throughout the state in order to equitably address the unique needs within different areas of the state. With a focus on the principles of implementation science, each initiative has mechanisms for ensuring fidelity of professional development provision, as well as evaluation processes to determine impact on service providers’ practice, and, where available, impact on student-level outcomes. Each initiative has a focus on unique results for students with disabilities, while each is currently increasing its capacity to additionally address Wisconsin’s State Identified Measurable Result: literacy outcomes for students with IEPs.</w:t>
      </w:r>
      <w:r w:rsidRPr="00781112">
        <w:rPr>
          <w:rFonts w:cs="Arial"/>
          <w:color w:val="000000" w:themeColor="text1"/>
          <w:szCs w:val="16"/>
        </w:rPr>
        <w:br/>
      </w:r>
      <w:r w:rsidRPr="00781112">
        <w:rPr>
          <w:rFonts w:cs="Arial"/>
          <w:color w:val="000000" w:themeColor="text1"/>
          <w:szCs w:val="16"/>
        </w:rPr>
        <w:br/>
        <w:t>Examples of Wisconsin systems change initiatives with a focus on high quality professional development include:</w:t>
      </w:r>
      <w:r w:rsidRPr="00781112">
        <w:rPr>
          <w:rFonts w:cs="Arial"/>
          <w:color w:val="000000" w:themeColor="text1"/>
          <w:szCs w:val="16"/>
        </w:rPr>
        <w:br/>
        <w:t xml:space="preserve">The Wisconsin Regional Special Education Network (RSN) (https://dpi.wi.gov/sped/educators/initiatives/regional-special-education-network) </w:t>
      </w:r>
      <w:r w:rsidRPr="00781112">
        <w:rPr>
          <w:rFonts w:cs="Arial"/>
          <w:color w:val="000000" w:themeColor="text1"/>
          <w:szCs w:val="16"/>
        </w:rPr>
        <w:br/>
        <w:t>Wisconsin RtI Center (http://www.wisconsinrticenter.org/)</w:t>
      </w:r>
      <w:r w:rsidRPr="00781112">
        <w:rPr>
          <w:rFonts w:cs="Arial"/>
          <w:color w:val="000000" w:themeColor="text1"/>
          <w:szCs w:val="16"/>
        </w:rPr>
        <w:br/>
        <w:t xml:space="preserve">Wisconsin Statewide Parent Educator Initiative (http://wspei.org/) </w:t>
      </w:r>
      <w:r w:rsidRPr="00781112">
        <w:rPr>
          <w:rFonts w:cs="Arial"/>
          <w:color w:val="000000" w:themeColor="text1"/>
          <w:szCs w:val="16"/>
        </w:rPr>
        <w:br/>
        <w:t>Transition Improvement Grant (http://www.witig.org/)</w:t>
      </w:r>
      <w:r w:rsidRPr="00781112">
        <w:rPr>
          <w:rFonts w:cs="Arial"/>
          <w:color w:val="000000" w:themeColor="text1"/>
          <w:szCs w:val="16"/>
        </w:rPr>
        <w:br/>
        <w:t>Disproportionality Technical Assistance Network (http://www.thenetworkwi.com/)</w:t>
      </w:r>
      <w:r w:rsidRPr="00781112">
        <w:rPr>
          <w:rFonts w:cs="Arial"/>
          <w:color w:val="000000" w:themeColor="text1"/>
          <w:szCs w:val="16"/>
        </w:rPr>
        <w:br/>
        <w:t>Early Childhood Program Support and Leadership (http://dpi.wi.gov/sped/early-childhood)</w:t>
      </w:r>
      <w:r w:rsidRPr="00781112">
        <w:rPr>
          <w:rFonts w:cs="Arial"/>
          <w:color w:val="000000" w:themeColor="text1"/>
          <w:szCs w:val="16"/>
        </w:rPr>
        <w:br/>
        <w:t xml:space="preserve">Independent Charter School Special Education Capacity Building Initiative </w:t>
      </w:r>
      <w:r w:rsidRPr="00781112">
        <w:rPr>
          <w:rFonts w:cs="Arial"/>
          <w:color w:val="000000" w:themeColor="text1"/>
          <w:szCs w:val="16"/>
        </w:rPr>
        <w:br/>
        <w:t>Universal Design for Learning (http://dpi.wi.gov/universal-design-learning)</w:t>
      </w:r>
      <w:r w:rsidRPr="00781112">
        <w:rPr>
          <w:rFonts w:cs="Arial"/>
          <w:color w:val="000000" w:themeColor="text1"/>
          <w:szCs w:val="16"/>
        </w:rPr>
        <w:br/>
        <w:t>Technical Assistance Network for Improvement (https://dpi.wi.gov/continuous-improvement/resources-supports/ta-network)</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 xml:space="preserve">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w:t>
      </w:r>
      <w:r w:rsidRPr="00781112">
        <w:rPr>
          <w:rFonts w:cs="Arial"/>
          <w:color w:val="000000" w:themeColor="text1"/>
          <w:szCs w:val="16"/>
        </w:rPr>
        <w:lastRenderedPageBreak/>
        <w:t>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CURRENT REPORTING PERIOD:</w:t>
      </w:r>
      <w:r w:rsidRPr="00781112">
        <w:rPr>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color w:val="000000" w:themeColor="text1"/>
          <w:szCs w:val="16"/>
        </w:rPr>
        <w:t>Council</w:t>
      </w:r>
      <w:proofErr w:type="gramEnd"/>
      <w:r w:rsidRPr="00781112">
        <w:rPr>
          <w:color w:val="000000" w:themeColor="text1"/>
          <w:szCs w:val="16"/>
        </w:rPr>
        <w:t xml:space="preserve"> includes the representation required in the reauthorization of the Individuals with Disabilities Education Act of 2004. </w:t>
      </w:r>
      <w:r w:rsidRPr="00781112">
        <w:rPr>
          <w:color w:val="000000" w:themeColor="text1"/>
          <w:szCs w:val="16"/>
        </w:rPr>
        <w:br/>
      </w:r>
      <w:r w:rsidRPr="00781112">
        <w:rPr>
          <w:color w:val="000000" w:themeColor="text1"/>
          <w:szCs w:val="16"/>
        </w:rPr>
        <w:br/>
        <w:t>SOLICITING BROAD STAKEHOLDER INPUT ON THE STATE'S TARGETS IN THE SPP/APR:</w:t>
      </w:r>
      <w:r w:rsidRPr="00781112">
        <w:rPr>
          <w:color w:val="000000" w:themeColor="text1"/>
          <w:szCs w:val="16"/>
        </w:rPr>
        <w:br/>
        <w:t>In a variety of different ways, the DPI engaged parent members of the State Advisory Panel, parent center staff, parents from local and statewide advocacy and advisory committees, and individual parents in setting targets, analyzing data, developing improvement strategies, and evaluating progress.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Input sessions (agendas and minutes online at https://dpi.wi.gov/sped/council/agendas-and-minutes)</w:t>
      </w:r>
      <w:r w:rsidRPr="00781112">
        <w:rPr>
          <w:color w:val="000000" w:themeColor="text1"/>
          <w:szCs w:val="16"/>
        </w:rPr>
        <w:br/>
        <w:t xml:space="preserve">On June 19, 2020, the DPI used a portion of the State Advisory Panel’s regular meeting to set targets related to the SSIP. The DPI </w:t>
      </w:r>
      <w:proofErr w:type="gramStart"/>
      <w:r w:rsidRPr="00781112">
        <w:rPr>
          <w:color w:val="000000" w:themeColor="text1"/>
          <w:szCs w:val="16"/>
        </w:rPr>
        <w:t>presented on</w:t>
      </w:r>
      <w:proofErr w:type="gramEnd"/>
      <w:r w:rsidRPr="00781112">
        <w:rPr>
          <w:color w:val="000000" w:themeColor="text1"/>
          <w:szCs w:val="16"/>
        </w:rPr>
        <w:t xml:space="preserve"> the stakeholder engagement process, SEA Annual Determinations, and the SSIP. The DPI then engaged SAP members in what WI should be looking at as a focus, with two specific points of discussion and engagement: (1) should the SiMR remain focused on grades 3-8 or be narrowed, and (2) What strategies have the greatest likelihood of improving outcomes for learners with IEPs?</w:t>
      </w:r>
      <w:r w:rsidRPr="00781112">
        <w:rPr>
          <w:color w:val="000000" w:themeColor="text1"/>
          <w:szCs w:val="16"/>
        </w:rPr>
        <w:br/>
      </w:r>
      <w:r w:rsidRPr="00781112">
        <w:rPr>
          <w:color w:val="000000" w:themeColor="text1"/>
          <w:szCs w:val="16"/>
        </w:rPr>
        <w:lastRenderedPageBreak/>
        <w:t xml:space="preserve"> </w:t>
      </w:r>
      <w:r w:rsidRPr="00781112">
        <w:rPr>
          <w:color w:val="000000" w:themeColor="text1"/>
          <w:szCs w:val="16"/>
        </w:rPr>
        <w:br/>
        <w:t>On March 12, 2021, the DPI used a portion of the State Advisory Panel’s regular meeting to provide information and preview the stakeholder engagement process related to the SPP/APR for FFY 2020-2025. The DPI provided an overview and update on the State Performance Plan, Annual Performance Report, and the State Systemic Improvement Plan. Council members asked questions and presenters provided answers.</w:t>
      </w:r>
      <w:r w:rsidRPr="00781112">
        <w:rPr>
          <w:color w:val="000000" w:themeColor="text1"/>
          <w:szCs w:val="16"/>
        </w:rPr>
        <w:br/>
      </w:r>
      <w:r w:rsidRPr="00781112">
        <w:rPr>
          <w:color w:val="000000" w:themeColor="text1"/>
          <w:szCs w:val="16"/>
        </w:rPr>
        <w:br/>
        <w:t>On June 25, 2021, the DPI used most of the State Advisory Panel’s regular meeting to gather input on targets, analyze data, develop improvement strategies, and determine evaluation metrics related to one key question: How well is Wisconsin preparing students with IEPs for life after high school? This key question is related to Indicators 1, 2, and 14. The input session included data analysis and recommended targets and rationale; discussion of the improvement activities offered through the Transition Improvement Grant, which is funded through IDEA discretionary dollars; and then time for SAP members and other stakeholders to complete Google forms related to Indicators 1 and 2 and Indicator 14.</w:t>
      </w:r>
      <w:r w:rsidRPr="00781112">
        <w:rPr>
          <w:color w:val="000000" w:themeColor="text1"/>
          <w:szCs w:val="16"/>
        </w:rPr>
        <w:br/>
      </w:r>
      <w:r w:rsidRPr="00781112">
        <w:rPr>
          <w:color w:val="000000" w:themeColor="text1"/>
          <w:szCs w:val="16"/>
        </w:rPr>
        <w:br/>
        <w:t>On September 24, 2021, the DPI used most of the State Advisory Panel’s regular meeting to gather input on targets, analyze data, develop improvement strategies, and determine evaluation metrics related to two key questions.</w:t>
      </w:r>
      <w:r w:rsidRPr="00781112">
        <w:rPr>
          <w:color w:val="000000" w:themeColor="text1"/>
          <w:szCs w:val="16"/>
        </w:rPr>
        <w:br/>
      </w:r>
      <w:r w:rsidRPr="00781112">
        <w:rPr>
          <w:color w:val="000000" w:themeColor="text1"/>
          <w:szCs w:val="16"/>
        </w:rPr>
        <w:br/>
        <w:t>The first question was, Are Wisconsin learners with IEPs learning in the same spaces as their peers? This key question is related to Indicators 5 and 6. The September 24, 2021, input session included data analysis and recommended targets and rationale; discussion of the improvement activities offered through the Research to Practice Inclusive Communities Project (https://dpi.wi.gov/sped/educators/discretionary-grants/rpic-project) and the Early Childhood Special Education project (https://dpi.wi.gov/sped/early-childhood), both of which are funded through IDEA discretionary dollars; and then time for SAP members and other stakeholders to complete Google forms related to Indicators 5 and 6.</w:t>
      </w:r>
      <w:r w:rsidRPr="00781112">
        <w:rPr>
          <w:color w:val="000000" w:themeColor="text1"/>
          <w:szCs w:val="16"/>
        </w:rPr>
        <w:br/>
      </w:r>
      <w:r w:rsidRPr="00781112">
        <w:rPr>
          <w:color w:val="000000" w:themeColor="text1"/>
          <w:szCs w:val="16"/>
        </w:rPr>
        <w:br/>
        <w:t>The second question was How engaged are Wisconsin families in the learning of their children with IEPs? and is related to Indicator 8. The June 25, 2021, input session included data analysis and recommended targets and rationale; discussion of the improvement activities offered through the Wisconsin Parent-Educator Initiative (https://wspei.org/), which is funded through IDEA discretionary dollars; and then time for SAP members and other stakeholders to complete a Google form related to Indicator 8.</w:t>
      </w:r>
      <w:r w:rsidRPr="00781112">
        <w:rPr>
          <w:color w:val="000000" w:themeColor="text1"/>
          <w:szCs w:val="16"/>
        </w:rPr>
        <w:br/>
      </w:r>
      <w:r w:rsidRPr="00781112">
        <w:rPr>
          <w:color w:val="000000" w:themeColor="text1"/>
          <w:szCs w:val="16"/>
        </w:rPr>
        <w:br/>
        <w:t>On December 3, 2021, the DPI used most of the State Advisory Panel’s regular meeting to gather input on targets, analyze data, develop improvement strategies, and determine evaluation metrics related to one key question: How are Wisconsin learners with IEPs performing in key areas? and is related to Indicators 3, 7, and 17. The December 3, 2021, input session included data analysis and recommended targets and rationale; discussion of the improvement activities offered through the Wisconsin RtI Center (https://www.wisconsinrticenter.org/), the the Early Childhood Special Education project (https://dpi.wi.gov/sped/early-childhood), the Research to Practice Inclusive Communities project (https://dpi.wi.gov/sped/educators/discretionary- grants/rpic-project), and the Transformation Zone, all projects funded through IDEA discretionary dollars; and then time for SAP members and other stakeholders to complete Google forms related to Indicator 3a, Indicator 3b, Indicator 7, and Indicator 17.</w:t>
      </w:r>
      <w:r w:rsidRPr="00781112">
        <w:rPr>
          <w:color w:val="000000" w:themeColor="text1"/>
          <w:szCs w:val="16"/>
        </w:rPr>
        <w:br/>
      </w:r>
      <w:r w:rsidRPr="00781112">
        <w:rPr>
          <w:color w:val="000000" w:themeColor="text1"/>
          <w:szCs w:val="16"/>
        </w:rPr>
        <w:br/>
        <w:t>2. Web-based input</w:t>
      </w:r>
      <w:r w:rsidRPr="00781112">
        <w:rPr>
          <w:color w:val="000000" w:themeColor="text1"/>
          <w:szCs w:val="16"/>
        </w:rPr>
        <w:br/>
        <w:t xml:space="preserve">The SPP/APR stakeholder engagement website is https://dpi.wi.gov/sped/spp-target-setting. The website </w:t>
      </w:r>
      <w:proofErr w:type="gramStart"/>
      <w:r w:rsidRPr="00781112">
        <w:rPr>
          <w:color w:val="000000" w:themeColor="text1"/>
          <w:szCs w:val="16"/>
        </w:rPr>
        <w:t>is organized</w:t>
      </w:r>
      <w:proofErr w:type="gramEnd"/>
      <w:r w:rsidRPr="00781112">
        <w:rPr>
          <w:color w:val="000000" w:themeColor="text1"/>
          <w:szCs w:val="16"/>
        </w:rPr>
        <w:t xml:space="preserve"> in family-friendly, plain language. The website translates the results indicators into four key questions, as listed in the </w:t>
      </w:r>
      <w:proofErr w:type="gramStart"/>
      <w:r w:rsidRPr="00781112">
        <w:rPr>
          <w:color w:val="000000" w:themeColor="text1"/>
          <w:szCs w:val="16"/>
        </w:rPr>
        <w:t>section,</w:t>
      </w:r>
      <w:proofErr w:type="gramEnd"/>
      <w:r w:rsidRPr="00781112">
        <w:rPr>
          <w:color w:val="000000" w:themeColor="text1"/>
          <w:szCs w:val="16"/>
        </w:rPr>
        <w:t xml:space="preserve"> above. For each of the key questions and related indicators, the website includes a section to learn more about the data and recommended targets and rationale, a section to learn about related improvement activities, and then a link to Google forms to collect input related to the indicators.</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3</w:t>
      </w:r>
      <w:proofErr w:type="gramEnd"/>
      <w:r w:rsidRPr="00781112">
        <w:rPr>
          <w:color w:val="000000" w:themeColor="text1"/>
          <w:szCs w:val="16"/>
        </w:rPr>
        <w:t>. Customized surveys</w:t>
      </w:r>
      <w:r w:rsidRPr="00781112">
        <w:rPr>
          <w:color w:val="000000" w:themeColor="text1"/>
          <w:szCs w:val="16"/>
        </w:rPr>
        <w:br/>
        <w:t xml:space="preserve">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t>
      </w:r>
      <w:proofErr w:type="gramStart"/>
      <w:r w:rsidRPr="00781112">
        <w:rPr>
          <w:color w:val="000000" w:themeColor="text1"/>
          <w:szCs w:val="16"/>
        </w:rPr>
        <w:t>were specifically targeted</w:t>
      </w:r>
      <w:proofErr w:type="gramEnd"/>
      <w:r w:rsidRPr="00781112">
        <w:rPr>
          <w:color w:val="000000" w:themeColor="text1"/>
          <w:szCs w:val="16"/>
        </w:rPr>
        <w:t xml:space="preserve"> to participate in the survey. Over three hundred survey results were collected from this engagement strategy.</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Indicator 8 parent survey research contract</w:t>
      </w:r>
      <w:r w:rsidRPr="00781112">
        <w:rPr>
          <w:color w:val="000000" w:themeColor="text1"/>
          <w:szCs w:val="16"/>
        </w:rPr>
        <w:br/>
        <w:t xml:space="preserve">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as organized by the four key questions: How well is Wisconsin preparing students with IEPs for life after high school? Are Wisconsin learners with IEPs learning in the same spaces as their peers? How engaged are Wisconsin families in the learning of their children with IEPs? How are Wisconsin learners with IEPs performing in key areas? The researcher harvested these themes for the data and submitted a written report summarizing their research findings. 3,391 parent surveys </w:t>
      </w:r>
      <w:proofErr w:type="gramStart"/>
      <w:r w:rsidRPr="00781112">
        <w:rPr>
          <w:color w:val="000000" w:themeColor="text1"/>
          <w:szCs w:val="16"/>
        </w:rPr>
        <w:t>were reviewed</w:t>
      </w:r>
      <w:proofErr w:type="gramEnd"/>
      <w:r w:rsidRPr="00781112">
        <w:rPr>
          <w:color w:val="000000" w:themeColor="text1"/>
          <w:szCs w:val="16"/>
        </w:rPr>
        <w:t xml:space="preserve"> under this contract.</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CURRENT REPORTING PERIOD:</w:t>
      </w:r>
      <w:r w:rsidRPr="00781112">
        <w:rPr>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color w:val="000000" w:themeColor="text1"/>
          <w:szCs w:val="16"/>
        </w:rPr>
        <w:t>Council</w:t>
      </w:r>
      <w:proofErr w:type="gramEnd"/>
      <w:r w:rsidRPr="00781112">
        <w:rPr>
          <w:color w:val="000000" w:themeColor="text1"/>
          <w:szCs w:val="16"/>
        </w:rPr>
        <w:t xml:space="preserve"> includes the representation required in the reauthorization of the Individuals with Disabilities Education Act of 2004. </w:t>
      </w:r>
      <w:r w:rsidRPr="00781112">
        <w:rPr>
          <w:color w:val="000000" w:themeColor="text1"/>
          <w:szCs w:val="16"/>
        </w:rPr>
        <w:br/>
      </w:r>
      <w:r w:rsidRPr="00781112">
        <w:rPr>
          <w:color w:val="000000" w:themeColor="text1"/>
          <w:szCs w:val="16"/>
        </w:rPr>
        <w:br/>
        <w:t>SOLICITING BROAD STAKEHOLDER INPUT ON THE STATE'S TARGETS IN THE SPP/APR:</w:t>
      </w:r>
      <w:r w:rsidRPr="00781112">
        <w:rPr>
          <w:color w:val="000000" w:themeColor="text1"/>
          <w:szCs w:val="16"/>
        </w:rPr>
        <w:br/>
        <w:t>The DPI conducted universal and targeted activities to increase the capacity of diverse groups of parents and families to support the development of implementation activities designed to improve outcomes for children with disabilities.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color w:val="000000" w:themeColor="text1"/>
          <w:szCs w:val="16"/>
        </w:rPr>
        <w:br/>
      </w:r>
      <w:r w:rsidRPr="00781112">
        <w:rPr>
          <w:color w:val="000000" w:themeColor="text1"/>
          <w:szCs w:val="16"/>
        </w:rPr>
        <w:br/>
        <w:t>The targeted activities were developed after beginning to implement the universal activities and, during initial review of the data, recognizing that the DPI was not fully engaging racially diverse parents and families. The DPI learned two key lessons from this process and our ultimate success in using feedback from almost 4,000 racially diverse parents and families. First, going forward, when planning to engage stakeholders in decisions, the DPI will start with enough time to review data and revise plans along the way. Second, going forward, the DPI will begin with both universal and targeted strategies as part of the engagement plan.</w:t>
      </w:r>
      <w:r w:rsidRPr="00781112">
        <w:rPr>
          <w:color w:val="000000" w:themeColor="text1"/>
          <w:szCs w:val="16"/>
        </w:rPr>
        <w:br/>
      </w:r>
      <w:r w:rsidRPr="00781112">
        <w:rPr>
          <w:color w:val="000000" w:themeColor="text1"/>
          <w:szCs w:val="16"/>
        </w:rPr>
        <w:lastRenderedPageBreak/>
        <w:br/>
      </w:r>
      <w:proofErr w:type="gramStart"/>
      <w:r w:rsidRPr="00781112">
        <w:rPr>
          <w:color w:val="000000" w:themeColor="text1"/>
          <w:szCs w:val="16"/>
        </w:rPr>
        <w:t>1</w:t>
      </w:r>
      <w:proofErr w:type="gramEnd"/>
      <w:r w:rsidRPr="00781112">
        <w:rPr>
          <w:color w:val="000000" w:themeColor="text1"/>
          <w:szCs w:val="16"/>
        </w:rPr>
        <w:t>. Universal activity: Plain language, values-based input sessions</w:t>
      </w:r>
      <w:r w:rsidRPr="00781112">
        <w:rPr>
          <w:color w:val="000000" w:themeColor="text1"/>
          <w:szCs w:val="16"/>
        </w:rPr>
        <w:br/>
        <w:t xml:space="preserve">As the DPI designed the input session content, they made </w:t>
      </w:r>
      <w:proofErr w:type="gramStart"/>
      <w:r w:rsidRPr="00781112">
        <w:rPr>
          <w:color w:val="000000" w:themeColor="text1"/>
          <w:szCs w:val="16"/>
        </w:rPr>
        <w:t>several</w:t>
      </w:r>
      <w:proofErr w:type="gramEnd"/>
      <w:r w:rsidRPr="00781112">
        <w:rPr>
          <w:color w:val="000000" w:themeColor="text1"/>
          <w:szCs w:val="16"/>
        </w:rPr>
        <w:t xml:space="preserve"> key decisions to build capacity of diverse groups of parents to support the development of implementation activities designed to improve outcomes for children with disabilities. First, the DPI limited the input sessions to results indicators only to minimize cognitive load on stakeholders. Second, the DPI provided </w:t>
      </w:r>
      <w:proofErr w:type="gramStart"/>
      <w:r w:rsidRPr="00781112">
        <w:rPr>
          <w:color w:val="000000" w:themeColor="text1"/>
          <w:szCs w:val="16"/>
        </w:rPr>
        <w:t>few,</w:t>
      </w:r>
      <w:proofErr w:type="gramEnd"/>
      <w:r w:rsidRPr="00781112">
        <w:rPr>
          <w:color w:val="000000" w:themeColor="text1"/>
          <w:szCs w:val="16"/>
        </w:rPr>
        <w:t xml:space="preserve"> powerful, data analytics that aligned with key agency values around racial equity and organizational change. Third, the DPI asked for target setting recommendations using a “Goldilocks” metric: that the recommended targets were too ambitious, </w:t>
      </w:r>
      <w:proofErr w:type="gramStart"/>
      <w:r w:rsidRPr="00781112">
        <w:rPr>
          <w:color w:val="000000" w:themeColor="text1"/>
          <w:szCs w:val="16"/>
        </w:rPr>
        <w:t>just about right</w:t>
      </w:r>
      <w:proofErr w:type="gramEnd"/>
      <w:r w:rsidRPr="00781112">
        <w:rPr>
          <w:color w:val="000000" w:themeColor="text1"/>
          <w:szCs w:val="16"/>
        </w:rPr>
        <w:t>, or not ambitious enough. Fourth, the DPI asked values-based questions related to improvement activities such as, “Given the race-based patterns, are you in support of targeted investments in groups to close the gaps?” Finally, the DPI asked open-ended questions about improvement activities in plain language.</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Universal activity: Plain language website</w:t>
      </w:r>
      <w:r w:rsidRPr="00781112">
        <w:rPr>
          <w:color w:val="000000" w:themeColor="text1"/>
          <w:szCs w:val="16"/>
        </w:rPr>
        <w:br/>
        <w:t xml:space="preserve">The SPP/APR stakeholder engagement website is https://dpi.wi.gov/sped/spp-target-setting. The website </w:t>
      </w:r>
      <w:proofErr w:type="gramStart"/>
      <w:r w:rsidRPr="00781112">
        <w:rPr>
          <w:color w:val="000000" w:themeColor="text1"/>
          <w:szCs w:val="16"/>
        </w:rPr>
        <w:t>is organized</w:t>
      </w:r>
      <w:proofErr w:type="gramEnd"/>
      <w:r w:rsidRPr="00781112">
        <w:rPr>
          <w:color w:val="000000" w:themeColor="text1"/>
          <w:szCs w:val="16"/>
        </w:rPr>
        <w:t xml:space="preserve"> in family-friendly, plain language. The website translates the results indicators into four key questions, as </w:t>
      </w:r>
      <w:proofErr w:type="gramStart"/>
      <w:r w:rsidRPr="00781112">
        <w:rPr>
          <w:color w:val="000000" w:themeColor="text1"/>
          <w:szCs w:val="16"/>
        </w:rPr>
        <w:t>listed,</w:t>
      </w:r>
      <w:proofErr w:type="gramEnd"/>
      <w:r w:rsidRPr="00781112">
        <w:rPr>
          <w:color w:val="000000" w:themeColor="text1"/>
          <w:szCs w:val="16"/>
        </w:rPr>
        <w:t xml:space="preserve"> below. For each of the key questions and related indicators, the website includes a section to learn more about the data and recommended targets and rationale, a section to learn about related improvement activities, and then a link to Google forms to collect input related to the indicators.</w:t>
      </w:r>
      <w:r w:rsidRPr="00781112">
        <w:rPr>
          <w:color w:val="000000" w:themeColor="text1"/>
          <w:szCs w:val="16"/>
        </w:rPr>
        <w:br/>
      </w:r>
      <w:r w:rsidRPr="00781112">
        <w:rPr>
          <w:color w:val="000000" w:themeColor="text1"/>
          <w:szCs w:val="16"/>
        </w:rPr>
        <w:br/>
        <w:t xml:space="preserve">Key question 1: "How well is Wisconsin preparing students with IEPs for life after high school?" is the key question related to Indicators 1, 2, and 14. The website includes a section to learn more about the data and recommended targets and rationale; a section to learn about improvement activities offered through the Transition Improvement Grant (https://witig.org/), which is funded through IDEA discretionary dollars; and then a link to Google forms to collect input related to Indicators 1, 2, and 14. </w:t>
      </w:r>
      <w:r w:rsidRPr="00781112">
        <w:rPr>
          <w:color w:val="000000" w:themeColor="text1"/>
          <w:szCs w:val="16"/>
        </w:rPr>
        <w:br/>
      </w:r>
      <w:r w:rsidRPr="00781112">
        <w:rPr>
          <w:color w:val="000000" w:themeColor="text1"/>
          <w:szCs w:val="16"/>
        </w:rPr>
        <w:br/>
        <w:t>Key question 2: "Are Wisconsin learners with IEPs learning in the same spaces as their peers?" is the key question related to Indicators 5 and 6. The website includes a section to learn more about the data and recommended targets and rationale; a section to learn about improvement activities offered through the Research to Practice Inclusive Communities Project (https://dpi.wi.gov/sped/educators/discretionary-grants/rpic-project) and the Early Childhood Special Education project (https://dpi.wi.gov/sped/early-childhood), both of which are funded through IDEA discretionary dollars; and then a link to Google forms to collect input related to Indicators 5 and 6.</w:t>
      </w:r>
      <w:r w:rsidRPr="00781112">
        <w:rPr>
          <w:color w:val="000000" w:themeColor="text1"/>
          <w:szCs w:val="16"/>
        </w:rPr>
        <w:br/>
      </w:r>
      <w:r w:rsidRPr="00781112">
        <w:rPr>
          <w:color w:val="000000" w:themeColor="text1"/>
          <w:szCs w:val="16"/>
        </w:rPr>
        <w:br/>
        <w:t>Key question 3: "How engaged are Wisconsin families in the learning of their children with IEPs?" is the key question related to Indicator 8. The website includes a section to learn more about the data and recommended targets and rationale; a section to learn about improvement activities offered through the Wisconsin Parent-Educator Initiative (https://wspei.org/), which is funded through IDEA discretionary dollars; and then a link to a Google form to collect input related to Indicator 8.</w:t>
      </w:r>
      <w:r w:rsidRPr="00781112">
        <w:rPr>
          <w:color w:val="000000" w:themeColor="text1"/>
          <w:szCs w:val="16"/>
        </w:rPr>
        <w:br/>
      </w:r>
      <w:r w:rsidRPr="00781112">
        <w:rPr>
          <w:color w:val="000000" w:themeColor="text1"/>
          <w:szCs w:val="16"/>
        </w:rPr>
        <w:br/>
        <w:t>Key question 4: "How are Wisconsin learners with IEPs performing in key areas?" is the key question related to Indicators 3, 7, and 17. The website includes a section to learn more about the data and recommended targets and rationale; a section to learn about improvement activities offered through the Wisconsin RtI Center (https://www.wisconsinrticenter.org/), the the Early Childhood Special Education project (https://dpi.wi.gov/sped/early-childhood), The Research to Practice Inclusive Communities project (https://dpi.wi.gov/sped/educators/discretionary-grants/rpic-project), and the Transformation Zone, all projects funded through IDEA discretionary dollars; and then a link to Google forms to collect input related to Indicator 3a, Indicator 3b, Indicator 7, and Indicator 17.</w:t>
      </w:r>
      <w:r w:rsidRPr="00781112">
        <w:rPr>
          <w:color w:val="000000" w:themeColor="text1"/>
          <w:szCs w:val="16"/>
        </w:rPr>
        <w:br/>
      </w:r>
      <w:r w:rsidRPr="00781112">
        <w:rPr>
          <w:color w:val="000000" w:themeColor="text1"/>
          <w:szCs w:val="16"/>
        </w:rPr>
        <w:br/>
        <w:t>3. Targeted activity: Customized surveys</w:t>
      </w:r>
      <w:r w:rsidRPr="00781112">
        <w:rPr>
          <w:color w:val="000000" w:themeColor="text1"/>
          <w:szCs w:val="16"/>
        </w:rPr>
        <w:br/>
        <w:t xml:space="preserve">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t>
      </w:r>
      <w:proofErr w:type="gramStart"/>
      <w:r w:rsidRPr="00781112">
        <w:rPr>
          <w:color w:val="000000" w:themeColor="text1"/>
          <w:szCs w:val="16"/>
        </w:rPr>
        <w:t>were specifically targeted</w:t>
      </w:r>
      <w:proofErr w:type="gramEnd"/>
      <w:r w:rsidRPr="00781112">
        <w:rPr>
          <w:color w:val="000000" w:themeColor="text1"/>
          <w:szCs w:val="16"/>
        </w:rPr>
        <w:t xml:space="preserve"> to participate in the survey. Over three hundred survey results were collected from this engagement strategy.</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Targeted activity: Indicator 8 parent survey research contract</w:t>
      </w:r>
      <w:r w:rsidRPr="00781112">
        <w:rPr>
          <w:color w:val="000000" w:themeColor="text1"/>
          <w:szCs w:val="16"/>
        </w:rPr>
        <w:br/>
        <w:t xml:space="preserve">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as organized by the four key questions: How well is Wisconsin preparing students with IEPs for life after high school? Are Wisconsin learners with IEPs learning in the same spaces as their peers? How engaged are Wisconsin families in the learning of their children with IEPs? How are Wisconsin learners with IEPs performing in key areas? The researcher harvested these themes for the data and submitted a written report summarizing their research findings. 3,391 parent surveys </w:t>
      </w:r>
      <w:proofErr w:type="gramStart"/>
      <w:r w:rsidRPr="00781112">
        <w:rPr>
          <w:color w:val="000000" w:themeColor="text1"/>
          <w:szCs w:val="16"/>
        </w:rPr>
        <w:t>were reviewed</w:t>
      </w:r>
      <w:proofErr w:type="gramEnd"/>
      <w:r w:rsidRPr="00781112">
        <w:rPr>
          <w:color w:val="000000" w:themeColor="text1"/>
          <w:szCs w:val="16"/>
        </w:rPr>
        <w:t xml:space="preserve"> under this contract.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CURRENT REPORTING PERIOD:</w:t>
      </w:r>
      <w:r w:rsidRPr="00781112">
        <w:rPr>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color w:val="000000" w:themeColor="text1"/>
          <w:szCs w:val="16"/>
        </w:rPr>
        <w:t>Council</w:t>
      </w:r>
      <w:proofErr w:type="gramEnd"/>
      <w:r w:rsidRPr="00781112">
        <w:rPr>
          <w:color w:val="000000" w:themeColor="text1"/>
          <w:szCs w:val="16"/>
        </w:rPr>
        <w:t xml:space="preserve"> includes the representation required in the reauthorization of the Individuals with Disabilities Education Act of 2004. </w:t>
      </w:r>
      <w:r w:rsidRPr="00781112">
        <w:rPr>
          <w:color w:val="000000" w:themeColor="text1"/>
          <w:szCs w:val="16"/>
        </w:rPr>
        <w:br/>
      </w:r>
      <w:r w:rsidRPr="00781112">
        <w:rPr>
          <w:color w:val="000000" w:themeColor="text1"/>
          <w:szCs w:val="16"/>
        </w:rPr>
        <w:br/>
        <w:t>SOLICITING BROAD STAKEHOLDER INPUT ON THE STATE'S TARGETS IN THE SPP/APR:</w:t>
      </w:r>
      <w:r w:rsidRPr="00781112">
        <w:rPr>
          <w:color w:val="000000" w:themeColor="text1"/>
          <w:szCs w:val="16"/>
        </w:rPr>
        <w:br/>
        <w:t>The DPI used synchronous input sessions and asynchronous (web-based) mechanisms to solicit public input in setting targets, analyzing data, developing improvement strategies, and evaluating progress.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Input sessions (agendas and minutes online at https://dpi.wi.gov/sped/council/agendas-and-minutes)</w:t>
      </w:r>
      <w:r w:rsidRPr="00781112">
        <w:rPr>
          <w:color w:val="000000" w:themeColor="text1"/>
          <w:szCs w:val="16"/>
        </w:rPr>
        <w:br/>
        <w:t xml:space="preserve">On June 19, 2020, the DPI used a portion of the State Advisory Panel’s regular meeting to set targets related to the SSIP. The DPI </w:t>
      </w:r>
      <w:proofErr w:type="gramStart"/>
      <w:r w:rsidRPr="00781112">
        <w:rPr>
          <w:color w:val="000000" w:themeColor="text1"/>
          <w:szCs w:val="16"/>
        </w:rPr>
        <w:t>presented on</w:t>
      </w:r>
      <w:proofErr w:type="gramEnd"/>
      <w:r w:rsidRPr="00781112">
        <w:rPr>
          <w:color w:val="000000" w:themeColor="text1"/>
          <w:szCs w:val="16"/>
        </w:rPr>
        <w:t xml:space="preserve"> the stakeholder engagement process, SEA Annual Determinations, and the SSIP. The DPI then engaged SAP members in what WI should be looking at as a focus, with two specific points of discussion and engagement: (1) should the SiMR remain focused on grades 3-8 or be narrowed, and (2) What strategies have the greatest likelihood of improving outcomes for learners with IEPs?</w:t>
      </w:r>
      <w:r w:rsidRPr="00781112">
        <w:rPr>
          <w:color w:val="000000" w:themeColor="text1"/>
          <w:szCs w:val="16"/>
        </w:rPr>
        <w:br/>
      </w:r>
      <w:r w:rsidRPr="00781112">
        <w:rPr>
          <w:color w:val="000000" w:themeColor="text1"/>
          <w:szCs w:val="16"/>
        </w:rPr>
        <w:lastRenderedPageBreak/>
        <w:br/>
        <w:t>On March 12, 2021, the DPI used a portion of the State Advisory Panel’s regular meeting to provide information and preview the stakeholder engagement process related to the SPP/APR for FFY 2020-2025. The DPI provided an overview and update on the State Performance Plan, Annual Performance Report, and the State Systemic Improvement Plan. Council members asked questions and presenters provided answers.</w:t>
      </w:r>
      <w:r w:rsidRPr="00781112">
        <w:rPr>
          <w:color w:val="000000" w:themeColor="text1"/>
          <w:szCs w:val="16"/>
        </w:rPr>
        <w:br/>
      </w:r>
      <w:r w:rsidRPr="00781112">
        <w:rPr>
          <w:color w:val="000000" w:themeColor="text1"/>
          <w:szCs w:val="16"/>
        </w:rPr>
        <w:br/>
        <w:t>On June 25, 2021, the DPI used most of the State Advisory Panel’s regular meeting to gather input on targets, analyze data, develop improvement strategies, and determine evaluation metrics related to one key question: How well is Wisconsin preparing students with IEPs for life after high school? This key question is related to Indicators 1, 2, and 14. The input session included data analysis and recommended targets and rationale; discussion of the improvement activities offered through the Transition Improvement Grant, which is funded through IDEA discretionary dollars; and then time for SAP members and other stakeholders to complete Google forms related to Indicators 1 and 2 and Indicator 14.</w:t>
      </w:r>
      <w:r w:rsidRPr="00781112">
        <w:rPr>
          <w:color w:val="000000" w:themeColor="text1"/>
          <w:szCs w:val="16"/>
        </w:rPr>
        <w:br/>
      </w:r>
      <w:r w:rsidRPr="00781112">
        <w:rPr>
          <w:color w:val="000000" w:themeColor="text1"/>
          <w:szCs w:val="16"/>
        </w:rPr>
        <w:br/>
        <w:t>On September 24, 2021, the DPI used most of the State Advisory Panel’s regular meeting to gather input on targets, analyze data, develop improvement strategies, and determine evaluation metrics related to two key questions. The first question was, Are Wisconsin learners with IEPs learning in the same spaces as their peers? This key question is related to Indicators 5 and 6. The September 24, 2021, input session included data analysis and recommended targets and rationale; discussion of the improvement activities offered through the Research to Practice Inclusive Communities Project (https://dpi.wi.gov/sped/educators/discretionary-grants/rpic-project) and the Early Childhood Special Education project (https://dpi.wi.gov/sped/early-childhood), both of which are funded through IDEA discretionary dollars; and then time for SAP members and other stakeholders to complete Google forms related to Indicators 5 and 6. The second question was How engaged are Wisconsin families in the learning of their children with IEPs? and is related to Indicator 8. The June 25, 2021, input session included data analysis and recommended targets and rationale; discussion of the improvement activities offered through the Wisconsin Parent-Educator Initiative (https://wspei.org/), which is funded through IDEA discretionary dollars; and then time for SAP members and other stakeholders to complete a Google form related to Indicator 8.</w:t>
      </w:r>
      <w:r w:rsidRPr="00781112">
        <w:rPr>
          <w:color w:val="000000" w:themeColor="text1"/>
          <w:szCs w:val="16"/>
        </w:rPr>
        <w:br/>
      </w:r>
      <w:r w:rsidRPr="00781112">
        <w:rPr>
          <w:color w:val="000000" w:themeColor="text1"/>
          <w:szCs w:val="16"/>
        </w:rPr>
        <w:br/>
        <w:t>On December 3, 2021, the DPI used most of the State Advisory Panel’s regular meeting to gather input on targets, analyze data, develop improvement strategies, and determine evaluation metrics related to one key question: How are Wisconsin learners with IEPs performing in key areas? and is related to Indicators 3, 7, and 17. The December 3, 2021, input session included data analysis and recommended targets and rationale; discussion of the improvement activities offered through the Wisconsin RtI Center (https://www.wisconsinrticenter.org/), the Early Childhood Special Education project (https://dpi.wi.gov/sped/early-childhood), the Research to Practice Inclusive Communities project (https://dpi.wi.gov/sped/educators/discretionary- grants/rpic-project), and the Transformation Zone, all projects funded through IDEA discretionary dollars; and then time for SAP members and other stakeholders to complete Google forms related to Indicator 3a, Indicator 3b, Indicator 7, and Indicator 17.</w:t>
      </w:r>
      <w:r w:rsidRPr="00781112">
        <w:rPr>
          <w:color w:val="000000" w:themeColor="text1"/>
          <w:szCs w:val="16"/>
        </w:rPr>
        <w:br/>
      </w:r>
      <w:r w:rsidRPr="00781112">
        <w:rPr>
          <w:color w:val="000000" w:themeColor="text1"/>
          <w:szCs w:val="16"/>
        </w:rPr>
        <w:br/>
        <w:t>2. Web-based input</w:t>
      </w:r>
      <w:r w:rsidRPr="00781112">
        <w:rPr>
          <w:color w:val="000000" w:themeColor="text1"/>
          <w:szCs w:val="16"/>
        </w:rPr>
        <w:br/>
        <w:t xml:space="preserve">The SPP/APR stakeholder engagement website is https://dpi.wi.gov/sped/spp-target-setting. The website </w:t>
      </w:r>
      <w:proofErr w:type="gramStart"/>
      <w:r w:rsidRPr="00781112">
        <w:rPr>
          <w:color w:val="000000" w:themeColor="text1"/>
          <w:szCs w:val="16"/>
        </w:rPr>
        <w:t>is organized</w:t>
      </w:r>
      <w:proofErr w:type="gramEnd"/>
      <w:r w:rsidRPr="00781112">
        <w:rPr>
          <w:color w:val="000000" w:themeColor="text1"/>
          <w:szCs w:val="16"/>
        </w:rPr>
        <w:t xml:space="preserve"> in family-friendly, plain language. The website translates the results indicators into four key questions. For each of the key questions and related indicators, the website includes a section to learn more about the data and recommended targets and rationale, a section to learn about related improvement activities, and then a link to Google forms to collect input related to the indicators.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CURRENT REPORTING PERIOD:</w:t>
      </w:r>
      <w:r w:rsidRPr="00781112">
        <w:rPr>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color w:val="000000" w:themeColor="text1"/>
          <w:szCs w:val="16"/>
        </w:rPr>
        <w:t>Council</w:t>
      </w:r>
      <w:proofErr w:type="gramEnd"/>
      <w:r w:rsidRPr="00781112">
        <w:rPr>
          <w:color w:val="000000" w:themeColor="text1"/>
          <w:szCs w:val="16"/>
        </w:rPr>
        <w:t xml:space="preserve"> includes the representation required in the reauthorization of the Individuals with Disabilities Education Act of 2004. Agendas and minutes are online.</w:t>
      </w:r>
      <w:r w:rsidRPr="00781112">
        <w:rPr>
          <w:color w:val="000000" w:themeColor="text1"/>
          <w:szCs w:val="16"/>
        </w:rPr>
        <w:br/>
      </w:r>
      <w:r w:rsidRPr="00781112">
        <w:rPr>
          <w:color w:val="000000" w:themeColor="text1"/>
          <w:szCs w:val="16"/>
        </w:rPr>
        <w:br/>
        <w:t>SOLICITING BROAD STAKEHOLDER INPUT ON THE STATE'S TARGETS IN THE SPP/APR:</w:t>
      </w:r>
      <w:r w:rsidRPr="00781112">
        <w:rPr>
          <w:color w:val="000000" w:themeColor="text1"/>
          <w:szCs w:val="16"/>
        </w:rPr>
        <w:br/>
        <w:t>The DPI is utilizing multiple strategies and timelines to make available publicly the results of the target setting, data analysis, development of the improvement strategies, and evaluation.</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Agendas, materials, and minutes for all input sessions</w:t>
      </w:r>
      <w:r w:rsidRPr="00781112">
        <w:rPr>
          <w:color w:val="000000" w:themeColor="text1"/>
          <w:szCs w:val="16"/>
        </w:rPr>
        <w:br/>
        <w:t xml:space="preserve">The five input sessions conducted by the DPI were open to the public; the input sessions </w:t>
      </w:r>
      <w:proofErr w:type="gramStart"/>
      <w:r w:rsidRPr="00781112">
        <w:rPr>
          <w:color w:val="000000" w:themeColor="text1"/>
          <w:szCs w:val="16"/>
        </w:rPr>
        <w:t>were held</w:t>
      </w:r>
      <w:proofErr w:type="gramEnd"/>
      <w:r w:rsidRPr="00781112">
        <w:rPr>
          <w:color w:val="000000" w:themeColor="text1"/>
          <w:szCs w:val="16"/>
        </w:rPr>
        <w:t xml:space="preserve"> on the following dates: June 19, 2020; March 12, 2021; June 25, 2021; September 24, 2021; and December 3, 2021. The agendas for each of the sessions </w:t>
      </w:r>
      <w:proofErr w:type="gramStart"/>
      <w:r w:rsidRPr="00781112">
        <w:rPr>
          <w:color w:val="000000" w:themeColor="text1"/>
          <w:szCs w:val="16"/>
        </w:rPr>
        <w:t>were posted</w:t>
      </w:r>
      <w:proofErr w:type="gramEnd"/>
      <w:r w:rsidRPr="00781112">
        <w:rPr>
          <w:color w:val="000000" w:themeColor="text1"/>
          <w:szCs w:val="16"/>
        </w:rPr>
        <w:t xml:space="preserve"> electronically ahead of time and the minutes posted electronically shortly after each session (https://dpi.wi.gov/sped/council/agendas-and-minutes). During each session, a Google folder was shared with everyone in attendance and included data analysis, recommended targets and considerations, information on related improvement strategies, and evaluation metrics.</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Website</w:t>
      </w:r>
      <w:r w:rsidRPr="00781112">
        <w:rPr>
          <w:color w:val="000000" w:themeColor="text1"/>
          <w:szCs w:val="16"/>
        </w:rPr>
        <w:br/>
        <w:t xml:space="preserve">After each of the input sessions, the DPI updated the SPP/APR stakeholder engagement website at https://dpi.wi.gov/sped/spp-target-setting. The website </w:t>
      </w:r>
      <w:proofErr w:type="gramStart"/>
      <w:r w:rsidRPr="00781112">
        <w:rPr>
          <w:color w:val="000000" w:themeColor="text1"/>
          <w:szCs w:val="16"/>
        </w:rPr>
        <w:t>is organized</w:t>
      </w:r>
      <w:proofErr w:type="gramEnd"/>
      <w:r w:rsidRPr="00781112">
        <w:rPr>
          <w:color w:val="000000" w:themeColor="text1"/>
          <w:szCs w:val="16"/>
        </w:rPr>
        <w:t xml:space="preserve"> in family-friendly, plain language. The website includes the following resources developed by OSEP and/or national technical assistance centers: Summary of Changes to the New FFY 2020-2025 State Performance Plan/Annual Performance Report, State Performance Plan/Annual Performance Report (SPP/APR) Universal Technical Assistance for Federal Fiscal Year (FFY) 2020-2025,and the Federal Fiscal Years 2020 through 2025 SPP/APR Package due 02/22.</w:t>
      </w:r>
      <w:r w:rsidRPr="00781112">
        <w:rPr>
          <w:color w:val="000000" w:themeColor="text1"/>
          <w:szCs w:val="16"/>
        </w:rPr>
        <w:br/>
      </w:r>
      <w:r w:rsidRPr="00781112">
        <w:rPr>
          <w:color w:val="000000" w:themeColor="text1"/>
          <w:szCs w:val="16"/>
        </w:rPr>
        <w:br/>
        <w:t>The website translates the results indicators into four key questions: How well is Wisconsin preparing students with IEPs for life after high school? Are Wisconsin learners with IEPs learning in the same spaces as their peers? How engaged are Wisconsin families in the learning of their children with IEPs? How are Wisconsin learners with IEPs performing in key areas? For each key question, the website includes data, recommended targets and rationale, improvement strategies, and evaluation metrics.</w:t>
      </w:r>
      <w:r w:rsidRPr="00781112">
        <w:rPr>
          <w:color w:val="000000" w:themeColor="text1"/>
          <w:szCs w:val="16"/>
        </w:rPr>
        <w:br/>
      </w:r>
      <w:r w:rsidRPr="00781112">
        <w:rPr>
          <w:color w:val="000000" w:themeColor="text1"/>
          <w:szCs w:val="16"/>
        </w:rPr>
        <w:br/>
        <w:t>How well is Wisconsin preparing students with IEPs for life after high school? is the key question related to Indicators 1, 2, and 14. The website describes this key question as, “Wisconsin schools have a responsibility to prepare students with IEPs for college, career, and community. How well are schools doing that? Where do YOU want Wisconsin schools to be in six years? The statewide data we use to answer these questions are graduation data, dropout data, and survey data from students with IEPs who have exited high school.” The website includes a section to learn more about the data and recommended targets and rationale; a section to learn about improvement activities offered through the Transition Improvement Grant, which is funded through IDEA discretionary dollars; and then a link to Google forms to collect input related to Indicators 1 and 2 and Indicator 14.</w:t>
      </w:r>
      <w:r w:rsidRPr="00781112">
        <w:rPr>
          <w:color w:val="000000" w:themeColor="text1"/>
          <w:szCs w:val="16"/>
        </w:rPr>
        <w:br/>
      </w:r>
      <w:r w:rsidRPr="00781112">
        <w:rPr>
          <w:color w:val="000000" w:themeColor="text1"/>
          <w:szCs w:val="16"/>
        </w:rPr>
        <w:br/>
        <w:t xml:space="preserve">Are Wisconsin learners with IEPs learning in the same spaces as their peers? is the key question related to Indicators 5 and 6. The website describes </w:t>
      </w:r>
      <w:r w:rsidRPr="00781112">
        <w:rPr>
          <w:color w:val="000000" w:themeColor="text1"/>
          <w:szCs w:val="16"/>
        </w:rPr>
        <w:lastRenderedPageBreak/>
        <w:t xml:space="preserve">this key question as, “Wisconsin schools have a responsibility to teach learners with IEPs in the “least restrictive environment.” This means they should spend as </w:t>
      </w:r>
      <w:proofErr w:type="gramStart"/>
      <w:r w:rsidRPr="00781112">
        <w:rPr>
          <w:color w:val="000000" w:themeColor="text1"/>
          <w:szCs w:val="16"/>
        </w:rPr>
        <w:t>much</w:t>
      </w:r>
      <w:proofErr w:type="gramEnd"/>
      <w:r w:rsidRPr="00781112">
        <w:rPr>
          <w:color w:val="000000" w:themeColor="text1"/>
          <w:szCs w:val="16"/>
        </w:rPr>
        <w:t xml:space="preserve"> time as possible with peers who do not receive special education. How well are schools doing that? Where do YOU want WIsconsin schools to be in six years? The statewide data we use to answer these questions </w:t>
      </w:r>
      <w:proofErr w:type="gramStart"/>
      <w:r w:rsidRPr="00781112">
        <w:rPr>
          <w:color w:val="000000" w:themeColor="text1"/>
          <w:szCs w:val="16"/>
        </w:rPr>
        <w:t>are called</w:t>
      </w:r>
      <w:proofErr w:type="gramEnd"/>
      <w:r w:rsidRPr="00781112">
        <w:rPr>
          <w:color w:val="000000" w:themeColor="text1"/>
          <w:szCs w:val="16"/>
        </w:rPr>
        <w:t xml:space="preserve"> ‘educational environment’ data and is submitted annually by districts.” The website includes a section to learn more about the data and recommended targets and rationale; a section to learn about improvement activities offered through the Research to Practice Inclusive Communities Project (https://dpi.wi.gov/sped/educators/discretionary-grants/rpic-project) and the Early Childhood Special Education project (https://dpi.wi.gov/sped/early-childhood), both of which are funded through IDEA discretionary dollars; and then a link to Google forms to collect input related to Indicators 5 and 6.</w:t>
      </w:r>
      <w:r w:rsidRPr="00781112">
        <w:rPr>
          <w:color w:val="000000" w:themeColor="text1"/>
          <w:szCs w:val="16"/>
        </w:rPr>
        <w:br/>
      </w:r>
      <w:r w:rsidRPr="00781112">
        <w:rPr>
          <w:color w:val="000000" w:themeColor="text1"/>
          <w:szCs w:val="16"/>
        </w:rPr>
        <w:br/>
        <w:t xml:space="preserve">How engaged are Wisconsin families in the learning of their children with IEPs? is the key question related to Indicator 8. The website describes this key question as, “Wisconsin schools have a responsibility to engage families in the education of their children served by individualized education programs (IEPs). How well are schools doing that? Where do YOU want Wisconsin schools to be in six years? The data we use to answer these questions </w:t>
      </w:r>
      <w:proofErr w:type="gramStart"/>
      <w:r w:rsidRPr="00781112">
        <w:rPr>
          <w:color w:val="000000" w:themeColor="text1"/>
          <w:szCs w:val="16"/>
        </w:rPr>
        <w:t>are collected</w:t>
      </w:r>
      <w:proofErr w:type="gramEnd"/>
      <w:r w:rsidRPr="00781112">
        <w:rPr>
          <w:color w:val="000000" w:themeColor="text1"/>
          <w:szCs w:val="16"/>
        </w:rPr>
        <w:t xml:space="preserve"> from parent surveys. All districts survey parents at least once every five years.” The website includes a section to learn more about the data and recommended targets and rationale; a section to learn about improvement activities offered through the Wisconsin Parent-Educator Initiative (https://wspei.org/), which is funded through IDEA discretionary dollars; and then a link to a Google form to collect input related to Indicator 8.</w:t>
      </w:r>
      <w:r w:rsidRPr="00781112">
        <w:rPr>
          <w:color w:val="000000" w:themeColor="text1"/>
          <w:szCs w:val="16"/>
        </w:rPr>
        <w:br/>
      </w:r>
      <w:r w:rsidRPr="00781112">
        <w:rPr>
          <w:color w:val="000000" w:themeColor="text1"/>
          <w:szCs w:val="16"/>
        </w:rPr>
        <w:br/>
        <w:t>How are Wisconsin learners with IEPs performing in key areas? is the key question related to Indicators 3, 7, and 17. The website describes this key question as, “One way of measuring the success of special education and related services that are provided to Wisconsin learners served by individualized education programs (IEPs) is how they perform on tests that all students take. How well are schools doing that? Where do YOU want Wisconsin schools to be in six years? The data we use to answer these questions are statewide assessment data from the Wisconsin Forward exams and assessment data for preschoolers.” The website includes a section to learn more about the data and recommended targets and rationale; a section to learn about improvement activities offered through the Wisconsin RtI Center (https://www.wisconsinrticenter.org/), the the Early Childhood Special Education project (https://dpi.wi.gov/sped/early-childhood), The Research to Practice Inclusive Communities project (https://dpi.wi.gov/sped/educators/discretionary-grants/rpic-project), and the Transformation Zone, all projects funded through IDEA discretionary dollars; and then a link to Google forms to collect input related to Indicator 3a, Indicator 3b, Indicator 7, and Indicator 17.</w:t>
      </w:r>
      <w:r w:rsidRPr="00781112">
        <w:rPr>
          <w:color w:val="000000" w:themeColor="text1"/>
          <w:szCs w:val="16"/>
        </w:rPr>
        <w:br/>
      </w:r>
      <w:r w:rsidRPr="00781112">
        <w:rPr>
          <w:color w:val="000000" w:themeColor="text1"/>
          <w:szCs w:val="16"/>
        </w:rPr>
        <w:br/>
        <w:t>3. IDEA Part B SPP/APR FFY 2020</w:t>
      </w:r>
      <w:r w:rsidRPr="00781112">
        <w:rPr>
          <w:color w:val="000000" w:themeColor="text1"/>
          <w:szCs w:val="16"/>
        </w:rPr>
        <w:br/>
        <w:t>The DPI submitted the Wisconsin IDEA Part B SPP/APR FFY 2020 no later than February 1, 2022. This document includes the results of the target setting, data analysis, development of the improvement strategies, and evaluation; this document will be publicly posted on https://dpi.wi.gov/sped/about/state-performance-plan/apr after submitting clarification, if required by OSEP.</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State Performance Plan/Annual Performance Report (SPP/APR) for Federal Fiscal Year (FFY) 2020-2025: Stakeholder engagement final report</w:t>
      </w:r>
      <w:r w:rsidRPr="00781112">
        <w:rPr>
          <w:color w:val="000000" w:themeColor="text1"/>
          <w:szCs w:val="16"/>
        </w:rPr>
        <w:br/>
        <w:t>The DPI posted online a final report that details stakeholder engagement in the State’s targets in the SPP/APR and any subsequent revisions that the State has made to those targets, and the development and implementation of Indicator 17, the State’s Systemic Improvement Plan (SSIP). The website is https://dpi.wi.gov/sped/spp-target-setting.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Through the Special Education District Profile, the DPI reports annually to the public on the performance of each district located in Wisconsin on the targets in the SPP/APR as soon as practicable, but no later than 120 days following submission of the APR, as required by 34 CFR §300.602(b)(1)(i)(A). </w:t>
      </w:r>
      <w:r w:rsidRPr="00781112">
        <w:rPr>
          <w:rFonts w:cs="Arial"/>
          <w:color w:val="000000" w:themeColor="text1"/>
          <w:szCs w:val="16"/>
        </w:rPr>
        <w:br/>
      </w:r>
      <w:r w:rsidRPr="00781112">
        <w:rPr>
          <w:rFonts w:cs="Arial"/>
          <w:color w:val="000000" w:themeColor="text1"/>
          <w:szCs w:val="16"/>
        </w:rPr>
        <w:br/>
        <w:t xml:space="preserve">Wisconsin Information System for Education Data Dashboard (WISEdash) is a data portal that uses "dashboards," or visual collections of graphs and tables, to provide multi-year education data about Wisconsin schools. The Special Education District Profile is a dashboard within WISEdata, posted on the DPI website at https://wisedash.dpi.wi.gov/Dashboard/dashboard/22326. The District Profile includes district data, state data, the target for each indicator, sources of data, and links to additional information about each indicator. The DPI includes the most recently available performance data on each district and the date the data </w:t>
      </w:r>
      <w:proofErr w:type="gramStart"/>
      <w:r w:rsidRPr="00781112">
        <w:rPr>
          <w:rFonts w:cs="Arial"/>
          <w:color w:val="000000" w:themeColor="text1"/>
          <w:szCs w:val="16"/>
        </w:rPr>
        <w:t>were obtained</w:t>
      </w:r>
      <w:proofErr w:type="gramEnd"/>
      <w:r w:rsidRPr="00781112">
        <w:rPr>
          <w:rFonts w:cs="Arial"/>
          <w:color w:val="000000" w:themeColor="text1"/>
          <w:szCs w:val="16"/>
        </w:rPr>
        <w:t xml:space="preserve">. The DPI does not report to the public any information that would result in the disclosure of personally identifiable information about individual children. </w:t>
      </w:r>
      <w:r w:rsidRPr="00781112">
        <w:rPr>
          <w:rFonts w:cs="Arial"/>
          <w:color w:val="000000" w:themeColor="text1"/>
          <w:szCs w:val="16"/>
        </w:rPr>
        <w:br/>
      </w:r>
      <w:r w:rsidRPr="00781112">
        <w:rPr>
          <w:rFonts w:cs="Arial"/>
          <w:color w:val="000000" w:themeColor="text1"/>
          <w:szCs w:val="16"/>
        </w:rPr>
        <w:br/>
        <w:t xml:space="preserve">For Indicators 8, 11, and 14, the DPI uses a 5-year monitoring cycle to identify cohorts of districts for data collection. The DPI collects and reports on the performance of each district on each of the sampling indicators at least once </w:t>
      </w:r>
      <w:proofErr w:type="gramStart"/>
      <w:r w:rsidRPr="00781112">
        <w:rPr>
          <w:rFonts w:cs="Arial"/>
          <w:color w:val="000000" w:themeColor="text1"/>
          <w:szCs w:val="16"/>
        </w:rPr>
        <w:t>during the course of</w:t>
      </w:r>
      <w:proofErr w:type="gramEnd"/>
      <w:r w:rsidRPr="00781112">
        <w:rPr>
          <w:rFonts w:cs="Arial"/>
          <w:color w:val="000000" w:themeColor="text1"/>
          <w:szCs w:val="16"/>
        </w:rPr>
        <w:t xml:space="preserve"> the SPP. For all other indicators for which the DPI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report at the district level, the DPI reports annually on every district. </w:t>
      </w:r>
      <w:r w:rsidRPr="00781112">
        <w:rPr>
          <w:rFonts w:cs="Arial"/>
          <w:color w:val="000000" w:themeColor="text1"/>
          <w:szCs w:val="16"/>
        </w:rPr>
        <w:br/>
      </w:r>
      <w:r w:rsidRPr="00781112">
        <w:rPr>
          <w:rFonts w:cs="Arial"/>
          <w:color w:val="000000" w:themeColor="text1"/>
          <w:szCs w:val="16"/>
        </w:rPr>
        <w:br/>
        <w:t xml:space="preserve">Copies of the SPP and APR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the DPI website at https://dpi.wi.gov/sped/about/state-performance-plan/apr.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3CE8F13A" w:rsidR="005E59DB" w:rsidRPr="00781112" w:rsidRDefault="005E59DB" w:rsidP="00B65C2C">
      <w:pPr>
        <w:rPr>
          <w:b/>
          <w:color w:val="000000" w:themeColor="text1"/>
        </w:rPr>
      </w:pPr>
      <w:r w:rsidRPr="00781112">
        <w:rPr>
          <w:b/>
          <w:color w:val="000000" w:themeColor="text1"/>
        </w:rPr>
        <w:t>Historical Data</w:t>
      </w:r>
      <w:r w:rsidR="007A620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85.32%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85.32%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68.54%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68.24%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68.59%</w:t>
            </w:r>
          </w:p>
        </w:tc>
        <w:tc>
          <w:tcPr>
            <w:tcW w:w="833" w:type="pct"/>
            <w:tcBorders>
              <w:bottom w:val="single" w:sz="4" w:space="0" w:color="auto"/>
            </w:tcBorders>
            <w:shd w:val="clear" w:color="auto" w:fill="auto"/>
            <w:vAlign w:val="center"/>
          </w:tcPr>
          <w:p w14:paraId="180CBFE9" w14:textId="636E6BC0" w:rsidR="007F24E2" w:rsidRPr="00781112" w:rsidRDefault="002B7490" w:rsidP="00E0321D">
            <w:pPr>
              <w:jc w:val="center"/>
              <w:rPr>
                <w:rFonts w:cs="Arial"/>
                <w:color w:val="000000" w:themeColor="text1"/>
                <w:szCs w:val="16"/>
              </w:rPr>
            </w:pPr>
            <w:r w:rsidRPr="00781112">
              <w:rPr>
                <w:rFonts w:cs="Arial"/>
                <w:color w:val="000000" w:themeColor="text1"/>
                <w:szCs w:val="16"/>
              </w:rPr>
              <w:t>69.</w:t>
            </w:r>
            <w:r w:rsidR="003B14EF">
              <w:rPr>
                <w:rFonts w:cs="Arial"/>
                <w:color w:val="000000" w:themeColor="text1"/>
                <w:szCs w:val="16"/>
              </w:rPr>
              <w:t>8</w:t>
            </w:r>
            <w:r w:rsidRPr="00781112">
              <w:rPr>
                <w:rFonts w:cs="Arial"/>
                <w:color w:val="000000" w:themeColor="text1"/>
                <w:szCs w:val="16"/>
              </w:rPr>
              <w:t>%</w:t>
            </w:r>
            <w:r w:rsidR="003B14EF">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85.32%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85.50%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85.80%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86.20%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86.70%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87.40%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w:t>
      </w:r>
      <w:r w:rsidRPr="00781112">
        <w:rPr>
          <w:rFonts w:cs="Arial"/>
          <w:color w:val="000000" w:themeColor="text1"/>
          <w:szCs w:val="16"/>
        </w:rPr>
        <w:lastRenderedPageBreak/>
        <w:t>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6,233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93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1,035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6,233</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7,386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85.32%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requirements for obtaining a regular diploma in Wisconsin are the same for students with disabilities and students without disabilities with one exception. Under Wisconsin State Statute §118.33(1m), students without IEPs must take and pass the high school civics test before they may </w:t>
      </w:r>
      <w:proofErr w:type="gramStart"/>
      <w:r w:rsidRPr="00781112">
        <w:rPr>
          <w:rFonts w:cs="Arial"/>
          <w:color w:val="000000" w:themeColor="text1"/>
          <w:szCs w:val="16"/>
        </w:rPr>
        <w:t>be awarded</w:t>
      </w:r>
      <w:proofErr w:type="gramEnd"/>
      <w:r w:rsidRPr="00781112">
        <w:rPr>
          <w:rFonts w:cs="Arial"/>
          <w:color w:val="000000" w:themeColor="text1"/>
          <w:szCs w:val="16"/>
        </w:rPr>
        <w:t xml:space="preserve"> a high school diploma. Students with IEPs must take the high school civics test (unless the IEP team determines that it is not appropriate to administer the test), but students with IEPs are not required to pass the high school civics test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receive a high school diploma. This statutory requirement went into effect beginning in the 2016-2017 school year. Otherwise, the requirements below apply to students both with and without IEPs:</w:t>
      </w:r>
      <w:r w:rsidRPr="00781112">
        <w:rPr>
          <w:rFonts w:cs="Arial"/>
          <w:color w:val="000000" w:themeColor="text1"/>
          <w:szCs w:val="16"/>
        </w:rPr>
        <w:br/>
      </w:r>
      <w:r w:rsidRPr="00781112">
        <w:rPr>
          <w:rFonts w:cs="Arial"/>
          <w:color w:val="000000" w:themeColor="text1"/>
          <w:szCs w:val="16"/>
        </w:rPr>
        <w:br/>
        <w:t xml:space="preserve">A graduate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student who has met the requirements established by a school board for a prescribed course of study. Wisconsin State Statute §118.33(1)(a) defines the requirements for receipt of a high school diploma as: except as provided in §118.33(1)(d) (see below), a school board may not grant a high school diploma to any pupil unless the pupil has earned:</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In the high school grades, at least </w:t>
      </w:r>
      <w:proofErr w:type="gramStart"/>
      <w:r w:rsidRPr="00781112">
        <w:rPr>
          <w:rFonts w:cs="Arial"/>
          <w:color w:val="000000" w:themeColor="text1"/>
          <w:szCs w:val="16"/>
        </w:rPr>
        <w:t>4</w:t>
      </w:r>
      <w:proofErr w:type="gramEnd"/>
      <w:r w:rsidRPr="00781112">
        <w:rPr>
          <w:rFonts w:cs="Arial"/>
          <w:color w:val="000000" w:themeColor="text1"/>
          <w:szCs w:val="16"/>
        </w:rPr>
        <w:t xml:space="preserve"> credits of English including writing composition, 3 credits of social studies including state and local government, 3 credits of mathematics, 3 credits of science and 1.5 credits of physical education.</w:t>
      </w:r>
      <w:r w:rsidRPr="00781112">
        <w:rPr>
          <w:rFonts w:cs="Arial"/>
          <w:color w:val="000000" w:themeColor="text1"/>
          <w:szCs w:val="16"/>
        </w:rPr>
        <w:br/>
        <w:t xml:space="preserve">2. In grades 7 to 12, at least 0.5 credit of health education. </w:t>
      </w:r>
      <w:r w:rsidRPr="00781112">
        <w:rPr>
          <w:rFonts w:cs="Arial"/>
          <w:color w:val="000000" w:themeColor="text1"/>
          <w:szCs w:val="16"/>
        </w:rPr>
        <w:br/>
      </w:r>
      <w:r w:rsidRPr="00781112">
        <w:rPr>
          <w:rFonts w:cs="Arial"/>
          <w:color w:val="000000" w:themeColor="text1"/>
          <w:szCs w:val="16"/>
        </w:rPr>
        <w:br/>
        <w:t xml:space="preserve">Under Wisconsin State Statute §118.33(1)(d), a school board may grant a high school diploma to a pupil who has not satisfied the requirements under 118.33(1)(a) if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following apply:</w:t>
      </w:r>
      <w:r w:rsidRPr="00781112">
        <w:rPr>
          <w:rFonts w:cs="Arial"/>
          <w:color w:val="000000" w:themeColor="text1"/>
          <w:szCs w:val="16"/>
        </w:rPr>
        <w:br/>
        <w:t>1. The student was enrolled in an alternative education program, as defined in Wisconsin State Statute §115.28(7)(e)</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The school board determines that the student has demonstrated a level of proficiency in the subjects listed in par. (a) equivalent to that which he or she would have attained if he or she had satisfied the requirements under par. (a).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 xml:space="preserve">The requirements for obtaining a regular diploma in Wisconsin are the same for students with disabilities and students without disabilities with one exception. Under Wisconsin State Statute §118.33(1m), students without IEPs must take and pass the high school civics test before they may </w:t>
      </w:r>
      <w:proofErr w:type="gramStart"/>
      <w:r w:rsidRPr="00781112">
        <w:rPr>
          <w:rFonts w:cs="Arial"/>
          <w:color w:val="000000" w:themeColor="text1"/>
          <w:szCs w:val="16"/>
        </w:rPr>
        <w:t>be awarded</w:t>
      </w:r>
      <w:proofErr w:type="gramEnd"/>
      <w:r w:rsidRPr="00781112">
        <w:rPr>
          <w:rFonts w:cs="Arial"/>
          <w:color w:val="000000" w:themeColor="text1"/>
          <w:szCs w:val="16"/>
        </w:rPr>
        <w:t xml:space="preserve"> a high school diploma. Students with IEPs must take the high school civics test (unless the IEP team determines that it is not appropriate to administer the test), but students with IEPs are not required to pass the high school civics test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receive a high school diploma. This statutory requirement went into effect beginning in the 2016-2017 school year. Otherwise, the requirements apply to students both with and without IEPs.</w:t>
      </w:r>
      <w:bookmarkStart w:id="7"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2A9FE6C4" w:rsidR="00907A35" w:rsidRPr="00781112" w:rsidRDefault="00907A35" w:rsidP="004369B2">
      <w:pPr>
        <w:rPr>
          <w:b/>
          <w:color w:val="000000" w:themeColor="text1"/>
        </w:rPr>
      </w:pPr>
      <w:r w:rsidRPr="00781112">
        <w:rPr>
          <w:b/>
          <w:color w:val="000000" w:themeColor="text1"/>
        </w:rPr>
        <w:t>Historical Data</w:t>
      </w:r>
      <w:r w:rsidR="007A6209">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12.37%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1.60%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12.37%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2.14%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2.45%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2.42%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12.37%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12.20%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11.90%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11.50%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10.30%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w:t>
      </w:r>
      <w:r w:rsidRPr="00781112">
        <w:rPr>
          <w:rFonts w:cs="Arial"/>
          <w:color w:val="000000" w:themeColor="text1"/>
          <w:szCs w:val="16"/>
        </w:rPr>
        <w:lastRenderedPageBreak/>
        <w:t xml:space="preserve">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6,233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93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1,035</w:t>
            </w:r>
          </w:p>
        </w:tc>
      </w:tr>
    </w:tbl>
    <w:p w14:paraId="7CE42756" w14:textId="445D9372" w:rsidR="00654A4B" w:rsidRPr="00781112" w:rsidRDefault="00654A4B" w:rsidP="004369B2">
      <w:pPr>
        <w:rPr>
          <w:color w:val="000000" w:themeColor="text1"/>
        </w:rPr>
      </w:pPr>
    </w:p>
    <w:p w14:paraId="5B8A61D3" w14:textId="77777777" w:rsidR="002D00BA" w:rsidRDefault="002D00BA">
      <w:pPr>
        <w:spacing w:before="0" w:after="200" w:line="276" w:lineRule="auto"/>
        <w:rPr>
          <w:b/>
          <w:color w:val="000000" w:themeColor="text1"/>
        </w:rPr>
      </w:pPr>
      <w:r>
        <w:rPr>
          <w:b/>
          <w:color w:val="000000" w:themeColor="text1"/>
        </w:rPr>
        <w:br w:type="page"/>
      </w:r>
    </w:p>
    <w:p w14:paraId="4463AFB2" w14:textId="7BAA9E5D" w:rsidR="00C96339" w:rsidRPr="00781112" w:rsidRDefault="0047313F" w:rsidP="004369B2">
      <w:pPr>
        <w:rPr>
          <w:color w:val="000000" w:themeColor="text1"/>
        </w:rPr>
      </w:pPr>
      <w:r>
        <w:rPr>
          <w:b/>
          <w:color w:val="000000" w:themeColor="text1"/>
        </w:rPr>
        <w:lastRenderedPageBreak/>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1,035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7,386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12.37%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12.20%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increase in dropout IEP exiters in the 2020-21 school year is also observed among students without disabilities (using FS032 EDfacts data) and is believed to be the result of apprehension among students and their families regarding in-person instruction during the COVID-19 pandemic, as well as dissatisfaction with virtual learning options for learners who require specialized instruction. The increased likelihood of underlying health concerns among students with IEPs made these LEA-level decisions particularly salient among that population and their families. DPI continues to identify and work with LEAs to prevent dropouts through its Joint Federal Notifications (JFN) and Transition Improvement Grant (TIG), as well as Wisconsin's Dropout Early Warning System (DEWS).</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118.153, Wis. Stats., dropout is defined as a child who ceased to attend school, does not attend a public, private, or tribal school, technical college, or home-based private educational program on a full-time basis, has not graduated from high school, and does not have an acceptable excuse under s.118.15 (1) (b) to (d) or (3).</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96.85%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95.55%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86.64%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96.76%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95.67%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92.16%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158E89D5" w:rsidR="00480083" w:rsidRPr="002D00BA" w:rsidRDefault="00480083" w:rsidP="002D00BA">
      <w:pPr>
        <w:spacing w:before="0" w:after="200" w:line="276" w:lineRule="auto"/>
        <w:rPr>
          <w:b/>
          <w:color w:val="000000" w:themeColor="text1"/>
        </w:rPr>
      </w:pPr>
      <w:r w:rsidRPr="00781112">
        <w:rPr>
          <w:b/>
          <w:color w:val="000000" w:themeColor="text1"/>
        </w:rPr>
        <w:t xml:space="preserve">Targets: Description of Stakeholder Input </w:t>
      </w:r>
      <w:r w:rsidR="002D00BA">
        <w:rPr>
          <w:b/>
          <w:color w:val="000000" w:themeColor="text1"/>
        </w:rPr>
        <w:br/>
      </w: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 xml:space="preserve">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w:t>
      </w:r>
      <w:r w:rsidRPr="00781112">
        <w:rPr>
          <w:rFonts w:cs="Arial"/>
          <w:color w:val="000000" w:themeColor="text1"/>
          <w:szCs w:val="16"/>
        </w:rPr>
        <w:lastRenderedPageBreak/>
        <w:t>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9,221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8,682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8,230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1,775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905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603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6,537</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6,430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5,244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410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514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527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9,224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8,686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8,230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1,776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908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603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6,534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6,423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5,278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409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513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525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8,722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9,221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83.48%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94.59%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7,849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8,682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78.83%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90.41%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6,374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8,230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71.71%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77.45%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8,719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9,224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83.24%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94.53%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7,844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8,686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78.57%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90.31%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6,406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8,230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71.86%</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77.84%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https://dpi.wi.gov/wisedash/download-files/type?field_wisedash_upload_type_value=Forward</w:t>
      </w:r>
      <w:r w:rsidRPr="00781112">
        <w:rPr>
          <w:rFonts w:cs="Arial"/>
          <w:color w:val="000000" w:themeColor="text1"/>
          <w:szCs w:val="16"/>
        </w:rPr>
        <w:br/>
        <w:t>https://dpi.wi.gov/wisedash/download-files/type?field_wisedash_upload_type_value=ACT11</w:t>
      </w:r>
      <w:r w:rsidRPr="00781112">
        <w:rPr>
          <w:rFonts w:cs="Arial"/>
          <w:color w:val="000000" w:themeColor="text1"/>
          <w:szCs w:val="16"/>
        </w:rPr>
        <w:br/>
        <w:t>https://wisedash.dpi.wi.gov/Dashboard/dashboard/22275</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16.46%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8.13%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7.70%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18.57%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5.78%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4.53%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16.60%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16.80%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17.20%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17.40%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8.90%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9.30%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9.70%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10.10%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8.10%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8.50%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8.90%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9.30%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9.70%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18.60%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18.60%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18.70%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18.80%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18.90%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6.23%</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6.73%</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7.23%</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7.73%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8.23%</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6.50%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 xml:space="preserve">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w:t>
      </w:r>
      <w:r w:rsidRPr="00781112">
        <w:rPr>
          <w:rFonts w:cs="Arial"/>
          <w:color w:val="000000" w:themeColor="text1"/>
          <w:szCs w:val="16"/>
        </w:rPr>
        <w:lastRenderedPageBreak/>
        <w:t>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7"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781F4327" w14:textId="6260185E" w:rsidR="002D00BA"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8,312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7,335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5,847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 xml:space="preserve">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lastRenderedPageBreak/>
              <w:t>779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200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676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330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346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1B93A8E4"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8,310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7,331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5,881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889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176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786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293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231</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1,455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8,312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16.46%</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16.60%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17.50%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530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7,335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8.13%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7.23%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425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5,847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7.70%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8.10%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7.27%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6907CCA3" w14:textId="77777777" w:rsidR="00C04118" w:rsidRPr="00781112" w:rsidRDefault="00C04118" w:rsidP="002423F2">
      <w:pPr>
        <w:rPr>
          <w:rFonts w:cs="Arial"/>
          <w:iCs/>
          <w:color w:val="000000" w:themeColor="text1"/>
          <w:szCs w:val="16"/>
        </w:rPr>
      </w:pPr>
    </w:p>
    <w:p w14:paraId="122157AE" w14:textId="77777777" w:rsidR="002D00BA" w:rsidRDefault="002D00BA">
      <w:pPr>
        <w:spacing w:before="0" w:after="200" w:line="276" w:lineRule="auto"/>
        <w:rPr>
          <w:color w:val="000000" w:themeColor="text1"/>
        </w:rPr>
      </w:pPr>
      <w:r>
        <w:rPr>
          <w:color w:val="000000" w:themeColor="text1"/>
        </w:rPr>
        <w:br w:type="page"/>
      </w:r>
    </w:p>
    <w:p w14:paraId="324457C6" w14:textId="3467EDFA"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1,675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8,310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18.57%</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18.60%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20.16%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469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7,331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5.78%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6.23%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6.40%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298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5,881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4.53%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5.07%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09E228EB" w:rsidR="00497DE4" w:rsidRPr="002D00BA" w:rsidRDefault="002D00BA" w:rsidP="002D00BA">
      <w:pPr>
        <w:spacing w:before="0" w:after="200" w:line="276" w:lineRule="auto"/>
        <w:rPr>
          <w:color w:val="000000" w:themeColor="text1"/>
        </w:rPr>
      </w:pPr>
      <w:r>
        <w:rPr>
          <w:b/>
          <w:color w:val="000000" w:themeColor="text1"/>
        </w:rPr>
        <w:br/>
      </w:r>
      <w:r w:rsidR="00497DE4" w:rsidRPr="00781112">
        <w:rPr>
          <w:b/>
          <w:color w:val="000000" w:themeColor="text1"/>
        </w:rPr>
        <w:t>Regulatory Information</w:t>
      </w:r>
      <w:r>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https://dpi.wi.gov/wisedash/download-files/type?field_wisedash_upload_type_value=Forward</w:t>
      </w:r>
      <w:r w:rsidRPr="00781112">
        <w:rPr>
          <w:rFonts w:cs="Arial"/>
          <w:color w:val="000000" w:themeColor="text1"/>
          <w:szCs w:val="16"/>
        </w:rPr>
        <w:br/>
        <w:t>https://dpi.wi.gov/wisedash/download-files/type?field_wisedash_upload_type_value=ACT11</w:t>
      </w:r>
      <w:r w:rsidRPr="00781112">
        <w:rPr>
          <w:rFonts w:cs="Arial"/>
          <w:color w:val="000000" w:themeColor="text1"/>
          <w:szCs w:val="16"/>
        </w:rPr>
        <w:br/>
        <w:t>https://wisedash.dpi.wi.gov/Dashboard/dashboard/22275</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12.78%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18.76%</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28.25%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34.09%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5.26%</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28.07%</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12.98%</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13.18%</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13.38%</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13.58%</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13.78%</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18.76%</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18.76%</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18.76%</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18.76%</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18.77%</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28.25%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28.25%</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28.25%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28.25%</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28.26%</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34.09%</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34.09%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34.09%</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34.09%</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34.10%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5.56%</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5.86%</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6.16%</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6.46%</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6.76%</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28.07%</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28.07%</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28.07%</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28.07%</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28.08%</w:t>
            </w:r>
          </w:p>
        </w:tc>
      </w:tr>
    </w:tbl>
    <w:p w14:paraId="2B1E9219" w14:textId="77777777" w:rsidR="002D00BA" w:rsidRDefault="002D00BA" w:rsidP="002D00BA">
      <w:pPr>
        <w:spacing w:before="0" w:after="200" w:line="276" w:lineRule="auto"/>
        <w:rPr>
          <w:b/>
          <w:color w:val="000000" w:themeColor="text1"/>
        </w:rPr>
      </w:pPr>
    </w:p>
    <w:p w14:paraId="08B1A70A" w14:textId="4055D7A2" w:rsidR="002D145D" w:rsidRPr="002D00BA" w:rsidRDefault="002D145D" w:rsidP="002D00BA">
      <w:pPr>
        <w:spacing w:before="0" w:after="200" w:line="276" w:lineRule="auto"/>
        <w:rPr>
          <w:b/>
          <w:color w:val="000000" w:themeColor="text1"/>
        </w:rPr>
      </w:pPr>
      <w:r w:rsidRPr="00781112">
        <w:rPr>
          <w:b/>
          <w:color w:val="000000" w:themeColor="text1"/>
        </w:rPr>
        <w:t xml:space="preserve">Targets: Description of Stakeholder Input </w:t>
      </w:r>
      <w:r w:rsidR="002D00BA">
        <w:rPr>
          <w:b/>
          <w:color w:val="000000" w:themeColor="text1"/>
        </w:rPr>
        <w:br/>
      </w:r>
      <w:r w:rsidR="002B7490" w:rsidRPr="00781112">
        <w:rPr>
          <w:rFonts w:cs="Arial"/>
          <w:color w:val="000000" w:themeColor="text1"/>
          <w:szCs w:val="16"/>
        </w:rPr>
        <w:t>CURRENT REPORTING PERIOD:</w:t>
      </w:r>
      <w:r w:rsidR="002B7490"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002B7490" w:rsidRPr="00781112">
        <w:rPr>
          <w:rFonts w:cs="Arial"/>
          <w:color w:val="000000" w:themeColor="text1"/>
          <w:szCs w:val="16"/>
        </w:rPr>
        <w:t>Council</w:t>
      </w:r>
      <w:proofErr w:type="gramEnd"/>
      <w:r w:rsidR="002B7490" w:rsidRPr="00781112">
        <w:rPr>
          <w:rFonts w:cs="Arial"/>
          <w:color w:val="000000" w:themeColor="text1"/>
          <w:szCs w:val="16"/>
        </w:rPr>
        <w:t xml:space="preserve"> includes the representation required in the reauthorization of the Individuals with Disabilities Education Act of 2004. </w:t>
      </w:r>
      <w:r w:rsidR="002B7490" w:rsidRPr="00781112">
        <w:rPr>
          <w:rFonts w:cs="Arial"/>
          <w:color w:val="000000" w:themeColor="text1"/>
          <w:szCs w:val="16"/>
        </w:rPr>
        <w:br/>
      </w:r>
      <w:r w:rsidR="002B7490" w:rsidRPr="00781112">
        <w:rPr>
          <w:rFonts w:cs="Arial"/>
          <w:color w:val="000000" w:themeColor="text1"/>
          <w:szCs w:val="16"/>
        </w:rPr>
        <w:br/>
        <w:t>SOLICITING BROAD STAKEHOLDER INPUT ON THE STATE'S TARGETS IN THE SPP/APR:</w:t>
      </w:r>
      <w:r w:rsidR="002B7490" w:rsidRPr="00781112">
        <w:rPr>
          <w:rFonts w:cs="Arial"/>
          <w:color w:val="000000" w:themeColor="text1"/>
          <w:szCs w:val="16"/>
        </w:rPr>
        <w:br/>
        <w:t xml:space="preserve">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w:t>
      </w:r>
      <w:r w:rsidR="002B7490" w:rsidRPr="00781112">
        <w:rPr>
          <w:rFonts w:cs="Arial"/>
          <w:color w:val="000000" w:themeColor="text1"/>
          <w:szCs w:val="16"/>
        </w:rPr>
        <w:lastRenderedPageBreak/>
        <w:t>(SSIP).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002B7490" w:rsidRPr="00781112">
        <w:rPr>
          <w:rFonts w:cs="Arial"/>
          <w:color w:val="000000" w:themeColor="text1"/>
          <w:szCs w:val="16"/>
        </w:rPr>
        <w:br/>
      </w:r>
      <w:r w:rsidR="002B7490" w:rsidRPr="00781112">
        <w:rPr>
          <w:rFonts w:cs="Arial"/>
          <w:color w:val="000000" w:themeColor="text1"/>
          <w:szCs w:val="16"/>
        </w:rPr>
        <w:br/>
      </w:r>
      <w:proofErr w:type="gramStart"/>
      <w:r w:rsidR="002B7490" w:rsidRPr="00781112">
        <w:rPr>
          <w:rFonts w:cs="Arial"/>
          <w:color w:val="000000" w:themeColor="text1"/>
          <w:szCs w:val="16"/>
        </w:rPr>
        <w:t>1</w:t>
      </w:r>
      <w:proofErr w:type="gramEnd"/>
      <w:r w:rsidR="002B7490" w:rsidRPr="00781112">
        <w:rPr>
          <w:rFonts w:cs="Arial"/>
          <w:color w:val="000000" w:themeColor="text1"/>
          <w:szCs w:val="16"/>
        </w:rPr>
        <w:t>. Universal strategy: Open invitation to input sessions</w:t>
      </w:r>
      <w:r w:rsidR="002B7490"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002B7490" w:rsidRPr="00781112">
        <w:rPr>
          <w:rFonts w:cs="Arial"/>
          <w:color w:val="000000" w:themeColor="text1"/>
          <w:szCs w:val="16"/>
        </w:rPr>
        <w:br/>
      </w:r>
      <w:r w:rsidR="002B7490"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002B7490" w:rsidRPr="00781112">
        <w:rPr>
          <w:rFonts w:cs="Arial"/>
          <w:color w:val="000000" w:themeColor="text1"/>
          <w:szCs w:val="16"/>
        </w:rPr>
        <w:t>are archived</w:t>
      </w:r>
      <w:proofErr w:type="gramEnd"/>
      <w:r w:rsidR="002B7490"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002B7490" w:rsidRPr="00781112">
        <w:rPr>
          <w:rFonts w:cs="Arial"/>
          <w:color w:val="000000" w:themeColor="text1"/>
          <w:szCs w:val="16"/>
        </w:rPr>
        <w:br/>
      </w:r>
      <w:r w:rsidR="002B7490" w:rsidRPr="00781112">
        <w:rPr>
          <w:rFonts w:cs="Arial"/>
          <w:color w:val="000000" w:themeColor="text1"/>
          <w:szCs w:val="16"/>
        </w:rPr>
        <w:br/>
      </w:r>
      <w:proofErr w:type="gramStart"/>
      <w:r w:rsidR="002B7490" w:rsidRPr="00781112">
        <w:rPr>
          <w:rFonts w:cs="Arial"/>
          <w:color w:val="000000" w:themeColor="text1"/>
          <w:szCs w:val="16"/>
        </w:rPr>
        <w:t>2</w:t>
      </w:r>
      <w:proofErr w:type="gramEnd"/>
      <w:r w:rsidR="002B7490" w:rsidRPr="00781112">
        <w:rPr>
          <w:rFonts w:cs="Arial"/>
          <w:color w:val="000000" w:themeColor="text1"/>
          <w:szCs w:val="16"/>
        </w:rPr>
        <w:t>. Universal strategy: Open invitation to submit asynchronous, web-based input</w:t>
      </w:r>
      <w:r w:rsidR="002B7490"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002B7490" w:rsidRPr="00781112">
        <w:rPr>
          <w:rFonts w:cs="Arial"/>
          <w:color w:val="000000" w:themeColor="text1"/>
          <w:szCs w:val="16"/>
        </w:rPr>
        <w:br/>
      </w:r>
      <w:r w:rsidR="002B7490"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002B7490" w:rsidRPr="00781112">
        <w:rPr>
          <w:rFonts w:cs="Arial"/>
          <w:color w:val="000000" w:themeColor="text1"/>
          <w:szCs w:val="16"/>
        </w:rPr>
        <w:t>is distributed</w:t>
      </w:r>
      <w:proofErr w:type="gramEnd"/>
      <w:r w:rsidR="002B7490" w:rsidRPr="00781112">
        <w:rPr>
          <w:rFonts w:cs="Arial"/>
          <w:color w:val="000000" w:themeColor="text1"/>
          <w:szCs w:val="16"/>
        </w:rPr>
        <w:t xml:space="preserve"> to more than 1,000 unique contacts. Beginning in May 2021, the DPI </w:t>
      </w:r>
      <w:proofErr w:type="gramStart"/>
      <w:r w:rsidR="002B7490" w:rsidRPr="00781112">
        <w:rPr>
          <w:rFonts w:cs="Arial"/>
          <w:color w:val="000000" w:themeColor="text1"/>
          <w:szCs w:val="16"/>
        </w:rPr>
        <w:t>included regularly</w:t>
      </w:r>
      <w:proofErr w:type="gramEnd"/>
      <w:r w:rsidR="002B7490" w:rsidRPr="00781112">
        <w:rPr>
          <w:rFonts w:cs="Arial"/>
          <w:color w:val="000000" w:themeColor="text1"/>
          <w:szCs w:val="16"/>
        </w:rPr>
        <w:t xml:space="preserve"> an open invitation to submit input asynchronously through the web. These news updates </w:t>
      </w:r>
      <w:proofErr w:type="gramStart"/>
      <w:r w:rsidR="002B7490" w:rsidRPr="00781112">
        <w:rPr>
          <w:rFonts w:cs="Arial"/>
          <w:color w:val="000000" w:themeColor="text1"/>
          <w:szCs w:val="16"/>
        </w:rPr>
        <w:t>are archived</w:t>
      </w:r>
      <w:proofErr w:type="gramEnd"/>
      <w:r w:rsidR="002B7490"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002B7490" w:rsidRPr="00781112">
        <w:rPr>
          <w:rFonts w:cs="Arial"/>
          <w:color w:val="000000" w:themeColor="text1"/>
          <w:szCs w:val="16"/>
        </w:rPr>
        <w:br/>
      </w:r>
      <w:r w:rsidR="002B7490" w:rsidRPr="00781112">
        <w:rPr>
          <w:rFonts w:cs="Arial"/>
          <w:color w:val="000000" w:themeColor="text1"/>
          <w:szCs w:val="16"/>
        </w:rPr>
        <w:br/>
      </w:r>
      <w:proofErr w:type="gramStart"/>
      <w:r w:rsidR="002B7490" w:rsidRPr="00781112">
        <w:rPr>
          <w:rFonts w:cs="Arial"/>
          <w:color w:val="000000" w:themeColor="text1"/>
          <w:szCs w:val="16"/>
        </w:rPr>
        <w:t>3</w:t>
      </w:r>
      <w:proofErr w:type="gramEnd"/>
      <w:r w:rsidR="002B7490" w:rsidRPr="00781112">
        <w:rPr>
          <w:rFonts w:cs="Arial"/>
          <w:color w:val="000000" w:themeColor="text1"/>
          <w:szCs w:val="16"/>
        </w:rPr>
        <w:t>. Targeted strategy: State Advisory Panel input sessions</w:t>
      </w:r>
      <w:r w:rsidR="002B7490"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002B7490" w:rsidRPr="00781112">
        <w:rPr>
          <w:rFonts w:cs="Arial"/>
          <w:color w:val="000000" w:themeColor="text1"/>
          <w:szCs w:val="16"/>
        </w:rPr>
        <w:br/>
      </w:r>
      <w:r w:rsidR="002B7490" w:rsidRPr="00781112">
        <w:rPr>
          <w:rFonts w:cs="Arial"/>
          <w:color w:val="000000" w:themeColor="text1"/>
          <w:szCs w:val="16"/>
        </w:rPr>
        <w:br/>
      </w:r>
      <w:proofErr w:type="gramStart"/>
      <w:r w:rsidR="002B7490" w:rsidRPr="00781112">
        <w:rPr>
          <w:rFonts w:cs="Arial"/>
          <w:color w:val="000000" w:themeColor="text1"/>
          <w:szCs w:val="16"/>
        </w:rPr>
        <w:t>4</w:t>
      </w:r>
      <w:proofErr w:type="gramEnd"/>
      <w:r w:rsidR="002B7490" w:rsidRPr="00781112">
        <w:rPr>
          <w:rFonts w:cs="Arial"/>
          <w:color w:val="000000" w:themeColor="text1"/>
          <w:szCs w:val="16"/>
        </w:rPr>
        <w:t>. Targeted strategy: Customized invitations to stakeholders</w:t>
      </w:r>
      <w:r w:rsidR="002B7490"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002B7490" w:rsidRPr="00781112">
        <w:rPr>
          <w:rFonts w:cs="Arial"/>
          <w:color w:val="000000" w:themeColor="text1"/>
          <w:szCs w:val="16"/>
        </w:rPr>
        <w:br/>
      </w:r>
      <w:r w:rsidR="002B7490" w:rsidRPr="00781112">
        <w:rPr>
          <w:rFonts w:cs="Arial"/>
          <w:color w:val="000000" w:themeColor="text1"/>
          <w:szCs w:val="16"/>
        </w:rPr>
        <w:br/>
        <w:t>5. Targeted strategy: Customized surveys of families</w:t>
      </w:r>
      <w:r w:rsidR="002B7490"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002B7490" w:rsidRPr="00781112">
        <w:rPr>
          <w:rFonts w:cs="Arial"/>
          <w:color w:val="000000" w:themeColor="text1"/>
          <w:szCs w:val="16"/>
        </w:rPr>
        <w:br/>
      </w:r>
      <w:r w:rsidR="002B7490" w:rsidRPr="00781112">
        <w:rPr>
          <w:rFonts w:cs="Arial"/>
          <w:color w:val="000000" w:themeColor="text1"/>
          <w:szCs w:val="16"/>
        </w:rPr>
        <w:br/>
      </w:r>
      <w:proofErr w:type="gramStart"/>
      <w:r w:rsidR="002B7490" w:rsidRPr="00781112">
        <w:rPr>
          <w:rFonts w:cs="Arial"/>
          <w:color w:val="000000" w:themeColor="text1"/>
          <w:szCs w:val="16"/>
        </w:rPr>
        <w:t>6</w:t>
      </w:r>
      <w:proofErr w:type="gramEnd"/>
      <w:r w:rsidR="002B7490" w:rsidRPr="00781112">
        <w:rPr>
          <w:rFonts w:cs="Arial"/>
          <w:color w:val="000000" w:themeColor="text1"/>
          <w:szCs w:val="16"/>
        </w:rPr>
        <w:t>. Targeted strategy: Contract to review data collected via Indicator 8 parent surveys</w:t>
      </w:r>
      <w:r w:rsidR="002B7490"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410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514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527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129</w:t>
            </w:r>
          </w:p>
        </w:tc>
      </w:tr>
    </w:tbl>
    <w:p w14:paraId="456553E8" w14:textId="77777777" w:rsidR="002D00BA" w:rsidRDefault="002D00BA" w:rsidP="00286BDF">
      <w:pPr>
        <w:rPr>
          <w:rFonts w:cs="Arial"/>
          <w:b/>
          <w:color w:val="000000" w:themeColor="text1"/>
          <w:szCs w:val="16"/>
        </w:rPr>
      </w:pPr>
    </w:p>
    <w:p w14:paraId="31899BDA" w14:textId="383E3433"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31A59C8" w14:textId="77777777" w:rsidR="002D00BA" w:rsidRPr="00781112" w:rsidRDefault="002D00BA"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409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513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525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100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119</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410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12.78%</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12.98%</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10.98%</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514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18.76%</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18.76%</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13.62%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129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527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28.25%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28.25%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24.48%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100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409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34.09%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34.09%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24.45%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513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5.26%</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5.56%</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5.46%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119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525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28.07%</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28.07%</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22.67%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https://dpi.wi.gov/wisedash/download-files/type?field_wisedash_upload_type_value=Forward</w:t>
      </w:r>
      <w:r w:rsidRPr="00781112">
        <w:rPr>
          <w:rFonts w:cs="Arial"/>
          <w:color w:val="000000" w:themeColor="text1"/>
          <w:szCs w:val="16"/>
          <w:shd w:val="clear" w:color="auto" w:fill="FFFFFF"/>
        </w:rPr>
        <w:br/>
        <w:t>https://dpi.wi.gov/wisedash/download-files/type?field_wisedash_upload_type_value=ACT11</w:t>
      </w:r>
      <w:r w:rsidRPr="00781112">
        <w:rPr>
          <w:rFonts w:cs="Arial"/>
          <w:color w:val="000000" w:themeColor="text1"/>
          <w:szCs w:val="16"/>
          <w:shd w:val="clear" w:color="auto" w:fill="FFFFFF"/>
        </w:rPr>
        <w:br/>
        <w:t>https://wisedash.dpi.wi.gov/Dashboard/dashboard/22275</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24.40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27.90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30.16</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23.69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24.82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24.67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24.29</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24.10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23.91</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23.72</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23.53</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27.58</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27.19</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26.80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26.41</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26.02</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29.81</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29.42</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29.03</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28.64</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28.25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23.67</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23.67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23.57</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23.47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23.38</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24.44</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23.94</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23.45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22.96</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22.47</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24.27</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23.78</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23.29</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22.80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22.31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54,735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58,762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57,554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8,312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7,335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5,847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21,127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18,777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21,298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2,109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971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913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779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200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676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330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346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54,896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58,836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57,636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8,310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7,331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5,881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22,212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17,233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16,486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2,470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911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656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889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176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786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293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231</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17.50%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42.45%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24.40</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24.29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24.95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7.23%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33.61%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27.90</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27.58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26.38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7.27%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38.59%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30.16</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29.81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31.32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w:t>
      </w:r>
      <w:r w:rsidRPr="00781112">
        <w:rPr>
          <w:rFonts w:cs="Arial"/>
          <w:color w:val="000000" w:themeColor="text1"/>
          <w:szCs w:val="16"/>
        </w:rPr>
        <w:lastRenderedPageBreak/>
        <w:t>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20.16%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44.96%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23.69</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23.67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24.80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6.40%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30.84%</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24.82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24.44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24.44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5.07%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29.74%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24.67</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24.27</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24.67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continued participation rate below 95% among students with IEPs in statewide assessments during the 2021-22 school year poses a significant caveat to the data, as an insufficient percentage of the population took the assessment to have confidence in the data's representativeness. However, the DPI recognizes that the families most likely to opt out of participation for non-medical reasons are higher among students who are less likely to demonstrate proficiency, suggesting that the actual numbers of proficient students in reading and math are even lower than what the reported data suggests. As many data analysts and education experts forecasted, the disruption in education caused by COVID-19 hit students with IEPs particularly </w:t>
      </w:r>
      <w:proofErr w:type="gramStart"/>
      <w:r w:rsidRPr="00781112">
        <w:rPr>
          <w:rFonts w:cs="Arial"/>
          <w:color w:val="000000" w:themeColor="text1"/>
          <w:szCs w:val="16"/>
        </w:rPr>
        <w:t>hard, and</w:t>
      </w:r>
      <w:proofErr w:type="gramEnd"/>
      <w:r w:rsidRPr="00781112">
        <w:rPr>
          <w:rFonts w:cs="Arial"/>
          <w:color w:val="000000" w:themeColor="text1"/>
          <w:szCs w:val="16"/>
        </w:rPr>
        <w:t xml:space="preserve"> will </w:t>
      </w:r>
      <w:proofErr w:type="gramStart"/>
      <w:r w:rsidRPr="00781112">
        <w:rPr>
          <w:rFonts w:cs="Arial"/>
          <w:color w:val="000000" w:themeColor="text1"/>
          <w:szCs w:val="16"/>
        </w:rPr>
        <w:t>require</w:t>
      </w:r>
      <w:proofErr w:type="gramEnd"/>
      <w:r w:rsidRPr="00781112">
        <w:rPr>
          <w:rFonts w:cs="Arial"/>
          <w:color w:val="000000" w:themeColor="text1"/>
          <w:szCs w:val="16"/>
        </w:rPr>
        <w:t xml:space="preserve"> years to rebound. The DPI continues to work with LEAs in developing and implementing successful strategies for improving students' demonstrated proficiency in reading and math through its improvement monitoring based on LEA Determinations and related oversight activities, as well as Indicator 17 improvement strategies, discretionary grants, and agency-wide initiatives to improve reading and math proficiency.</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2021</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0.75%</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2.45%</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4.50%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3.59%</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0.74%</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3FD5337B" w14:textId="54E74935" w:rsidR="002D145D" w:rsidRPr="00781112" w:rsidRDefault="002D145D" w:rsidP="002D145D">
      <w:pPr>
        <w:rPr>
          <w:rFonts w:cs="Arial"/>
          <w:color w:val="000000" w:themeColor="text1"/>
          <w:szCs w:val="16"/>
        </w:rPr>
      </w:pPr>
    </w:p>
    <w:p w14:paraId="2AE297AB" w14:textId="77777777" w:rsidR="007E6F97" w:rsidRDefault="007E6F97" w:rsidP="004369B2">
      <w:pPr>
        <w:rPr>
          <w:color w:val="000000" w:themeColor="text1"/>
        </w:rPr>
      </w:pPr>
    </w:p>
    <w:p w14:paraId="5E2B1139" w14:textId="77777777" w:rsidR="002D00BA" w:rsidRPr="00781112" w:rsidRDefault="002D00BA"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lastRenderedPageBreak/>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402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0.75%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As of FFY 2021, the DPI shifted to a definition of significant discrepancy as a risk rate of </w:t>
      </w:r>
      <w:proofErr w:type="gramStart"/>
      <w:r w:rsidRPr="00781112">
        <w:rPr>
          <w:rFonts w:cs="Arial"/>
          <w:color w:val="000000" w:themeColor="text1"/>
          <w:szCs w:val="16"/>
        </w:rPr>
        <w:t>2</w:t>
      </w:r>
      <w:proofErr w:type="gramEnd"/>
      <w:r w:rsidRPr="00781112">
        <w:rPr>
          <w:rFonts w:cs="Arial"/>
          <w:color w:val="000000" w:themeColor="text1"/>
          <w:szCs w:val="16"/>
        </w:rPr>
        <w:t xml:space="preserve"> or greater for two consecutive years, with a minimum denominator of 30 (representing students with IEPs as of the State's October 1 Child Count) each year. No minimum numerator has been set. The intent of this change is to shift away from the previous methodology which relied upon standard deviations from the mean to establish cutoffs, which resulted in approximately 4% of LEAs always </w:t>
      </w:r>
      <w:proofErr w:type="gramStart"/>
      <w:r w:rsidRPr="00781112">
        <w:rPr>
          <w:rFonts w:cs="Arial"/>
          <w:color w:val="000000" w:themeColor="text1"/>
          <w:szCs w:val="16"/>
        </w:rPr>
        <w:t>being identified</w:t>
      </w:r>
      <w:proofErr w:type="gramEnd"/>
      <w:r w:rsidRPr="00781112">
        <w:rPr>
          <w:rFonts w:cs="Arial"/>
          <w:color w:val="000000" w:themeColor="text1"/>
          <w:szCs w:val="16"/>
        </w:rPr>
        <w:t xml:space="preserve"> as having a significant discrepancy each year. The new methodology resolves this issue while ensuring the vast majority of Wisconsin LEAs remain eligible for identification in this area.</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Because this indicator uses multiple years of data and </w:t>
      </w:r>
      <w:proofErr w:type="gramStart"/>
      <w:r w:rsidRPr="00781112">
        <w:rPr>
          <w:rFonts w:cs="Arial"/>
          <w:color w:val="000000" w:themeColor="text1"/>
          <w:szCs w:val="16"/>
        </w:rPr>
        <w:t>is lagged</w:t>
      </w:r>
      <w:proofErr w:type="gramEnd"/>
      <w:r w:rsidRPr="00781112">
        <w:rPr>
          <w:rFonts w:cs="Arial"/>
          <w:color w:val="000000" w:themeColor="text1"/>
          <w:szCs w:val="16"/>
        </w:rPr>
        <w:t>, only LEAs active in the 2020-21 school year are counted towards the total number of LEAs, aligning with the reported number of LEAs in the introduction of Wisconsin's FFY2020 SPP/APR.</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For districts identified in FFY 2021 with significant discrepancy (using 2020-21 data), a review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of the district's policies, procedures, and practices that impact suspension and expulsion rates, including the development and implementation of IEPs, the use of positive behavioral interventions and supports, and procedural safeguards as required by 34 CFR § 300.170(b). The districts have either adopted the DPI's model policies and procedures or have submitted policies and procedures that have </w:t>
      </w:r>
      <w:proofErr w:type="gramStart"/>
      <w:r w:rsidRPr="00781112">
        <w:rPr>
          <w:rFonts w:cs="Arial"/>
          <w:color w:val="000000" w:themeColor="text1"/>
          <w:szCs w:val="16"/>
        </w:rPr>
        <w:t>been reviewed</w:t>
      </w:r>
      <w:proofErr w:type="gramEnd"/>
      <w:r w:rsidRPr="00781112">
        <w:rPr>
          <w:rFonts w:cs="Arial"/>
          <w:color w:val="000000" w:themeColor="text1"/>
          <w:szCs w:val="16"/>
        </w:rPr>
        <w:t xml:space="preserve"> and approved by the DPI. Likewise, with IEP forms, the districts have either adopted the department's model IEP forms or use forms approved by the DPI. In addition, the DPI reviews IDEA State complaint decisions, due process decisions, and pupil nondiscrimination appeals and, when necessary, conducts additional record reviews and interviews using standard protocols. Based on the DPI's review, it was determined that the policies, procedures, and practices </w:t>
      </w:r>
      <w:proofErr w:type="gramStart"/>
      <w:r w:rsidRPr="00781112">
        <w:rPr>
          <w:rFonts w:cs="Arial"/>
          <w:color w:val="000000" w:themeColor="text1"/>
          <w:szCs w:val="16"/>
        </w:rPr>
        <w:t>were in compliance</w:t>
      </w:r>
      <w:proofErr w:type="gramEnd"/>
      <w:r w:rsidRPr="00781112">
        <w:rPr>
          <w:rFonts w:cs="Arial"/>
          <w:color w:val="000000" w:themeColor="text1"/>
          <w:szCs w:val="16"/>
        </w:rPr>
        <w:t xml:space="preserve"> for all districts identified under Indicator 4A.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2020. The State must provide valid and reliable data for FFY 2021 in the FFY 2021 SPP/APR.</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This is the result of a typo; there were 445 active and accountable LEAs in Wisconsin in FFY 2019 (the source year for this lagged indicator), not 444, resulting in a rate of 4.27%. This would have been a baseline year, as DPI removed its minimum cell size for its calculation.</w:t>
      </w:r>
      <w:r w:rsidRPr="00781112">
        <w:rPr>
          <w:rFonts w:cs="Arial"/>
          <w:color w:val="000000" w:themeColor="text1"/>
          <w:szCs w:val="16"/>
        </w:rPr>
        <w:br/>
      </w:r>
      <w:r w:rsidRPr="00781112">
        <w:rPr>
          <w:rFonts w:cs="Arial"/>
          <w:color w:val="000000" w:themeColor="text1"/>
          <w:szCs w:val="16"/>
        </w:rPr>
        <w:br/>
        <w:t>Wisconsin continues to encourage OSEP to integrate an option for SEAs to import this data as either a CSV or from the previous year's SPP/APR reporting, so as to reduce the errors which inevitably occur when manually entering data, particularly across so many fields as are involved in SPP/APR reporting.</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has revised the FFY 2021-2025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it compares the rates of suspensions and expulsions of greater than 10 days in a school year for children with IEPs among LEAs in the State. Specifically, the State reported, "As of FFY 2021, the DPI shifted to a definition of significant discrepancy as a risk rate of 2 or greater for two consecutive years, with a minimum denominator of 30 (representing students with IEPs as of the State's October 1 Child Count) each year."  However, OSEP notes that the State did not provide a full description of the comparison the State uses to determine if significant discrepancies are occurring in the rate of long-term suspensions and expulsions of children with disabilities among LEAs. OSEP encourages the State to report this information in the FFY 2022 SPP/APR. </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5471B28F" w14:textId="77777777" w:rsidR="002D00BA" w:rsidRPr="00781112" w:rsidRDefault="002D00BA"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052CF875" w14:textId="77777777" w:rsidR="002D00BA" w:rsidRPr="00781112" w:rsidRDefault="002D00BA"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2021</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As of FFY 2021, the DPI shifted to a definition of significant discrepancy as a risk rate of </w:t>
      </w:r>
      <w:proofErr w:type="gramStart"/>
      <w:r w:rsidRPr="00781112">
        <w:rPr>
          <w:rFonts w:cs="Arial"/>
          <w:color w:val="000000" w:themeColor="text1"/>
          <w:szCs w:val="16"/>
        </w:rPr>
        <w:t>2</w:t>
      </w:r>
      <w:proofErr w:type="gramEnd"/>
      <w:r w:rsidRPr="00781112">
        <w:rPr>
          <w:rFonts w:cs="Arial"/>
          <w:color w:val="000000" w:themeColor="text1"/>
          <w:szCs w:val="16"/>
        </w:rPr>
        <w:t xml:space="preserve"> or greater for two consecutive years, with a minimum denominator of 30 (representing students with IEPs in one or more race reporting categories as of the State's October 1 Child Count) each year. No minimum numerator has been set. The intent of this change is to shift away from the previous methodology which relied upon standard deviations from the mean to establish cutoffs, which resulted in approximately 4% of LEAs always </w:t>
      </w:r>
      <w:proofErr w:type="gramStart"/>
      <w:r w:rsidRPr="00781112">
        <w:rPr>
          <w:rFonts w:cs="Arial"/>
          <w:color w:val="000000" w:themeColor="text1"/>
          <w:szCs w:val="16"/>
        </w:rPr>
        <w:t>being identified</w:t>
      </w:r>
      <w:proofErr w:type="gramEnd"/>
      <w:r w:rsidRPr="00781112">
        <w:rPr>
          <w:rFonts w:cs="Arial"/>
          <w:color w:val="000000" w:themeColor="text1"/>
          <w:szCs w:val="16"/>
        </w:rPr>
        <w:t xml:space="preserve"> as having a significant discrepancy each year. The new methodology resolves this issue while ensuring the vast majority of Wisconsin LEAs remain eligible for identification in this area.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Because this indicator uses multiple years of data and </w:t>
      </w:r>
      <w:proofErr w:type="gramStart"/>
      <w:r w:rsidRPr="00781112">
        <w:rPr>
          <w:rFonts w:cs="Arial"/>
          <w:color w:val="000000" w:themeColor="text1"/>
          <w:szCs w:val="16"/>
        </w:rPr>
        <w:t>is lagged</w:t>
      </w:r>
      <w:proofErr w:type="gramEnd"/>
      <w:r w:rsidRPr="00781112">
        <w:rPr>
          <w:rFonts w:cs="Arial"/>
          <w:color w:val="000000" w:themeColor="text1"/>
          <w:szCs w:val="16"/>
        </w:rPr>
        <w:t>, only LEAs active in the 2020-21 school year are counted towards the total number of LEAs, aligning with the reported number of LEAs in the introduction of Wisconsin's FFY2020 SPP/APR.</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districts identified in FFY 2021 with significant discrepancy (using 2020-21 data), the DPI conducted a review of the districts' policies, procedures, and practices that impact suspension and expulsion rates, including the development and implementation of IEPs, the use of positive behavioral interventions and supports, and procedural safeguards as required by 34 CFR §300.170(b). The districts have either adopted the DPI's model policies and procedures or have submitted policies and procedures that have </w:t>
      </w:r>
      <w:proofErr w:type="gramStart"/>
      <w:r w:rsidRPr="00781112">
        <w:rPr>
          <w:rFonts w:cs="Arial"/>
          <w:color w:val="000000" w:themeColor="text1"/>
          <w:szCs w:val="16"/>
        </w:rPr>
        <w:t>been reviewed</w:t>
      </w:r>
      <w:proofErr w:type="gramEnd"/>
      <w:r w:rsidRPr="00781112">
        <w:rPr>
          <w:rFonts w:cs="Arial"/>
          <w:color w:val="000000" w:themeColor="text1"/>
          <w:szCs w:val="16"/>
        </w:rPr>
        <w:t xml:space="preserve"> and approved by the DPI. Likewise, with IEP forms, the districts have either adopted the DPI's model IEP forms or use forms approved by the DPI. In addition, identified districts conduct a Disproportionality Procedural Compliance Self-Assessment where districts review a sample of student records, disaggregated by race, and assess related compliance items as identified by OSEP, which </w:t>
      </w:r>
      <w:proofErr w:type="gramStart"/>
      <w:r w:rsidRPr="00781112">
        <w:rPr>
          <w:rFonts w:cs="Arial"/>
          <w:color w:val="000000" w:themeColor="text1"/>
          <w:szCs w:val="16"/>
        </w:rPr>
        <w:t>is verified</w:t>
      </w:r>
      <w:proofErr w:type="gramEnd"/>
      <w:r w:rsidRPr="00781112">
        <w:rPr>
          <w:rFonts w:cs="Arial"/>
          <w:color w:val="000000" w:themeColor="text1"/>
          <w:szCs w:val="16"/>
        </w:rPr>
        <w:t xml:space="preserve"> by the department. The DPI also reviewed IDEA State complaint decisions, due process decisions, and pupil nondiscrimination appeals, and conducted additional record reviews and interviews using standard protocols. Based on the review as described above, there were zero districts with policies, procedures, or practices that contributed to the significant discrepancy and did not comply with a procedural safeguard provision under 34 CFR § 300.530.</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E1A0D10" w14:textId="77777777" w:rsidR="002D00BA" w:rsidRDefault="002D00BA" w:rsidP="004369B2">
      <w:pPr>
        <w:rPr>
          <w:b/>
          <w:color w:val="000000" w:themeColor="text1"/>
        </w:rPr>
      </w:pPr>
    </w:p>
    <w:p w14:paraId="6CFB1826" w14:textId="29445914"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 xml:space="preserve">The State reported, "As of FFY 2021, the DPI shifted to a definition of significant discrepancy as a risk rate of 2 or greater for two consecutive years, with a minimum denominator of 30 (representing students with IEPs in one or more race reporting categories as of the State's October 1 Child Count) each year."  However, OSEP notes that the State did not provide a full description of the comparison the State uses to determine if significant discrepancies are occurring in the rate of long-term suspensions and expulsions of children with disabilities it its LEAs. OSEP encourages the State to report this information in the FFY 2022 SPP/APR.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73.85%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67.39%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73.85%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7.46%</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7.46%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1.25%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1.25%</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74.33%</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75.43%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76.38%</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77.28%</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78.18%</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7.46%</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7.27%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7.05%</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6.84%</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6.64%</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1.23%</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1.21%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1.19%</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1.18%</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1.17%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r>
      <w:r w:rsidRPr="00781112">
        <w:rPr>
          <w:rFonts w:cs="Arial"/>
          <w:color w:val="000000" w:themeColor="text1"/>
          <w:szCs w:val="16"/>
        </w:rPr>
        <w:lastRenderedPageBreak/>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114,395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86,372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7,900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887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182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219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86,372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114,395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74.33%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114,395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7.46%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7.46%</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6.91%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1,288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114,395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1.23%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35.23%</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34.66%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35.35%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37.21%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35.23%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19.25%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18.25%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17.25%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17.25%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17.73%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19.36%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17.82%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15.49%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17.73%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r>
      <w:r w:rsidRPr="00781112">
        <w:rPr>
          <w:rFonts w:cs="Arial"/>
          <w:color w:val="000000" w:themeColor="text1"/>
          <w:szCs w:val="16"/>
        </w:rPr>
        <w:lastRenderedPageBreak/>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5C7F1365" w14:textId="0873EC84" w:rsidR="0073461B" w:rsidRPr="002D00BA" w:rsidRDefault="00794672" w:rsidP="002D00BA">
      <w:pPr>
        <w:rPr>
          <w:rFonts w:cs="Arial"/>
          <w:color w:val="000000" w:themeColor="text1"/>
          <w:szCs w:val="16"/>
        </w:rPr>
      </w:pPr>
      <w:r w:rsidRPr="00781112">
        <w:rPr>
          <w:rFonts w:cs="Arial"/>
          <w:color w:val="000000" w:themeColor="text1"/>
          <w:szCs w:val="16"/>
        </w:rPr>
        <w:t>Target Range not used</w:t>
      </w: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35.23%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17.73%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35.23%</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35.53%</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36.43%</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37.38%</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38.38%</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lastRenderedPageBreak/>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17.73%</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17.73%</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17.73%</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17.73%</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17.72%</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2,970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4,410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1,069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8,449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547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1,970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524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3,041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1,080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479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1,625</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206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309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3,041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8,449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35.23%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35.23%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35.99%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1,639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8,449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17.73%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17.73%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19.40%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309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8,449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4.43%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3.66%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Qualitative evidence collected from school and district staff for the 2021-22 school year indicates an increased hesitance to introduce preschool students with IEPs into regular early childhood settings, instead electing to provide services in smaller environments such as phonological classrooms. Additionally, school and district staff report that the average level of social and emotional preparedness for traditional early childhood settings has decreased, likely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fewer social and developmental opportunities during the pandemic. The DPI continues to provide technical assistance and monitor LEAs in selecting the least restrictive environment possible for each </w:t>
      </w:r>
      <w:proofErr w:type="gramStart"/>
      <w:r w:rsidRPr="00781112">
        <w:rPr>
          <w:rFonts w:cs="Arial"/>
          <w:color w:val="000000" w:themeColor="text1"/>
          <w:szCs w:val="16"/>
        </w:rPr>
        <w:t>student, and</w:t>
      </w:r>
      <w:proofErr w:type="gramEnd"/>
      <w:r w:rsidRPr="00781112">
        <w:rPr>
          <w:rFonts w:cs="Arial"/>
          <w:color w:val="000000" w:themeColor="text1"/>
          <w:szCs w:val="16"/>
        </w:rPr>
        <w:t xml:space="preserve"> includes this results indicator in its annual LEA Determinations.</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lastRenderedPageBreak/>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67.16%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73.98%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67.35%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67.16%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58.58%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58.58%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61.34%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58.58%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69.21%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77.55%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74.23%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72.97%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69.21%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46.71%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46.71%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51.93%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46.71%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68.77%</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68.77%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74.83%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70.56%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68.77%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82.10%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65.86%</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65.86%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67.17%</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67.18%</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67.19%</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67.20%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67.21%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58.59%</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58.60%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58.61%</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58.62%</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58.63%</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69.22%</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69.23%</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69.24%</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69.25%</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69.26%</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46.72%</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46.73%</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46.74%</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46.75%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46.76%</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68.78%</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68.79%</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68.80%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68.81%</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68.82%</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65.87%</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65.88%</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65.89%</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65.90%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65.91%</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t>
      </w:r>
      <w:r w:rsidRPr="00781112">
        <w:rPr>
          <w:rFonts w:cs="Arial"/>
          <w:color w:val="000000" w:themeColor="text1"/>
          <w:szCs w:val="16"/>
        </w:rPr>
        <w:lastRenderedPageBreak/>
        <w:t>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4,894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1,169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23.89%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941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19.23%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1,395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28.50%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1,331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27.20%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2,336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3,563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67.16%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67.17%</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65.56%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2,726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4,894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58.58%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58.59%</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55.70%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61D00D12" w14:textId="77777777" w:rsidR="002D00BA" w:rsidRDefault="002D00BA" w:rsidP="004369B2">
      <w:pPr>
        <w:rPr>
          <w:b/>
          <w:color w:val="000000" w:themeColor="text1"/>
        </w:rPr>
      </w:pPr>
    </w:p>
    <w:p w14:paraId="43C6FD6E" w14:textId="7D05C7D4" w:rsidR="00A80FEB" w:rsidRPr="00781112" w:rsidRDefault="00A80FEB" w:rsidP="004369B2">
      <w:pPr>
        <w:rPr>
          <w:color w:val="000000" w:themeColor="text1"/>
        </w:rPr>
      </w:pPr>
      <w:r w:rsidRPr="00781112">
        <w:rPr>
          <w:b/>
          <w:color w:val="000000" w:themeColor="text1"/>
        </w:rPr>
        <w:lastRenderedPageBreak/>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0.80%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1,318</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26.93%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1,261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25.77%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1,776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36.29%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10.22%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3,037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4,394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69.21%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69.22%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2,276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4,894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46.71%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46.72%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46.51%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5868214E" w14:textId="77777777" w:rsidR="002D00BA" w:rsidRDefault="002D00BA" w:rsidP="004369B2">
      <w:pPr>
        <w:rPr>
          <w:b/>
          <w:color w:val="000000" w:themeColor="text1"/>
        </w:rPr>
      </w:pPr>
    </w:p>
    <w:p w14:paraId="12AAE7F9" w14:textId="05924B8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0.82%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987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20.17%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712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14.55%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1,602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32.73%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1,553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31.73%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2,314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3,341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68.77%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69.26%</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w:t>
            </w:r>
            <w:r w:rsidRPr="00781112">
              <w:rPr>
                <w:rFonts w:cs="Arial"/>
                <w:color w:val="000000" w:themeColor="text1"/>
                <w:szCs w:val="16"/>
              </w:rPr>
              <w:lastRenderedPageBreak/>
              <w:t xml:space="preserve">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3,155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4,894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65.87%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64.47%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In all three domains of development in which Wisconsin notes slippage, there are two contributing factors. First, the youngest learners continue to </w:t>
            </w:r>
            <w:proofErr w:type="gramStart"/>
            <w:r w:rsidRPr="00781112">
              <w:rPr>
                <w:rFonts w:cs="Arial"/>
                <w:color w:val="000000" w:themeColor="text1"/>
                <w:szCs w:val="16"/>
              </w:rPr>
              <w:t>bear the brunt of</w:t>
            </w:r>
            <w:proofErr w:type="gramEnd"/>
            <w:r w:rsidRPr="00781112">
              <w:rPr>
                <w:rFonts w:cs="Arial"/>
                <w:color w:val="000000" w:themeColor="text1"/>
                <w:szCs w:val="16"/>
              </w:rPr>
              <w:t xml:space="preserve"> the lasting effects of COVID-19 as early childhood teachers report significant decreases related to literacy, language, and social and emotional skills. Second, the early childhood teacher and sub shortages make it difficult to offer professional learning related to accelerated skill instruction and formative and summative assessments for early learners. The DPI funds two IDEA discretionary grant projects targeted to improve outcomes for early learners: an Early Literacy Technical Assistance grant, which focuses explicitly on literacy, and an Early Learning Technical Assistance grant, which focuses on improving results for learners with IEPs ages 3-5. </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In all three domains of development in which Wisconsin notes slippage, there are two contributing factors. First, the youngest learners continue to </w:t>
            </w:r>
            <w:proofErr w:type="gramStart"/>
            <w:r w:rsidRPr="00781112">
              <w:rPr>
                <w:rFonts w:cs="Arial"/>
                <w:color w:val="000000" w:themeColor="text1"/>
                <w:szCs w:val="16"/>
              </w:rPr>
              <w:t>bear the brunt of</w:t>
            </w:r>
            <w:proofErr w:type="gramEnd"/>
            <w:r w:rsidRPr="00781112">
              <w:rPr>
                <w:rFonts w:cs="Arial"/>
                <w:color w:val="000000" w:themeColor="text1"/>
                <w:szCs w:val="16"/>
              </w:rPr>
              <w:t xml:space="preserve"> the lasting effects of COVID-19 as early childhood teachers report significant decreases related to literacy, language, and social and emotional skills. Second, the early childhood teacher and sub shortages make it difficult to offer professional learning related to accelerated skill instruction and formative and summative assessments for early learners. The DPI funds two IDEA discretionary grant projects targeted to improve outcomes for early learners: an Early Literacy Technical Assistance grant, which focuses explicitly on literacy, and an Early Learning Technical Assistance grant, which focuses on improving results for learners with IEPs ages 3-5.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In all three domains of development in which Wisconsin notes slippage, there are two contributing factors. First, the youngest learners continue to </w:t>
            </w:r>
            <w:proofErr w:type="gramStart"/>
            <w:r w:rsidRPr="00781112">
              <w:rPr>
                <w:rFonts w:cs="Arial"/>
                <w:color w:val="000000" w:themeColor="text1"/>
                <w:szCs w:val="16"/>
              </w:rPr>
              <w:t>bear the brunt of</w:t>
            </w:r>
            <w:proofErr w:type="gramEnd"/>
            <w:r w:rsidRPr="00781112">
              <w:rPr>
                <w:rFonts w:cs="Arial"/>
                <w:color w:val="000000" w:themeColor="text1"/>
                <w:szCs w:val="16"/>
              </w:rPr>
              <w:t xml:space="preserve"> the lasting effects of COVID-19 as early childhood teachers report significant decreases related to literacy, language, and social and emotional skills. Second, the early childhood teacher and sub shortages make it difficult to offer professional learning related to accelerated skill instruction and formative and summative assessments for early learners. The DPI funds two IDEA discretionary grant projects targeted to improve outcomes for early learners: an Early Literacy Technical Assistance grant, which focuses explicitly on literacy, and an Early Learning Technical Assistance grant, which focuses on improving results for learners with IEPs ages 3-5.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During FFY2021, the DPI continued to use the individual child web-based application for the purpose of reporting Indicator 7 child outcomes that </w:t>
      </w:r>
      <w:proofErr w:type="gramStart"/>
      <w:r w:rsidRPr="00781112">
        <w:rPr>
          <w:rFonts w:cs="Arial"/>
          <w:color w:val="000000" w:themeColor="text1"/>
          <w:szCs w:val="16"/>
        </w:rPr>
        <w:t>was introduced</w:t>
      </w:r>
      <w:proofErr w:type="gramEnd"/>
      <w:r w:rsidRPr="00781112">
        <w:rPr>
          <w:rFonts w:cs="Arial"/>
          <w:color w:val="000000" w:themeColor="text1"/>
          <w:szCs w:val="16"/>
        </w:rPr>
        <w:t xml:space="preserve"> during the 2016-17 school year. This application uses the Child Outcomes Decision Tree developed by the Early Childhood Technical Assistance Center to guide the child outcomes team through the child outcomes process for both the entry and exit rating. When using the application, the child outcomes team identifies the sources of information obtained and responds to a series of questions using the Child Outcomes Decision Tree. In using the application, the child outcomes team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document evidence supporting the responses provided. Based on the responses provided by the child outcomes team, the child’s entry or exit rating for each outcome area is determined by the application relative to the 7-point scale used in the child outcomes summary (COS) process. This 7-point scale compares the child’s level of current functioning to that of same-age typically developing peers. The ratings using the 7-point scale are then converted for the purpose of reporting the child outcomes progress categories and summary statements.</w:t>
      </w:r>
      <w:r w:rsidRPr="00781112">
        <w:rPr>
          <w:rFonts w:cs="Arial"/>
          <w:color w:val="000000" w:themeColor="text1"/>
          <w:szCs w:val="16"/>
        </w:rPr>
        <w:br/>
      </w:r>
      <w:r w:rsidRPr="00781112">
        <w:rPr>
          <w:rFonts w:cs="Arial"/>
          <w:color w:val="000000" w:themeColor="text1"/>
          <w:szCs w:val="16"/>
        </w:rPr>
        <w:br/>
        <w:t xml:space="preserve">During FFY2021, the state continued criteria for reporting exit child outcomes from reporting when a child turned age 6 to reporting when a child exits preschool to align with Indicator 6, which was introduced and supported during FFY2020.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Indicator 7 Preschool Outcome data demonstrated the growing and long-term impact of the COVID-19 pandemic on the youngest learners with disabilities. In this reporting period, 4,894 students exited early childhood programs as compared to 11,210 during FFY2020 and 7,739 in FFY2019. While this shift also reflects the changes in reporting for five year old learners, the largest attribution to this drop in numbers is the school closures during COVID-19 and then learning that relied on remote and/or hybrid learning, which was not developmentally appropriate for the youngest learners and many parents withdrew consent for special education and related services when in-person learning was not available.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311D27F5" w14:textId="01A10F20" w:rsidR="000A2C83" w:rsidRPr="00781112" w:rsidRDefault="002B7490" w:rsidP="000A2C83">
      <w:pPr>
        <w:rPr>
          <w:rFonts w:cs="Arial"/>
          <w:color w:val="000000" w:themeColor="text1"/>
          <w:szCs w:val="16"/>
        </w:rPr>
      </w:pPr>
      <w:r w:rsidRPr="00781112">
        <w:rPr>
          <w:rFonts w:cs="Arial"/>
          <w:color w:val="000000" w:themeColor="text1"/>
          <w:szCs w:val="16"/>
        </w:rPr>
        <w:t>None</w:t>
      </w:r>
    </w:p>
    <w:p w14:paraId="408E3220" w14:textId="1ACDF626" w:rsidR="009B37A2" w:rsidRPr="002D00BA" w:rsidRDefault="00C96236" w:rsidP="002D00BA">
      <w:pPr>
        <w:pStyle w:val="Heading2"/>
      </w:pPr>
      <w:r w:rsidRPr="00781112">
        <w:t>7 - OSEP Response</w:t>
      </w:r>
    </w:p>
    <w:p w14:paraId="4FFE0FC1" w14:textId="6A68DA22" w:rsidR="00415684" w:rsidRPr="002D00BA" w:rsidRDefault="00C96236" w:rsidP="002D00BA">
      <w:pPr>
        <w:pStyle w:val="Heading2"/>
      </w:pPr>
      <w:r w:rsidRPr="00781112">
        <w:t>7 - Required Actions</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3"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3"/>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 xml:space="preserve">The DPI developed a series of webpages to solicit input on the State’s targets in the SPP/APR and any subsequent revisions that the State has made to </w:t>
      </w:r>
      <w:r w:rsidRPr="00781112">
        <w:rPr>
          <w:rFonts w:cs="Arial"/>
          <w:color w:val="000000" w:themeColor="text1"/>
          <w:szCs w:val="16"/>
        </w:rPr>
        <w:lastRenderedPageBreak/>
        <w:t>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86.30%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89.40%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88.52%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88.94%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89.41%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89.72%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89.69%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86.30%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86.40%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86.50%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86.60%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86.70%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4,011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4,648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89.69%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86.30%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86.30%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As part of the revisions to the survey questions implemented in FFY 2016, the questions for school-age and preschool surveys </w:t>
      </w:r>
      <w:proofErr w:type="gramStart"/>
      <w:r w:rsidRPr="00781112">
        <w:rPr>
          <w:rFonts w:cs="Arial"/>
          <w:color w:val="000000" w:themeColor="text1"/>
          <w:szCs w:val="16"/>
        </w:rPr>
        <w:t>were examined</w:t>
      </w:r>
      <w:proofErr w:type="gramEnd"/>
      <w:r w:rsidRPr="00781112">
        <w:rPr>
          <w:rFonts w:cs="Arial"/>
          <w:color w:val="000000" w:themeColor="text1"/>
          <w:szCs w:val="16"/>
        </w:rPr>
        <w:t xml:space="preserve"> and paired to ensure that the subject matter of each question </w:t>
      </w:r>
      <w:proofErr w:type="gramStart"/>
      <w:r w:rsidRPr="00781112">
        <w:rPr>
          <w:rFonts w:cs="Arial"/>
          <w:color w:val="000000" w:themeColor="text1"/>
          <w:szCs w:val="16"/>
        </w:rPr>
        <w:t>were</w:t>
      </w:r>
      <w:proofErr w:type="gramEnd"/>
      <w:r w:rsidRPr="00781112">
        <w:rPr>
          <w:rFonts w:cs="Arial"/>
          <w:color w:val="000000" w:themeColor="text1"/>
          <w:szCs w:val="16"/>
        </w:rPr>
        <w:t xml:space="preserve"> comparable. As a result of this effort, respondents of both surveys complete the same number of questions covering the same types of family engagement, articulated in a manner that is most applicable to the student population being </w:t>
      </w:r>
      <w:r w:rsidRPr="00781112">
        <w:rPr>
          <w:rFonts w:cs="Arial"/>
          <w:color w:val="000000" w:themeColor="text1"/>
          <w:szCs w:val="16"/>
        </w:rPr>
        <w:lastRenderedPageBreak/>
        <w:t>considered.</w:t>
      </w:r>
      <w:r w:rsidRPr="00781112">
        <w:rPr>
          <w:rFonts w:cs="Arial"/>
          <w:color w:val="000000" w:themeColor="text1"/>
          <w:szCs w:val="16"/>
        </w:rPr>
        <w:br/>
      </w:r>
      <w:r w:rsidRPr="00781112">
        <w:rPr>
          <w:rFonts w:cs="Arial"/>
          <w:color w:val="000000" w:themeColor="text1"/>
          <w:szCs w:val="16"/>
        </w:rPr>
        <w:br/>
        <w:t>The DPI uses the following methodology for calculating Indicator 8 results: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The mean rate of agreement is calculated for each completed survey with more than 50% of questions completed.</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Each included response is assigned a weight using iterative proportional fitting (IPF, also known as survey raking) to bring the survey data inline with statewide demographics along race/ethnicity, disability reporting category, and region.</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The percent agreement of each response is multiplied by its assigned IPF weight, summed across all respondent data, then divided by the total number of surveys.</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xml:space="preserve">. Due to EMAPS requiring the numerator be an integer, the numerator of the statewide calculation (percent agreement) </w:t>
      </w:r>
      <w:proofErr w:type="gramStart"/>
      <w:r w:rsidRPr="00781112">
        <w:rPr>
          <w:rFonts w:cs="Arial"/>
          <w:color w:val="000000" w:themeColor="text1"/>
          <w:szCs w:val="16"/>
        </w:rPr>
        <w:t>is rounded</w:t>
      </w:r>
      <w:proofErr w:type="gramEnd"/>
      <w:r w:rsidRPr="00781112">
        <w:rPr>
          <w:rFonts w:cs="Arial"/>
          <w:color w:val="000000" w:themeColor="text1"/>
          <w:szCs w:val="16"/>
        </w:rPr>
        <w:t xml:space="preserve"> to the nearest whole number.</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27,519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16.89%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4"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15.81%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16.89%</w:t>
            </w:r>
          </w:p>
        </w:tc>
      </w:tr>
      <w:bookmarkEnd w:id="44"/>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As of FFY2020, the DPI instituted a minimum response rate of 10% among each LEA's students with IEP population or six students with IEPs, whichever is greater, for all LEAs in the survey cycle, and has integrated this completion rate into the timely and accurate data calculations used as part of LEA Determinations. As of FFY2021, all LEAs met their minimum response rate (including Milwaukee Public Schools, resulting in a more representative sample prior to IPF weighting). The DPI continues to meet with those LEAs who fail to achieve the minimum response rate and engages with them in improvement planning to meet the target in subsequent years.</w:t>
      </w:r>
      <w:r w:rsidRPr="0061205F">
        <w:rPr>
          <w:rFonts w:cs="Arial"/>
          <w:bCs/>
          <w:color w:val="000000" w:themeColor="text1"/>
          <w:szCs w:val="16"/>
        </w:rPr>
        <w:br/>
      </w:r>
      <w:r w:rsidRPr="0061205F">
        <w:rPr>
          <w:rFonts w:cs="Arial"/>
          <w:bCs/>
          <w:color w:val="000000" w:themeColor="text1"/>
          <w:szCs w:val="16"/>
        </w:rPr>
        <w:br/>
        <w:t xml:space="preserve">The DPI invests annually discretionary grant funds in the Wisconsin Statewide Parent Educator Initiative (https://wspei.org). Staff, particularly in Milwaukee, will continue to be responsible for targeted outreach and support to districts with high concentrations of groups that </w:t>
      </w:r>
      <w:proofErr w:type="gramStart"/>
      <w:r w:rsidRPr="0061205F">
        <w:rPr>
          <w:rFonts w:cs="Arial"/>
          <w:bCs/>
          <w:color w:val="000000" w:themeColor="text1"/>
          <w:szCs w:val="16"/>
        </w:rPr>
        <w:t>are underrepresented</w:t>
      </w:r>
      <w:proofErr w:type="gramEnd"/>
      <w:r w:rsidRPr="0061205F">
        <w:rPr>
          <w:rFonts w:cs="Arial"/>
          <w:bCs/>
          <w:color w:val="000000" w:themeColor="text1"/>
          <w:szCs w:val="16"/>
        </w:rPr>
        <w:t xml:space="preserve">. Every year, staff develop a strategic plan and include targeted strategies to increase the response rate year over year, particularly for those groups that </w:t>
      </w:r>
      <w:proofErr w:type="gramStart"/>
      <w:r w:rsidRPr="0061205F">
        <w:rPr>
          <w:rFonts w:cs="Arial"/>
          <w:bCs/>
          <w:color w:val="000000" w:themeColor="text1"/>
          <w:szCs w:val="16"/>
        </w:rPr>
        <w:t>are underrepresented</w:t>
      </w:r>
      <w:proofErr w:type="gramEnd"/>
      <w:r w:rsidRPr="0061205F">
        <w:rPr>
          <w:rFonts w:cs="Arial"/>
          <w:bCs/>
          <w:color w:val="000000" w:themeColor="text1"/>
          <w:szCs w:val="16"/>
        </w:rPr>
        <w:t>.</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5"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5"/>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DPI continues to see disproportionate participation in the Family Engagement Survey across the state, which skews the unweighted results toward rural white respondents. Additionally, Wisconsin's largest LEA participates annually, (divided across the reporting cycle so that one fifth of their schools participate each year), which further reduces the number of students of color within the reporting cycle </w:t>
      </w:r>
      <w:proofErr w:type="gramStart"/>
      <w:r>
        <w:rPr>
          <w:rFonts w:cs="Arial"/>
          <w:szCs w:val="16"/>
        </w:rPr>
        <w:t>in a given</w:t>
      </w:r>
      <w:proofErr w:type="gramEnd"/>
      <w:r>
        <w:rPr>
          <w:rFonts w:cs="Arial"/>
          <w:szCs w:val="16"/>
        </w:rPr>
        <w:t xml:space="preserve"> reporting period. This makes a demographically representative sample from the clustered sampling of LEAs alone an unviable option.</w:t>
      </w:r>
      <w:r>
        <w:rPr>
          <w:rFonts w:cs="Arial"/>
          <w:szCs w:val="16"/>
        </w:rPr>
        <w:br/>
      </w:r>
      <w:r>
        <w:rPr>
          <w:rFonts w:cs="Arial"/>
          <w:szCs w:val="16"/>
        </w:rPr>
        <w:br/>
        <w:t>To address this limitation, the DPI implemented post-collection stratified sampling in FFY 2021, using a method known as iterative proportional fitting (IPF). This methodology identifies the discrepancy between the statewide population and survey respondents, then assigns weights to each response to bring the results inline with the National Post-School Outcomes Center guidance of +/-3% along race/ethnicity, disability reporting category, and region.</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6" w:name="_Hlk112070690"/>
      <w:bookmarkStart w:id="47"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6"/>
    <w:bookmarkEnd w:id="47"/>
    <w:p w14:paraId="513A1FE6" w14:textId="77777777" w:rsidR="00090132" w:rsidRDefault="00090132" w:rsidP="006F6351">
      <w:pPr>
        <w:rPr>
          <w:b/>
          <w:bCs/>
        </w:rPr>
      </w:pPr>
      <w:r w:rsidRPr="000A2B9F">
        <w:rPr>
          <w:bCs/>
          <w:color w:val="000000" w:themeColor="text1"/>
        </w:rPr>
        <w:t xml:space="preserve">Due to the incorporation of IPF into our indicator </w:t>
      </w:r>
      <w:proofErr w:type="gramStart"/>
      <w:r w:rsidRPr="000A2B9F">
        <w:rPr>
          <w:bCs/>
          <w:color w:val="000000" w:themeColor="text1"/>
        </w:rPr>
        <w:t>8</w:t>
      </w:r>
      <w:proofErr w:type="gramEnd"/>
      <w:r w:rsidRPr="000A2B9F">
        <w:rPr>
          <w:bCs/>
          <w:color w:val="000000" w:themeColor="text1"/>
        </w:rPr>
        <w:t xml:space="preserve"> methodology, Wisconsin is pleased to share that its results for this indicator are representative across race/ethnicity, disability reporting category, and region for the first time in over five years. See the indicator </w:t>
      </w:r>
      <w:proofErr w:type="gramStart"/>
      <w:r w:rsidRPr="000A2B9F">
        <w:rPr>
          <w:bCs/>
          <w:color w:val="000000" w:themeColor="text1"/>
        </w:rPr>
        <w:t>8</w:t>
      </w:r>
      <w:proofErr w:type="gramEnd"/>
      <w:r w:rsidRPr="000A2B9F">
        <w:rPr>
          <w:bCs/>
          <w:color w:val="000000" w:themeColor="text1"/>
        </w:rPr>
        <w:t xml:space="preserve"> methodology paper for details.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Wisconsin continues to use a benchmark of 3% (inline with National Post-School Outcomes Center guidance for indicator 14) to assess the extent to which survey data reflect the demographics of the state; namely, that parents who responded to the survey have students of diverse racial/ethnic backgrounds, disability reporting categories, and regions.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lastRenderedPageBreak/>
              <w:t>If yes, provide sampling plan.</w:t>
            </w:r>
          </w:p>
        </w:tc>
        <w:tc>
          <w:tcPr>
            <w:tcW w:w="2245" w:type="dxa"/>
            <w:shd w:val="clear" w:color="auto" w:fill="auto"/>
          </w:tcPr>
          <w:p w14:paraId="30391E7E" w14:textId="6D3E25C2" w:rsidR="00212954" w:rsidRPr="00781112" w:rsidRDefault="00212954">
            <w:pPr>
              <w:jc w:val="center"/>
              <w:rPr>
                <w:rFonts w:cs="Arial"/>
                <w:color w:val="000000" w:themeColor="text1"/>
                <w:szCs w:val="16"/>
              </w:rPr>
            </w:pP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As of FFY2021, Wisconsin implemented a two-stage sampling methodology: a pre-collection clustered sampling of LEAs in the five-year reporting cycle; a post-collection stratified weighting of responses using iterative proportional fitting (IPF). </w:t>
      </w:r>
      <w:r w:rsidRPr="00781112">
        <w:rPr>
          <w:rFonts w:cs="Arial"/>
          <w:color w:val="000000" w:themeColor="text1"/>
          <w:szCs w:val="16"/>
        </w:rPr>
        <w:br/>
      </w:r>
      <w:r w:rsidRPr="00781112">
        <w:rPr>
          <w:rFonts w:cs="Arial"/>
          <w:color w:val="000000" w:themeColor="text1"/>
          <w:szCs w:val="16"/>
        </w:rPr>
        <w:br/>
        <w:t xml:space="preserve">The clustered sample of districts within each cycle are representative of the following statewide characteristics: geographic regions, total enrollment of students with disabilities, racial/ethnic makeup of the students with disabilities, and distribution of primary disabilities. For relevant demographics, a 95% confidence interval about the median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construct the five-year cohort cycle. </w:t>
      </w:r>
      <w:proofErr w:type="gramStart"/>
      <w:r w:rsidRPr="00781112">
        <w:rPr>
          <w:rFonts w:cs="Arial"/>
          <w:color w:val="000000" w:themeColor="text1"/>
          <w:szCs w:val="16"/>
        </w:rPr>
        <w:t>As Wisconsin's</w:t>
      </w:r>
      <w:proofErr w:type="gramEnd"/>
      <w:r w:rsidRPr="00781112">
        <w:rPr>
          <w:rFonts w:cs="Arial"/>
          <w:color w:val="000000" w:themeColor="text1"/>
          <w:szCs w:val="16"/>
        </w:rPr>
        <w:t xml:space="preserve"> largest LEA, with a population </w:t>
      </w:r>
      <w:proofErr w:type="gramStart"/>
      <w:r w:rsidRPr="00781112">
        <w:rPr>
          <w:rFonts w:cs="Arial"/>
          <w:color w:val="000000" w:themeColor="text1"/>
          <w:szCs w:val="16"/>
        </w:rPr>
        <w:t>in excess of</w:t>
      </w:r>
      <w:proofErr w:type="gramEnd"/>
      <w:r w:rsidRPr="00781112">
        <w:rPr>
          <w:rFonts w:cs="Arial"/>
          <w:color w:val="000000" w:themeColor="text1"/>
          <w:szCs w:val="16"/>
        </w:rPr>
        <w:t xml:space="preserve"> 50,000, Milwaukee Public Schools participates annually, with its schools divided into the cycle cohorts in the same manner as LEAs. within each LEA or school in the reporting cycle, all parents/guardians of students with IEPs at the time the survey opens are invited to participate.</w:t>
      </w:r>
      <w:r w:rsidRPr="00781112">
        <w:rPr>
          <w:rFonts w:cs="Arial"/>
          <w:color w:val="000000" w:themeColor="text1"/>
          <w:szCs w:val="16"/>
        </w:rPr>
        <w:br/>
      </w:r>
      <w:r w:rsidRPr="00781112">
        <w:rPr>
          <w:rFonts w:cs="Arial"/>
          <w:color w:val="000000" w:themeColor="text1"/>
          <w:szCs w:val="16"/>
        </w:rPr>
        <w:br/>
        <w:t>Each LEA in cycle distributes the survey using their existing family engagement networks and infrastructure, but the methods include in-person, online invitation via text or email, and mail-in surveys sent directly to DPI. To ensure confidentiality of responses and promote honest feedback, phone surveys are not permitted.</w:t>
      </w:r>
      <w:r w:rsidRPr="00781112">
        <w:rPr>
          <w:rFonts w:cs="Arial"/>
          <w:color w:val="000000" w:themeColor="text1"/>
          <w:szCs w:val="16"/>
        </w:rPr>
        <w:br/>
      </w:r>
      <w:r w:rsidRPr="00781112">
        <w:rPr>
          <w:rFonts w:cs="Arial"/>
          <w:color w:val="000000" w:themeColor="text1"/>
          <w:szCs w:val="16"/>
        </w:rPr>
        <w:br/>
        <w:t>To address growing disparities in participation across LEAs, the DPI instituted a minimum response rate of 10% or six students with IEPs, whichever is greater, per LEA.</w:t>
      </w:r>
      <w:r w:rsidRPr="00781112">
        <w:rPr>
          <w:rFonts w:cs="Arial"/>
          <w:color w:val="000000" w:themeColor="text1"/>
          <w:szCs w:val="16"/>
        </w:rPr>
        <w:br/>
      </w:r>
      <w:r w:rsidRPr="00781112">
        <w:rPr>
          <w:rFonts w:cs="Arial"/>
          <w:color w:val="000000" w:themeColor="text1"/>
          <w:szCs w:val="16"/>
        </w:rPr>
        <w:br/>
        <w:t>Once the survey responses are submitted, the DPI performs post-collection stratified weighting of responses to address any remaining unrepresentativeness that arose across race/ethnicity, disability reporting category, and region. This methodology uses IPF, to assign weights to each response with the following constraints: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No response can count more than </w:t>
      </w:r>
      <w:proofErr w:type="gramStart"/>
      <w:r w:rsidRPr="00781112">
        <w:rPr>
          <w:rFonts w:cs="Arial"/>
          <w:color w:val="000000" w:themeColor="text1"/>
          <w:szCs w:val="16"/>
        </w:rPr>
        <w:t>5</w:t>
      </w:r>
      <w:proofErr w:type="gramEnd"/>
      <w:r w:rsidRPr="00781112">
        <w:rPr>
          <w:rFonts w:cs="Arial"/>
          <w:color w:val="000000" w:themeColor="text1"/>
          <w:szCs w:val="16"/>
        </w:rPr>
        <w:t xml:space="preserve"> times the average. This effectively caps the variance introduced through weighting.</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The minimum threshold for representativeness is set to +/-2%. This is purposefully well within the +/-3% recommended by the National Post-School Outcomes Center for indicator 14.</w:t>
      </w:r>
      <w:r w:rsidRPr="00781112">
        <w:rPr>
          <w:rFonts w:cs="Arial"/>
          <w:color w:val="000000" w:themeColor="text1"/>
          <w:szCs w:val="16"/>
        </w:rPr>
        <w:br/>
        <w:t xml:space="preserve">3. Weights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through an iterative process, addressing the demographic categories with the greatest disparity from the statewide population first. If all demographic categories do not fall within the +/-2% threshold, the process repeats the weighting calculations, using the weighting results of the previous round of analysis as the starting point. Thus, through multiple iterations, the assigned weights continue to </w:t>
      </w:r>
      <w:proofErr w:type="gramStart"/>
      <w:r w:rsidRPr="00781112">
        <w:rPr>
          <w:rFonts w:cs="Arial"/>
          <w:color w:val="000000" w:themeColor="text1"/>
          <w:szCs w:val="16"/>
        </w:rPr>
        <w:t>be adjusted</w:t>
      </w:r>
      <w:proofErr w:type="gramEnd"/>
      <w:r w:rsidRPr="00781112">
        <w:rPr>
          <w:rFonts w:cs="Arial"/>
          <w:color w:val="000000" w:themeColor="text1"/>
          <w:szCs w:val="16"/>
        </w:rPr>
        <w:t xml:space="preserve"> until all specified demographic categories fall within the specified threshold.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See the responses to "Describe the analysis of the response rate including any nonresponse..." and "Include the State's analyses of the extent to which the demographics..." for this information.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submitted a revised sampling plan for this indicator with its FFY 2021 SPP/APR. OSEP’s evaluation of the plan indicates that it is approvable.</w:t>
      </w:r>
      <w:r w:rsidRPr="00781112">
        <w:rPr>
          <w:rFonts w:cs="Arial"/>
          <w:color w:val="000000" w:themeColor="text1"/>
          <w:szCs w:val="16"/>
        </w:rPr>
        <w:br/>
      </w:r>
      <w:r w:rsidRPr="00781112">
        <w:rPr>
          <w:rFonts w:cs="Arial"/>
          <w:color w:val="000000" w:themeColor="text1"/>
          <w:szCs w:val="16"/>
        </w:rPr>
        <w:br/>
        <w:t xml:space="preserve">The State has revised the baseline for this indicator, using data from FFY 2021, but OSEP cannot accept that revision because the rationale for the revision has not been provided. Additionally, OSEP cannot accept the targets for FFYs 2021-2025 because the baseline </w:t>
      </w:r>
      <w:proofErr w:type="gramStart"/>
      <w:r w:rsidRPr="00781112">
        <w:rPr>
          <w:rFonts w:cs="Arial"/>
          <w:color w:val="000000" w:themeColor="text1"/>
          <w:szCs w:val="16"/>
        </w:rPr>
        <w:t>was not accepted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OSEP notes a discrepancy between the following statement in the APR "Wisconsin continues to use a benchmark of 3% (inline with National Post-School Outcomes Center guidance for indicator 14) to assess the extent to which survey data reflect the demographics of the state; namely, that parents who responded to the survey have students of diverse racial/ethnic backgrounds, disability reporting categories, and regions." and the following statement in the Indicator 8 Methodology attachment "Examining the IPF process through FFY 2021 data, 27 iterations were used to calculate the final weights that result in statewide demographically representative data within the specified threshold of +/-2%." OSEP is unclear what metric was used to determine if the data were representative.</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or identify steps taken to reduce any identified bias to promote response from parents of children receiving special education services in the State,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Default="002B7490" w:rsidP="001F692C">
      <w:pPr>
        <w:rPr>
          <w:rFonts w:cs="Arial"/>
          <w:color w:val="000000" w:themeColor="text1"/>
          <w:szCs w:val="16"/>
        </w:rPr>
      </w:pPr>
      <w:r w:rsidRPr="00781112">
        <w:rPr>
          <w:rFonts w:cs="Arial"/>
          <w:color w:val="000000" w:themeColor="text1"/>
          <w:szCs w:val="16"/>
        </w:rPr>
        <w:t xml:space="preserve">The State revised the baseline for this indicator, using data from FFY 2021; however, OSEP cannot accept the baseline because the State did not provide a rationale for the change as required by the Measurement Table. In the FFY 2022 SPP/APR, the State must provide the rationale for the baseline revision.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the FFY 2022 SPP/APR, the State must report the metric used to determine representativeness, as required by the Measurement Table. Additionally, the State must analyze the response rate to identify potential nonresponse bias and identify steps taken to reduce any identified bias.</w:t>
      </w:r>
    </w:p>
    <w:p w14:paraId="2D035736" w14:textId="77777777" w:rsidR="007A6209" w:rsidRDefault="007A6209" w:rsidP="001F692C">
      <w:pPr>
        <w:rPr>
          <w:rFonts w:cs="Arial"/>
          <w:color w:val="000000" w:themeColor="text1"/>
          <w:szCs w:val="16"/>
        </w:rPr>
      </w:pPr>
    </w:p>
    <w:p w14:paraId="45011A2F" w14:textId="259F3934" w:rsidR="007A6209" w:rsidRPr="00781112" w:rsidRDefault="007A6209" w:rsidP="001F692C">
      <w:pPr>
        <w:rPr>
          <w:rFonts w:cs="Arial"/>
          <w:color w:val="000000" w:themeColor="text1"/>
          <w:szCs w:val="16"/>
        </w:rPr>
      </w:pPr>
      <w:r w:rsidRPr="007A6209">
        <w:rPr>
          <w:rFonts w:cs="Arial"/>
          <w:color w:val="000000" w:themeColor="text1"/>
          <w:szCs w:val="16"/>
        </w:rPr>
        <w:t xml:space="preserve">OSEP notes that one or more of the Indicator </w:t>
      </w:r>
      <w:r>
        <w:rPr>
          <w:rFonts w:cs="Arial"/>
          <w:color w:val="000000" w:themeColor="text1"/>
          <w:szCs w:val="16"/>
        </w:rPr>
        <w:t>8</w:t>
      </w:r>
      <w:r w:rsidRPr="007A6209">
        <w:rPr>
          <w:rFonts w:cs="Arial"/>
          <w:color w:val="000000" w:themeColor="text1"/>
          <w:szCs w:val="16"/>
        </w:rPr>
        <w:t xml:space="preserve"> attachment(s) included in the State’s FFY 2021 SPP/APR submission are not in compliance with Section 508 of the Rehabilitation Act of 1973, as amended (Section 508), and will not </w:t>
      </w:r>
      <w:proofErr w:type="gramStart"/>
      <w:r w:rsidRPr="007A6209">
        <w:rPr>
          <w:rFonts w:cs="Arial"/>
          <w:color w:val="000000" w:themeColor="text1"/>
          <w:szCs w:val="16"/>
        </w:rPr>
        <w:t>be posted</w:t>
      </w:r>
      <w:proofErr w:type="gramEnd"/>
      <w:r w:rsidRPr="007A6209">
        <w:rPr>
          <w:rFonts w:cs="Arial"/>
          <w:color w:val="000000" w:themeColor="text1"/>
          <w:szCs w:val="16"/>
        </w:rPr>
        <w:t xml:space="preserve"> on the U.S. Department of Education’s IDEA website. Therefore, the State must make the attachment(s) available to the public as soon as practicable, but no later than 120 days after the date of the determination letter.</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8" w:name="_Toc384383343"/>
      <w:bookmarkStart w:id="4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8"/>
      <w:bookmarkEnd w:id="49"/>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0"/>
      <w:bookmarkEnd w:id="51"/>
    </w:tbl>
    <w:p w14:paraId="38976D3E" w14:textId="77777777" w:rsidR="002D00BA" w:rsidRDefault="002D00BA">
      <w:pPr>
        <w:rPr>
          <w:b/>
          <w:color w:val="000000" w:themeColor="text1"/>
        </w:rPr>
      </w:pPr>
    </w:p>
    <w:p w14:paraId="4A739818" w14:textId="77777777" w:rsidR="002D00BA" w:rsidRDefault="002D00BA">
      <w:pPr>
        <w:spacing w:before="0" w:after="200" w:line="276" w:lineRule="auto"/>
        <w:rPr>
          <w:b/>
          <w:color w:val="000000" w:themeColor="text1"/>
        </w:rPr>
      </w:pPr>
      <w:r>
        <w:rPr>
          <w:b/>
          <w:color w:val="000000" w:themeColor="text1"/>
        </w:rPr>
        <w:br w:type="page"/>
      </w:r>
    </w:p>
    <w:p w14:paraId="77101B89" w14:textId="2446C801"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429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 xml:space="preserve">Calculation of Disproportionate Representation: </w:t>
      </w:r>
      <w:r w:rsidRPr="00781112">
        <w:rPr>
          <w:rFonts w:cs="Arial"/>
          <w:color w:val="000000" w:themeColor="text1"/>
          <w:szCs w:val="16"/>
        </w:rPr>
        <w:br/>
      </w:r>
      <w:r w:rsidRPr="00781112">
        <w:rPr>
          <w:rFonts w:cs="Arial"/>
          <w:color w:val="000000" w:themeColor="text1"/>
          <w:szCs w:val="16"/>
        </w:rPr>
        <w:br/>
        <w:t xml:space="preserve">1) A Risk Ratio or Alternate Risk Ratio of 2.0 or Greater: In calculating the risk ratio for over-representation, the DPI uses the Westat technical assistance guidance for calculating disproportionality based on the Risk Ratio, which is the risk for the racial/ethnic group within any disability category divided by the risk for the comparison group in special education. When the local comparison group does not meet the state's minimum cell and n sizes, the DPI uses the Alternate Risk Ratio for its calculation, as </w:t>
      </w:r>
      <w:proofErr w:type="gramStart"/>
      <w:r w:rsidRPr="00781112">
        <w:rPr>
          <w:rFonts w:cs="Arial"/>
          <w:color w:val="000000" w:themeColor="text1"/>
          <w:szCs w:val="16"/>
        </w:rPr>
        <w:t>is recommended</w:t>
      </w:r>
      <w:proofErr w:type="gramEnd"/>
      <w:r w:rsidRPr="00781112">
        <w:rPr>
          <w:rFonts w:cs="Arial"/>
          <w:color w:val="000000" w:themeColor="text1"/>
          <w:szCs w:val="16"/>
        </w:rPr>
        <w:t xml:space="preserve"> by the Westat technical assistance guidance. This calculation is the local risk for the racial/ethnic group divided by the statewide risk for the comparison group.</w:t>
      </w:r>
      <w:r w:rsidRPr="00781112">
        <w:rPr>
          <w:rFonts w:cs="Arial"/>
          <w:color w:val="000000" w:themeColor="text1"/>
          <w:szCs w:val="16"/>
        </w:rPr>
        <w:br/>
      </w:r>
      <w:r w:rsidRPr="00781112">
        <w:rPr>
          <w:rFonts w:cs="Arial"/>
          <w:color w:val="000000" w:themeColor="text1"/>
          <w:szCs w:val="16"/>
        </w:rPr>
        <w:br/>
        <w:t>2) Cell size: To be identified for over-representation, a racial or ethnic group must have at least ten students with IEPs in a given cell used for risk ratio analysis, and a total enrollment of 30 students in the given racial or ethnic group. A district can be identified when one racial or ethnic group has a total enrollment of 30 students, even if the other racial or ethnic groups in the district have a total enrollment of less than 30 students.</w:t>
      </w:r>
      <w:r w:rsidRPr="00781112">
        <w:rPr>
          <w:rFonts w:cs="Arial"/>
          <w:color w:val="000000" w:themeColor="text1"/>
          <w:szCs w:val="16"/>
        </w:rPr>
        <w:br/>
      </w:r>
      <w:r w:rsidRPr="00781112">
        <w:rPr>
          <w:rFonts w:cs="Arial"/>
          <w:color w:val="000000" w:themeColor="text1"/>
          <w:szCs w:val="16"/>
        </w:rPr>
        <w:br/>
        <w:t>3) Consecutive Years: Acknowledging changing demographics, potential anomalies in data collection, and other factors, the DPI requires districts to meet the above criteria for three consecutive years.</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Once districts are identified based on data for disproportionate representation, district and the DPI review policies, procedures, and practices used in identification to determine whether students are appropriately identified, and that all policies, procedures, and practices are race neutral and in compliance with state special education law and Part B of IDEA 2004, including the requirements of 34 CFR 300.111, 300.201, and 300.301 through 300.311. The districts have either adopted the DPI’s model policies and procedures or have submitted policies and procedures that have </w:t>
      </w:r>
      <w:proofErr w:type="gramStart"/>
      <w:r w:rsidRPr="00781112">
        <w:rPr>
          <w:rFonts w:cs="Arial"/>
          <w:color w:val="000000" w:themeColor="text1"/>
          <w:szCs w:val="16"/>
        </w:rPr>
        <w:t>been reviewed</w:t>
      </w:r>
      <w:proofErr w:type="gramEnd"/>
      <w:r w:rsidRPr="00781112">
        <w:rPr>
          <w:rFonts w:cs="Arial"/>
          <w:color w:val="000000" w:themeColor="text1"/>
          <w:szCs w:val="16"/>
        </w:rPr>
        <w:t xml:space="preserve"> and approved by the DPI. The districts also have either adopted the DPI’s model IEP forms or use forms approved by the DPI. In determining eligibility for special education, the districts use state eligibility criteria. In determining whether a district's disproportionality was a result of inappropriate identification, the DPI also reviews IDEA state complaint decisions, due process decisions, and pupil nondiscrimination appeals. Finally, identified districts conduct a Disproportionality Procedural Compliance Self-Assessment. Districts review a sample of student records, disaggregated by race, and assess compliance items identified by OSEP as related to disproportionality, which </w:t>
      </w:r>
      <w:proofErr w:type="gramStart"/>
      <w:r w:rsidRPr="00781112">
        <w:rPr>
          <w:rFonts w:cs="Arial"/>
          <w:color w:val="000000" w:themeColor="text1"/>
          <w:szCs w:val="16"/>
        </w:rPr>
        <w:t>is verified</w:t>
      </w:r>
      <w:proofErr w:type="gramEnd"/>
      <w:r w:rsidRPr="00781112">
        <w:rPr>
          <w:rFonts w:cs="Arial"/>
          <w:color w:val="000000" w:themeColor="text1"/>
          <w:szCs w:val="16"/>
        </w:rPr>
        <w:t xml:space="preserve"> by the DPI. Through the review described above, the DPI determined that there were zero districts with disproportionate representation of racial and ethnic groups in special education that is the result of inappropriate identification.</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Because this indicator uses multiple years of data, only LEAs active in the 2021-22 school year </w:t>
      </w:r>
      <w:proofErr w:type="gramStart"/>
      <w:r w:rsidRPr="00781112">
        <w:rPr>
          <w:rFonts w:cs="Arial"/>
          <w:color w:val="000000" w:themeColor="text1"/>
          <w:szCs w:val="16"/>
        </w:rPr>
        <w:t>are counted</w:t>
      </w:r>
      <w:proofErr w:type="gramEnd"/>
      <w:r w:rsidRPr="00781112">
        <w:rPr>
          <w:rFonts w:cs="Arial"/>
          <w:color w:val="000000" w:themeColor="text1"/>
          <w:szCs w:val="16"/>
        </w:rPr>
        <w:t xml:space="preserve"> towards the total number of LEAs, aligning with the reported number of LEAs in the introduction of Wisconsin's FFY2021 SPP/APR. The data used for this indicator includes the 2019-20, 2020-21, and 2021-22 school years.</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37B1336" w14:textId="77777777" w:rsidR="002D00BA" w:rsidRPr="00781112" w:rsidRDefault="002D00BA" w:rsidP="00286BDF">
      <w:pPr>
        <w:rPr>
          <w:rFonts w:cs="Arial"/>
          <w:color w:val="000000" w:themeColor="text1"/>
          <w:szCs w:val="16"/>
        </w:rPr>
      </w:pPr>
    </w:p>
    <w:p w14:paraId="307820E6" w14:textId="2418F86F" w:rsidR="00B70FBF" w:rsidRPr="00781112" w:rsidRDefault="009F64D5" w:rsidP="008645AD">
      <w:pPr>
        <w:pStyle w:val="Heading2"/>
      </w:pPr>
      <w:bookmarkStart w:id="58" w:name="_Toc384383349"/>
      <w:bookmarkStart w:id="59"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8"/>
      <w:bookmarkEnd w:id="59"/>
    </w:tbl>
    <w:p w14:paraId="1840A66A" w14:textId="77777777" w:rsidR="00BA687C" w:rsidRDefault="00BA687C" w:rsidP="004369B2">
      <w:pPr>
        <w:rPr>
          <w:color w:val="000000" w:themeColor="text1"/>
        </w:rPr>
      </w:pPr>
    </w:p>
    <w:p w14:paraId="5E5F541D" w14:textId="77777777" w:rsidR="002D00BA" w:rsidRPr="00781112" w:rsidRDefault="002D00BA"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0" w:name="_Hlk20258880"/>
      <w:r w:rsidRPr="00781112">
        <w:rPr>
          <w:rFonts w:cs="Arial"/>
          <w:color w:val="000000" w:themeColor="text1"/>
          <w:szCs w:val="16"/>
        </w:rPr>
        <w:t>YES</w:t>
      </w:r>
    </w:p>
    <w:bookmarkEnd w:id="60"/>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372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Calculation of Disproportionate Representation: </w:t>
      </w:r>
      <w:r w:rsidRPr="00781112">
        <w:rPr>
          <w:rFonts w:cs="Arial"/>
          <w:color w:val="000000" w:themeColor="text1"/>
          <w:szCs w:val="16"/>
        </w:rPr>
        <w:br/>
      </w:r>
      <w:r w:rsidRPr="00781112">
        <w:rPr>
          <w:rFonts w:cs="Arial"/>
          <w:color w:val="000000" w:themeColor="text1"/>
          <w:szCs w:val="16"/>
        </w:rPr>
        <w:br/>
        <w:t xml:space="preserve">1)  A Risk Ratio or Alternate Risk Ratio of 2.0 or Greater: In calculating the risk ratio for over-representation, the DPI uses the Westat technical assistance guidance for calculating disproportionality based on the Risk Ratio, which is the risk for the racial/ethnic group within the disability category divided by the risk for the comparison group in special education. When the local comparison group does not meet the state's minimum cell and n sizes, the DPI uses the Alternate Risk Ratio for its calculation, as </w:t>
      </w:r>
      <w:proofErr w:type="gramStart"/>
      <w:r w:rsidRPr="00781112">
        <w:rPr>
          <w:rFonts w:cs="Arial"/>
          <w:color w:val="000000" w:themeColor="text1"/>
          <w:szCs w:val="16"/>
        </w:rPr>
        <w:t>is recommended</w:t>
      </w:r>
      <w:proofErr w:type="gramEnd"/>
      <w:r w:rsidRPr="00781112">
        <w:rPr>
          <w:rFonts w:cs="Arial"/>
          <w:color w:val="000000" w:themeColor="text1"/>
          <w:szCs w:val="16"/>
        </w:rPr>
        <w:t xml:space="preserve"> by the Westat technical assistance guidance. This calculation is the local risk for the racial/ethnic group divided by the statewide risk for the comparison group.</w:t>
      </w:r>
      <w:r w:rsidRPr="00781112">
        <w:rPr>
          <w:rFonts w:cs="Arial"/>
          <w:color w:val="000000" w:themeColor="text1"/>
          <w:szCs w:val="16"/>
        </w:rPr>
        <w:br/>
      </w:r>
      <w:r w:rsidRPr="00781112">
        <w:rPr>
          <w:rFonts w:cs="Arial"/>
          <w:color w:val="000000" w:themeColor="text1"/>
          <w:szCs w:val="16"/>
        </w:rPr>
        <w:br/>
        <w:t>2)  Cell size: To be identified for over-representation, a racial or ethnic group must have at least ten students with IEPs in a given cell used for risk ratio analysis, and a total enrollment of 30 students in the given racial or ethnic group. A district can be identified when one racial or ethnic group has a total enrollment of 30 students, even if the other racial or ethnic groups in the district have a total enrollment of less than 30 students.</w:t>
      </w:r>
      <w:r w:rsidRPr="00781112">
        <w:rPr>
          <w:rFonts w:cs="Arial"/>
          <w:color w:val="000000" w:themeColor="text1"/>
          <w:szCs w:val="16"/>
        </w:rPr>
        <w:br/>
      </w:r>
      <w:r w:rsidRPr="00781112">
        <w:rPr>
          <w:rFonts w:cs="Arial"/>
          <w:color w:val="000000" w:themeColor="text1"/>
          <w:szCs w:val="16"/>
        </w:rPr>
        <w:br/>
        <w:t>3)  Consecutive Years: Acknowledging changing demographics, potential anomalies in data collection, and other factors, the DPI requires districts to meet the above criteria for three consecutive years.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Once districts are identified based on data for disproportionate representation, district and DPI staff review policies, procedures, and practices used in identification to determine whether students are appropriately identified, and that all policies, procedures, and practices are race neutral and in compliance with state special education law and Part B of IDEA 2004, including the requirements of 34 CFR 300.111, 300.201, and 300.301 through 300.311. The districts have either adopted the DPI’s model policies and procedures or have submitted policies and procedures that have </w:t>
      </w:r>
      <w:proofErr w:type="gramStart"/>
      <w:r w:rsidRPr="00781112">
        <w:rPr>
          <w:rFonts w:cs="Arial"/>
          <w:color w:val="000000" w:themeColor="text1"/>
          <w:szCs w:val="16"/>
        </w:rPr>
        <w:t>been reviewed</w:t>
      </w:r>
      <w:proofErr w:type="gramEnd"/>
      <w:r w:rsidRPr="00781112">
        <w:rPr>
          <w:rFonts w:cs="Arial"/>
          <w:color w:val="000000" w:themeColor="text1"/>
          <w:szCs w:val="16"/>
        </w:rPr>
        <w:t xml:space="preserve"> and approved by the DPI. The districts also have either adopted the DPI’s model IEP forms or use forms approved by the DPI. In determining eligibility for special education, the districts use state eligibility criteria. In determining whether a district's disproportionality was a result of inappropriate identification, the DPI also reviews IDEA state complaint decisions, due process decisions, and pupil nondiscrimination appeals. Finally, identified districts conduct a Disproportionality Procedural Compliance Self-Assessment. Districts review a sample of student records, disaggregated by race, and assess compliance items identified by OSEP as related to disproportionality, which </w:t>
      </w:r>
      <w:proofErr w:type="gramStart"/>
      <w:r w:rsidRPr="00781112">
        <w:rPr>
          <w:rFonts w:cs="Arial"/>
          <w:color w:val="000000" w:themeColor="text1"/>
          <w:szCs w:val="16"/>
        </w:rPr>
        <w:t>is verified</w:t>
      </w:r>
      <w:proofErr w:type="gramEnd"/>
      <w:r w:rsidRPr="00781112">
        <w:rPr>
          <w:rFonts w:cs="Arial"/>
          <w:color w:val="000000" w:themeColor="text1"/>
          <w:szCs w:val="16"/>
        </w:rPr>
        <w:t xml:space="preserve"> by the DPI. Through the review described above, the DPI determined that there were zero districts with disproportionate representation of racial and ethnic groups in specific disability categories that is the result of inappropriate identification.</w:t>
      </w:r>
    </w:p>
    <w:p w14:paraId="1FCF1BF3" w14:textId="77777777" w:rsidR="00DF1529" w:rsidRPr="00781112" w:rsidRDefault="00DF1529" w:rsidP="00DF1529">
      <w:pPr>
        <w:rPr>
          <w:rFonts w:cs="Arial"/>
          <w:b/>
          <w:color w:val="000000" w:themeColor="text1"/>
          <w:szCs w:val="16"/>
        </w:rPr>
      </w:pPr>
      <w:bookmarkStart w:id="61" w:name="_Toc381956338"/>
      <w:bookmarkStart w:id="62" w:name="_Toc384383352"/>
      <w:bookmarkStart w:id="63"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Because this indicator uses multiple years of data, only LEAs active in the 2021-22 school year </w:t>
      </w:r>
      <w:proofErr w:type="gramStart"/>
      <w:r w:rsidRPr="00781112">
        <w:rPr>
          <w:rFonts w:cs="Arial"/>
          <w:color w:val="000000" w:themeColor="text1"/>
          <w:szCs w:val="16"/>
        </w:rPr>
        <w:t>are counted</w:t>
      </w:r>
      <w:proofErr w:type="gramEnd"/>
      <w:r w:rsidRPr="00781112">
        <w:rPr>
          <w:rFonts w:cs="Arial"/>
          <w:color w:val="000000" w:themeColor="text1"/>
          <w:szCs w:val="16"/>
        </w:rPr>
        <w:t xml:space="preserve"> towards the total number of LEAs, aligning with the reported number of LEAs in the introduction of Wisconsin's FFY2021 SPP/APR. The data used for this indicator includes the 2019-20, 2020-21, and 2021-22 school years.</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1"/>
      <w:bookmarkEnd w:id="62"/>
      <w:bookmarkEnd w:id="63"/>
    </w:p>
    <w:p w14:paraId="4F5D642D" w14:textId="77777777" w:rsidR="00E119B0" w:rsidRPr="00781112" w:rsidRDefault="00E119B0" w:rsidP="00A018D4">
      <w:pPr>
        <w:rPr>
          <w:color w:val="000000" w:themeColor="text1"/>
          <w:szCs w:val="20"/>
        </w:rPr>
      </w:pPr>
      <w:bookmarkStart w:id="64" w:name="_Toc384383353"/>
      <w:bookmarkStart w:id="6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6" w:name="_Toc384383354"/>
      <w:bookmarkStart w:id="67" w:name="_Toc392159322"/>
      <w:bookmarkEnd w:id="64"/>
      <w:bookmarkEnd w:id="6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88.41%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98.93%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91.28%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97.76%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98.86%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97.36%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6"/>
    <w:bookmarkEnd w:id="67"/>
    <w:p w14:paraId="54158440" w14:textId="77777777" w:rsidR="002D00BA" w:rsidRDefault="002D00BA">
      <w:pPr>
        <w:spacing w:before="0" w:after="200" w:line="276" w:lineRule="auto"/>
        <w:rPr>
          <w:b/>
          <w:color w:val="000000" w:themeColor="text1"/>
        </w:rPr>
      </w:pPr>
      <w:r>
        <w:rPr>
          <w:b/>
          <w:color w:val="000000" w:themeColor="text1"/>
        </w:rPr>
        <w:br w:type="page"/>
      </w:r>
    </w:p>
    <w:p w14:paraId="3FAEB3AB" w14:textId="68A66FA2"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6,121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5,987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97.36%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97.81%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134</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range of days beyond the timeline was 1 to 137. Reasons for the delay include staff unavailable, </w:t>
      </w:r>
      <w:proofErr w:type="gramStart"/>
      <w:r w:rsidRPr="00781112">
        <w:rPr>
          <w:color w:val="000000" w:themeColor="text1"/>
        </w:rPr>
        <w:t>parent</w:t>
      </w:r>
      <w:proofErr w:type="gramEnd"/>
      <w:r w:rsidRPr="00781112">
        <w:rPr>
          <w:color w:val="000000" w:themeColor="text1"/>
        </w:rPr>
        <w:t xml:space="preserve"> unavailable, evaluation data unavailable, and staff errors.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DPI used the Indicator 11: Timely Initial Evaluations web-based application to collect student-level data from districts from the selected cohort. Wisconsin's districts are divided into </w:t>
      </w:r>
      <w:proofErr w:type="gramStart"/>
      <w:r w:rsidRPr="00781112">
        <w:rPr>
          <w:rFonts w:cs="Arial"/>
          <w:color w:val="000000" w:themeColor="text1"/>
          <w:szCs w:val="16"/>
        </w:rPr>
        <w:t>5</w:t>
      </w:r>
      <w:proofErr w:type="gramEnd"/>
      <w:r w:rsidRPr="00781112">
        <w:rPr>
          <w:rFonts w:cs="Arial"/>
          <w:color w:val="000000" w:themeColor="text1"/>
          <w:szCs w:val="16"/>
        </w:rPr>
        <w:t xml:space="preserve"> groups (cohorts), and roughly one-fifth of the districts in the state report the data through the Indicator 11 application each year, with Milwaukee Public Schools, with average daily membership of over 50,000, reporting on an annual basis. The sample of districts within each cycle year are representative of the following statewide characteristics: geographic regions, total enrollment of students with disabilities, racial/ethnic makeup of the students with disabilities subgroup, and distribution of primary disabilities. For relevant demographics, a 95% confidence interval about the median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construct the five-year cohort cycle. See Introduction to the SPP/APR for more information. </w:t>
      </w:r>
    </w:p>
    <w:p w14:paraId="4F981BFF" w14:textId="77777777" w:rsidR="00C86164" w:rsidRPr="00781112" w:rsidRDefault="00C86164" w:rsidP="00C86164">
      <w:pPr>
        <w:rPr>
          <w:rFonts w:cs="Arial"/>
          <w:b/>
          <w:color w:val="000000" w:themeColor="text1"/>
          <w:szCs w:val="16"/>
        </w:rPr>
      </w:pPr>
      <w:bookmarkStart w:id="68" w:name="_Toc381956339"/>
      <w:bookmarkStart w:id="69" w:name="_Toc384383357"/>
      <w:bookmarkStart w:id="70"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OSEP memo 09-02, the DPI verified each district with noncompliance identified in FFY 2020: (1) is correctly implementing the specific regulatory requirements (i.e., achieved 100% compliance) based on a review of updated data subsequently collected through monitoring; and (2) has corrected each individual case of noncompliance, unless the child is no longer within the jurisdiction of the district. To verify current compliance, the DPI staff examined a separate sample of current student records. Districts provided the DPI with a list of students whose initial evaluations were completed during a specified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For each student on the list, districts </w:t>
      </w:r>
      <w:proofErr w:type="gramStart"/>
      <w:r w:rsidRPr="00781112">
        <w:rPr>
          <w:rFonts w:cs="Arial"/>
          <w:color w:val="000000" w:themeColor="text1"/>
          <w:szCs w:val="16"/>
        </w:rPr>
        <w:t>were directed</w:t>
      </w:r>
      <w:proofErr w:type="gramEnd"/>
      <w:r w:rsidRPr="00781112">
        <w:rPr>
          <w:rFonts w:cs="Arial"/>
          <w:color w:val="000000" w:themeColor="text1"/>
          <w:szCs w:val="16"/>
        </w:rPr>
        <w:t xml:space="preserve"> to indicate the date parental consent was received and the date the evaluation was completed. From this list, the DPI selected records for a specific number of students with the most recently completed initial evaluations. The exact number of records to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for review was determined by the DPI and was dependent upon the size of the district and the number of initial evaluations completed by the district. The DPI reviewed the records to determine whether the evaluations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within 60 days of receiving parental consent. If all reviewed evaluations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within the required timeline, the DPI determined the district is currently in compliance. If one or more of the evaluations </w:t>
      </w:r>
      <w:proofErr w:type="gramStart"/>
      <w:r w:rsidRPr="00781112">
        <w:rPr>
          <w:rFonts w:cs="Arial"/>
          <w:color w:val="000000" w:themeColor="text1"/>
          <w:szCs w:val="16"/>
        </w:rPr>
        <w:t>were not completed</w:t>
      </w:r>
      <w:proofErr w:type="gramEnd"/>
      <w:r w:rsidRPr="00781112">
        <w:rPr>
          <w:rFonts w:cs="Arial"/>
          <w:color w:val="000000" w:themeColor="text1"/>
          <w:szCs w:val="16"/>
        </w:rPr>
        <w:t xml:space="preserve"> within 60 days, the DPI reviewed the regulatory requirement with the district, and for students who had been found eligible for special education and related services, directed correction of the error(s) within 20 days. Correction involved submission of evidence that the district had considered compensatory services by holding an IEP team meeting, or, with the agreement of the parent: (1) developed a written document to amend or modify the student’s IEP to reflect compensatory services, or (2) discussed with the student’s parent and documented an agreement that no compensatory services were necessary. The district submitted the corrected record(s) for review by the DPI. In addition, when one or more evaluations were not completed within 60 days, the district then submitted a new separate sample of the next new initial evaluation records generated within a given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after making the previous corrections. These records </w:t>
      </w:r>
      <w:proofErr w:type="gramStart"/>
      <w:r w:rsidRPr="00781112">
        <w:rPr>
          <w:rFonts w:cs="Arial"/>
          <w:color w:val="000000" w:themeColor="text1"/>
          <w:szCs w:val="16"/>
        </w:rPr>
        <w:t>were then reviewed</w:t>
      </w:r>
      <w:proofErr w:type="gramEnd"/>
      <w:r w:rsidRPr="00781112">
        <w:rPr>
          <w:rFonts w:cs="Arial"/>
          <w:color w:val="000000" w:themeColor="text1"/>
          <w:szCs w:val="16"/>
        </w:rPr>
        <w:t xml:space="preserve"> by the DPI to verify that the evaluations had been completed within 60 days. </w:t>
      </w:r>
      <w:proofErr w:type="gramStart"/>
      <w:r w:rsidRPr="00781112">
        <w:rPr>
          <w:rFonts w:cs="Arial"/>
          <w:color w:val="000000" w:themeColor="text1"/>
          <w:szCs w:val="16"/>
        </w:rPr>
        <w:t>In the event that</w:t>
      </w:r>
      <w:proofErr w:type="gramEnd"/>
      <w:r w:rsidRPr="00781112">
        <w:rPr>
          <w:rFonts w:cs="Arial"/>
          <w:color w:val="000000" w:themeColor="text1"/>
          <w:szCs w:val="16"/>
        </w:rPr>
        <w:t xml:space="preserve"> one or more of the records did not meet the regulatory requirement, the process continued until the district corrected each individual case of noncompliance, and the district was found in current compliance. Following these two- pronged verification procedures, which are consistent with OSEP Memo 09-02, the DPI determined all districts found in noncompliance during FFY 2020 have corrected each individual case of noncompliance and are currently in compliance with 34 CFR 300.301(c) and the exceptions at 34 CFR 300.301(d) and 34 CFR 300.309(c).</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To verify each instance of individual student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the DPI reviewed a randomly drawn sample of initial evaluation records of students whose evaluations were not completed within 60 days. The size of the sample of records reviewed was dependent upon the size of the district and the number of noncompliant files. For most districts, the sample included all records. Each record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to verify the evaluation was completed, although late. In instances when students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eligible for special education services, each record was reviewed to ensure </w:t>
      </w:r>
      <w:r w:rsidRPr="00781112">
        <w:rPr>
          <w:rFonts w:cs="Arial"/>
          <w:color w:val="000000" w:themeColor="text1"/>
          <w:szCs w:val="16"/>
        </w:rPr>
        <w:lastRenderedPageBreak/>
        <w:t xml:space="preserve">compensatory services had been considered. All records demonstrated the evaluation(s) had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and compensatory services had been considered. The DPI determined, based on this review of records</w:t>
      </w:r>
      <w:proofErr w:type="gramStart"/>
      <w:r w:rsidRPr="00781112">
        <w:rPr>
          <w:rFonts w:cs="Arial"/>
          <w:color w:val="000000" w:themeColor="text1"/>
          <w:szCs w:val="16"/>
        </w:rPr>
        <w:t>, each</w:t>
      </w:r>
      <w:proofErr w:type="gramEnd"/>
      <w:r w:rsidRPr="00781112">
        <w:rPr>
          <w:rFonts w:cs="Arial"/>
          <w:color w:val="000000" w:themeColor="text1"/>
          <w:szCs w:val="16"/>
        </w:rPr>
        <w:t xml:space="preserve"> individual instance of noncompliance found in FFY 2020 </w:t>
      </w:r>
      <w:proofErr w:type="gramStart"/>
      <w:r w:rsidRPr="00781112">
        <w:rPr>
          <w:rFonts w:cs="Arial"/>
          <w:color w:val="000000" w:themeColor="text1"/>
          <w:szCs w:val="16"/>
        </w:rPr>
        <w:t>was corrected</w:t>
      </w:r>
      <w:proofErr w:type="gramEnd"/>
      <w:r w:rsidRPr="00781112">
        <w:rPr>
          <w:rFonts w:cs="Arial"/>
          <w:color w:val="000000" w:themeColor="text1"/>
          <w:szCs w:val="16"/>
        </w:rPr>
        <w:t>.</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N/A</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8"/>
      <w:bookmarkEnd w:id="69"/>
      <w:bookmarkEnd w:id="7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1" w:name="_Toc384383358"/>
      <w:bookmarkStart w:id="7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3" w:name="_Toc384383359"/>
      <w:bookmarkStart w:id="74" w:name="_Toc392159327"/>
      <w:bookmarkEnd w:id="71"/>
      <w:bookmarkEnd w:id="7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65.60%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3"/>
          <w:bookmarkEnd w:id="7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98.71%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98.53%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98.60%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99.67%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99.08%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3,672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593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2,517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484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2,517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2,550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99.08%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98.71%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Children not accounted for above include </w:t>
      </w:r>
      <w:proofErr w:type="gramStart"/>
      <w:r w:rsidRPr="00781112">
        <w:rPr>
          <w:bCs/>
          <w:color w:val="000000" w:themeColor="text1"/>
        </w:rPr>
        <w:t>33</w:t>
      </w:r>
      <w:proofErr w:type="gramEnd"/>
      <w:r w:rsidRPr="00781112">
        <w:rPr>
          <w:bCs/>
          <w:color w:val="000000" w:themeColor="text1"/>
        </w:rPr>
        <w:t xml:space="preserve"> children found eligible for Part B whose IEPs were implemented after their third birthday. The range of days for late implementation of the IEP was from 1 day to 139 days. Reasons for the delays include staff not available, scheduling difficulties, and errors by the LEA.</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5" w:name="_Hlk20318414"/>
      <w:bookmarkEnd w:id="7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Preschool Transition Application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by districts to electronically access referrals from the Part C program as </w:t>
      </w:r>
      <w:proofErr w:type="gramStart"/>
      <w:r w:rsidRPr="00781112">
        <w:rPr>
          <w:rFonts w:cs="Arial"/>
          <w:color w:val="000000" w:themeColor="text1"/>
          <w:szCs w:val="16"/>
        </w:rPr>
        <w:t>well</w:t>
      </w:r>
      <w:proofErr w:type="gramEnd"/>
      <w:r w:rsidRPr="00781112">
        <w:rPr>
          <w:rFonts w:cs="Arial"/>
          <w:color w:val="000000" w:themeColor="text1"/>
          <w:szCs w:val="16"/>
        </w:rPr>
        <w:t xml:space="preserve"> complete Indicator 12 reporting. In developing this application, the </w:t>
      </w:r>
      <w:proofErr w:type="gramStart"/>
      <w:r w:rsidRPr="00781112">
        <w:rPr>
          <w:rFonts w:cs="Arial"/>
          <w:color w:val="000000" w:themeColor="text1"/>
          <w:szCs w:val="16"/>
        </w:rPr>
        <w:t>DPI</w:t>
      </w:r>
      <w:proofErr w:type="gramEnd"/>
      <w:r w:rsidRPr="00781112">
        <w:rPr>
          <w:rFonts w:cs="Arial"/>
          <w:color w:val="000000" w:themeColor="text1"/>
          <w:szCs w:val="16"/>
        </w:rPr>
        <w:t xml:space="preserve"> and the Wisconsin Department of Health Services (WDHS), the Part C lead agency, worked collaboratively to develop a system for sharing referrals from Part C with the DPI. Referrals received from Part C </w:t>
      </w:r>
      <w:proofErr w:type="gramStart"/>
      <w:r w:rsidRPr="00781112">
        <w:rPr>
          <w:rFonts w:cs="Arial"/>
          <w:color w:val="000000" w:themeColor="text1"/>
          <w:szCs w:val="16"/>
        </w:rPr>
        <w:t>are loaded</w:t>
      </w:r>
      <w:proofErr w:type="gramEnd"/>
      <w:r w:rsidRPr="00781112">
        <w:rPr>
          <w:rFonts w:cs="Arial"/>
          <w:color w:val="000000" w:themeColor="text1"/>
          <w:szCs w:val="16"/>
        </w:rPr>
        <w:t xml:space="preserve"> by the DPI into the Preschool Transition Application three times daily at which time staff identified by the district receive an email notifying them of receipt of a referral. Using the Preschool Transition Application,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complete the Indicator 12 reporting for each referral received which promotes data accuracy and allows for monitoring of progress on Indicator 12 by the district and the DPI.</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OSEP memo 09-02, the DPI verified each district with noncompliance identified in FFY 2020: (1) is correctly implementing the specific regulatory requirements (i.e., achieved 100% compliance) based on a quarterly review of current year district records; and (2) has corrected each individual case of noncompliance by ensuring that eligibility was determined, and if eligible, an IEP was developed. To verify current compliance, the DPI examined all current referrals for each district with noncompliance. The DPI reviewed the records to determine whether the evaluations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by the student's third birthday, and if eligible, an IEP was developed and implemented by the student's third birthday. If all reviewed evaluations and IEPs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and implemented by the student's third birthday within the quarterly review, the DPI determined that the district is currently in compliance. Following this verification procedure, which is consistent with OSEP Memo 09-02, the DPI determined all districts found in noncompliance during FFY 2020 have corrected each individual case of noncompliance and are currently in compliance with 34 CFR 300.124.</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To verify each instance of individual student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the DPI reviewed submitted data for each student record to determine that the evaluation was completed, and if eligible, that an IEP was developed and implemented for the child (although late). The DPI reviewed all records with noncompliance to ensure correction Consistent with OSEP memo 09-02, DPI verified each district with noncompliance identified in FFY 2019: (1) is correctly implementing the specific regulatory requirements (i.e., achieved 100% compliance) based on a review of updated data subsequently collected through a review of district referrals, evaluations, and IEPs; and (2) has corrected each individual case of noncompliance by ensuring that eligibility was determined, and if eligible, an IEP was developed.</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lastRenderedPageBreak/>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N/A</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6" w:name="_Toc384383363"/>
      <w:bookmarkStart w:id="7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8" w:name="_Toc384383364"/>
      <w:bookmarkStart w:id="79" w:name="_Toc392159332"/>
      <w:bookmarkEnd w:id="76"/>
      <w:bookmarkEnd w:id="7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71.21%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99.89%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8"/>
    <w:bookmarkEnd w:id="79"/>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26,157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26,184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DPI utilizes an online Postsecondary Transition Plan (PTP) application. The PTP application enables the DPI to efficiently collect Indicator 13 data and help ensure each student’s IEP </w:t>
      </w:r>
      <w:proofErr w:type="gramStart"/>
      <w:r w:rsidRPr="00781112">
        <w:rPr>
          <w:rFonts w:cs="Arial"/>
          <w:color w:val="000000" w:themeColor="text1"/>
          <w:szCs w:val="16"/>
        </w:rPr>
        <w:t>is in compliance with</w:t>
      </w:r>
      <w:proofErr w:type="gramEnd"/>
      <w:r w:rsidRPr="00781112">
        <w:rPr>
          <w:rFonts w:cs="Arial"/>
          <w:color w:val="000000" w:themeColor="text1"/>
          <w:szCs w:val="16"/>
        </w:rPr>
        <w:t xml:space="preserve"> Indicator 13 requirements. The PTP application contains electronic edit checks designed to prevent IEP documentation errors commonly resulting in noncompliance, while enhancing the discussion about transition and allowing the flexibility needed for student individualization in postsecondary transition planning. All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use the PTP application when developing postsecondary transition plans for students with disabilities aged 16 years and above.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data is collected through the online application on an ongoing basis.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The State did not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because it is not required to do so. FFY2020-FFY2025 Measurement Table for Part B Indicators states, "If a State’s policies and procedures provide that public agencies must meet these requirements at an age younger than 16, the State may, but is not required to, choose to include youth beginning at that younger age in its data for this indicator."</w:t>
      </w:r>
    </w:p>
    <w:p w14:paraId="735DB55A" w14:textId="18C77FF1" w:rsidR="00644AC8" w:rsidRPr="00781112" w:rsidRDefault="00644AC8" w:rsidP="005F442C">
      <w:pPr>
        <w:rPr>
          <w:rFonts w:cs="Arial"/>
          <w:b/>
          <w:color w:val="000000" w:themeColor="text1"/>
          <w:szCs w:val="16"/>
        </w:rPr>
      </w:pPr>
      <w:bookmarkStart w:id="80"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Verification is consistent with the two-pronged approach established by OSEP memo 09-02. To verify current compliance, the DPI examined a separate sample of current student IEP records created after training and technical assistance of staff occurred. LEAs provided the DPI with a list of students with IEPs age 16 years old or older. From this list, the DPI selected a sample of IEPs of students with IEP meeting dates during the relevant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and directed LEAs to submit the IEPs to DPI for review. The exact number of IEPs to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for review was dependent upon the size of the district and the number of IEPs developed and revised by the district. The DPI reviewed the IEPs to determine whether the Indicator 13 transition regulatory requirements had </w:t>
      </w:r>
      <w:proofErr w:type="gramStart"/>
      <w:r w:rsidRPr="00781112">
        <w:rPr>
          <w:rFonts w:cs="Arial"/>
          <w:color w:val="000000" w:themeColor="text1"/>
          <w:szCs w:val="16"/>
        </w:rPr>
        <w:t>been met</w:t>
      </w:r>
      <w:proofErr w:type="gramEnd"/>
      <w:r w:rsidRPr="00781112">
        <w:rPr>
          <w:rFonts w:cs="Arial"/>
          <w:color w:val="000000" w:themeColor="text1"/>
          <w:szCs w:val="16"/>
        </w:rPr>
        <w:t xml:space="preserve">. If all reviewed IEPs met the transition regulatory requirements, the DPI determined the district currently in compliance. If one or more of the IEPs did not meet one or more of the transition regulatory requirements, The DPI reviewed the regulatory requirement(s) with the district and directed correction of the error(s) within 20 days. The district submitted the corrected IEP(s) for review. The DPI reviewed the IEP(s) to verify the district has corrected each individual case of noncompliance. The district then submitted a new, separate sample of the next new IEPs generated within a given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after making the previous corrections. These records </w:t>
      </w:r>
      <w:proofErr w:type="gramStart"/>
      <w:r w:rsidRPr="00781112">
        <w:rPr>
          <w:rFonts w:cs="Arial"/>
          <w:color w:val="000000" w:themeColor="text1"/>
          <w:szCs w:val="16"/>
        </w:rPr>
        <w:t>were then reviewed</w:t>
      </w:r>
      <w:proofErr w:type="gramEnd"/>
      <w:r w:rsidRPr="00781112">
        <w:rPr>
          <w:rFonts w:cs="Arial"/>
          <w:color w:val="000000" w:themeColor="text1"/>
          <w:szCs w:val="16"/>
        </w:rPr>
        <w:t xml:space="preserve"> by the DPI to verify that the transition regulatory requirements were currently in compliance. </w:t>
      </w:r>
      <w:proofErr w:type="gramStart"/>
      <w:r w:rsidRPr="00781112">
        <w:rPr>
          <w:rFonts w:cs="Arial"/>
          <w:color w:val="000000" w:themeColor="text1"/>
          <w:szCs w:val="16"/>
        </w:rPr>
        <w:t>In the event that</w:t>
      </w:r>
      <w:proofErr w:type="gramEnd"/>
      <w:r w:rsidRPr="00781112">
        <w:rPr>
          <w:rFonts w:cs="Arial"/>
          <w:color w:val="000000" w:themeColor="text1"/>
          <w:szCs w:val="16"/>
        </w:rPr>
        <w:t xml:space="preserve"> one or more of the IEPs did not meet one or more of the transition regulatory requirements, the process continued until the district corrected each individual case of noncompliance, unless the child was no longer within the jurisdiction of the district, and the district was found in current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To verify each individual case of noncompliance had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WDPI staff reviewed a random sample of IEPs of students who were in the district’s sample and whose IEPs were not compliant with Indicator 13 regulatory requirements. The size of the sample of IEPs reviewed was dependent upon the size of the district, the number of noncompliant files, and whether the students were still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district. Each IEP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to verify it was compliant with the transition regulatory requirements. If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selected IEPs met the regulatory requirements, WDPI determined each individual case of noncompliance had been corrected. If one or more of the selected IEPs did not meet one or more of the regulatory requirements, WDPI staff reviewed the regulatory requirement(s) with the district, directed the district to correct the IEP(s) within 20 days and submit the corrected IEP(s) to WDPI for review. WDPI determined, based on this review of IEPs, each individual case of noncompliance identified in FFY 2020 has </w:t>
      </w:r>
      <w:proofErr w:type="gramStart"/>
      <w:r w:rsidRPr="00781112">
        <w:rPr>
          <w:rFonts w:cs="Arial"/>
          <w:color w:val="000000" w:themeColor="text1"/>
          <w:szCs w:val="16"/>
        </w:rPr>
        <w:t>been corrected</w:t>
      </w:r>
      <w:proofErr w:type="gramEnd"/>
      <w:r w:rsidRPr="00781112">
        <w:rPr>
          <w:rFonts w:cs="Arial"/>
          <w:color w:val="000000" w:themeColor="text1"/>
          <w:szCs w:val="16"/>
        </w:rPr>
        <w:t>.</w:t>
      </w:r>
      <w:r w:rsidRPr="00781112">
        <w:rPr>
          <w:rFonts w:cs="Arial"/>
          <w:color w:val="000000" w:themeColor="text1"/>
          <w:szCs w:val="16"/>
        </w:rPr>
        <w:br/>
      </w:r>
      <w:r w:rsidRPr="00781112">
        <w:rPr>
          <w:rFonts w:cs="Arial"/>
          <w:color w:val="000000" w:themeColor="text1"/>
          <w:szCs w:val="16"/>
        </w:rPr>
        <w:br/>
        <w:t xml:space="preserve">To verify current compliance, WDPI staff examined a separate sample of current student IEP records created after training and technical assistance of staff occurred. LEAs provided WDPI with a list of students with IEPs age 16 years old or older. From this list, WDPI selected a sample of IEPs of students with IEP meeting dates during the relevant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and directed LEAs to submit the IEPs to WDPI for review. The exact number of IEPs to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for review was dependent upon the size of the district and the number of IEPs developed and revised by the district. WDPI staff reviewed the IEPs to determine whether the Indicator 13 transition regulatory requirements had </w:t>
      </w:r>
      <w:proofErr w:type="gramStart"/>
      <w:r w:rsidRPr="00781112">
        <w:rPr>
          <w:rFonts w:cs="Arial"/>
          <w:color w:val="000000" w:themeColor="text1"/>
          <w:szCs w:val="16"/>
        </w:rPr>
        <w:t>been met</w:t>
      </w:r>
      <w:proofErr w:type="gramEnd"/>
      <w:r w:rsidRPr="00781112">
        <w:rPr>
          <w:rFonts w:cs="Arial"/>
          <w:color w:val="000000" w:themeColor="text1"/>
          <w:szCs w:val="16"/>
        </w:rPr>
        <w:t xml:space="preserve">. If all reviewed IEPs met the transition regulatory requirements, WDPI determined the district currently in compliance. If one or more of the IEPs did not meet one or more of the transition regulatory requirements, WDPI staff reviewed the regulatory requirement(s) with the district and directed correction of the error(s) within 20 days. The district submitted the corrected IEP(s) for review. WDPI staff reviewed the IEP(s) to verify the district has corrected each individual case of noncompliance. The district then submitted a new, separate sample of the next new IEPs generated within a given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after making the previous corrections. These records </w:t>
      </w:r>
      <w:proofErr w:type="gramStart"/>
      <w:r w:rsidRPr="00781112">
        <w:rPr>
          <w:rFonts w:cs="Arial"/>
          <w:color w:val="000000" w:themeColor="text1"/>
          <w:szCs w:val="16"/>
        </w:rPr>
        <w:t>were then reviewed</w:t>
      </w:r>
      <w:proofErr w:type="gramEnd"/>
      <w:r w:rsidRPr="00781112">
        <w:rPr>
          <w:rFonts w:cs="Arial"/>
          <w:color w:val="000000" w:themeColor="text1"/>
          <w:szCs w:val="16"/>
        </w:rPr>
        <w:t xml:space="preserve"> by WDPI staff to verify that the transition regulatory requirements were currently in compliance. </w:t>
      </w:r>
      <w:proofErr w:type="gramStart"/>
      <w:r w:rsidRPr="00781112">
        <w:rPr>
          <w:rFonts w:cs="Arial"/>
          <w:color w:val="000000" w:themeColor="text1"/>
          <w:szCs w:val="16"/>
        </w:rPr>
        <w:t>In the event that</w:t>
      </w:r>
      <w:proofErr w:type="gramEnd"/>
      <w:r w:rsidRPr="00781112">
        <w:rPr>
          <w:rFonts w:cs="Arial"/>
          <w:color w:val="000000" w:themeColor="text1"/>
          <w:szCs w:val="16"/>
        </w:rPr>
        <w:t xml:space="preserve"> one or more of the IEPs did not meet one or more of the transition regulatory requirements, the process continued until the district corrected each individual case of noncompliance, unless the child was no longer within the jurisdiction of the district, and the district was found in current compliance. WDPI determined, based on this review of IEPs, each LEA with identified  noncompliance FFY 2020 was in current compliance.</w:t>
      </w:r>
    </w:p>
    <w:p w14:paraId="06DDE5C1" w14:textId="77777777" w:rsidR="002D00BA" w:rsidRPr="00781112" w:rsidRDefault="002D00BA" w:rsidP="004369B2">
      <w:pPr>
        <w:rPr>
          <w:color w:val="000000" w:themeColor="text1"/>
        </w:rPr>
      </w:pPr>
    </w:p>
    <w:p w14:paraId="37CA06AB" w14:textId="77777777" w:rsidR="002D00BA" w:rsidRDefault="002D00BA">
      <w:pPr>
        <w:spacing w:before="0" w:after="200" w:line="276" w:lineRule="auto"/>
        <w:rPr>
          <w:b/>
          <w:color w:val="000000" w:themeColor="text1"/>
        </w:rPr>
      </w:pPr>
      <w:r>
        <w:rPr>
          <w:b/>
          <w:color w:val="000000" w:themeColor="text1"/>
        </w:rPr>
        <w:br w:type="page"/>
      </w:r>
    </w:p>
    <w:p w14:paraId="59FD8363" w14:textId="09C3CE32"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N/A</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0"/>
    </w:p>
    <w:p w14:paraId="22761492" w14:textId="77777777" w:rsidR="005C50DB" w:rsidRPr="00781112" w:rsidRDefault="005C50DB" w:rsidP="00A018D4">
      <w:pPr>
        <w:rPr>
          <w:szCs w:val="20"/>
        </w:rPr>
      </w:pPr>
      <w:bookmarkStart w:id="8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2"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2"/>
    <w:p w14:paraId="3FE9961A" w14:textId="1EDBA086" w:rsidR="000301BA" w:rsidRPr="00781112" w:rsidRDefault="00172058" w:rsidP="00123D76">
      <w:pPr>
        <w:pStyle w:val="Heading2"/>
      </w:pPr>
      <w:r w:rsidRPr="00781112">
        <w:t>14 - Indicator Data</w:t>
      </w:r>
    </w:p>
    <w:bookmarkEnd w:id="8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31.30%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31.80%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20.90%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20.88%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22.18%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66.40%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66.22%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71.12%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68.24%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63.48%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66.22%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72.07%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76.90%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76.81%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81.95%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76.56%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76.81%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81.29%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21.20%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21.60%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22.20%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23.00%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23.90%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66.70%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67.20%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67.90%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68.80%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69.80%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77.20%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77.70%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78.40%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79.30%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80.30%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 xml:space="preserve">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w:t>
      </w:r>
      <w:r w:rsidRPr="00781112">
        <w:rPr>
          <w:rFonts w:cs="Arial"/>
          <w:color w:val="000000" w:themeColor="text1"/>
          <w:szCs w:val="16"/>
        </w:rPr>
        <w:lastRenderedPageBreak/>
        <w:t>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3" w:name="_Toc392159337"/>
    </w:p>
    <w:bookmarkEnd w:id="83"/>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1,482</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1,110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74.90%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255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579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1,110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22.18%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21.20%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22.97%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834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1,110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72.07%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75.14%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957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1,110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81.29%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77.20%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86.22%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73.06%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74.90%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Wisconsin continues to enjoy a high survey completion rate due to its Transition Incentive Grant, which allows LEAs to apply for and receive Special Education Transition Incentive Grant funds based on the number of former special education students from the district who responded to the Wisconsin Indicator 14 Post School Outcomes Survey.</w:t>
      </w:r>
      <w:r w:rsidRPr="00B551F2">
        <w:br/>
      </w:r>
      <w:r w:rsidRPr="00B551F2">
        <w:br/>
        <w:t xml:space="preserve">The DPI invests annually discretionary grant funds in the Transition Improvement Grant (https://witig.org). Staff, particularly in Milwaukee, will continue to be responsible for targeted outreach and support to districts with high concentrations of groups that </w:t>
      </w:r>
      <w:proofErr w:type="gramStart"/>
      <w:r w:rsidRPr="00B551F2">
        <w:t>are underrepresented</w:t>
      </w:r>
      <w:proofErr w:type="gramEnd"/>
      <w:r w:rsidRPr="00B551F2">
        <w:t xml:space="preserve">. Every year, staff develop a strategic plan and include targeted strategies to increase the response rate year over year, particularly for those groups that </w:t>
      </w:r>
      <w:proofErr w:type="gramStart"/>
      <w:r w:rsidRPr="00B551F2">
        <w:t>are underrepresented</w:t>
      </w:r>
      <w:proofErr w:type="gramEnd"/>
      <w:r w:rsidRPr="00B551F2">
        <w:t>.</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DPI's response rate for indicator </w:t>
      </w:r>
      <w:proofErr w:type="gramStart"/>
      <w:r w:rsidRPr="00B551F2">
        <w:t>14</w:t>
      </w:r>
      <w:proofErr w:type="gramEnd"/>
      <w:r w:rsidRPr="00B551F2">
        <w:t xml:space="preserve"> is extremely high, with 75% of special education exiters responding to the phone survey. One problem observed despite this high participation rate, however, is the lower response rate in areas of the state with higher population density. This </w:t>
      </w:r>
      <w:proofErr w:type="gramStart"/>
      <w:r w:rsidRPr="00B551F2">
        <w:t>is suspected</w:t>
      </w:r>
      <w:proofErr w:type="gramEnd"/>
      <w:r w:rsidRPr="00B551F2">
        <w:t xml:space="preserve"> to be due to a decrease in family engagement and communication during the COVID-19 pandemic.</w:t>
      </w:r>
      <w:r w:rsidRPr="00B551F2">
        <w:br/>
      </w:r>
      <w:r w:rsidRPr="00B551F2">
        <w:br/>
        <w:t xml:space="preserve">The DPI and its grant staff continue to work with all LEAs in the state to improve their transition improvement strategies, as well as their outreach and communicative capacity with recent exiters. Additionally, incorporating administrative and post-secondary enrollment data may help to address this nonresponse bias, which is a </w:t>
      </w:r>
      <w:proofErr w:type="gramStart"/>
      <w:r w:rsidRPr="00B551F2">
        <w:t>long term</w:t>
      </w:r>
      <w:proofErr w:type="gramEnd"/>
      <w:r w:rsidRPr="00B551F2">
        <w:t xml:space="preserve"> project DPI continues to explore.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DPI consistently examines </w:t>
      </w:r>
      <w:proofErr w:type="gramStart"/>
      <w:r w:rsidRPr="008D51F2">
        <w:t>representativeness</w:t>
      </w:r>
      <w:proofErr w:type="gramEnd"/>
      <w:r w:rsidRPr="008D51F2">
        <w:t xml:space="preserve"> along race and disability reporting categories for its surveys, as well as ad hoc analyses along a variety of other indicators including exit type and geographic area. The response data for indicator </w:t>
      </w:r>
      <w:proofErr w:type="gramStart"/>
      <w:r w:rsidRPr="008D51F2">
        <w:t>14</w:t>
      </w:r>
      <w:proofErr w:type="gramEnd"/>
      <w:r w:rsidRPr="008D51F2">
        <w:t xml:space="preserve"> is representative among students with IEPs across </w:t>
      </w:r>
      <w:r w:rsidRPr="008D51F2">
        <w:lastRenderedPageBreak/>
        <w:t xml:space="preserve">disability reporting category but is unrepresentative among black students due to the aforementioned lower response rate in Wisconsin's urban school districts. The response rate for </w:t>
      </w:r>
      <w:proofErr w:type="gramStart"/>
      <w:r w:rsidRPr="008D51F2">
        <w:t>black</w:t>
      </w:r>
      <w:proofErr w:type="gramEnd"/>
      <w:r w:rsidRPr="008D51F2">
        <w:t xml:space="preserve"> students is still high for surveys--58%--but that is significantly lower than the overall response rate of 75%. Thus, while the response rate among </w:t>
      </w:r>
      <w:proofErr w:type="gramStart"/>
      <w:r w:rsidRPr="008D51F2">
        <w:t>black</w:t>
      </w:r>
      <w:proofErr w:type="gramEnd"/>
      <w:r w:rsidRPr="008D51F2">
        <w:t xml:space="preserve"> students may be lower and unrepresentative using the +/-3% threshold, it is still sufficient to provide statistically reliable data.</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DPI is exploring the possibility of collecting student contact information earlier </w:t>
      </w:r>
      <w:proofErr w:type="gramStart"/>
      <w:r w:rsidRPr="008D51F2">
        <w:rPr>
          <w:b w:val="0"/>
        </w:rPr>
        <w:t>so as to</w:t>
      </w:r>
      <w:proofErr w:type="gramEnd"/>
      <w:r w:rsidRPr="008D51F2">
        <w:rPr>
          <w:b w:val="0"/>
        </w:rPr>
        <w:t xml:space="preserve"> ensure the student can be contacted if they exit earlier than expected. The DPI is also exploring the possibility of incorporating administrative data from external partners (Department of Workforce Development and higher education institutions) to supplement the survey with existing data, thereby increasing data accuracy and completeness.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DPI uses a benchmark of +/- 3% (in-line with National Post-School Outcomes Center guidance for indicator 14) to assess the extent to which survey data reflects the demographics of the state; namely, that parents who responded to the survey have students of diverse racial/ethnic backgrounds and primary disabilities.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The Wisconsin Indicator 14 Survey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as a within-district census so all exiters from participating districts have an opportunity to complete the survey. Wisconsin’s districts are divided into </w:t>
      </w:r>
      <w:proofErr w:type="gramStart"/>
      <w:r w:rsidRPr="00781112">
        <w:rPr>
          <w:rFonts w:cs="Arial"/>
          <w:color w:val="000000" w:themeColor="text1"/>
          <w:szCs w:val="16"/>
        </w:rPr>
        <w:t>5</w:t>
      </w:r>
      <w:proofErr w:type="gramEnd"/>
      <w:r w:rsidRPr="00781112">
        <w:rPr>
          <w:rFonts w:cs="Arial"/>
          <w:color w:val="000000" w:themeColor="text1"/>
          <w:szCs w:val="16"/>
        </w:rPr>
        <w:t xml:space="preserve"> groups (cohorts), and roughly one-fifth of districts in the state are required to participate in the survey each year. One exception is that Milwaukee Public Schools, with average daily enrollment over 50,000, participates in the survey on an annual basis.</w:t>
      </w:r>
      <w:r w:rsidRPr="00781112">
        <w:rPr>
          <w:rFonts w:cs="Arial"/>
          <w:color w:val="000000" w:themeColor="text1"/>
          <w:szCs w:val="16"/>
        </w:rPr>
        <w:br/>
      </w:r>
      <w:r w:rsidRPr="00781112">
        <w:rPr>
          <w:rFonts w:cs="Arial"/>
          <w:color w:val="000000" w:themeColor="text1"/>
          <w:szCs w:val="16"/>
        </w:rPr>
        <w:br/>
        <w:t xml:space="preserve">The cyclical sampling plan ensures the set of participating districts within each year is representative of the following statewide characteristics: geographic regions, total enrollment of students with disabilities, racial/ethnic makeup of the students within the disability subgroups, and distribution of primary disabilities. For relevant demographics, a 95% confidence interval about the median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construct the five-year cohort cycle.</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4" w:name="_Toc382082390"/>
      <w:bookmarkStart w:id="85"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See the responses to "Describe the analysis of the response rate including any nonresponse..." and "Include the State's analyses of the extent to which the demographics..." for this information.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did not describe strategies that will be implemented which are expected to increase the response rate year over year, particularly for those groups that are underrepresented, as required by the Measurement Table</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The State reported it uses sampling to collect data under this indicator. However, the sampling plan submitted with its FFY 2021 SPP/APR only addressed the State's sampling methodology for Indicator </w:t>
      </w:r>
      <w:proofErr w:type="gramStart"/>
      <w:r w:rsidRPr="00781112">
        <w:rPr>
          <w:rFonts w:cs="Arial"/>
          <w:color w:val="000000" w:themeColor="text1"/>
          <w:szCs w:val="16"/>
        </w:rPr>
        <w:t>8, and</w:t>
      </w:r>
      <w:proofErr w:type="gramEnd"/>
      <w:r w:rsidRPr="00781112">
        <w:rPr>
          <w:rFonts w:cs="Arial"/>
          <w:color w:val="000000" w:themeColor="text1"/>
          <w:szCs w:val="16"/>
        </w:rPr>
        <w:t xml:space="preserve"> did not include the sampling methodology for Indicator 14, as required by the Measurement Table.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2022 SPP/APR, the State must describe strategies which are expected to increase the response rate for those groups that are underrepresented.</w:t>
      </w:r>
      <w:r w:rsidRPr="00781112">
        <w:rPr>
          <w:rFonts w:cs="Arial"/>
          <w:color w:val="000000" w:themeColor="text1"/>
          <w:szCs w:val="16"/>
        </w:rPr>
        <w:br/>
      </w:r>
      <w:r w:rsidRPr="00781112">
        <w:rPr>
          <w:rFonts w:cs="Arial"/>
          <w:color w:val="000000" w:themeColor="text1"/>
          <w:szCs w:val="16"/>
        </w:rPr>
        <w:b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 xml:space="preserve">The State must submit by September 1, 2023, its revised sampling plan that the State plans to use for its FFY 2022 – FFY2025 data collections for this indicator.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4"/>
      <w:bookmarkEnd w:id="85"/>
    </w:p>
    <w:p w14:paraId="7EA31497" w14:textId="77777777" w:rsidR="005B0B58" w:rsidRPr="00781112" w:rsidRDefault="005B0B58" w:rsidP="00A018D4">
      <w:pPr>
        <w:rPr>
          <w:color w:val="000000" w:themeColor="text1"/>
          <w:szCs w:val="20"/>
        </w:rPr>
      </w:pPr>
      <w:bookmarkStart w:id="86" w:name="_Toc381786822"/>
      <w:bookmarkStart w:id="87" w:name="_Toc382731911"/>
      <w:bookmarkStart w:id="88" w:name="_Toc382731912"/>
      <w:bookmarkStart w:id="89" w:name="_Toc392159340"/>
      <w:bookmarkEnd w:id="86"/>
      <w:bookmarkEnd w:id="8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8"/>
    <w:bookmarkEnd w:id="8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90" w:name="_Toc382731913"/>
      <w:bookmarkStart w:id="91"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 xml:space="preserve">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w:t>
      </w:r>
      <w:r w:rsidRPr="00781112">
        <w:rPr>
          <w:rFonts w:cs="Arial"/>
          <w:color w:val="000000" w:themeColor="text1"/>
          <w:szCs w:val="16"/>
        </w:rPr>
        <w:lastRenderedPageBreak/>
        <w:t>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43B1695A" w14:textId="2970A905" w:rsidR="000A2C83" w:rsidRPr="00781112" w:rsidRDefault="000A2C83" w:rsidP="000A2C83">
      <w:pPr>
        <w:rPr>
          <w:rFonts w:cs="Arial"/>
          <w:color w:val="000000" w:themeColor="text1"/>
          <w:szCs w:val="16"/>
        </w:rPr>
      </w:pPr>
    </w:p>
    <w:bookmarkEnd w:id="90"/>
    <w:bookmarkEnd w:id="9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41.18%</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42.00%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42.00%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42.00%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42.00%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42.00%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42.00%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lastRenderedPageBreak/>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2" w:name="_Toc382731916"/>
      <w:bookmarkStart w:id="9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2"/>
    <w:bookmarkEnd w:id="9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80</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CURRENT REPORTING PERIOD:</w:t>
      </w:r>
      <w:r w:rsidRPr="00781112">
        <w:rPr>
          <w:rFonts w:cs="Arial"/>
          <w:color w:val="000000" w:themeColor="text1"/>
          <w:szCs w:val="16"/>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rFonts w:cs="Arial"/>
          <w:color w:val="000000" w:themeColor="text1"/>
          <w:szCs w:val="16"/>
        </w:rPr>
        <w:t>Council</w:t>
      </w:r>
      <w:proofErr w:type="gramEnd"/>
      <w:r w:rsidRPr="00781112">
        <w:rPr>
          <w:rFonts w:cs="Arial"/>
          <w:color w:val="000000" w:themeColor="text1"/>
          <w:szCs w:val="16"/>
        </w:rPr>
        <w:t xml:space="preserve"> includes the representation required in the reauthorization of the Individuals with Disabilities Education Act of 2004. </w:t>
      </w:r>
      <w:r w:rsidRPr="00781112">
        <w:rPr>
          <w:rFonts w:cs="Arial"/>
          <w:color w:val="000000" w:themeColor="text1"/>
          <w:szCs w:val="16"/>
        </w:rPr>
        <w:br/>
      </w:r>
      <w:r w:rsidRPr="00781112">
        <w:rPr>
          <w:rFonts w:cs="Arial"/>
          <w:color w:val="000000" w:themeColor="text1"/>
          <w:szCs w:val="16"/>
        </w:rPr>
        <w:br/>
        <w:t>SOLICITING BROAD STAKEHOLDER INPUT ON THE STATE'S TARGETS IN THE SPP/APR:</w:t>
      </w:r>
      <w:r w:rsidRPr="00781112">
        <w:rPr>
          <w:rFonts w:cs="Arial"/>
          <w:color w:val="000000" w:themeColor="text1"/>
          <w:szCs w:val="16"/>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Universal strategy: Open invitation to input sessions</w:t>
      </w:r>
      <w:r w:rsidRPr="00781112">
        <w:rPr>
          <w:rFonts w:cs="Arial"/>
          <w:color w:val="000000" w:themeColor="text1"/>
          <w:szCs w:val="16"/>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Universal strategy: Open invitation to submit asynchronous, web-based input</w:t>
      </w:r>
      <w:r w:rsidRPr="00781112">
        <w:rPr>
          <w:rFonts w:cs="Arial"/>
          <w:color w:val="000000" w:themeColor="text1"/>
          <w:szCs w:val="16"/>
        </w:rPr>
        <w:br/>
        <w:t xml:space="preserve">The DPI developed a series of webpages to solicit input on the State’s targets in the SPP/APR and any subsequent revisions that the State has made to </w:t>
      </w:r>
      <w:r w:rsidRPr="00781112">
        <w:rPr>
          <w:rFonts w:cs="Arial"/>
          <w:color w:val="000000" w:themeColor="text1"/>
          <w:szCs w:val="16"/>
        </w:rPr>
        <w:lastRenderedPageBreak/>
        <w:t>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rFonts w:cs="Arial"/>
          <w:color w:val="000000" w:themeColor="text1"/>
          <w:szCs w:val="16"/>
        </w:rPr>
        <w:br/>
      </w:r>
      <w:r w:rsidRPr="00781112">
        <w:rPr>
          <w:rFonts w:cs="Arial"/>
          <w:color w:val="000000" w:themeColor="text1"/>
          <w:szCs w:val="16"/>
        </w:rPr>
        <w:br/>
        <w:t xml:space="preserve">The DPI distributes a weekly news update related to special education and pupil services; this update serves as the official notification to directors of special education and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more than 1,000 unique contacts. Beginning in May 2021, the DPI </w:t>
      </w:r>
      <w:proofErr w:type="gramStart"/>
      <w:r w:rsidRPr="00781112">
        <w:rPr>
          <w:rFonts w:cs="Arial"/>
          <w:color w:val="000000" w:themeColor="text1"/>
          <w:szCs w:val="16"/>
        </w:rPr>
        <w:t>included regularly</w:t>
      </w:r>
      <w:proofErr w:type="gramEnd"/>
      <w:r w:rsidRPr="00781112">
        <w:rPr>
          <w:rFonts w:cs="Arial"/>
          <w:color w:val="000000" w:themeColor="text1"/>
          <w:szCs w:val="16"/>
        </w:rPr>
        <w:t xml:space="preserve"> an open invitation to submit input asynchronously through the web. These news updates </w:t>
      </w:r>
      <w:proofErr w:type="gramStart"/>
      <w:r w:rsidRPr="00781112">
        <w:rPr>
          <w:rFonts w:cs="Arial"/>
          <w:color w:val="000000" w:themeColor="text1"/>
          <w:szCs w:val="16"/>
        </w:rPr>
        <w:t>are archived</w:t>
      </w:r>
      <w:proofErr w:type="gramEnd"/>
      <w:r w:rsidRPr="00781112">
        <w:rPr>
          <w:rFonts w:cs="Arial"/>
          <w:color w:val="000000" w:themeColor="text1"/>
          <w:szCs w:val="16"/>
        </w:rPr>
        <w:t xml:space="preserve"> online at https://dpi.wi.gov/sped/news. In addition, an invitation to participate was sent out on the CollabSupport listserve, announced at various conferences and stakeholder meetings, and posted online.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Targeted strategy: State Advisory Panel input sessions</w:t>
      </w:r>
      <w:r w:rsidRPr="00781112">
        <w:rPr>
          <w:rFonts w:cs="Arial"/>
          <w:color w:val="000000" w:themeColor="text1"/>
          <w:szCs w:val="16"/>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Targeted strategy: Customized invitations to stakeholders</w:t>
      </w:r>
      <w:r w:rsidRPr="00781112">
        <w:rPr>
          <w:rFonts w:cs="Arial"/>
          <w:color w:val="000000" w:themeColor="text1"/>
          <w:szCs w:val="16"/>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rFonts w:cs="Arial"/>
          <w:color w:val="000000" w:themeColor="text1"/>
          <w:szCs w:val="16"/>
        </w:rPr>
        <w:br/>
      </w:r>
      <w:r w:rsidRPr="00781112">
        <w:rPr>
          <w:rFonts w:cs="Arial"/>
          <w:color w:val="000000" w:themeColor="text1"/>
          <w:szCs w:val="16"/>
        </w:rPr>
        <w:br/>
        <w:t>5. Targeted strategy: Customized surveys of families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Targeted strategy: Contract to review data collected via Indicator 8 parent surveys</w:t>
      </w:r>
      <w:r w:rsidRPr="00781112">
        <w:rPr>
          <w:rFonts w:cs="Arial"/>
          <w:color w:val="000000" w:themeColor="text1"/>
          <w:szCs w:val="16"/>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2012</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75.51%</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80.00%-90.00%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93.98%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93.62%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92.22%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97.33%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95.89%</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94</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95.89%</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87.23%</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Wisconsin Department of Public Instruction (WDPI) State-Identified Measurable Result (SiMR) focuses on early literacy, operationally defined as the percentage of learners with Individualized Education Programs (IEPs) participating in the Implementation Zone (IZ) with a score of “Proficient” or higher on the English Language Arts section of the state Forward exam, Wisconsin’s required statewide assessment. We will calculate scores for learners in Grade 3 and an average of scores across Grades 3-5.</w:t>
      </w:r>
    </w:p>
    <w:p w14:paraId="43CABCA3" w14:textId="77777777" w:rsidR="00AE1972" w:rsidRPr="00781112" w:rsidRDefault="00AE1972" w:rsidP="00AE1972">
      <w:pPr>
        <w:rPr>
          <w:b/>
          <w:bCs/>
        </w:rPr>
      </w:pPr>
      <w:bookmarkStart w:id="94" w:name="_Hlk85195358"/>
      <w:r w:rsidRPr="00781112">
        <w:rPr>
          <w:b/>
          <w:bCs/>
        </w:rPr>
        <w:t>Has the SiMR changed since the last SSIP submission? (yes/no)</w:t>
      </w:r>
    </w:p>
    <w:p w14:paraId="53B392AE" w14:textId="5D60E4A2" w:rsidR="00AE1972" w:rsidRDefault="00AE1972" w:rsidP="00AE1972">
      <w:r w:rsidRPr="00781112">
        <w:t>NO</w:t>
      </w:r>
    </w:p>
    <w:bookmarkEnd w:id="9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population of interest </w:t>
      </w:r>
      <w:proofErr w:type="gramStart"/>
      <w:r w:rsidRPr="00781112">
        <w:rPr>
          <w:color w:val="000000" w:themeColor="text1"/>
        </w:rPr>
        <w:t>is limited</w:t>
      </w:r>
      <w:proofErr w:type="gramEnd"/>
      <w:r w:rsidRPr="00781112">
        <w:rPr>
          <w:color w:val="000000" w:themeColor="text1"/>
        </w:rPr>
        <w:t xml:space="preserve"> to the cohort of learners with IEPs attending school districts participating in the Implementation Zone in four-year-old Kindergarten through Grade 2. These learners will then </w:t>
      </w:r>
      <w:proofErr w:type="gramStart"/>
      <w:r w:rsidRPr="00781112">
        <w:rPr>
          <w:color w:val="000000" w:themeColor="text1"/>
        </w:rPr>
        <w:t>be assessed</w:t>
      </w:r>
      <w:proofErr w:type="gramEnd"/>
      <w:r w:rsidRPr="00781112">
        <w:rPr>
          <w:color w:val="000000" w:themeColor="text1"/>
        </w:rPr>
        <w:t xml:space="preserve"> in Grades 3-5.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The theory of action for this improvement cycle is: If the WDPI provides intensive services to a select group of school districts for the installation of an effective implementation infrastructure to support the use of clearly defined evidence-based practices related to early reading and inclusive communities, then educators will have needed support and skills to increase reading outcomes for all learners and accelerate outcomes for learners with IEPs and learners of color within a framework that can be scaled statewide. Logic models supporting the strategies to achieve the theory of action can </w:t>
      </w:r>
      <w:proofErr w:type="gramStart"/>
      <w:r w:rsidRPr="00781112">
        <w:t>be found</w:t>
      </w:r>
      <w:proofErr w:type="gramEnd"/>
      <w:r w:rsidRPr="00781112">
        <w:t xml:space="preserve"> at the following links: </w:t>
      </w:r>
      <w:r w:rsidRPr="00781112">
        <w:br/>
      </w:r>
      <w:r w:rsidRPr="00781112">
        <w:br/>
        <w:t xml:space="preserve">Implementation Zone - Early Reading </w:t>
      </w:r>
      <w:r w:rsidRPr="00781112">
        <w:br/>
        <w:t xml:space="preserve">https://docs.google.com/document/d/1vd4H2wWPBtS8QiImPmOZGZzG66si2-_FkL2R04hxTVs/edit# </w:t>
      </w:r>
      <w:r w:rsidRPr="00781112">
        <w:br/>
        <w:t xml:space="preserve"> </w:t>
      </w:r>
      <w:r w:rsidRPr="00781112">
        <w:br/>
        <w:t xml:space="preserve">Implementation Zone - Inclusive Learning Communities </w:t>
      </w:r>
      <w:r w:rsidRPr="00781112">
        <w:br/>
        <w:t xml:space="preserve">https://docs.google.com/document/d/15wyhom7SgPjesjQL6m1_5RYxBX1AJSUUXhE7bCVJYNg/edit#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8.70%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13.00%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8.70%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8.70%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10.40%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11.30%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12.20%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13.00%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13.00%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15.60%</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16.90%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18.20%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Number of learners with IEPs scoring Proficient or above</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Number of learners with IEPs taking the WI Forward Exam</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19</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147</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9.70%</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8.70%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12.93%</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30</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216</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10.99%</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13.00%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13.89%</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come from the English Language Arts (ELA) score of the Wisconsin state assessment, the Forward Exam, for learners with IEPs in Grades 3-5.</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data </w:t>
      </w:r>
      <w:proofErr w:type="gramStart"/>
      <w:r w:rsidRPr="00781112">
        <w:rPr>
          <w:color w:val="000000" w:themeColor="text1"/>
        </w:rPr>
        <w:t>are collected</w:t>
      </w:r>
      <w:proofErr w:type="gramEnd"/>
      <w:r w:rsidRPr="00781112">
        <w:rPr>
          <w:color w:val="000000" w:themeColor="text1"/>
        </w:rPr>
        <w:t xml:space="preserve"> through our standard statewide reporting mechanism into the Wisconsin Information System for Education Data Dashboard (WISEdash) at WDPI. The data </w:t>
      </w:r>
      <w:proofErr w:type="gramStart"/>
      <w:r w:rsidRPr="00781112">
        <w:rPr>
          <w:color w:val="000000" w:themeColor="text1"/>
        </w:rPr>
        <w:t>are analyzed</w:t>
      </w:r>
      <w:proofErr w:type="gramEnd"/>
      <w:r w:rsidRPr="00781112">
        <w:rPr>
          <w:color w:val="000000" w:themeColor="text1"/>
        </w:rPr>
        <w:t xml:space="preserve"> using the R statistical analysis application.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DPI collects additional data on fidelity of implementation and changes in adult behavior related to the evidence-based practices described in Section B.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COVID-19 pandemic continues to impact data collection. However, during this reporting period, Wisconsin Local Educational Agencies (LEA) returned to relative normalcy. While the return to school amid the COVID-19 pandemic was safe, efficient, and equitable for </w:t>
      </w:r>
      <w:proofErr w:type="gramStart"/>
      <w:r w:rsidRPr="00781112">
        <w:rPr>
          <w:color w:val="000000" w:themeColor="text1"/>
        </w:rPr>
        <w:t>many</w:t>
      </w:r>
      <w:proofErr w:type="gramEnd"/>
      <w:r w:rsidRPr="00781112">
        <w:rPr>
          <w:color w:val="000000" w:themeColor="text1"/>
        </w:rPr>
        <w:t xml:space="preserve"> districts, it was not without challenges that affected data collecting and reporting. The Wisconsin Statewide Assessment System (WSAS) exams given to learners during the 2021-22 school year saw an increase in participation. Assessments </w:t>
      </w:r>
      <w:proofErr w:type="gramStart"/>
      <w:r w:rsidRPr="00781112">
        <w:rPr>
          <w:color w:val="000000" w:themeColor="text1"/>
        </w:rPr>
        <w:t>were administered</w:t>
      </w:r>
      <w:proofErr w:type="gramEnd"/>
      <w:r w:rsidRPr="00781112">
        <w:rPr>
          <w:color w:val="000000" w:themeColor="text1"/>
        </w:rPr>
        <w:t xml:space="preserve"> to learners in 2022 following standard in-person test taking procedures. Among students in grades 3 through 5, participation in ELA assessments rebounded from 82.9% to 94.6%, approaching but not yet meeting the pre-pandemic rate of 96.2%.DPI anticipates it will take several more years to return to pre-pandemic levels due to the default bias (i.e., the tendency for individuals to continue to adopt behavior in-line with a past decision even after the rationale for that decision no longer applies). DPI continues its outreach efforts as part of its Joint Federal Notification work to increase test participation among all students.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https://docs.google.com/document/d/1CzndzE2tEty6ALgBBUxPJW4o7rkhRVf6AefFPN7F6XA/edit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In 2019-20 the WDPI initiated a shift in our Statewide System of Supports (SSOS) to be more explicit regarding our commitment to equity, more efficient and accountable with our resources, and more effective in our support. The proposed shift built on research related to equity-focused improvement and implementation, reflected long-standing feedback from families, communities, and schools, and pulled together the work of the agency Title I and Special Education Teams to support schools and districts federally identified for improvement under the Every Student Succeeds Act (ESSA) and the Individuals with Disabilities Education Act (IDEA). During the 2020-21 school year, the WDPI began formal installation of the reimagined SSOS infrastructure co-created and resourced by the Special Education and Title I Teams. Within this system, linked teams build capacity to use practice-to-policy feedback loops in Plan-Do-Study-Act (PDSA) cycles designed to provide organizational leaders and policy makers with information about implementation barriers and successes so that a more aligned system can </w:t>
      </w:r>
      <w:proofErr w:type="gramStart"/>
      <w:r w:rsidRPr="00781112">
        <w:rPr>
          <w:color w:val="000000" w:themeColor="text1"/>
        </w:rPr>
        <w:t>be developed</w:t>
      </w:r>
      <w:proofErr w:type="gramEnd"/>
      <w:r w:rsidRPr="00781112">
        <w:rPr>
          <w:color w:val="000000" w:themeColor="text1"/>
        </w:rPr>
        <w:t xml:space="preserve">. Feedback from the practice level (Practice Informed Policy) engages and informs organizational leaders so they can ensure that policy, procedures, and resources, enable innovative practices to occur in classrooms, schools, and districts (Policy Enabled Practice) as intended. Within this system three levels of support provided to LEAs </w:t>
      </w:r>
      <w:proofErr w:type="gramStart"/>
      <w:r w:rsidRPr="00781112">
        <w:rPr>
          <w:color w:val="000000" w:themeColor="text1"/>
        </w:rPr>
        <w:t>were articulated</w:t>
      </w:r>
      <w:proofErr w:type="gramEnd"/>
      <w:r w:rsidRPr="00781112">
        <w:rPr>
          <w:color w:val="000000" w:themeColor="text1"/>
        </w:rPr>
        <w:t xml:space="preserve"> based on the severity and number of identifications under ESSA and IDEA. During this reporting period (January 2022-January 2023) the SSOS levels of support were further refined to reflect universal technical assistance available to all LEAs, implementation and Improvement supports available to LEAs with federal identifications, and the Implementation Zone in which clearly defined practices related to Inclusive Learning Communities (IZ-ILC) and Early Reading (IZ-ER) are supported by the WDPI through a linked team system ensuring aligned decision-making through data analysis and clearly defined communication protocols. The SSOS provides the internal structure necessary to ensure success in joint monitoring, move the supports at each level through the stages of implementation and ensure that supports delivered to and within schools and districts are effective in positively impacting all learners while accelerating positive impact for learners with IEPs and learners of color. A graphic representation of the SSOS can </w:t>
      </w:r>
      <w:proofErr w:type="gramStart"/>
      <w:r w:rsidRPr="00781112">
        <w:rPr>
          <w:color w:val="000000" w:themeColor="text1"/>
        </w:rPr>
        <w:t>be found</w:t>
      </w:r>
      <w:proofErr w:type="gramEnd"/>
      <w:r w:rsidRPr="00781112">
        <w:rPr>
          <w:color w:val="000000" w:themeColor="text1"/>
        </w:rPr>
        <w:t xml:space="preserve"> at the following link:</w:t>
      </w:r>
      <w:r w:rsidRPr="00781112">
        <w:rPr>
          <w:color w:val="000000" w:themeColor="text1"/>
        </w:rPr>
        <w:br/>
      </w:r>
      <w:r w:rsidRPr="00781112">
        <w:rPr>
          <w:color w:val="000000" w:themeColor="text1"/>
        </w:rPr>
        <w:br/>
        <w:t>https://docs.google.com/presentation/d/11CeRKZFBHztN6jZNs7-m-itMtIQBEPI4TMxHO-LUVYw/edit#slide=id.g1b74668bb9b_0_0</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intended outcomes for this reporting period were not achieved due to a period of vacancies, changes in staffing, reconfiguration of leadership structure, requiring additional capacity building and intentional cross-division vision building within WDPI, resulting in a delay in the hiring of project staff and installment of the IZ-early reading project</w:t>
      </w:r>
      <w:proofErr w:type="gramStart"/>
      <w:r w:rsidRPr="00781112">
        <w:rPr>
          <w:color w:val="000000" w:themeColor="text1"/>
        </w:rPr>
        <w:t xml:space="preserve">.  </w:t>
      </w:r>
      <w:proofErr w:type="gramEnd"/>
      <w:r w:rsidRPr="00781112">
        <w:rPr>
          <w:color w:val="000000" w:themeColor="text1"/>
        </w:rPr>
        <w:t xml:space="preserve">Funding also needed to </w:t>
      </w:r>
      <w:proofErr w:type="gramStart"/>
      <w:r w:rsidRPr="00781112">
        <w:rPr>
          <w:color w:val="000000" w:themeColor="text1"/>
        </w:rPr>
        <w:t>be restructured</w:t>
      </w:r>
      <w:proofErr w:type="gramEnd"/>
      <w:r w:rsidRPr="00781112">
        <w:rPr>
          <w:color w:val="000000" w:themeColor="text1"/>
        </w:rPr>
        <w:t xml:space="preserve"> which required some reconfiguration of positions. These alternate outcomes </w:t>
      </w:r>
      <w:proofErr w:type="gramStart"/>
      <w:r w:rsidRPr="00781112">
        <w:rPr>
          <w:color w:val="000000" w:themeColor="text1"/>
        </w:rPr>
        <w:t>were achieved</w:t>
      </w:r>
      <w:proofErr w:type="gramEnd"/>
      <w:r w:rsidRPr="00781112">
        <w:rPr>
          <w:color w:val="000000" w:themeColor="text1"/>
        </w:rPr>
        <w:t xml:space="preserve"> regarding the installation of the implementation zone-early reading and overall SSOS for the current reporting period: </w:t>
      </w:r>
      <w:r w:rsidRPr="00781112">
        <w:rPr>
          <w:color w:val="000000" w:themeColor="text1"/>
        </w:rPr>
        <w:br/>
      </w:r>
      <w:r w:rsidRPr="00781112">
        <w:rPr>
          <w:color w:val="000000" w:themeColor="text1"/>
        </w:rPr>
        <w:br/>
        <w:t xml:space="preserve">Onboarding New Staff– Additional information to support the understanding of the implementation zone-early reading  and overall SSOS was developed and delivered to new staff  members within the WDPI agency leadership. Approval to move forward with the design of the Technical Assistance (TA) and Implementation and Improvement (I&amp;I) components of the system </w:t>
      </w:r>
      <w:proofErr w:type="gramStart"/>
      <w:r w:rsidRPr="00781112">
        <w:rPr>
          <w:color w:val="000000" w:themeColor="text1"/>
        </w:rPr>
        <w:t>is expected</w:t>
      </w:r>
      <w:proofErr w:type="gramEnd"/>
      <w:r w:rsidRPr="00781112">
        <w:rPr>
          <w:color w:val="000000" w:themeColor="text1"/>
        </w:rPr>
        <w:t xml:space="preserve">. Achievement of our SiMR depends on the infrastructure the SSOS will provide for effective implementation and scale-up of our evidence-based practices. </w:t>
      </w:r>
      <w:r w:rsidRPr="00781112">
        <w:rPr>
          <w:color w:val="000000" w:themeColor="text1"/>
        </w:rPr>
        <w:br/>
      </w:r>
      <w:r w:rsidRPr="00781112">
        <w:rPr>
          <w:color w:val="000000" w:themeColor="text1"/>
        </w:rPr>
        <w:br/>
        <w:t xml:space="preserve">Data – Due to a change in funding, an alternate approach to installing a decision support data system </w:t>
      </w:r>
      <w:proofErr w:type="gramStart"/>
      <w:r w:rsidRPr="00781112">
        <w:rPr>
          <w:color w:val="000000" w:themeColor="text1"/>
        </w:rPr>
        <w:t>was developed</w:t>
      </w:r>
      <w:proofErr w:type="gramEnd"/>
      <w:r w:rsidRPr="00781112">
        <w:rPr>
          <w:color w:val="000000" w:themeColor="text1"/>
        </w:rPr>
        <w:t xml:space="preserve">. One of the positions to be hired to support the installation of the IZ-ER evidenced based practice will be revised to support installation of both practices within selected LEAs as well as the development of the data structures needed to: define types and sources of programmatic, fidelity and outcome data to support the IZ strategies, develop routines for expected use of data, define questions asked/answered at each level of the system, extrapolate school and district level considerations to regional/state level, and develop an accessible data warehouse and usable data reports for all teams within the system. This will ensure that progress toward the SiMR </w:t>
      </w:r>
      <w:proofErr w:type="gramStart"/>
      <w:r w:rsidRPr="00781112">
        <w:rPr>
          <w:color w:val="000000" w:themeColor="text1"/>
        </w:rPr>
        <w:t>is monitored</w:t>
      </w:r>
      <w:proofErr w:type="gramEnd"/>
      <w:r w:rsidRPr="00781112">
        <w:rPr>
          <w:color w:val="000000" w:themeColor="text1"/>
        </w:rPr>
        <w:t xml:space="preserve"> and adjusted as needed to achieve the targets. </w:t>
      </w:r>
      <w:r w:rsidRPr="00781112">
        <w:rPr>
          <w:color w:val="000000" w:themeColor="text1"/>
        </w:rPr>
        <w:br/>
      </w:r>
      <w:r w:rsidRPr="00781112">
        <w:rPr>
          <w:color w:val="000000" w:themeColor="text1"/>
        </w:rPr>
        <w:br/>
        <w:t xml:space="preserve">Accountability/Monitoring - A workgroup within the Special Education Team </w:t>
      </w:r>
      <w:proofErr w:type="gramStart"/>
      <w:r w:rsidRPr="00781112">
        <w:rPr>
          <w:color w:val="000000" w:themeColor="text1"/>
        </w:rPr>
        <w:t>was created</w:t>
      </w:r>
      <w:proofErr w:type="gramEnd"/>
      <w:r w:rsidRPr="00781112">
        <w:rPr>
          <w:color w:val="000000" w:themeColor="text1"/>
        </w:rPr>
        <w:t xml:space="preserve"> to support the development of the data structures described above while more permanent structures are developed and </w:t>
      </w:r>
      <w:r w:rsidRPr="00781112">
        <w:rPr>
          <w:color w:val="000000" w:themeColor="text1"/>
        </w:rPr>
        <w:br/>
        <w:t xml:space="preserve">installed. Power BI </w:t>
      </w:r>
      <w:proofErr w:type="gramStart"/>
      <w:r w:rsidRPr="00781112">
        <w:rPr>
          <w:color w:val="000000" w:themeColor="text1"/>
        </w:rPr>
        <w:t>was identified</w:t>
      </w:r>
      <w:proofErr w:type="gramEnd"/>
      <w:r w:rsidRPr="00781112">
        <w:rPr>
          <w:color w:val="000000" w:themeColor="text1"/>
        </w:rPr>
        <w:t xml:space="preserve"> as the platform through which practice and fidelity data will be summarized and made available to teams within the system to engage in rapid cycles of continuous improvement and monitor progress toward intended outcomes. The workgroup is currently co-creating the elements necessary for generating usable data reports for this purpose. Establishing a decision support data system will ensure effective functioning of the SSOS and achievement of the SiMR targets. </w:t>
      </w:r>
      <w:r w:rsidRPr="00781112">
        <w:rPr>
          <w:color w:val="000000" w:themeColor="text1"/>
        </w:rPr>
        <w:br/>
      </w:r>
      <w:r w:rsidRPr="00781112">
        <w:rPr>
          <w:color w:val="000000" w:themeColor="text1"/>
        </w:rPr>
        <w:br/>
        <w:t xml:space="preserve">Professional Development - During this submission period common protocols for meeting agendas, data analysis and use, and communication within and among teams were finalized and are being </w:t>
      </w:r>
      <w:proofErr w:type="gramStart"/>
      <w:r w:rsidRPr="00781112">
        <w:rPr>
          <w:color w:val="000000" w:themeColor="text1"/>
        </w:rPr>
        <w:t>tested</w:t>
      </w:r>
      <w:proofErr w:type="gramEnd"/>
      <w:r w:rsidRPr="00781112">
        <w:rPr>
          <w:color w:val="000000" w:themeColor="text1"/>
        </w:rPr>
        <w:t xml:space="preserve"> for usability by current teams within the system. These common ways of work are critical to sustaining our improvement efforts, achieving our SiMR targets, and then systematically scaling up the practices statewide.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Next steps for the installation of the SSOS include: </w:t>
      </w:r>
      <w:r w:rsidRPr="00781112">
        <w:rPr>
          <w:color w:val="000000" w:themeColor="text1"/>
        </w:rPr>
        <w:br/>
        <w:t>Convening design teams for the Technical Assistance (TA) and Implementation and Improvement (I&amp;I) components of the system. The outcome of this step is an implementation plan for these two components.</w:t>
      </w:r>
      <w:r w:rsidRPr="00781112">
        <w:rPr>
          <w:color w:val="000000" w:themeColor="text1"/>
        </w:rPr>
        <w:br/>
        <w:t>Based on the design identifying a service delivery model and provider for the I&amp;I component of the system.</w:t>
      </w:r>
      <w:r w:rsidRPr="00781112">
        <w:rPr>
          <w:color w:val="000000" w:themeColor="text1"/>
        </w:rPr>
        <w:br/>
        <w:t xml:space="preserve">Creating Power BI data reports that support rapid cycles of continuous improvement with the Implementation Zone component of the SSOS. The outcome of this step is data driven decision making for practice improvements based on these reports. </w:t>
      </w:r>
      <w:r w:rsidRPr="00781112">
        <w:rPr>
          <w:color w:val="000000" w:themeColor="text1"/>
        </w:rPr>
        <w:br/>
        <w:t>Formalizing a Decision Support Data System based on available resources to develop the data structures as described in the prompt pertaining to achieved outcomes above. The outcome of this step is data driven decision making for infrastructure (systems) improvements.</w:t>
      </w:r>
      <w:r w:rsidRPr="00781112">
        <w:rPr>
          <w:color w:val="000000" w:themeColor="text1"/>
        </w:rPr>
        <w:br/>
        <w:t>Finalizing a formal intensive partnership between the WDPI and State Implementation and Scaling-up of Evidenced-Based Practices (SISEP) in support of our Implementation Zone installation and implementation. The outcome of this step is access to the supports and resources afforded through an intensive partnership with SISEP.</w:t>
      </w:r>
      <w:r w:rsidRPr="00781112">
        <w:rPr>
          <w:color w:val="000000" w:themeColor="text1"/>
        </w:rPr>
        <w:br/>
        <w:t xml:space="preserve">Revising the common protocols for meeting agendas, data analysis and use, and communication based on usability testing and scaling use to all teams within the SSOS. The outcome of this step is improved efficiency and communication </w:t>
      </w:r>
      <w:proofErr w:type="gramStart"/>
      <w:r w:rsidRPr="00781112">
        <w:rPr>
          <w:color w:val="000000" w:themeColor="text1"/>
        </w:rPr>
        <w:t>through the use of</w:t>
      </w:r>
      <w:proofErr w:type="gramEnd"/>
      <w:r w:rsidRPr="00781112">
        <w:rPr>
          <w:color w:val="000000" w:themeColor="text1"/>
        </w:rPr>
        <w:t xml:space="preserve"> the common protocols.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Implementation Zone (IZ) - Inclusive Learning Communities (ILC) </w:t>
      </w:r>
      <w:r w:rsidRPr="00781112">
        <w:rPr>
          <w:color w:val="000000" w:themeColor="text1"/>
        </w:rPr>
        <w:br/>
        <w:t xml:space="preserve">Implementation Zone (IZ) - Early Reading (ER)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The Implementation Zone - Inclusive Learning Communities (IZ-ILC) combines multiple evidence-based practices within one carefully designed innovation implemented within a powerful framework leading to significant district-wide transformational change</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The evidence-based practices embedded within the Inclusive Learning Communities Practice Profile (ILC-PP) include: 1) Professional Collaboration Among Learner Supports; 2) Inclusive Mindsets; 3) Learning Climate, Culture, and Relationships; 4) Planning and Facilitation; and 5) Authentic Learner Engagement. For a more detailed description of the elements within the ILC-PP, see the February 2022 SSIP submission. </w:t>
      </w:r>
      <w:r w:rsidRPr="00781112">
        <w:rPr>
          <w:color w:val="000000" w:themeColor="text1"/>
        </w:rPr>
        <w:br/>
        <w:t xml:space="preserve"> </w:t>
      </w:r>
      <w:r w:rsidRPr="00781112">
        <w:rPr>
          <w:color w:val="000000" w:themeColor="text1"/>
        </w:rPr>
        <w:br/>
        <w:t xml:space="preserve">A foundational belief of this project is that learners belong in their learning communities, in an environment with their peers, and that educators are responsible for developing both accessible curriculum and environments for </w:t>
      </w:r>
      <w:proofErr w:type="gramStart"/>
      <w:r w:rsidRPr="00781112">
        <w:rPr>
          <w:color w:val="000000" w:themeColor="text1"/>
        </w:rPr>
        <w:t>each and every</w:t>
      </w:r>
      <w:proofErr w:type="gramEnd"/>
      <w:r w:rsidRPr="00781112">
        <w:rPr>
          <w:color w:val="000000" w:themeColor="text1"/>
        </w:rPr>
        <w:t xml:space="preserve"> learner within that inclusive setting. Following the guidance of the National Implementation Research Network (NIRN), the ILC-Practice Profile was developed to make the innovation teachable, learnable, doable, and measurable (Fixsen, Blase, Metz, &amp; Van Dyke, 2013)</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In the IZ-ILC, educators </w:t>
      </w:r>
      <w:proofErr w:type="gramStart"/>
      <w:r w:rsidRPr="00781112">
        <w:rPr>
          <w:color w:val="000000" w:themeColor="text1"/>
        </w:rPr>
        <w:t>are supported</w:t>
      </w:r>
      <w:proofErr w:type="gramEnd"/>
      <w:r w:rsidRPr="00781112">
        <w:rPr>
          <w:color w:val="000000" w:themeColor="text1"/>
        </w:rPr>
        <w:t xml:space="preserve"> to design and deliver learning proactively so that it is accessible for individual learners the first time it is presented. Rather than waiting for learners to fail, the equitable multi-level system of </w:t>
      </w:r>
      <w:proofErr w:type="gramStart"/>
      <w:r w:rsidRPr="00781112">
        <w:rPr>
          <w:color w:val="000000" w:themeColor="text1"/>
        </w:rPr>
        <w:t>supports</w:t>
      </w:r>
      <w:proofErr w:type="gramEnd"/>
      <w:r w:rsidRPr="00781112">
        <w:rPr>
          <w:color w:val="000000" w:themeColor="text1"/>
        </w:rPr>
        <w:t xml:space="preserve"> is fluid, flexible, and provided in the same environment that includes all learners. Learners with IEPs will receive most, if not all, specially designed instruction within the general education environment</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r>
      <w:r w:rsidRPr="00781112">
        <w:rPr>
          <w:color w:val="000000" w:themeColor="text1"/>
        </w:rPr>
        <w:lastRenderedPageBreak/>
        <w:t xml:space="preserve">The Implementation Zone - Early Reading (IZ-ER) develops critical infrastructure to support staff at each level of the education system to focus on effective implementation of specific early reading instruction evidence-based practices. </w:t>
      </w:r>
      <w:r w:rsidRPr="00781112">
        <w:rPr>
          <w:color w:val="000000" w:themeColor="text1"/>
        </w:rPr>
        <w:br/>
        <w:t xml:space="preserve">  </w:t>
      </w:r>
      <w:r w:rsidRPr="00781112">
        <w:rPr>
          <w:color w:val="000000" w:themeColor="text1"/>
        </w:rPr>
        <w:br/>
        <w:t xml:space="preserve">Like the IZ-ILC, the IZ-ER leverages guidance from NIRN through the stages of implementation, with initial efforts focused on developing an Early Reading Practice Profile (ER-PP) that clearly defines and operationalizes two evidence-based practices of early reading instruction in grades 4K-2: 1) explicit and systematic phonological awareness and phonics instruction and 2) building background knowledge through text collections (Farrall, 2012; McKenna &amp; Stall, 2009; Scarborough, 2001). While these practices by themselves do not account for all aspects of early literacy instruction, they serve as research-supported areas of emphasis within the IZ-ER (Student Achievement Partners, 2021). </w:t>
      </w:r>
      <w:r w:rsidRPr="00781112">
        <w:rPr>
          <w:color w:val="000000" w:themeColor="text1"/>
        </w:rPr>
        <w:br/>
      </w:r>
      <w:r w:rsidRPr="00781112">
        <w:rPr>
          <w:color w:val="000000" w:themeColor="text1"/>
        </w:rPr>
        <w:br/>
        <w:t xml:space="preserve">Making a commitment to implement the ILC and ER practices within the IZ includes an intentional plan for training, coaching, and data use to support staff. The IZ uses a multi-year plan to ensure interested parties understand and commit to transforming mindsets, adult practices, and systems.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5"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5"/>
    <w:p w14:paraId="3E043DB7" w14:textId="7C3B2CD4" w:rsidR="00AE1972" w:rsidRPr="00781112" w:rsidRDefault="00AE1972" w:rsidP="00AE1972">
      <w:pPr>
        <w:rPr>
          <w:b/>
          <w:bCs/>
        </w:rPr>
      </w:pPr>
      <w:r w:rsidRPr="00781112">
        <w:rPr>
          <w:color w:val="000000" w:themeColor="text1"/>
        </w:rPr>
        <w:t xml:space="preserve">The WDPI is leveraging the IZ-ILC and IZ-ER strategies to increase proficiency rates in English Language Arts (ELA) for all learners, while accelerating growth for learners with IEPs and learners of color in grades 3-5 to meet grade level standards, and proactively reduce the overall frequency of special education referrals. </w:t>
      </w:r>
      <w:r w:rsidRPr="00781112">
        <w:rPr>
          <w:color w:val="000000" w:themeColor="text1"/>
        </w:rPr>
        <w:br/>
      </w:r>
      <w:r w:rsidRPr="00781112">
        <w:rPr>
          <w:color w:val="000000" w:themeColor="text1"/>
        </w:rPr>
        <w:br/>
        <w:t xml:space="preserve">Mutually selected LEAs will partner with WDPI through the IZ to develop systems and structures, especially training/coaching and data use for improvement, to support teachers’ use of clearly defined practices related to inclusive communities and early reading, respectively. These systems and structures </w:t>
      </w:r>
      <w:proofErr w:type="gramStart"/>
      <w:r w:rsidRPr="00781112">
        <w:rPr>
          <w:color w:val="000000" w:themeColor="text1"/>
        </w:rPr>
        <w:t>are intended</w:t>
      </w:r>
      <w:proofErr w:type="gramEnd"/>
      <w:r w:rsidRPr="00781112">
        <w:rPr>
          <w:color w:val="000000" w:themeColor="text1"/>
        </w:rPr>
        <w:t xml:space="preserve"> to effectively and efficiently identify and nurture facilitators, as well as diagnose and resolve barriers at each level of the system based on data, so we can sustain and then reliably scale those practices to other sites. In other words, the IZ will allow us to </w:t>
      </w:r>
      <w:proofErr w:type="gramStart"/>
      <w:r w:rsidRPr="00781112">
        <w:rPr>
          <w:color w:val="000000" w:themeColor="text1"/>
        </w:rPr>
        <w:t>test</w:t>
      </w:r>
      <w:proofErr w:type="gramEnd"/>
      <w:r w:rsidRPr="00781112">
        <w:rPr>
          <w:color w:val="000000" w:themeColor="text1"/>
        </w:rPr>
        <w:t xml:space="preserve"> and improve what it takes to ensure that the implementation of inclusive communities and early reading practices can be equitably sustained and scaled elsewhere.  </w:t>
      </w:r>
      <w:r w:rsidRPr="00781112">
        <w:rPr>
          <w:color w:val="000000" w:themeColor="text1"/>
        </w:rPr>
        <w:br/>
        <w:t xml:space="preserve"> </w:t>
      </w:r>
      <w:r w:rsidRPr="00781112">
        <w:rPr>
          <w:color w:val="000000" w:themeColor="text1"/>
        </w:rPr>
        <w:br/>
        <w:t xml:space="preserve">The IZ-ILC vision states that each learner will thrive in welcoming and inclusive learning communities. In the IZ-ILC, LEAs </w:t>
      </w:r>
      <w:proofErr w:type="gramStart"/>
      <w:r w:rsidRPr="00781112">
        <w:rPr>
          <w:color w:val="000000" w:themeColor="text1"/>
        </w:rPr>
        <w:t>are supported</w:t>
      </w:r>
      <w:proofErr w:type="gramEnd"/>
      <w:r w:rsidRPr="00781112">
        <w:rPr>
          <w:color w:val="000000" w:themeColor="text1"/>
        </w:rPr>
        <w:t xml:space="preserve"> to strategically implement and sustain inclusive learning communities by receiving funding, quality resources, and </w:t>
      </w:r>
      <w:proofErr w:type="gramStart"/>
      <w:r w:rsidRPr="00781112">
        <w:rPr>
          <w:color w:val="000000" w:themeColor="text1"/>
        </w:rPr>
        <w:t>supports</w:t>
      </w:r>
      <w:proofErr w:type="gramEnd"/>
      <w:r w:rsidRPr="00781112">
        <w:rPr>
          <w:color w:val="000000" w:themeColor="text1"/>
        </w:rPr>
        <w:t xml:space="preserve"> for training and coaching. The IZ-ILC will impact the SiMR by achieving the following outcomes:  </w:t>
      </w:r>
      <w:r w:rsidRPr="00781112">
        <w:rPr>
          <w:color w:val="000000" w:themeColor="text1"/>
        </w:rPr>
        <w:br/>
        <w:t xml:space="preserve"> </w:t>
      </w:r>
      <w:r w:rsidRPr="00781112">
        <w:rPr>
          <w:color w:val="000000" w:themeColor="text1"/>
        </w:rPr>
        <w:br/>
        <w:t>Districts will implement collaborative linked teaming structures, supported by coaching, to ensure a consistent approach for data-informed collaborative decision making that will lead to improved outcomes for each learner</w:t>
      </w:r>
      <w:proofErr w:type="gramStart"/>
      <w:r w:rsidRPr="00781112">
        <w:rPr>
          <w:color w:val="000000" w:themeColor="text1"/>
        </w:rPr>
        <w:t xml:space="preserve">.  </w:t>
      </w:r>
      <w:proofErr w:type="gramEnd"/>
      <w:r w:rsidRPr="00781112">
        <w:rPr>
          <w:color w:val="000000" w:themeColor="text1"/>
        </w:rPr>
        <w:br/>
        <w:t xml:space="preserve">Districts will ensure that educational environments are accessible, inclusive, and equitable for every learner by implementing sustainable teacher teams. This will lead to improved outcomes for every learner and accelerated improvement for learners with IEPs and learners of color. </w:t>
      </w:r>
      <w:r w:rsidRPr="00781112">
        <w:rPr>
          <w:color w:val="000000" w:themeColor="text1"/>
        </w:rPr>
        <w:br/>
        <w:t xml:space="preserve">Key learner outcomes including inclusion, agency, voice, participation, attendance, engagement, discipline, graduation rates, and achievement improve for learners with IEPs and learners of color. </w:t>
      </w:r>
      <w:r w:rsidRPr="00781112">
        <w:rPr>
          <w:color w:val="000000" w:themeColor="text1"/>
        </w:rPr>
        <w:br/>
        <w:t xml:space="preserve"> </w:t>
      </w:r>
      <w:r w:rsidRPr="00781112">
        <w:rPr>
          <w:color w:val="000000" w:themeColor="text1"/>
        </w:rPr>
        <w:br/>
        <w:t xml:space="preserve">The vision for IZ-ER is that learners will secure the early literacy skills needed to become proficient and lifelong learners. Like the IZ-ILC, LEAs that engage with the IZ-ER will </w:t>
      </w:r>
      <w:proofErr w:type="gramStart"/>
      <w:r w:rsidRPr="00781112">
        <w:rPr>
          <w:color w:val="000000" w:themeColor="text1"/>
        </w:rPr>
        <w:t>be supported</w:t>
      </w:r>
      <w:proofErr w:type="gramEnd"/>
      <w:r w:rsidRPr="00781112">
        <w:rPr>
          <w:color w:val="000000" w:themeColor="text1"/>
        </w:rPr>
        <w:t xml:space="preserve"> to strategically implement and sustain evidence-based practices related to the two aspects of early literacy described above by receiving funding, quality resources, training, and coaching support. The IZ-ER will impact the SiMR by achieving the following outcomes: </w:t>
      </w:r>
      <w:r w:rsidRPr="00781112">
        <w:rPr>
          <w:color w:val="000000" w:themeColor="text1"/>
        </w:rPr>
        <w:br/>
        <w:t xml:space="preserve"> </w:t>
      </w:r>
      <w:r w:rsidRPr="00781112">
        <w:rPr>
          <w:color w:val="000000" w:themeColor="text1"/>
        </w:rPr>
        <w:br/>
        <w:t xml:space="preserve">Supported by coaching, districts will increase their capacity to engage in collaborative teaming structures to ensure a consistent approach for data-informed decision-making. </w:t>
      </w:r>
      <w:r w:rsidRPr="00781112">
        <w:rPr>
          <w:color w:val="000000" w:themeColor="text1"/>
        </w:rPr>
        <w:br/>
        <w:t xml:space="preserve">Districts will demonstrate </w:t>
      </w:r>
      <w:proofErr w:type="gramStart"/>
      <w:r w:rsidRPr="00781112">
        <w:rPr>
          <w:color w:val="000000" w:themeColor="text1"/>
        </w:rPr>
        <w:t>high levels</w:t>
      </w:r>
      <w:proofErr w:type="gramEnd"/>
      <w:r w:rsidRPr="00781112">
        <w:rPr>
          <w:color w:val="000000" w:themeColor="text1"/>
        </w:rPr>
        <w:t xml:space="preserve"> of fidelity to practice profiles based on the development of robust systems of training, coaching, and data use to support teachers’ effective use of early reading strategies. </w:t>
      </w:r>
      <w:r w:rsidRPr="00781112">
        <w:rPr>
          <w:color w:val="000000" w:themeColor="text1"/>
        </w:rPr>
        <w:br/>
        <w:t xml:space="preserve">Proficiency rates in ELA as measured by the state summative assessment will increase for all learners with an accelerated increase for learners with IEPs and learners of color. </w:t>
      </w:r>
      <w:r w:rsidRPr="00781112">
        <w:rPr>
          <w:color w:val="000000" w:themeColor="text1"/>
        </w:rPr>
        <w:br/>
        <w:t xml:space="preserve">For additional context, see the February 2022 submission for Indicator 17.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IZ-ILC Theory of Action states: If districts are trained on how to develop and then implement consistent processes ensuring that all educational environments are accessible, inclusive, and equitable and are supported through collaborative decision-making teams, coaching and shared leadership, then districts will experience improved outcomes for every learner and accelerated improvement for learners with IEPs and learners of color. </w:t>
      </w:r>
      <w:r w:rsidRPr="00781112">
        <w:rPr>
          <w:color w:val="000000" w:themeColor="text1"/>
        </w:rPr>
        <w:br/>
        <w:t xml:space="preserve"> </w:t>
      </w:r>
      <w:r w:rsidRPr="00781112">
        <w:rPr>
          <w:color w:val="000000" w:themeColor="text1"/>
        </w:rPr>
        <w:br/>
        <w:t xml:space="preserve">Data collected to assess change in adult practices, monitor fidelity of implementation, and assess practice change are described in the tools below:  </w:t>
      </w:r>
      <w:r w:rsidRPr="00781112">
        <w:rPr>
          <w:color w:val="000000" w:themeColor="text1"/>
        </w:rPr>
        <w:br/>
        <w:t>Wisconsin Professional Learning Community (WI PLC) Fidelity Rubric - captures the essential elements of a school level team that has created an enabling context for the ILC practices</w:t>
      </w:r>
      <w:r w:rsidRPr="00781112">
        <w:rPr>
          <w:color w:val="000000" w:themeColor="text1"/>
        </w:rPr>
        <w:br/>
        <w:t>Integrated Comprehensive Systems (ICS) Equity Audit -  supports school level teams to set and prioritize goals and develop an implementation plan</w:t>
      </w:r>
      <w:r w:rsidRPr="00781112">
        <w:rPr>
          <w:color w:val="000000" w:themeColor="text1"/>
        </w:rPr>
        <w:br/>
        <w:t>Vibrant Schools Scale (VSS) - measures key student outcomes as well as providing qualitative data related to shifts in adult mindsets and behaviors</w:t>
      </w:r>
      <w:r w:rsidRPr="00781112">
        <w:rPr>
          <w:color w:val="000000" w:themeColor="text1"/>
        </w:rPr>
        <w:br/>
        <w:t>Best Practices for Inclusive Education Fidelity Assessment (BPIE) - identifies priority needs and supports the development of goals and plan improvement strategies, as well as the organization of resources to support the implementation of ILC for students with IEPs</w:t>
      </w:r>
      <w:r w:rsidRPr="00781112">
        <w:rPr>
          <w:color w:val="000000" w:themeColor="text1"/>
        </w:rPr>
        <w:br/>
        <w:t>Early Childhood Inclusive Classroom Profile (ICP) - assesses the quality of daily inclusive practices that support the developmental needs of children with disabilities in early childhood settings</w:t>
      </w:r>
      <w:r w:rsidRPr="00781112">
        <w:rPr>
          <w:color w:val="000000" w:themeColor="text1"/>
        </w:rPr>
        <w:br/>
        <w:t xml:space="preserve">For a detailed description of the data collected for the IZ-ILC project, see the February 2022 submission for Indicator 17. </w:t>
      </w:r>
      <w:r w:rsidRPr="00781112">
        <w:rPr>
          <w:color w:val="000000" w:themeColor="text1"/>
        </w:rPr>
        <w:br/>
        <w:t xml:space="preserve"> </w:t>
      </w:r>
      <w:r w:rsidRPr="00781112">
        <w:rPr>
          <w:color w:val="000000" w:themeColor="text1"/>
        </w:rPr>
        <w:br/>
        <w:t xml:space="preserve">The IZ-ER Theory of Action states: If WDPI develops a systemic and systematic approach to delivering high-quality, standards-based reading foundational skills instruction within an implementation zone, this implementation infrastructure will support training, coaching, and implementation of early literacy instruction emphasizing building background knowledge and explicit and systematic phonemic awareness and phonics instruction in districts using implementation science to install and measure impact. Educators will then have the needed support and skills to improve reading outcomes for all learners and accelerate outcomes for learners with IEPS and learners of color. </w:t>
      </w:r>
      <w:r w:rsidRPr="00781112">
        <w:rPr>
          <w:color w:val="000000" w:themeColor="text1"/>
        </w:rPr>
        <w:br/>
        <w:t xml:space="preserve"> </w:t>
      </w:r>
      <w:r w:rsidRPr="00781112">
        <w:rPr>
          <w:color w:val="000000" w:themeColor="text1"/>
        </w:rPr>
        <w:br/>
        <w:t xml:space="preserve">Based on the current stage of implementation, WDPI has mapped out the general types of data to </w:t>
      </w:r>
      <w:proofErr w:type="gramStart"/>
      <w:r w:rsidRPr="00781112">
        <w:rPr>
          <w:color w:val="000000" w:themeColor="text1"/>
        </w:rPr>
        <w:t>be collected</w:t>
      </w:r>
      <w:proofErr w:type="gramEnd"/>
      <w:r w:rsidRPr="00781112">
        <w:rPr>
          <w:color w:val="000000" w:themeColor="text1"/>
        </w:rPr>
        <w:t xml:space="preserve"> (see below), including fidelity, capacity, and programmatic, but has yet to establish the specific data sources pending further implementation planning and identification of a fidelity measure in 2023.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lastRenderedPageBreak/>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primary programmatic and outcome data will </w:t>
      </w:r>
      <w:proofErr w:type="gramStart"/>
      <w:r w:rsidRPr="00781112">
        <w:rPr>
          <w:color w:val="000000" w:themeColor="text1"/>
        </w:rPr>
        <w:t>be used</w:t>
      </w:r>
      <w:proofErr w:type="gramEnd"/>
      <w:r w:rsidRPr="00781112">
        <w:rPr>
          <w:color w:val="000000" w:themeColor="text1"/>
        </w:rPr>
        <w:t xml:space="preserve"> across both areas of practice focus. These tools and data sources are described below: </w:t>
      </w:r>
      <w:r w:rsidRPr="00781112">
        <w:rPr>
          <w:color w:val="000000" w:themeColor="text1"/>
        </w:rPr>
        <w:br/>
        <w:t xml:space="preserve"> </w:t>
      </w:r>
      <w:r w:rsidRPr="00781112">
        <w:rPr>
          <w:color w:val="000000" w:themeColor="text1"/>
        </w:rPr>
        <w:br/>
        <w:t xml:space="preserve">Training and Coaching Data: </w:t>
      </w:r>
      <w:r w:rsidRPr="00781112">
        <w:rPr>
          <w:color w:val="000000" w:themeColor="text1"/>
        </w:rPr>
        <w:br/>
        <w:t xml:space="preserve">Aggregated training efficacy (i.e., principles of adult learning), impact, effectiveness data </w:t>
      </w:r>
      <w:r w:rsidRPr="00781112">
        <w:rPr>
          <w:color w:val="000000" w:themeColor="text1"/>
        </w:rPr>
        <w:br/>
        <w:t xml:space="preserve">Coaching System Development Worksheet Fidelity Checklist - used to initiate discussions about the importance of coaching and the facilitative supports that administrators need to consider to ensure a systemic commitment to coaching. This is </w:t>
      </w:r>
      <w:proofErr w:type="gramStart"/>
      <w:r w:rsidRPr="00781112">
        <w:rPr>
          <w:color w:val="000000" w:themeColor="text1"/>
        </w:rPr>
        <w:t>a proactive</w:t>
      </w:r>
      <w:proofErr w:type="gramEnd"/>
      <w:r w:rsidRPr="00781112">
        <w:rPr>
          <w:color w:val="000000" w:themeColor="text1"/>
        </w:rPr>
        <w:t xml:space="preserve"> approach to purposeful and supportive coaching. It specifies the coaching elements that will promote quality service delivery and support for the </w:t>
      </w:r>
      <w:proofErr w:type="gramStart"/>
      <w:r w:rsidRPr="00781112">
        <w:rPr>
          <w:color w:val="000000" w:themeColor="text1"/>
        </w:rPr>
        <w:t>client, and</w:t>
      </w:r>
      <w:proofErr w:type="gramEnd"/>
      <w:r w:rsidRPr="00781112">
        <w:rPr>
          <w:color w:val="000000" w:themeColor="text1"/>
        </w:rPr>
        <w:t xml:space="preserve"> serve as the basis for further professional development. </w:t>
      </w:r>
      <w:proofErr w:type="gramStart"/>
      <w:r w:rsidRPr="00781112">
        <w:rPr>
          <w:color w:val="000000" w:themeColor="text1"/>
        </w:rPr>
        <w:t>Participating</w:t>
      </w:r>
      <w:proofErr w:type="gramEnd"/>
      <w:r w:rsidRPr="00781112">
        <w:rPr>
          <w:color w:val="000000" w:themeColor="text1"/>
        </w:rPr>
        <w:t xml:space="preserve"> LEAs track coaching system development annually with this tool. </w:t>
      </w:r>
      <w:r w:rsidRPr="00781112">
        <w:rPr>
          <w:color w:val="000000" w:themeColor="text1"/>
        </w:rPr>
        <w:br/>
        <w:t xml:space="preserve">Coach Reflection Data - Coaches complete this feedback form after each coaching session. Patterns and trends in the feedback </w:t>
      </w:r>
      <w:proofErr w:type="gramStart"/>
      <w:r w:rsidRPr="00781112">
        <w:rPr>
          <w:color w:val="000000" w:themeColor="text1"/>
        </w:rPr>
        <w:t>are used</w:t>
      </w:r>
      <w:proofErr w:type="gramEnd"/>
      <w:r w:rsidRPr="00781112">
        <w:rPr>
          <w:color w:val="000000" w:themeColor="text1"/>
        </w:rPr>
        <w:t xml:space="preserve"> to inform professional development and support needs of coaches and clients across the LEA.</w:t>
      </w:r>
      <w:r w:rsidRPr="00781112">
        <w:rPr>
          <w:color w:val="000000" w:themeColor="text1"/>
        </w:rPr>
        <w:br/>
        <w:t xml:space="preserve">Client Feedback Data - Clients complete this feedback form after each coaching session. Patterns and trends in the feedback </w:t>
      </w:r>
      <w:proofErr w:type="gramStart"/>
      <w:r w:rsidRPr="00781112">
        <w:rPr>
          <w:color w:val="000000" w:themeColor="text1"/>
        </w:rPr>
        <w:t>are used</w:t>
      </w:r>
      <w:proofErr w:type="gramEnd"/>
      <w:r w:rsidRPr="00781112">
        <w:rPr>
          <w:color w:val="000000" w:themeColor="text1"/>
        </w:rPr>
        <w:t xml:space="preserve"> to inform professional development and support needs of coaches and clients across the district.</w:t>
      </w:r>
      <w:r w:rsidRPr="00781112">
        <w:rPr>
          <w:color w:val="000000" w:themeColor="text1"/>
        </w:rPr>
        <w:br/>
        <w:t xml:space="preserve">Coach Observation Data - Coaches are observed twice annually with attention to their personally identified competencies aligned to an annual professional growth goal. The data collected informs professional growth needs in individual coaches as well as coaches across the system. </w:t>
      </w:r>
      <w:r w:rsidRPr="00781112">
        <w:rPr>
          <w:color w:val="000000" w:themeColor="text1"/>
        </w:rPr>
        <w:br/>
        <w:t xml:space="preserve">Coach Time Log Data: This tool </w:t>
      </w:r>
      <w:proofErr w:type="gramStart"/>
      <w:r w:rsidRPr="00781112">
        <w:rPr>
          <w:color w:val="000000" w:themeColor="text1"/>
        </w:rPr>
        <w:t>was added</w:t>
      </w:r>
      <w:proofErr w:type="gramEnd"/>
      <w:r w:rsidRPr="00781112">
        <w:rPr>
          <w:color w:val="000000" w:themeColor="text1"/>
        </w:rPr>
        <w:t xml:space="preserve"> as a required data collection tool during this reporting period and provides individual coaches information to support their workload in systems and monitor how they show up as a coach through each coaching competency. It also provides holistic data from a system of coaching, revealing trends and patterns about how coaches are showing up through the lens of the competencies based on coaching activities. This data informs how to support coaches through Professional Development (PD), coaching, policies, and structures. For a detailed description of the coaching data collected, see the February 2022 submission for Indicator 17. </w:t>
      </w:r>
      <w:r w:rsidRPr="00781112">
        <w:rPr>
          <w:color w:val="000000" w:themeColor="text1"/>
        </w:rPr>
        <w:br/>
        <w:t xml:space="preserve"> </w:t>
      </w:r>
      <w:r w:rsidRPr="00781112">
        <w:rPr>
          <w:color w:val="000000" w:themeColor="text1"/>
        </w:rPr>
        <w:br/>
        <w:t xml:space="preserve">Capacity Data: </w:t>
      </w:r>
      <w:r w:rsidRPr="00781112">
        <w:rPr>
          <w:color w:val="000000" w:themeColor="text1"/>
        </w:rPr>
        <w:br/>
        <w:t xml:space="preserve">IZ-ILC - Participating districts completed the District Capacity Assessment. This tool </w:t>
      </w:r>
      <w:proofErr w:type="gramStart"/>
      <w:r w:rsidRPr="00781112">
        <w:rPr>
          <w:color w:val="000000" w:themeColor="text1"/>
        </w:rPr>
        <w:t>is designed</w:t>
      </w:r>
      <w:proofErr w:type="gramEnd"/>
      <w:r w:rsidRPr="00781112">
        <w:rPr>
          <w:color w:val="000000" w:themeColor="text1"/>
        </w:rPr>
        <w:t xml:space="preserve"> to help district leaders and staff better align resources with intended outcomes, and to inform action plans to support the use of inclusive learning communities. Analysis of capacity indicates an increase of total capacity over time. Three of the four participating districts are approaching 80% capacity (79.6%, 59.3% and 55.6%)  with overall positive increases in each administration across the life of the project. The fourth district recently reported a dip in total capacity in the most recent administration. These districts experienced heavy leadership and staff turnover as well as a change in external coaching support. The continued intervention of TZ-ILC will promote further capacity among participating districts. The data warrants continued capacity building through training and coaching. </w:t>
      </w:r>
      <w:r w:rsidRPr="00781112">
        <w:rPr>
          <w:color w:val="000000" w:themeColor="text1"/>
        </w:rPr>
        <w:br/>
      </w:r>
      <w:r w:rsidRPr="00781112">
        <w:rPr>
          <w:color w:val="000000" w:themeColor="text1"/>
        </w:rPr>
        <w:br/>
        <w:t>IZ-ER - Capacity data was not collected during this reporting period.</w:t>
      </w:r>
      <w:r w:rsidRPr="00781112">
        <w:rPr>
          <w:color w:val="000000" w:themeColor="text1"/>
        </w:rPr>
        <w:br/>
      </w:r>
      <w:r w:rsidRPr="00781112">
        <w:rPr>
          <w:color w:val="000000" w:themeColor="text1"/>
        </w:rPr>
        <w:br/>
        <w:t xml:space="preserve">Outcome Data: </w:t>
      </w:r>
      <w:r w:rsidRPr="00781112">
        <w:rPr>
          <w:color w:val="000000" w:themeColor="text1"/>
        </w:rPr>
        <w:br/>
        <w:t xml:space="preserve">Student benchmark data, local assessment data, reading inventories, formative assessments (to be determined with participating LEAs) </w:t>
      </w:r>
      <w:r w:rsidRPr="00781112">
        <w:rPr>
          <w:color w:val="000000" w:themeColor="text1"/>
        </w:rPr>
        <w:br/>
        <w:t xml:space="preserve">Student summative data (Forward Exam) </w:t>
      </w:r>
      <w:r w:rsidRPr="00781112">
        <w:rPr>
          <w:color w:val="000000" w:themeColor="text1"/>
        </w:rPr>
        <w:br/>
      </w:r>
      <w:r w:rsidRPr="00781112">
        <w:rPr>
          <w:color w:val="000000" w:themeColor="text1"/>
        </w:rPr>
        <w:br/>
        <w:t>Based on the current stages of implementation, outcome data was not collected/used for either IZ-ILC or IZ-ER during this reporting period.</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IZ-ILC is in year four of the project and participants are working through installation and initial implementation activities by developing systems and structures to support implementation. Using PDSA cycles informed by a diverse group of interested parties and supported by coaching, teams will generate and strengthen opportunities for growth and increased fidelity of implementation, and design action plans using equity non-negotiables. Districts will strengthen routines and protocols to sustain the linked decision-making teaming structures. Teams will use data to identify facilitators and barriers to address inequities and actively incorporate learning outcomes across the district. They will also establish collaborative teacher teams that proactively support the proportional representation of students grounded in the understanding and affirmed by federal law that special education, multilingual support, gifted services, reading support, </w:t>
      </w:r>
      <w:proofErr w:type="gramStart"/>
      <w:r w:rsidRPr="00781112">
        <w:rPr>
          <w:color w:val="000000" w:themeColor="text1"/>
        </w:rPr>
        <w:t>etc.</w:t>
      </w:r>
      <w:proofErr w:type="gramEnd"/>
      <w:r w:rsidRPr="00781112">
        <w:rPr>
          <w:color w:val="000000" w:themeColor="text1"/>
        </w:rPr>
        <w:t xml:space="preserve">, are all services and not locations where learners are placed. (ICS Equity, 2021). </w:t>
      </w:r>
      <w:r w:rsidRPr="00781112">
        <w:rPr>
          <w:color w:val="000000" w:themeColor="text1"/>
        </w:rPr>
        <w:br/>
        <w:t xml:space="preserve"> </w:t>
      </w:r>
      <w:r w:rsidRPr="00781112">
        <w:rPr>
          <w:color w:val="000000" w:themeColor="text1"/>
        </w:rPr>
        <w:br/>
        <w:t xml:space="preserve">Due to the current  education culture and climate, districts experienced barriers to advancing educational equity in this reporting period. There were nine participating districts at the beginning of this reporting period and by the end of this reporting period, the cohort decreased to four participating districts. Throughout this reporting period, teams worked to understand how to discuss equity and operationalize equity </w:t>
      </w:r>
      <w:proofErr w:type="gramStart"/>
      <w:r w:rsidRPr="00781112">
        <w:rPr>
          <w:color w:val="000000" w:themeColor="text1"/>
        </w:rPr>
        <w:t>change</w:t>
      </w:r>
      <w:proofErr w:type="gramEnd"/>
      <w:r w:rsidRPr="00781112">
        <w:rPr>
          <w:color w:val="000000" w:themeColor="text1"/>
        </w:rPr>
        <w:t xml:space="preserve"> that interrupts oppressive structural and instructional practices, even in politically charged communities. Teams will continue adjusting their systems to more proactive frameworks that center equity despite political, financial, staffing, and time challenges.</w:t>
      </w:r>
      <w:r w:rsidRPr="00781112">
        <w:rPr>
          <w:color w:val="000000" w:themeColor="text1"/>
        </w:rPr>
        <w:br/>
      </w:r>
      <w:r w:rsidRPr="00781112">
        <w:rPr>
          <w:color w:val="000000" w:themeColor="text1"/>
        </w:rPr>
        <w:br/>
        <w:t xml:space="preserve">The practices continue a multi-year process of promoting and ensuring that all students belong in their learning communities, in an environment with their peers, and educators are responsible to develop both accessible curriculum and environments for every student within that inclusive setting. The actual number of years to create a fully integrated and comprehensive system for equity where the outcomes articulated for learners with IEPs and learners of color </w:t>
      </w:r>
      <w:proofErr w:type="gramStart"/>
      <w:r w:rsidRPr="00781112">
        <w:rPr>
          <w:color w:val="000000" w:themeColor="text1"/>
        </w:rPr>
        <w:t>is achieved</w:t>
      </w:r>
      <w:proofErr w:type="gramEnd"/>
      <w:r w:rsidRPr="00781112">
        <w:rPr>
          <w:color w:val="000000" w:themeColor="text1"/>
        </w:rPr>
        <w:t xml:space="preserve"> is expected to take between one to three additional years. Due to barriers described above, the following stage-based activities will be prioritized during this next reporting period</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To support implementation of ILCs, districts will implement collaborative linked teaming structures, supported by coaching, to ensure a consistent approach for data-informed collaborative decision-making and continue to align professional development, policies and procedures, funding allocation and initiatives in the following ways: </w:t>
      </w:r>
      <w:r w:rsidRPr="00781112">
        <w:rPr>
          <w:color w:val="000000" w:themeColor="text1"/>
        </w:rPr>
        <w:br/>
        <w:t xml:space="preserve">District Leadership Teams (DLT) will align district curriculum and instructional practices and provide professional development so that Building Leadership Teams (BLT) seamlessly create collaborative and aligned teacher teams. </w:t>
      </w:r>
      <w:r w:rsidRPr="00781112">
        <w:rPr>
          <w:color w:val="000000" w:themeColor="text1"/>
        </w:rPr>
        <w:br/>
        <w:t xml:space="preserve">DLTs will align district office staff to support inclusive learning communities leading to “de-siloing” the work related to funding streams </w:t>
      </w:r>
      <w:r w:rsidRPr="00781112">
        <w:rPr>
          <w:color w:val="000000" w:themeColor="text1"/>
        </w:rPr>
        <w:br/>
        <w:t xml:space="preserve">Staff and learners will realign to support proportional representation, where the demographics of learners labeled for special education, English Language learners, and advanced or gifted learners in the school are proportionally reflected in every classroom, course, activity, setting, or experience. </w:t>
      </w:r>
      <w:r w:rsidRPr="00781112">
        <w:rPr>
          <w:color w:val="000000" w:themeColor="text1"/>
        </w:rPr>
        <w:br/>
        <w:t xml:space="preserve"> </w:t>
      </w:r>
      <w:r w:rsidRPr="00781112">
        <w:rPr>
          <w:color w:val="000000" w:themeColor="text1"/>
        </w:rPr>
        <w:br/>
        <w:t>To support ILC implementation, districts will change instructional environments and teacher practices to align with the ILC practice profile competencies</w:t>
      </w:r>
      <w:proofErr w:type="gramStart"/>
      <w:r w:rsidRPr="00781112">
        <w:rPr>
          <w:color w:val="000000" w:themeColor="text1"/>
        </w:rPr>
        <w:t xml:space="preserve">.  </w:t>
      </w:r>
      <w:proofErr w:type="gramEnd"/>
      <w:r w:rsidRPr="00781112">
        <w:rPr>
          <w:color w:val="000000" w:themeColor="text1"/>
        </w:rPr>
        <w:br/>
        <w:t xml:space="preserve">DLTs will lead the transition of district programs and services for learners to attend the schools they would attend if not identified adhering to the principles of proportional representation </w:t>
      </w:r>
      <w:r w:rsidRPr="00781112">
        <w:rPr>
          <w:color w:val="000000" w:themeColor="text1"/>
        </w:rPr>
        <w:br/>
        <w:t xml:space="preserve">DLTs will support BLTs in their work to realign all staff and learners for future teacher teams  </w:t>
      </w:r>
      <w:r w:rsidRPr="00781112">
        <w:rPr>
          <w:color w:val="000000" w:themeColor="text1"/>
        </w:rPr>
        <w:br/>
        <w:t xml:space="preserve">BLTs will proportionally represent learners across settings and align staff expertise to serve learners through teacher teams. </w:t>
      </w:r>
      <w:r w:rsidRPr="00781112">
        <w:rPr>
          <w:color w:val="000000" w:themeColor="text1"/>
        </w:rPr>
        <w:br/>
        <w:t xml:space="preserve"> </w:t>
      </w:r>
      <w:r w:rsidRPr="00781112">
        <w:rPr>
          <w:color w:val="000000" w:themeColor="text1"/>
        </w:rPr>
        <w:br/>
        <w:t xml:space="preserve">Finally, using lessons learned and data informed decisions from the PDSA process, the WDPI will work to scale up and sustain the project by adding a </w:t>
      </w:r>
      <w:r w:rsidRPr="00781112">
        <w:rPr>
          <w:color w:val="000000" w:themeColor="text1"/>
        </w:rPr>
        <w:lastRenderedPageBreak/>
        <w:t xml:space="preserve">new district cohort through the following activities:  </w:t>
      </w:r>
      <w:r w:rsidRPr="00781112">
        <w:rPr>
          <w:color w:val="000000" w:themeColor="text1"/>
        </w:rPr>
        <w:br/>
        <w:t xml:space="preserve">Develop mutual selection criteria to identify Cohort 2 district partners </w:t>
      </w:r>
      <w:r w:rsidRPr="00781112">
        <w:rPr>
          <w:color w:val="000000" w:themeColor="text1"/>
        </w:rPr>
        <w:br/>
        <w:t xml:space="preserve">Inform the implementation plan using the PDSA process </w:t>
      </w:r>
      <w:r w:rsidRPr="00781112">
        <w:rPr>
          <w:color w:val="000000" w:themeColor="text1"/>
        </w:rPr>
        <w:br/>
        <w:t xml:space="preserve">Inform training and coaching service delivery plans using the PDSA process </w:t>
      </w:r>
      <w:r w:rsidRPr="00781112">
        <w:rPr>
          <w:color w:val="000000" w:themeColor="text1"/>
        </w:rPr>
        <w:br/>
        <w:t xml:space="preserve">Act on identified gaps in data by co-creating a classroom level fidelity assessment tool </w:t>
      </w:r>
      <w:r w:rsidRPr="00781112">
        <w:rPr>
          <w:color w:val="000000" w:themeColor="text1"/>
        </w:rPr>
        <w:br/>
        <w:t xml:space="preserve"> </w:t>
      </w:r>
      <w:r w:rsidRPr="00781112">
        <w:rPr>
          <w:color w:val="000000" w:themeColor="text1"/>
        </w:rPr>
        <w:br/>
        <w:t xml:space="preserve">The IZ-ER project will transition from exploration to installation activities during the next reporting period. Based on implementation science, leadership engagement and buy-in are critical to sustaining effective implementation. Given that WDPI has experienced both anticipated and unanticipated key leadership transitions, time </w:t>
      </w:r>
      <w:proofErr w:type="gramStart"/>
      <w:r w:rsidRPr="00781112">
        <w:rPr>
          <w:color w:val="000000" w:themeColor="text1"/>
        </w:rPr>
        <w:t>was invested</w:t>
      </w:r>
      <w:proofErr w:type="gramEnd"/>
      <w:r w:rsidRPr="00781112">
        <w:rPr>
          <w:color w:val="000000" w:themeColor="text1"/>
        </w:rPr>
        <w:t xml:space="preserve"> in building understanding and buy-in among new leadership to maintain both commitment and integrity to the IZ-ER project. While this time investment has solidified the project, the timeline has adjusted to accommodate a longer exploration period for proposed activities and the number of districts participating has </w:t>
      </w:r>
      <w:proofErr w:type="gramStart"/>
      <w:r w:rsidRPr="00781112">
        <w:rPr>
          <w:color w:val="000000" w:themeColor="text1"/>
        </w:rPr>
        <w:t>been reduced</w:t>
      </w:r>
      <w:proofErr w:type="gramEnd"/>
      <w:r w:rsidRPr="00781112">
        <w:rPr>
          <w:color w:val="000000" w:themeColor="text1"/>
        </w:rPr>
        <w:t xml:space="preserve"> from nine to six. As a result, many project activities and outcomes will remain the same for the next reporting period, with the following stage-based activities prioritized:  </w:t>
      </w:r>
      <w:r w:rsidRPr="00781112">
        <w:rPr>
          <w:color w:val="000000" w:themeColor="text1"/>
        </w:rPr>
        <w:br/>
        <w:t xml:space="preserve">Complete the ER-PP, including finalizing the literature review, philosophical front matter, and the review/vetting process </w:t>
      </w:r>
      <w:r w:rsidRPr="00781112">
        <w:rPr>
          <w:color w:val="000000" w:themeColor="text1"/>
        </w:rPr>
        <w:br/>
        <w:t xml:space="preserve">Examine options for fidelity tool adoption or development </w:t>
      </w:r>
      <w:r w:rsidRPr="00781112">
        <w:rPr>
          <w:color w:val="000000" w:themeColor="text1"/>
        </w:rPr>
        <w:br/>
        <w:t xml:space="preserve">Develop an implementation plan  </w:t>
      </w:r>
      <w:r w:rsidRPr="00781112">
        <w:rPr>
          <w:color w:val="000000" w:themeColor="text1"/>
        </w:rPr>
        <w:br/>
        <w:t xml:space="preserve">Develop mutual selection criteria to identify district partners  </w:t>
      </w:r>
      <w:r w:rsidRPr="00781112">
        <w:rPr>
          <w:color w:val="000000" w:themeColor="text1"/>
        </w:rPr>
        <w:br/>
        <w:t xml:space="preserve">Hire and onboard project staff </w:t>
      </w:r>
      <w:r w:rsidRPr="00781112">
        <w:rPr>
          <w:color w:val="000000" w:themeColor="text1"/>
        </w:rPr>
        <w:br/>
        <w:t xml:space="preserve">Develop training materials and a delivery plan  </w:t>
      </w:r>
      <w:r w:rsidRPr="00781112">
        <w:rPr>
          <w:color w:val="000000" w:themeColor="text1"/>
        </w:rPr>
        <w:br/>
        <w:t xml:space="preserve">Develop a coaching delivery plan    </w:t>
      </w:r>
      <w:r w:rsidRPr="00781112">
        <w:rPr>
          <w:color w:val="000000" w:themeColor="text1"/>
        </w:rPr>
        <w:br/>
        <w:t xml:space="preserve"> </w:t>
      </w:r>
      <w:r w:rsidRPr="00781112">
        <w:rPr>
          <w:color w:val="000000" w:themeColor="text1"/>
        </w:rPr>
        <w:br/>
        <w:t xml:space="preserve">During the next reporting period, the following outcomes will be achieved: </w:t>
      </w:r>
      <w:r w:rsidRPr="00781112">
        <w:rPr>
          <w:color w:val="000000" w:themeColor="text1"/>
        </w:rPr>
        <w:br/>
        <w:t xml:space="preserve">A finalized ER-PP v1.0 to support the mutual selection process with districts and initial development of training/coaching content </w:t>
      </w:r>
      <w:r w:rsidRPr="00781112">
        <w:rPr>
          <w:color w:val="000000" w:themeColor="text1"/>
        </w:rPr>
        <w:br/>
        <w:t xml:space="preserve">A completed fidelity tool </w:t>
      </w:r>
      <w:r w:rsidRPr="00781112">
        <w:rPr>
          <w:color w:val="000000" w:themeColor="text1"/>
        </w:rPr>
        <w:br/>
        <w:t xml:space="preserve">Engagement with partners and content experts to identify opportunities for serving as a developer of training content and/or purveyor of training sessions </w:t>
      </w:r>
      <w:r w:rsidRPr="00781112">
        <w:rPr>
          <w:color w:val="000000" w:themeColor="text1"/>
        </w:rPr>
        <w:br/>
        <w:t xml:space="preserve">Established IZ-ER Implementation Team membership through hiring/selection process to ensure needed expertise and perspectives </w:t>
      </w:r>
      <w:r w:rsidRPr="00781112">
        <w:rPr>
          <w:color w:val="000000" w:themeColor="text1"/>
        </w:rPr>
        <w:br/>
        <w:t xml:space="preserve">A completed IZ-ER Implementation Team Charter to support effective meeting routines and structures, and establish communication and data use protocols </w:t>
      </w:r>
      <w:r w:rsidRPr="00781112">
        <w:rPr>
          <w:color w:val="000000" w:themeColor="text1"/>
        </w:rPr>
        <w:br/>
        <w:t>Assessment of the capacity of the Implementation team to use implementation components, practice profiles</w:t>
      </w:r>
      <w:r w:rsidRPr="00781112">
        <w:rPr>
          <w:color w:val="000000" w:themeColor="text1"/>
        </w:rPr>
        <w:br/>
        <w:t>Established criteria for district mutual selection process</w:t>
      </w:r>
      <w:r w:rsidRPr="00781112">
        <w:rPr>
          <w:color w:val="000000" w:themeColor="text1"/>
        </w:rPr>
        <w:br/>
        <w:t xml:space="preserve">Completed district implementation plans that include initial training/coaching delivery models, and processes related to data, communication, and decision-making. </w:t>
      </w:r>
      <w:r w:rsidRPr="00781112">
        <w:rPr>
          <w:color w:val="000000" w:themeColor="text1"/>
        </w:rPr>
        <w:br/>
        <w:t xml:space="preserve"> </w:t>
      </w:r>
      <w:r w:rsidRPr="00781112">
        <w:rPr>
          <w:color w:val="000000" w:themeColor="text1"/>
        </w:rPr>
        <w:br/>
        <w:t xml:space="preserve">As WDPI </w:t>
      </w:r>
      <w:proofErr w:type="gramStart"/>
      <w:r w:rsidRPr="00781112">
        <w:rPr>
          <w:color w:val="000000" w:themeColor="text1"/>
        </w:rPr>
        <w:t>carries out</w:t>
      </w:r>
      <w:proofErr w:type="gramEnd"/>
      <w:r w:rsidRPr="00781112">
        <w:rPr>
          <w:color w:val="000000" w:themeColor="text1"/>
        </w:rPr>
        <w:t xml:space="preserve"> the installation activities described above, exploration activities will start with districts focusing on District Selection and Implementation Team Development. WDPI will support districts who agree to participate in the IZ-ER with coaching, funds, and other resources to establish the implementation infrastructure needed to promote teachers’ use of the ER-PP. </w:t>
      </w:r>
      <w:r w:rsidRPr="00781112">
        <w:rPr>
          <w:color w:val="000000" w:themeColor="text1"/>
        </w:rPr>
        <w:br/>
        <w:t xml:space="preserve"> </w:t>
      </w:r>
      <w:r w:rsidRPr="00781112">
        <w:rPr>
          <w:color w:val="000000" w:themeColor="text1"/>
        </w:rPr>
        <w:br/>
        <w:t xml:space="preserve">During the next reporting period, the anticipated outcomes of district exploration activities include: </w:t>
      </w:r>
      <w:r w:rsidRPr="00781112">
        <w:rPr>
          <w:color w:val="000000" w:themeColor="text1"/>
        </w:rPr>
        <w:br/>
        <w:t xml:space="preserve">Established District Implementation Teams (DITs) and membership through mutual selection and partnership agreement process to ensure needed expertise and perspectives </w:t>
      </w:r>
      <w:r w:rsidRPr="00781112">
        <w:rPr>
          <w:color w:val="000000" w:themeColor="text1"/>
        </w:rPr>
        <w:br/>
        <w:t xml:space="preserve">Developed DIT Charters to support effective meeting routines and structures, and establish communication and data use protocols </w:t>
      </w:r>
      <w:r w:rsidRPr="00781112">
        <w:rPr>
          <w:color w:val="000000" w:themeColor="text1"/>
        </w:rPr>
        <w:br/>
        <w:t>Use of capacity data by DITs to use implementation components, practice profiles, processes related to data, communication, and decision-making.</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The timeline for installation of the SSOS infrastructure and the IZ-ER evidenced based practices will </w:t>
      </w:r>
      <w:proofErr w:type="gramStart"/>
      <w:r w:rsidRPr="00781112">
        <w:t>be adjusted</w:t>
      </w:r>
      <w:proofErr w:type="gramEnd"/>
      <w:r w:rsidRPr="00781112">
        <w:t xml:space="preserve"> by one additional year due to a period of vacancies and changes in staffing requiring additional capacity building with the WDPI. Funding also needed to </w:t>
      </w:r>
      <w:proofErr w:type="gramStart"/>
      <w:r w:rsidRPr="00781112">
        <w:t>be restructured</w:t>
      </w:r>
      <w:proofErr w:type="gramEnd"/>
      <w:r w:rsidRPr="00781112">
        <w:t xml:space="preserve"> so that IDEA would provide the sole source of funding, which resulted in reconfiguration of positions. </w:t>
      </w:r>
      <w:r w:rsidRPr="00781112">
        <w:br/>
        <w:t xml:space="preserve">The number of LEAs participating in the State Systemic Improvement Plan for this cycle has decreased from seventeen to ten for three reasons. First, for the Special Education Team to assume full funding responsibility for the Implementation Zone a reduction in personnel and subsequent LEA participation from nine districts to six was necessary. Second, the Inclusive Learning Communities strategy includes supporting LEAs in understanding educational inequities across ability, race, ethnicity, social class, gender, sexual/gender identity and their intersections. Due to divergent political viewpoints pertaining to race and racism in schools encountered by </w:t>
      </w:r>
      <w:proofErr w:type="gramStart"/>
      <w:r w:rsidRPr="00781112">
        <w:t>several of</w:t>
      </w:r>
      <w:proofErr w:type="gramEnd"/>
      <w:r w:rsidRPr="00781112">
        <w:t xml:space="preserve"> the school boards serving LEAs participating in the IZ-ILC project, three districts have opted to discontinue participation in the project. Finally, one LEA discontinued participation in the IZ-ILC project due to changes in district leadership.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CURRENT REPORTING PERIOD:</w:t>
      </w:r>
      <w:r w:rsidRPr="00781112">
        <w:rPr>
          <w:color w:val="000000" w:themeColor="text1"/>
        </w:rPr>
        <w:br/>
        <w:t xml:space="preserve">The DPI used the Wisconsin Council on Special Education (the Council, https://dpi.wi.gov/sped/council) to solicit ongoing stakeholder input on the State's targets in the SPP/APR, any subsequent revisions that the state has made to those targets, development and implementation of Indicator 17, and improvement activities. The Council met four times during this reporting period: September 24, 2021; December 3, 2021; March 11, 2021; and June 17, 2022. The twenty-five members of </w:t>
      </w:r>
      <w:proofErr w:type="gramStart"/>
      <w:r w:rsidRPr="00781112">
        <w:rPr>
          <w:color w:val="000000" w:themeColor="text1"/>
        </w:rPr>
        <w:t>Council</w:t>
      </w:r>
      <w:proofErr w:type="gramEnd"/>
      <w:r w:rsidRPr="00781112">
        <w:rPr>
          <w:color w:val="000000" w:themeColor="text1"/>
        </w:rPr>
        <w:t xml:space="preserve"> includes the representation required in the reauthorization of the Individuals with Disabilities Education Act of 2004. </w:t>
      </w:r>
      <w:r w:rsidRPr="00781112">
        <w:rPr>
          <w:color w:val="000000" w:themeColor="text1"/>
        </w:rPr>
        <w:br/>
      </w:r>
      <w:r w:rsidRPr="00781112">
        <w:rPr>
          <w:color w:val="000000" w:themeColor="text1"/>
        </w:rPr>
        <w:br/>
        <w:t>SOLICITING BROAD STAKEHOLDER INPUT ON THE STATE'S TARGETS IN THE SPP/APR:</w:t>
      </w:r>
      <w:r w:rsidRPr="00781112">
        <w:rPr>
          <w:color w:val="000000" w:themeColor="text1"/>
        </w:rPr>
        <w:br/>
        <w:t>The DPI used both universal and targeted approaches to solicit broad stakeholder input on the State’s targets in the SPP/APR and any subsequent revisions that the State has made to those targets, and the development and implementation of Indicator 17, the State’s Systemic Improvement Plan (SSIP). During the year-long process, the DPI reviewed input provided by 3,719 stakeholders. During this year-long process, the DPI structured the data, discussion, and target-setting around four key questions: (1) How well is Wisconsin preparing students with IEPs for life after high school? (2) Are Wisconsin learners with IEPs learning in the same spaces as their peers? (3) How engaged are Wisconsin families in the learning of their children with IEPs? and (4) How are Wisconsin learners with IEPs performing in key areas?</w:t>
      </w:r>
      <w:r w:rsidRPr="00781112">
        <w:rPr>
          <w:color w:val="000000" w:themeColor="text1"/>
        </w:rPr>
        <w:br/>
      </w:r>
      <w:r w:rsidRPr="00781112">
        <w:rPr>
          <w:color w:val="000000" w:themeColor="text1"/>
        </w:rPr>
        <w:lastRenderedPageBreak/>
        <w:br/>
      </w:r>
      <w:proofErr w:type="gramStart"/>
      <w:r w:rsidRPr="00781112">
        <w:rPr>
          <w:color w:val="000000" w:themeColor="text1"/>
        </w:rPr>
        <w:t>1</w:t>
      </w:r>
      <w:proofErr w:type="gramEnd"/>
      <w:r w:rsidRPr="00781112">
        <w:rPr>
          <w:color w:val="000000" w:themeColor="text1"/>
        </w:rPr>
        <w:t>. Universal strategy: Open invitation to input sessions</w:t>
      </w:r>
      <w:r w:rsidRPr="00781112">
        <w:rPr>
          <w:color w:val="000000" w:themeColor="text1"/>
        </w:rPr>
        <w:br/>
        <w:t>The DPI scheduled five synchronous input sessions to solicit input on the State’s targets in the SPP/APR and any subsequent revisions that the State has made to those targets, and the development and implementation of Indicator 17, the State’s Systemic Improvement Plan (SSIP): June 19, 2020; March 12, 2021; June 25, 2021; September 24, 2021; and December 3, 2021.</w:t>
      </w:r>
      <w:r w:rsidRPr="00781112">
        <w:rPr>
          <w:color w:val="000000" w:themeColor="text1"/>
        </w:rPr>
        <w:br/>
      </w:r>
      <w:r w:rsidRPr="00781112">
        <w:rPr>
          <w:color w:val="000000" w:themeColor="text1"/>
        </w:rPr>
        <w:br/>
        <w:t xml:space="preserve">The DPI distributes a weekly news update related to special education and pupil services; this update serves as the official notification to directors of special education and is distributed to more than 1,000 unique contacts. In advance of each of the input sessions, the DPI included an open invitation to participate in the input sessions. These news updates </w:t>
      </w:r>
      <w:proofErr w:type="gramStart"/>
      <w:r w:rsidRPr="00781112">
        <w:rPr>
          <w:color w:val="000000" w:themeColor="text1"/>
        </w:rPr>
        <w:t>are archived</w:t>
      </w:r>
      <w:proofErr w:type="gramEnd"/>
      <w:r w:rsidRPr="00781112">
        <w:rPr>
          <w:color w:val="000000" w:themeColor="text1"/>
        </w:rPr>
        <w:t xml:space="preserve"> online at https://dpi.wi.gov/sped/news. In addition, an open invitation to attend the input sessions was sent out on the CollabSupport listserve, announced at various conferences and stakeholder meetings, and posted online (https://dpi.wi.gov/sped/spp-target-setting) in May 2021 and remained online until after the final input session.</w:t>
      </w:r>
      <w:r w:rsidRPr="00781112">
        <w:rPr>
          <w:color w:val="000000" w:themeColor="text1"/>
        </w:rPr>
        <w:br/>
      </w:r>
      <w:r w:rsidRPr="00781112">
        <w:rPr>
          <w:color w:val="000000" w:themeColor="text1"/>
        </w:rPr>
        <w:br/>
      </w:r>
      <w:proofErr w:type="gramStart"/>
      <w:r w:rsidRPr="00781112">
        <w:rPr>
          <w:color w:val="000000" w:themeColor="text1"/>
        </w:rPr>
        <w:t>2</w:t>
      </w:r>
      <w:proofErr w:type="gramEnd"/>
      <w:r w:rsidRPr="00781112">
        <w:rPr>
          <w:color w:val="000000" w:themeColor="text1"/>
        </w:rPr>
        <w:t>. Universal strategy: Open invitation to submit asynchronous, web-based input</w:t>
      </w:r>
      <w:r w:rsidRPr="00781112">
        <w:rPr>
          <w:color w:val="000000" w:themeColor="text1"/>
        </w:rPr>
        <w:br/>
        <w:t>The DPI developed a series of webpages to solicit input on the State’s targets in the SPP/APR and any subsequent revisions that the State has made to those targets, and the development and implementation of Indicator 17, the State’s Systemic Improvement Plan (SSIP). The web pages provided data analysis, recommended targets and rationale, and information on improvement strategies and evaluation. The web pages included this information via video or slide deck format. The web pages linked to Google forms for each of the results indicators and Indicator 17. The Google forms collected recommendations for target-setting and improvement activities and allowed stakeholders to provide additional and relevant feedback related to each of the results indicators and Indicator 17. To see the web pages, please visit https://dpi.wi.gov/sped/spp-target-setting.</w:t>
      </w:r>
      <w:r w:rsidRPr="00781112">
        <w:rPr>
          <w:color w:val="000000" w:themeColor="text1"/>
        </w:rPr>
        <w:br/>
      </w:r>
      <w:r w:rsidRPr="00781112">
        <w:rPr>
          <w:color w:val="000000" w:themeColor="text1"/>
        </w:rPr>
        <w:br/>
        <w:t xml:space="preserve">The DPI distributes a weekly news update related to special education and pupil services; this update serves as the official notification to directors of special education and </w:t>
      </w:r>
      <w:proofErr w:type="gramStart"/>
      <w:r w:rsidRPr="00781112">
        <w:rPr>
          <w:color w:val="000000" w:themeColor="text1"/>
        </w:rPr>
        <w:t>is distributed</w:t>
      </w:r>
      <w:proofErr w:type="gramEnd"/>
      <w:r w:rsidRPr="00781112">
        <w:rPr>
          <w:color w:val="000000" w:themeColor="text1"/>
        </w:rPr>
        <w:t xml:space="preserve"> to more than 1,000 unique contacts. Beginning in May 2021, the DPI </w:t>
      </w:r>
      <w:proofErr w:type="gramStart"/>
      <w:r w:rsidRPr="00781112">
        <w:rPr>
          <w:color w:val="000000" w:themeColor="text1"/>
        </w:rPr>
        <w:t>included regularly</w:t>
      </w:r>
      <w:proofErr w:type="gramEnd"/>
      <w:r w:rsidRPr="00781112">
        <w:rPr>
          <w:color w:val="000000" w:themeColor="text1"/>
        </w:rPr>
        <w:t xml:space="preserve"> an open invitation to submit input asynchronously through the web. These news updates </w:t>
      </w:r>
      <w:proofErr w:type="gramStart"/>
      <w:r w:rsidRPr="00781112">
        <w:rPr>
          <w:color w:val="000000" w:themeColor="text1"/>
        </w:rPr>
        <w:t>are archived</w:t>
      </w:r>
      <w:proofErr w:type="gramEnd"/>
      <w:r w:rsidRPr="00781112">
        <w:rPr>
          <w:color w:val="000000" w:themeColor="text1"/>
        </w:rPr>
        <w:t xml:space="preserve"> online at https://dpi.wi.gov/sped/news. In addition, an invitation to participate was sent out on the CollabSupport listserve, announced at various conferences and stakeholder meetings, and posted online.</w:t>
      </w:r>
      <w:r w:rsidRPr="00781112">
        <w:rPr>
          <w:color w:val="000000" w:themeColor="text1"/>
        </w:rPr>
        <w:br/>
      </w:r>
      <w:r w:rsidRPr="00781112">
        <w:rPr>
          <w:color w:val="000000" w:themeColor="text1"/>
        </w:rPr>
        <w:br/>
      </w:r>
      <w:proofErr w:type="gramStart"/>
      <w:r w:rsidRPr="00781112">
        <w:rPr>
          <w:color w:val="000000" w:themeColor="text1"/>
        </w:rPr>
        <w:t>3</w:t>
      </w:r>
      <w:proofErr w:type="gramEnd"/>
      <w:r w:rsidRPr="00781112">
        <w:rPr>
          <w:color w:val="000000" w:themeColor="text1"/>
        </w:rPr>
        <w:t>. Targeted strategy: State Advisory Panel input sessions</w:t>
      </w:r>
      <w:r w:rsidRPr="00781112">
        <w:rPr>
          <w:color w:val="000000" w:themeColor="text1"/>
        </w:rPr>
        <w:br/>
        <w:t>The DPI conducted five input sessions with the State Advisory Panel to gather input on the State’s targets in the SPP/APR and any subsequent revisions that the State has made to those targets, and the development and implementation of Indicator 17, the State’s Systemic Improvement Plan (SSIP). The dates of these sessions were June 19, 2020; March 12, 2021; June 25, 2021; September 24, 2021; and December 3, 2021. The agendas and minutes for these sessions are available online at https://dpi.wi.gov/sped/council/agendas-and-minutes. For details related to these input sessions, see, below, section on parent and family engagement.</w:t>
      </w:r>
      <w:r w:rsidRPr="00781112">
        <w:rPr>
          <w:color w:val="000000" w:themeColor="text1"/>
        </w:rPr>
        <w:br/>
      </w:r>
      <w:r w:rsidRPr="00781112">
        <w:rPr>
          <w:color w:val="000000" w:themeColor="text1"/>
        </w:rPr>
        <w:br/>
      </w:r>
      <w:proofErr w:type="gramStart"/>
      <w:r w:rsidRPr="00781112">
        <w:rPr>
          <w:color w:val="000000" w:themeColor="text1"/>
        </w:rPr>
        <w:t>4</w:t>
      </w:r>
      <w:proofErr w:type="gramEnd"/>
      <w:r w:rsidRPr="00781112">
        <w:rPr>
          <w:color w:val="000000" w:themeColor="text1"/>
        </w:rPr>
        <w:t>. Targeted strategy: Customized invitations to stakeholders</w:t>
      </w:r>
      <w:r w:rsidRPr="00781112">
        <w:rPr>
          <w:color w:val="000000" w:themeColor="text1"/>
        </w:rPr>
        <w:br/>
        <w:t>The DPI invited targeted stakeholders for input on the State’s targets in the SPP/APR and any subsequent revisions that the State has made to those targets, and the development and implementation of Indicator 17, the State’s Systemic Improvement Plan (SSIP). The State Director sent personalized invitations to representatives of Wisconsin organizations with an interest in special education (state association of special education directors, parent center staff, parents from local and statewide advocacy and advisory committees, SEA employees, representatives from grants funded by discretionary IDEA funds, etc.) to participate in the input sessions (described, above) or to submit input via the website.</w:t>
      </w:r>
      <w:r w:rsidRPr="00781112">
        <w:rPr>
          <w:color w:val="000000" w:themeColor="text1"/>
        </w:rPr>
        <w:br/>
      </w:r>
      <w:r w:rsidRPr="00781112">
        <w:rPr>
          <w:color w:val="000000" w:themeColor="text1"/>
        </w:rPr>
        <w:br/>
        <w:t>5. Targeted strategy: Customized surveys of families</w:t>
      </w:r>
      <w:r w:rsidRPr="00781112">
        <w:rPr>
          <w:color w:val="000000" w:themeColor="text1"/>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developed customized surveys and partnered with Green Bay Area Public Schools and Milwaukee Public Schools to collect data during parent-teacher conferences in the spring of 2021. The surveys were paper-and-pencil; families of color were specifically targeted to participate in the survey.</w:t>
      </w:r>
      <w:r w:rsidRPr="00781112">
        <w:rPr>
          <w:color w:val="000000" w:themeColor="text1"/>
        </w:rPr>
        <w:br/>
      </w:r>
      <w:r w:rsidRPr="00781112">
        <w:rPr>
          <w:color w:val="000000" w:themeColor="text1"/>
        </w:rPr>
        <w:br/>
      </w:r>
      <w:proofErr w:type="gramStart"/>
      <w:r w:rsidRPr="00781112">
        <w:rPr>
          <w:color w:val="000000" w:themeColor="text1"/>
        </w:rPr>
        <w:t>6</w:t>
      </w:r>
      <w:proofErr w:type="gramEnd"/>
      <w:r w:rsidRPr="00781112">
        <w:rPr>
          <w:color w:val="000000" w:themeColor="text1"/>
        </w:rPr>
        <w:t>. Targeted strategy: Contract to review data collected via Indicator 8 parent surveys</w:t>
      </w:r>
      <w:r w:rsidRPr="00781112">
        <w:rPr>
          <w:color w:val="000000" w:themeColor="text1"/>
        </w:rPr>
        <w:br/>
        <w:t>The DPI collaborated with the Wisconsin Statewide Parent-Educator Initiative (WSPEI, online at https://wspei.org/) to gather input from families on the State’s targets in the SPP/APR and any subsequent revisions that the State has made to those targets, and the development and implementation of Indicator 17, the State’s Systemic Improvement Plan (SSIP). WSPEI contracted with an independent researcher to review Indicator 8 survey data for themes related to the results indicators and Indicator 17. The researcher harvested these themes for the data and submitted a written report summarizing their research findings.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During the Spring 2022 semester, the Wisconsin Evaluation Collaborative (WEC) engaged with four of the eight participating IZ-ILC districts in a case study as part of the longitudinal evaluation of the WDPI's SSOS for federally identified schools and districts. The IZ-ILC is one of the supports offered within the SSOS. The case study's purpose was to engage interested parties in discussions related to continuous improvement efforts within the project. Through this process, five common findings were identified across the four districts: 1) readiness for grant activities, 2) assessment streamlining and improvement process integration, 3) support from community, school board, and staff not on a leadership team, 4) engaging the community, and 5) further collaboration within and outside of the district. Although districts experienced challenges, participants reported that the IZ-ILC grant is helping them "make good strides", engage in the "right work" and is providing them with a "framework to be more successful"</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The primary engagement of interested parties that occurred in IZ-ER improvement efforts involved convening a group of practitioners from February through June 2022 to co-develop a set of practice profiles focusing on explicit and systematic phonics instruction and building background knowledge through text collections. Based on well-established connections with the field through a WDPI Literacy Consultant, a critical partner in this work, and selection criteria to ensure practitioner expertise and diversity, individuals </w:t>
      </w:r>
      <w:proofErr w:type="gramStart"/>
      <w:r w:rsidRPr="00781112">
        <w:rPr>
          <w:color w:val="000000" w:themeColor="text1"/>
        </w:rPr>
        <w:t>were identified</w:t>
      </w:r>
      <w:proofErr w:type="gramEnd"/>
      <w:r w:rsidRPr="00781112">
        <w:rPr>
          <w:color w:val="000000" w:themeColor="text1"/>
        </w:rPr>
        <w:t xml:space="preserve"> to participate in the Early Reading Practice Profile (ER-PP) Development Team. A $1500 per person stipend was provided to honor the work of these full-time practitioners joining the team and supporting the ER-PP development</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The ER-PP Development Team consisted of eight practitioners from the field representing literacy instructional expertise in general education, special education, higher education, regional education service agencies, early childhood, and libraries. The team met with the WDPI project team for eight 2-hour whole group capacity-building sessions. These sessions </w:t>
      </w:r>
      <w:proofErr w:type="gramStart"/>
      <w:r w:rsidRPr="00781112">
        <w:rPr>
          <w:color w:val="000000" w:themeColor="text1"/>
        </w:rPr>
        <w:t>were developed</w:t>
      </w:r>
      <w:proofErr w:type="gramEnd"/>
      <w:r w:rsidRPr="00781112">
        <w:rPr>
          <w:color w:val="000000" w:themeColor="text1"/>
        </w:rPr>
        <w:t xml:space="preserve"> and delivered by WDPI and SISEP implementation specialists, a WDPI Literacy Consultant, and an external subject-matter expert. The purpose of these sessions was to ensure collective understanding of the role practice profiles play in supporting teacher practice, as well as the critical components of explicit phonics instruction and building background knowledge through text collections. Once that capacity was built, the team met five more times in smaller writing groups to develop components and descriptors for each of the two practice profiles before returning to the whole group for final smoothing and review</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lastRenderedPageBreak/>
        <w:t xml:space="preserve"> </w:t>
      </w:r>
      <w:r w:rsidRPr="00781112">
        <w:rPr>
          <w:color w:val="000000" w:themeColor="text1"/>
        </w:rPr>
        <w:br/>
        <w:t xml:space="preserve">Given the significant emphasis placed on practitioners as interested parties, SISEP approached the ER-PP team to contribute to a podcast focused on the WDPI practice profile development process. Half of the ER-PP Development Team joined the WDPI Project Team to engage in a conversation with SISEP to highlight the experience and share our perspectives on the process. This podcast will </w:t>
      </w:r>
      <w:proofErr w:type="gramStart"/>
      <w:r w:rsidRPr="00781112">
        <w:rPr>
          <w:color w:val="000000" w:themeColor="text1"/>
        </w:rPr>
        <w:t>be made</w:t>
      </w:r>
      <w:proofErr w:type="gramEnd"/>
      <w:r w:rsidRPr="00781112">
        <w:rPr>
          <w:color w:val="000000" w:themeColor="text1"/>
        </w:rPr>
        <w:t xml:space="preserve"> widely available through SISEP’s networks to those interested in a process to develop practice profiles that prioritizes practitioners’ involvement in co-development.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proofErr w:type="gramStart"/>
      <w:r w:rsidRPr="00781112">
        <w:rPr>
          <w:color w:val="000000" w:themeColor="text1"/>
        </w:rPr>
        <w:t>With regard to</w:t>
      </w:r>
      <w:proofErr w:type="gramEnd"/>
      <w:r w:rsidRPr="00781112">
        <w:rPr>
          <w:color w:val="000000" w:themeColor="text1"/>
        </w:rPr>
        <w:t xml:space="preserve"> the IZ-ILC project five themes surfaced during the case study interviews as concerns described above, as implementation activities shifted from internal capacity building to external facing action planning with equity as the center, it became clear that readiness of families and community members (including school board members) was underdeveloped. Despite efforts to partner with families in decision making from the beginning, there was a gap in family/community understanding of the project. Adding in the current political climate, </w:t>
      </w:r>
      <w:proofErr w:type="gramStart"/>
      <w:r w:rsidRPr="00781112">
        <w:rPr>
          <w:color w:val="000000" w:themeColor="text1"/>
        </w:rPr>
        <w:t>many</w:t>
      </w:r>
      <w:proofErr w:type="gramEnd"/>
      <w:r w:rsidRPr="00781112">
        <w:rPr>
          <w:color w:val="000000" w:themeColor="text1"/>
        </w:rPr>
        <w:t xml:space="preserve"> misunderstood the goals of the project. During this reporting period, three participating districts received such pushback from school boards and community members that they withdrew from the project. An additional district withdrew due to readiness barriers in leadership. Information from the Spring, 2022 case study prompted reflection and discussion within the coaching cohort group that supports each participating district. Discussion prompts included: 1) how can the findings inform coaching next steps and 2) what recommendations or suggestions do coaches have for districts, or the WDPI based on findings and their work with and within districts?</w:t>
      </w:r>
      <w:r w:rsidRPr="00781112">
        <w:rPr>
          <w:color w:val="000000" w:themeColor="text1"/>
        </w:rPr>
        <w:br/>
      </w:r>
      <w:r w:rsidRPr="00781112">
        <w:rPr>
          <w:color w:val="000000" w:themeColor="text1"/>
        </w:rPr>
        <w:br/>
        <w:t xml:space="preserve">In response to the findings and expressed concerns, the following actions were taken: </w:t>
      </w:r>
      <w:r w:rsidRPr="00781112">
        <w:rPr>
          <w:color w:val="000000" w:themeColor="text1"/>
        </w:rPr>
        <w:br/>
        <w:t xml:space="preserve">WDPI engaged in individual planning sessions with districts who struggled with readiness and timeline requirements due to COVID challenges. Pacing and requirement timelines </w:t>
      </w:r>
      <w:proofErr w:type="gramStart"/>
      <w:r w:rsidRPr="00781112">
        <w:rPr>
          <w:color w:val="000000" w:themeColor="text1"/>
        </w:rPr>
        <w:t>were individualized</w:t>
      </w:r>
      <w:proofErr w:type="gramEnd"/>
      <w:r w:rsidRPr="00781112">
        <w:rPr>
          <w:color w:val="000000" w:themeColor="text1"/>
        </w:rPr>
        <w:t xml:space="preserve"> to meet each district where they were to promote and sustain success while attending to fidelity. Additional “office hours” </w:t>
      </w:r>
      <w:proofErr w:type="gramStart"/>
      <w:r w:rsidRPr="00781112">
        <w:rPr>
          <w:color w:val="000000" w:themeColor="text1"/>
        </w:rPr>
        <w:t>were offered</w:t>
      </w:r>
      <w:proofErr w:type="gramEnd"/>
      <w:r w:rsidRPr="00781112">
        <w:rPr>
          <w:color w:val="000000" w:themeColor="text1"/>
        </w:rPr>
        <w:t xml:space="preserve"> for districts who requested added support from the training experts. </w:t>
      </w:r>
      <w:proofErr w:type="gramStart"/>
      <w:r w:rsidRPr="00781112">
        <w:rPr>
          <w:color w:val="000000" w:themeColor="text1"/>
        </w:rPr>
        <w:t>These were attended by both internal and external coaches</w:t>
      </w:r>
      <w:proofErr w:type="gramEnd"/>
      <w:r w:rsidRPr="00781112">
        <w:rPr>
          <w:color w:val="000000" w:themeColor="text1"/>
        </w:rPr>
        <w:t xml:space="preserve">. </w:t>
      </w:r>
      <w:r w:rsidRPr="00781112">
        <w:rPr>
          <w:color w:val="000000" w:themeColor="text1"/>
        </w:rPr>
        <w:br/>
      </w:r>
      <w:r w:rsidRPr="00781112">
        <w:rPr>
          <w:color w:val="000000" w:themeColor="text1"/>
        </w:rPr>
        <w:br/>
      </w:r>
      <w:proofErr w:type="gramStart"/>
      <w:r w:rsidRPr="00781112">
        <w:rPr>
          <w:color w:val="000000" w:themeColor="text1"/>
        </w:rPr>
        <w:t>In an effort to</w:t>
      </w:r>
      <w:proofErr w:type="gramEnd"/>
      <w:r w:rsidRPr="00781112">
        <w:rPr>
          <w:color w:val="000000" w:themeColor="text1"/>
        </w:rPr>
        <w:t xml:space="preserve"> streamline assessment and data use integration, WDPI convened a Decision Support Data System (DSDS) team charged with collecting, organizing, categorizing, analyzing and reporting on programmatic, fidelity and outcome data related to the project. At the time of this report, the team </w:t>
      </w:r>
      <w:proofErr w:type="gramStart"/>
      <w:r w:rsidRPr="00781112">
        <w:rPr>
          <w:color w:val="000000" w:themeColor="text1"/>
        </w:rPr>
        <w:t>is positioned</w:t>
      </w:r>
      <w:proofErr w:type="gramEnd"/>
      <w:r w:rsidRPr="00781112">
        <w:rPr>
          <w:color w:val="000000" w:themeColor="text1"/>
        </w:rPr>
        <w:t xml:space="preserve"> to engage in this work which will provide data in user-friendly dashboards allowing interested parties at any level of the system to use data to inform decisions. </w:t>
      </w:r>
      <w:r w:rsidRPr="00781112">
        <w:rPr>
          <w:color w:val="000000" w:themeColor="text1"/>
        </w:rPr>
        <w:br/>
      </w:r>
      <w:r w:rsidRPr="00781112">
        <w:rPr>
          <w:color w:val="000000" w:themeColor="text1"/>
        </w:rPr>
        <w:br/>
        <w:t xml:space="preserve">To address concerns shared by interested parties regarding support from the community, questions considered include: 1) how can the WDPI provide guidance on communicating with and strategies for challenging conversations with community members, school board members, and staff who are not supportive of the work and 2) what guidance can the WDPI share with districts about including school board members in initial trainings and having conversations with communities about the work earlier in the project timeline? WDPI invited consultants from the Wisconsin Statewide Parent Educator Initiative (WSPEI) to provide ongoing training and coaching support to the regional and district coaching cohort during the 2022-2023 school year. During this reporting period, WSPEI engaged in two monthly training and coaching sessions (September and October 2022) with the coaching cohort. Learning topics for the year include ensuring families </w:t>
      </w:r>
      <w:proofErr w:type="gramStart"/>
      <w:r w:rsidRPr="00781112">
        <w:rPr>
          <w:color w:val="000000" w:themeColor="text1"/>
        </w:rPr>
        <w:t>are represented</w:t>
      </w:r>
      <w:proofErr w:type="gramEnd"/>
      <w:r w:rsidRPr="00781112">
        <w:rPr>
          <w:color w:val="000000" w:themeColor="text1"/>
        </w:rPr>
        <w:t xml:space="preserve"> and have a voice on district and school committees, learners and families as equal partners in the IEP process, and leadership roles in decision-making groups at the school and in community settings are equitably representative of all learners and families. During these sessions, coaches engaged in collaborative discussions related to embedding family partnerships into system policies and procedures to ensure an environment where every family’s culture </w:t>
      </w:r>
      <w:proofErr w:type="gramStart"/>
      <w:r w:rsidRPr="00781112">
        <w:rPr>
          <w:color w:val="000000" w:themeColor="text1"/>
        </w:rPr>
        <w:t>is welcomed</w:t>
      </w:r>
      <w:proofErr w:type="gramEnd"/>
      <w:r w:rsidRPr="00781112">
        <w:rPr>
          <w:color w:val="000000" w:themeColor="text1"/>
        </w:rPr>
        <w:t xml:space="preserve">, honored, and integrated into the learning community. Throughout the current school year, coaches are working to take this learning back to district leadership teams to facilitate further conversations and action planning. Finally, the participating districts will gather feedback directly from interested parties within their communities (students, </w:t>
      </w:r>
      <w:proofErr w:type="gramStart"/>
      <w:r w:rsidRPr="00781112">
        <w:rPr>
          <w:color w:val="000000" w:themeColor="text1"/>
        </w:rPr>
        <w:t>staff</w:t>
      </w:r>
      <w:proofErr w:type="gramEnd"/>
      <w:r w:rsidRPr="00781112">
        <w:rPr>
          <w:color w:val="000000" w:themeColor="text1"/>
        </w:rPr>
        <w:t xml:space="preserve"> and families) through the Vibrant School Scale designed to capture the highest aspirations of educators, students, and families for the kinds of schools they would dream of for themselves or a child they love. Data from this survey will help inform action planning and decision making related to climate, culture, and partnerships.</w:t>
      </w:r>
      <w:r w:rsidRPr="00781112">
        <w:rPr>
          <w:color w:val="000000" w:themeColor="text1"/>
        </w:rPr>
        <w:br/>
        <w:t xml:space="preserve">   </w:t>
      </w:r>
      <w:r w:rsidRPr="00781112">
        <w:rPr>
          <w:color w:val="000000" w:themeColor="text1"/>
        </w:rPr>
        <w:br/>
        <w:t xml:space="preserve">During engagement with interested parties during the ER-PP development, feedback overall yielded positive responses regarding meeting objectives, team dynamics (i.e., norms, use of time), and structures for success (i.e., access to resources, communication). Participants also voiced concerns regarding the intensity of the work and </w:t>
      </w:r>
      <w:proofErr w:type="gramStart"/>
      <w:r w:rsidRPr="00781112">
        <w:rPr>
          <w:color w:val="000000" w:themeColor="text1"/>
        </w:rPr>
        <w:t>amount</w:t>
      </w:r>
      <w:proofErr w:type="gramEnd"/>
      <w:r w:rsidRPr="00781112">
        <w:rPr>
          <w:color w:val="000000" w:themeColor="text1"/>
        </w:rPr>
        <w:t xml:space="preserve"> of time it required to fully participate. They saw the value of the ER-PP and were committed to supporting its development but noted in the final session that if this process were </w:t>
      </w:r>
      <w:proofErr w:type="gramStart"/>
      <w:r w:rsidRPr="00781112">
        <w:rPr>
          <w:color w:val="000000" w:themeColor="text1"/>
        </w:rPr>
        <w:t>carried out</w:t>
      </w:r>
      <w:proofErr w:type="gramEnd"/>
      <w:r w:rsidRPr="00781112">
        <w:rPr>
          <w:color w:val="000000" w:themeColor="text1"/>
        </w:rPr>
        <w:t xml:space="preserve"> in the future, ensuring the relevant parties are more aware of and effectively manage the time commitment was recommended. Additionally, as the two practices focused on a limited scope of early literacy instruction, they asserted the need to ensure that the final ER-PP effectively messages the need to consider the role of these  practices in relationship to other critical components of early literacy practices. Finally, throughout the sessions, participants demonstrated concern for the future use of the practice profile, expressing their significant regard for the development of high-quality training and coaching supports to ensure the practices they had so thoughtfully defined and operationalized would </w:t>
      </w:r>
      <w:proofErr w:type="gramStart"/>
      <w:r w:rsidRPr="00781112">
        <w:rPr>
          <w:color w:val="000000" w:themeColor="text1"/>
        </w:rPr>
        <w:t>be used</w:t>
      </w:r>
      <w:proofErr w:type="gramEnd"/>
      <w:r w:rsidRPr="00781112">
        <w:rPr>
          <w:color w:val="000000" w:themeColor="text1"/>
        </w:rPr>
        <w:t xml:space="preserve"> to fidelity in districts. The concerns outlined above were addressed in the following ways:</w:t>
      </w:r>
      <w:r w:rsidRPr="00781112">
        <w:rPr>
          <w:color w:val="000000" w:themeColor="text1"/>
        </w:rPr>
        <w:br/>
      </w:r>
      <w:r w:rsidRPr="00781112">
        <w:rPr>
          <w:color w:val="000000" w:themeColor="text1"/>
        </w:rPr>
        <w:br/>
        <w:t xml:space="preserve">Knowing that the ER-PP development process would be </w:t>
      </w:r>
      <w:proofErr w:type="gramStart"/>
      <w:r w:rsidRPr="00781112">
        <w:rPr>
          <w:color w:val="000000" w:themeColor="text1"/>
        </w:rPr>
        <w:t>a significant time</w:t>
      </w:r>
      <w:proofErr w:type="gramEnd"/>
      <w:r w:rsidRPr="00781112">
        <w:rPr>
          <w:color w:val="000000" w:themeColor="text1"/>
        </w:rPr>
        <w:t xml:space="preserve"> commitment from the beginning, the WDPI offered a $1500 per-person stipend. As the project got underway, based on anecdotal feedback and meeting evaluation data regarding challenges to managing the time commitment for this work, the WDPI was mindful of consistently incorporating elements of </w:t>
      </w:r>
      <w:proofErr w:type="gramStart"/>
      <w:r w:rsidRPr="00781112">
        <w:rPr>
          <w:color w:val="000000" w:themeColor="text1"/>
        </w:rPr>
        <w:t>high quality</w:t>
      </w:r>
      <w:proofErr w:type="gramEnd"/>
      <w:r w:rsidRPr="00781112">
        <w:rPr>
          <w:color w:val="000000" w:themeColor="text1"/>
        </w:rPr>
        <w:t xml:space="preserve"> professional learning into capacity-building and component/descriptor writing sessions. Real-time adjustments to chunking and pacing content, flexibility for small group assignments, and opportunities for processing were employed to mitigate some of the time pressures associated with the ER-PP development process.</w:t>
      </w:r>
      <w:r w:rsidRPr="00781112">
        <w:rPr>
          <w:color w:val="000000" w:themeColor="text1"/>
        </w:rPr>
        <w:br/>
      </w:r>
      <w:r w:rsidRPr="00781112">
        <w:rPr>
          <w:color w:val="000000" w:themeColor="text1"/>
        </w:rPr>
        <w:br/>
        <w:t>Given that the ER-PP Development Team participants expressed concerns that the ER-PP would misconstrue a narrow focus on literacy instruction based on the two specific practices it contained, the WDPI is drafting foundational information to include a philosophical position about comprehensive early literacy instruction aligned to best practices and WDPI’s ELA standards and priorities. Training and coaching will also be developed to ensure that the two ER-PP practices are understood within the broader context of early literacy as a whole.</w:t>
      </w:r>
      <w:r w:rsidRPr="00781112">
        <w:rPr>
          <w:color w:val="000000" w:themeColor="text1"/>
        </w:rPr>
        <w:br/>
      </w:r>
      <w:r w:rsidRPr="00781112">
        <w:rPr>
          <w:color w:val="000000" w:themeColor="text1"/>
        </w:rPr>
        <w:br/>
        <w:t xml:space="preserve">Reflecting the ER-PP Development Team’s convictions regarding the use of the ER-PP to support fidelity of teacher practice, the WDPI is prioritizing training and coaching service delivery as a key driver of implementation efforts. Participants in the ER-PP Development Team will </w:t>
      </w:r>
      <w:proofErr w:type="gramStart"/>
      <w:r w:rsidRPr="00781112">
        <w:rPr>
          <w:color w:val="000000" w:themeColor="text1"/>
        </w:rPr>
        <w:t>be invited</w:t>
      </w:r>
      <w:proofErr w:type="gramEnd"/>
      <w:r w:rsidRPr="00781112">
        <w:rPr>
          <w:color w:val="000000" w:themeColor="text1"/>
        </w:rPr>
        <w:t xml:space="preserve"> to provide feedback on the training and coaching materials to increase the likelihood of effective use of the ER-PP. Further, mutual selection criteria and the exploration process with districts will address readiness so partner districts </w:t>
      </w:r>
      <w:proofErr w:type="gramStart"/>
      <w:r w:rsidRPr="00781112">
        <w:rPr>
          <w:color w:val="000000" w:themeColor="text1"/>
        </w:rPr>
        <w:t>are appropriately identified</w:t>
      </w:r>
      <w:proofErr w:type="gramEnd"/>
      <w:r w:rsidRPr="00781112">
        <w:rPr>
          <w:color w:val="000000" w:themeColor="text1"/>
        </w:rPr>
        <w:t xml:space="preserve"> to participate in the IZ-ER and use the ER-PP as intended.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DPI identified an error in the data submission for FFY2020 in this indicator, which resulted in </w:t>
      </w:r>
      <w:proofErr w:type="gramStart"/>
      <w:r w:rsidRPr="00781112">
        <w:rPr>
          <w:color w:val="000000" w:themeColor="text1"/>
        </w:rPr>
        <w:t>a number of</w:t>
      </w:r>
      <w:proofErr w:type="gramEnd"/>
      <w:r w:rsidRPr="00781112">
        <w:rPr>
          <w:color w:val="000000" w:themeColor="text1"/>
        </w:rPr>
        <w:t xml:space="preserve"> students outside the specified subset to be included in the data. The revised data would place DPI's baseline at 8.82% (6/68) for both 17a and 17b. It is the same for both 17a and 17b  due to the data being baseline, and there being no students within the subgroup yet enrolling in grades 4 and 5. The described methodology has not changed, and the coding which produced the error has </w:t>
      </w:r>
      <w:proofErr w:type="gramStart"/>
      <w:r w:rsidRPr="00781112">
        <w:rPr>
          <w:color w:val="000000" w:themeColor="text1"/>
        </w:rPr>
        <w:t>been corrected</w:t>
      </w:r>
      <w:proofErr w:type="gramEnd"/>
      <w:r w:rsidRPr="00781112">
        <w:rPr>
          <w:color w:val="000000" w:themeColor="text1"/>
        </w:rPr>
        <w:t>. Because this corrected data is lower than the data originally submitted and the improvement seen over FFY2020 and FFY2021 is greater than anticipated, DPI is keeping its targets as-is.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 xml:space="preserve">The State reports, “DPI identified an error in the data submission for FFY2020 in this indicator, which resulted in </w:t>
      </w:r>
      <w:proofErr w:type="gramStart"/>
      <w:r w:rsidRPr="00781112">
        <w:rPr>
          <w:color w:val="000000" w:themeColor="text1"/>
        </w:rPr>
        <w:t>a number of</w:t>
      </w:r>
      <w:proofErr w:type="gramEnd"/>
      <w:r w:rsidRPr="00781112">
        <w:rPr>
          <w:color w:val="000000" w:themeColor="text1"/>
        </w:rPr>
        <w:t xml:space="preserve"> students outside the specified subset to be included in the data. The revised data would place DPI's baseline at 8.82% (6/68) for both 17a and 17b. It is the same for both 17a and 17b  due to the data being baseline.” However, the State also reports in the Historical Data table, the baseline year is 2020 and Baseline Data is 8.70% for Target A and 13.00% for Target B. Therefore, it is unclear if the State has revised the baseline data for Target A and Target B.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In the FFY 2022 SPP/APR, the State must, if it is revising its baseline, ensure that the revised baseline data and year </w:t>
      </w:r>
      <w:proofErr w:type="gramStart"/>
      <w:r w:rsidRPr="00781112">
        <w:rPr>
          <w:color w:val="000000" w:themeColor="text1"/>
        </w:rPr>
        <w:t>are reflected</w:t>
      </w:r>
      <w:proofErr w:type="gramEnd"/>
      <w:r w:rsidRPr="00781112">
        <w:rPr>
          <w:color w:val="000000" w:themeColor="text1"/>
        </w:rPr>
        <w:t xml:space="preserve"> in the Historical Data Table for this indicator.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Patricia Williams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patricia.williams@dpi.wi.gov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16082669849</w:t>
      </w:r>
    </w:p>
    <w:bookmarkEnd w:id="9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10:15:53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10D6241" w14:textId="4DFD0C11" w:rsidR="007A6209" w:rsidRPr="007A6209" w:rsidRDefault="007A6209" w:rsidP="007A6209">
      <w:pPr>
        <w:rPr>
          <w:b/>
          <w:bCs/>
          <w:sz w:val="20"/>
          <w:szCs w:val="28"/>
        </w:rPr>
      </w:pPr>
      <w:r w:rsidRPr="007A6209">
        <w:rPr>
          <w:b/>
          <w:bCs/>
          <w:sz w:val="20"/>
          <w:szCs w:val="28"/>
        </w:rPr>
        <w:t>Wisconsin</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90%</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84%</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28%</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23%</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95%</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48%</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92%</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29%</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14</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97.81%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98.71%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EC0E9B2" w14:textId="77777777" w:rsidR="007A6209" w:rsidRPr="007A6209" w:rsidRDefault="007A6209" w:rsidP="007A6209">
      <w:pPr>
        <w:rPr>
          <w:b/>
          <w:bCs/>
          <w:sz w:val="20"/>
          <w:szCs w:val="28"/>
        </w:rPr>
      </w:pPr>
      <w:r w:rsidRPr="007A6209">
        <w:rPr>
          <w:b/>
          <w:bCs/>
          <w:sz w:val="20"/>
          <w:szCs w:val="28"/>
        </w:rPr>
        <w:t>Wisconsin</w:t>
      </w:r>
    </w:p>
    <w:p w14:paraId="4D94C11A" w14:textId="77777777" w:rsidR="007A6209" w:rsidRPr="007A6209" w:rsidRDefault="007A6209" w:rsidP="007A6209"/>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6FA7DC5" w14:textId="77777777" w:rsidR="007A6209" w:rsidRDefault="007A6209">
      <w:pPr>
        <w:spacing w:before="0" w:after="200" w:line="276" w:lineRule="auto"/>
      </w:pPr>
    </w:p>
    <w:p w14:paraId="10BA59E7" w14:textId="6FC602D9" w:rsidR="0058254D" w:rsidRDefault="007A6209">
      <w:pPr>
        <w:spacing w:before="0" w:after="200" w:line="276" w:lineRule="auto"/>
      </w:pPr>
      <w:r>
        <w:object w:dxaOrig="1540" w:dyaOrig="997" w14:anchorId="6B157183">
          <v:shape id="_x0000_i1026" type="#_x0000_t75" alt="WI-B-DR-2021-22" style="width:77.25pt;height:50.25pt" o:ole="">
            <v:imagedata r:id="rId12" o:title=""/>
          </v:shape>
          <o:OLEObject Type="Embed" ProgID="Acrobat.Document.DC" ShapeID="_x0000_i1026" DrawAspect="Icon" ObjectID="_175237914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2D00BA">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7" w:name="Introduction"/>
      <w:bookmarkStart w:id="98" w:name="_Hlk124349373"/>
      <w:bookmarkEnd w:id="3"/>
      <w:bookmarkEnd w:id="97"/>
      <w:bookmarkEnd w:id="98"/>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2D00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4F7B07E0" w14:textId="626CB4B2" w:rsidR="007A6209" w:rsidRPr="003B14EF" w:rsidRDefault="007A6209" w:rsidP="007A6209">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3B14EF">
        <w:rPr>
          <w:rFonts w:cs="Arial"/>
          <w:szCs w:val="16"/>
        </w:rPr>
        <w:t>ent data source to report data under this indicator.</w:t>
      </w:r>
      <w:bookmarkEnd w:id="5"/>
    </w:p>
  </w:footnote>
  <w:footnote w:id="3">
    <w:p w14:paraId="1E2880B0" w14:textId="0FAE5EF0" w:rsidR="003B14EF" w:rsidRDefault="003B14EF">
      <w:pPr>
        <w:pStyle w:val="FootnoteText"/>
      </w:pPr>
      <w:r w:rsidRPr="003B14EF">
        <w:rPr>
          <w:rStyle w:val="FootnoteReference"/>
          <w:sz w:val="16"/>
          <w:szCs w:val="16"/>
        </w:rPr>
        <w:footnoteRef/>
      </w:r>
      <w:r w:rsidRPr="003B14EF">
        <w:rPr>
          <w:sz w:val="16"/>
          <w:szCs w:val="16"/>
        </w:rPr>
        <w:t xml:space="preserve"> </w:t>
      </w:r>
      <w:r w:rsidRPr="003B14EF">
        <w:rPr>
          <w:rFonts w:cs="Arial"/>
          <w:sz w:val="16"/>
          <w:szCs w:val="16"/>
        </w:rPr>
        <w:t>Percentage blurred due to privacy protection.</w:t>
      </w:r>
    </w:p>
  </w:footnote>
  <w:footnote w:id="4">
    <w:p w14:paraId="5364B07D" w14:textId="04C1DC0E" w:rsidR="007A6209" w:rsidRPr="007A6209" w:rsidRDefault="007A6209" w:rsidP="007A6209">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2D00B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0BA"/>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32"/>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4EF"/>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09"/>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194"/>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terms/"/>
    <ds:schemaRef ds:uri="http://purl.org/dc/elements/1.1/"/>
    <ds:schemaRef ds:uri="292db1e8-b3d0-4356-8ef3-2a6d7ed77883"/>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f36bac4-6705-4a36-974b-7c07450fedf2"/>
    <ds:schemaRef ds:uri="http://schemas.microsoft.com/sharepoint/v3"/>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9AD1805-77E7-44CE-818A-67772692E7FD}"/>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9</TotalTime>
  <Pages>101</Pages>
  <Words>64764</Words>
  <Characters>369159</Characters>
  <Application>Microsoft Office Word</Application>
  <DocSecurity>0</DocSecurity>
  <Lines>3076</Lines>
  <Paragraphs>866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2023-06-29T00:16:00Z</dcterms:created>
  <dcterms:modified xsi:type="dcterms:W3CDTF">2023-08-01T12:11:00Z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