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Washington</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The Department Children, Youth, and Families (DCYF) is a new cabinet level agency focused on the well-being of children. Our vision is to ensure that "Washington state’s children and youth grow up safe and healthy—thriving physically, emotionally and academically, nurtured by family and community." (House Bill 1661)</w:t>
      </w:r>
      <w:r w:rsidRPr="00ED172B">
        <w:rPr>
          <w:color w:val="000000" w:themeColor="text1"/>
        </w:rPr>
        <w:br/>
      </w:r>
      <w:r w:rsidRPr="00ED172B">
        <w:rPr>
          <w:color w:val="000000" w:themeColor="text1"/>
        </w:rPr>
        <w:br/>
        <w:t>DCYF serves as the State Lead Agency for the Individuals with Disabilities Education Act (IDEA) Part C program for Washington State. Within DCYF, the Part C programmatic home is the Early Support for Infants and Toddlers (ESIT) Program, within the Family Support Programs Division.</w:t>
      </w:r>
      <w:r w:rsidRPr="00ED172B">
        <w:rPr>
          <w:color w:val="000000" w:themeColor="text1"/>
        </w:rPr>
        <w:br/>
      </w:r>
      <w:r w:rsidRPr="00ED172B">
        <w:rPr>
          <w:color w:val="000000" w:themeColor="text1"/>
        </w:rPr>
        <w:br/>
        <w:t>During Federal Fiscal Year (FFY) 2019, the ESIT program held contracts with twenty-four (24) Local Lead Agencies (LLAs) statewide in order to ensure that all families have equitable access to a locally coordinated system of early intervention services. As a result, 19,647 eligible infants, toddlers and their families received early intervention services during the past year. The types of organizations that administered each local early intervention system included:</w:t>
      </w:r>
      <w:r w:rsidRPr="00ED172B">
        <w:rPr>
          <w:color w:val="000000" w:themeColor="text1"/>
        </w:rPr>
        <w:br/>
        <w:t>* 1 county regional health district</w:t>
      </w:r>
      <w:r w:rsidRPr="00ED172B">
        <w:rPr>
          <w:color w:val="000000" w:themeColor="text1"/>
        </w:rPr>
        <w:br/>
        <w:t>* 4 county human service agencies</w:t>
      </w:r>
      <w:r w:rsidRPr="00ED172B">
        <w:rPr>
          <w:color w:val="000000" w:themeColor="text1"/>
        </w:rPr>
        <w:br/>
        <w:t>* 1 combined health and human services agency</w:t>
      </w:r>
      <w:r w:rsidRPr="00ED172B">
        <w:rPr>
          <w:color w:val="000000" w:themeColor="text1"/>
        </w:rPr>
        <w:br/>
        <w:t>* 14 nonprofit agencies; and</w:t>
      </w:r>
      <w:r w:rsidRPr="00ED172B">
        <w:rPr>
          <w:color w:val="000000" w:themeColor="text1"/>
        </w:rPr>
        <w:br/>
        <w:t xml:space="preserve">* 4 educational service districts </w:t>
      </w:r>
      <w:r w:rsidRPr="00ED172B">
        <w:rPr>
          <w:color w:val="000000" w:themeColor="text1"/>
        </w:rPr>
        <w:br/>
      </w:r>
      <w:r w:rsidRPr="00ED172B">
        <w:rPr>
          <w:color w:val="000000" w:themeColor="text1"/>
        </w:rPr>
        <w:br/>
        <w:t>To ensure services are coordinated and conform to IDEA Part C requirements, each LLA develops and maintains subcontracts or local interagency agreements and local plans with individual early intervention providers or providing organizations within their geographic service area.</w:t>
      </w:r>
      <w:r w:rsidRPr="00ED172B">
        <w:rPr>
          <w:color w:val="000000" w:themeColor="text1"/>
        </w:rPr>
        <w:br/>
      </w:r>
      <w:r w:rsidRPr="00ED172B">
        <w:rPr>
          <w:color w:val="000000" w:themeColor="text1"/>
        </w:rPr>
        <w:br/>
        <w:t>This past year, the ESIT Program met the following targets:</w:t>
      </w:r>
      <w:r w:rsidRPr="00ED172B">
        <w:rPr>
          <w:color w:val="000000" w:themeColor="text1"/>
        </w:rPr>
        <w:br/>
        <w:t>* Services in natural environments (Indicator 2)</w:t>
      </w:r>
      <w:r w:rsidRPr="00ED172B">
        <w:rPr>
          <w:color w:val="000000" w:themeColor="text1"/>
        </w:rPr>
        <w:br/>
        <w:t xml:space="preserve">* Early Childhood Outcomes (Indicator 3A SS1) </w:t>
      </w:r>
      <w:r w:rsidRPr="00ED172B">
        <w:rPr>
          <w:color w:val="000000" w:themeColor="text1"/>
        </w:rPr>
        <w:br/>
        <w:t>* Family Outcomes (Indicator 4A &amp; 4B)</w:t>
      </w:r>
      <w:r w:rsidRPr="00ED172B">
        <w:rPr>
          <w:color w:val="000000" w:themeColor="text1"/>
        </w:rPr>
        <w:br/>
        <w:t>* Child Find (Indicators 5 and 6)</w:t>
      </w:r>
      <w:r w:rsidRPr="00ED172B">
        <w:rPr>
          <w:color w:val="000000" w:themeColor="text1"/>
        </w:rPr>
        <w:br/>
        <w:t xml:space="preserve">* Early childhood transition with the development of timely IFSPs with transition steps and services at least 90 days, and at the     </w:t>
      </w:r>
      <w:r w:rsidRPr="00ED172B">
        <w:rPr>
          <w:color w:val="000000" w:themeColor="text1"/>
        </w:rPr>
        <w:br/>
        <w:t xml:space="preserve">  discretion of all parties, not more than nine months, prior to the toddler’s third birthday (Indicator 8A)</w:t>
      </w:r>
      <w:r w:rsidRPr="00ED172B">
        <w:rPr>
          <w:color w:val="000000" w:themeColor="text1"/>
        </w:rPr>
        <w:br/>
        <w:t xml:space="preserve">* Early childhood transition with timely notifications to the State Educational Agency (SEA) and the Local Educational Agency (LEA)  </w:t>
      </w:r>
      <w:r w:rsidRPr="00ED172B">
        <w:rPr>
          <w:color w:val="000000" w:themeColor="text1"/>
        </w:rPr>
        <w:br/>
        <w:t xml:space="preserve">  where the toddler resides at least 90 days prior to the toddler’s third birthday for toddlers potentially eligible for Part B preschool </w:t>
      </w:r>
      <w:r w:rsidRPr="00ED172B">
        <w:rPr>
          <w:color w:val="000000" w:themeColor="text1"/>
        </w:rPr>
        <w:br/>
        <w:t xml:space="preserve">  services (Indicator 8B)</w:t>
      </w:r>
      <w:r w:rsidRPr="00ED172B">
        <w:rPr>
          <w:color w:val="000000" w:themeColor="text1"/>
        </w:rPr>
        <w:br/>
      </w:r>
      <w:r w:rsidRPr="00ED172B">
        <w:rPr>
          <w:color w:val="000000" w:themeColor="text1"/>
        </w:rPr>
        <w:br/>
        <w:t>ESIT had no mediations that resulted in mediation agreements.</w:t>
      </w:r>
      <w:r w:rsidRPr="00ED172B">
        <w:rPr>
          <w:color w:val="000000" w:themeColor="text1"/>
        </w:rPr>
        <w:br/>
      </w:r>
      <w:r w:rsidRPr="00ED172B">
        <w:rPr>
          <w:color w:val="000000" w:themeColor="text1"/>
        </w:rPr>
        <w:br/>
        <w:t>ESIT was able to substantially increase results of families participating in Part C who report that early intervention services have helped the family (Indicator 4):</w:t>
      </w:r>
      <w:r w:rsidRPr="00ED172B">
        <w:rPr>
          <w:color w:val="000000" w:themeColor="text1"/>
        </w:rPr>
        <w:br/>
        <w:t>A. Know their rights increased by 10.4%</w:t>
      </w:r>
      <w:r w:rsidRPr="00ED172B">
        <w:rPr>
          <w:color w:val="000000" w:themeColor="text1"/>
        </w:rPr>
        <w:br/>
        <w:t>B. Effectively communicate their children's needs increased by 6.3%</w:t>
      </w:r>
      <w:r w:rsidRPr="00ED172B">
        <w:rPr>
          <w:color w:val="000000" w:themeColor="text1"/>
        </w:rPr>
        <w:br/>
        <w:t>C.</w:t>
      </w:r>
      <w:r w:rsidRPr="00ED172B">
        <w:rPr>
          <w:color w:val="000000" w:themeColor="text1"/>
        </w:rPr>
        <w:tab/>
        <w:t xml:space="preserve">Help their children develop and learn increased by 2.0% </w:t>
      </w:r>
      <w:r w:rsidRPr="00ED172B">
        <w:rPr>
          <w:color w:val="000000" w:themeColor="text1"/>
        </w:rPr>
        <w:br/>
      </w:r>
      <w:r w:rsidRPr="00ED172B">
        <w:rPr>
          <w:color w:val="000000" w:themeColor="text1"/>
        </w:rPr>
        <w:br/>
        <w:t>Although ESIT did not meet targets in all three components for Child Outcomes (Indicator 3), there was an increased percentage of performance for a majority of the outcomes including Outcome A: Positive social-emotional skills for Summary Statement 1, which was a 2.0% increase from last year. This increase was the result of the State Systemic Improvement Plan efforts and activities. Further in Outcome B: Acquisition of Knowledge and Skills for Summary Statement 1 had an increase of 1.2 % and Outcome C: Use of Appropriate Behaviors Summary Statement 1 had an increase of 2.0%.</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General Supervision System:</w:t>
      </w:r>
      <w:r w:rsidRPr="00ED172B">
        <w:rPr>
          <w:color w:val="000000" w:themeColor="text1"/>
          <w:szCs w:val="16"/>
        </w:rPr>
        <w:br/>
      </w:r>
      <w:r w:rsidRPr="00ED172B">
        <w:rPr>
          <w:color w:val="000000" w:themeColor="text1"/>
          <w:szCs w:val="16"/>
        </w:rPr>
        <w:br/>
        <w:t>The Early Support for Infants and Toddlers (ESIT) program continues to direct its general supervision and monitoring efforts through the following:</w:t>
      </w:r>
      <w:r w:rsidRPr="00ED172B">
        <w:rPr>
          <w:color w:val="000000" w:themeColor="text1"/>
          <w:szCs w:val="16"/>
        </w:rPr>
        <w:br/>
        <w:t>*    Aligning and integrating activities with the Annual Performance Report (APR);</w:t>
      </w:r>
      <w:r w:rsidRPr="00ED172B">
        <w:rPr>
          <w:color w:val="000000" w:themeColor="text1"/>
          <w:szCs w:val="16"/>
        </w:rPr>
        <w:br/>
        <w:t>*    Meeting federal requirements for states to monitor implementation of IDEA, both APR indicators and related requirements;</w:t>
      </w:r>
      <w:r w:rsidRPr="00ED172B">
        <w:rPr>
          <w:color w:val="000000" w:themeColor="text1"/>
          <w:szCs w:val="16"/>
        </w:rPr>
        <w:br/>
        <w:t xml:space="preserve">*    Focusing on compliance and quality practices, especially those closely aligned with results for children and families; and </w:t>
      </w:r>
      <w:r w:rsidRPr="00ED172B">
        <w:rPr>
          <w:color w:val="000000" w:themeColor="text1"/>
          <w:szCs w:val="16"/>
        </w:rPr>
        <w:br/>
        <w:t>*    Directing state technical assistance resources to those local lead agencies in greatest need.</w:t>
      </w:r>
      <w:r w:rsidRPr="00ED172B">
        <w:rPr>
          <w:color w:val="000000" w:themeColor="text1"/>
          <w:szCs w:val="16"/>
        </w:rPr>
        <w:br/>
      </w:r>
      <w:r w:rsidRPr="00ED172B">
        <w:rPr>
          <w:color w:val="000000" w:themeColor="text1"/>
          <w:szCs w:val="16"/>
        </w:rPr>
        <w:br/>
        <w:t>Monitoring Local Lead Agencies (LLAs) on APR Indicators</w:t>
      </w:r>
      <w:r w:rsidRPr="00ED172B">
        <w:rPr>
          <w:color w:val="000000" w:themeColor="text1"/>
          <w:szCs w:val="16"/>
        </w:rPr>
        <w:br/>
      </w:r>
      <w:r w:rsidRPr="00ED172B">
        <w:rPr>
          <w:color w:val="000000" w:themeColor="text1"/>
          <w:szCs w:val="16"/>
        </w:rPr>
        <w:br/>
        <w:t>ESIT Data Management System (DMS): All APR indicator data, with the exception of Indicator 4 - Family Outcomes, is retrieved from the DMS. The DMS creates an electronic Individualized Family Service Plan (IFSP) record that documents essential child and family information from initial contacts through transition. All child and family information must be entered into the DMS. This includes initial evaluation/assessment results, medical information, eligibility determination, and the child outcome summary (which incorporates a description of functional performance), family statement, individual child and family outcomes and services information. All this information is required to be entered into the DMS before an IFSP can be issued as completed.</w:t>
      </w:r>
      <w:r w:rsidRPr="00ED172B">
        <w:rPr>
          <w:color w:val="000000" w:themeColor="text1"/>
          <w:szCs w:val="16"/>
        </w:rPr>
        <w:br/>
      </w:r>
      <w:r w:rsidRPr="00ED172B">
        <w:rPr>
          <w:color w:val="000000" w:themeColor="text1"/>
          <w:szCs w:val="16"/>
        </w:rPr>
        <w:br/>
        <w:t xml:space="preserve">Child level data is retrieved from IFSPs entered into the DMS and used for APR reporting. DMS business rules and calendar tools ensure either required information is entered into the system or a reason for not entering the information is supplied. When required information is not entered into the DMS in a </w:t>
      </w:r>
      <w:r w:rsidRPr="00ED172B">
        <w:rPr>
          <w:color w:val="000000" w:themeColor="text1"/>
          <w:szCs w:val="16"/>
        </w:rPr>
        <w:lastRenderedPageBreak/>
        <w:t>timely manner, the system creates red alerts on the family resources coordinator’s (FRC) calendar. The calendar is monitored by local lead agency (LLA) staff (i.e. FRCs, program managers, agency administrators) and ESIT staff. Red alerts are reviewed and technical assistance is provided by the ESIT staff.</w:t>
      </w:r>
      <w:r w:rsidRPr="00ED172B">
        <w:rPr>
          <w:color w:val="000000" w:themeColor="text1"/>
          <w:szCs w:val="16"/>
        </w:rPr>
        <w:br/>
      </w:r>
      <w:r w:rsidRPr="00ED172B">
        <w:rPr>
          <w:color w:val="000000" w:themeColor="text1"/>
          <w:szCs w:val="16"/>
        </w:rPr>
        <w:br/>
        <w:t>Results Indicators: APR Indicators 2, 5, and 6 results data is obtained from all IFSPs entered into the DMS on December 1 of the contract year as reported in 618 data submissions gathered throughout the Federal Fiscal Year. Indicator 4 data is collected from hard copy, electronic, and phone surveys completed by families and submitted to ESIT annually.</w:t>
      </w:r>
      <w:r w:rsidRPr="00ED172B">
        <w:rPr>
          <w:color w:val="000000" w:themeColor="text1"/>
          <w:szCs w:val="16"/>
        </w:rPr>
        <w:br/>
      </w:r>
      <w:r w:rsidRPr="00ED172B">
        <w:rPr>
          <w:color w:val="000000" w:themeColor="text1"/>
          <w:szCs w:val="16"/>
        </w:rPr>
        <w:br/>
        <w:t>Compliance Indicators: APR Indicators 1, 7, 8, 8A, 8B, and 8C compliance data is retrieved from all IFSPs over a three (3) month period. DMS data is reviewed and verified for accuracy.</w:t>
      </w:r>
      <w:r w:rsidRPr="00ED172B">
        <w:rPr>
          <w:color w:val="000000" w:themeColor="text1"/>
          <w:szCs w:val="16"/>
        </w:rPr>
        <w:br/>
      </w:r>
      <w:r w:rsidRPr="00ED172B">
        <w:rPr>
          <w:color w:val="000000" w:themeColor="text1"/>
          <w:szCs w:val="16"/>
        </w:rPr>
        <w:br/>
        <w:t>Identification and Correction of Non-Compliance: ESIT staff review and analyze compliance data to assess the “reasons” for any noncompliance (delayed services). When necessary, ESIT staff request and obtain clarification regarding reasons for late services, IFSP meeting, transition plan, and transition notification or transition conference to determine the root cause of noncompliance. If late services were due to exceptional family circumstances, findings of noncompliance are not made. If late services were due to reasons other than exceptional family circumstances, child specific noncompliance is identified and findings are issued. If it was determined that the noncompliance was already corrected, a finding is still issued, but a corrective action plan is not required. Even though correction occurred (the service provided though late), ESIT staff still assesses the level of noncompliance, identifies the contributing factors, if any, and determines if the noncompliance was isolated or systemic.</w:t>
      </w:r>
      <w:r w:rsidRPr="00ED172B">
        <w:rPr>
          <w:color w:val="000000" w:themeColor="text1"/>
          <w:szCs w:val="16"/>
        </w:rPr>
        <w:br/>
      </w:r>
      <w:r w:rsidRPr="00ED172B">
        <w:rPr>
          <w:color w:val="000000" w:themeColor="text1"/>
          <w:szCs w:val="16"/>
        </w:rPr>
        <w:br/>
        <w:t>Within three (3) months from when compliance-monitoring data is retrieved from the DMS, each LLA receives a written notice of findings of noncompliance and the need to make timely correction. Upon receipt of written notice, each LLA administrator is directed to begin implementing required improvement activities to ensure correction is made, as soon as possible, but no later than one year from notification. Once correction of findings of noncompliance is achieved, the LLA receives a written notice that correction of noncompliance was attained.</w:t>
      </w:r>
      <w:r w:rsidRPr="00ED172B">
        <w:rPr>
          <w:color w:val="000000" w:themeColor="text1"/>
          <w:szCs w:val="16"/>
        </w:rPr>
        <w:br/>
      </w:r>
      <w:r w:rsidRPr="00ED172B">
        <w:rPr>
          <w:color w:val="000000" w:themeColor="text1"/>
          <w:szCs w:val="16"/>
        </w:rPr>
        <w:br/>
        <w:t>When required, corrective action plans (CAPs) outline the resources needed to be accessed and timelines to follow in order to achieve compliance and/or improve performance. CAPs are required of all LLAs that do not fully correct identified noncompliance by the time annual determinations are issued.</w:t>
      </w:r>
      <w:r w:rsidRPr="00ED172B">
        <w:rPr>
          <w:color w:val="000000" w:themeColor="text1"/>
          <w:szCs w:val="16"/>
        </w:rPr>
        <w:br/>
      </w:r>
      <w:r w:rsidRPr="00ED172B">
        <w:rPr>
          <w:color w:val="000000" w:themeColor="text1"/>
          <w:szCs w:val="16"/>
        </w:rPr>
        <w:br/>
        <w:t>Annual Determination Process</w:t>
      </w:r>
      <w:r w:rsidRPr="00ED172B">
        <w:rPr>
          <w:color w:val="000000" w:themeColor="text1"/>
          <w:szCs w:val="16"/>
        </w:rPr>
        <w:br/>
        <w:t>ESIT makes an annual determination of LLA efforts in implementing the requirements and purposes of IDEA, Part C. Each LLA APR data is aggregated by ESIT for annual reporting purposes. This aggregated data is used by the federal Office of Special Education Programs (OSEP) to make ESIT’s annual determination.</w:t>
      </w:r>
      <w:r w:rsidRPr="00ED172B">
        <w:rPr>
          <w:color w:val="000000" w:themeColor="text1"/>
          <w:szCs w:val="16"/>
        </w:rPr>
        <w:br/>
      </w:r>
      <w:r w:rsidRPr="00ED172B">
        <w:rPr>
          <w:color w:val="000000" w:themeColor="text1"/>
          <w:szCs w:val="16"/>
        </w:rPr>
        <w:br/>
        <w:t>ESIT staff disaggregates and evaluates this data to make LLA annual determinations. LLA determination status is based on the following:</w:t>
      </w:r>
      <w:r w:rsidRPr="00ED172B">
        <w:rPr>
          <w:color w:val="000000" w:themeColor="text1"/>
          <w:szCs w:val="16"/>
        </w:rPr>
        <w:br/>
        <w:t>1. Compliance Data</w:t>
      </w:r>
      <w:r w:rsidRPr="00ED172B">
        <w:rPr>
          <w:color w:val="000000" w:themeColor="text1"/>
          <w:szCs w:val="16"/>
        </w:rPr>
        <w:br/>
        <w:t>2. Timely correction of noncompliance</w:t>
      </w:r>
      <w:r w:rsidRPr="00ED172B">
        <w:rPr>
          <w:color w:val="000000" w:themeColor="text1"/>
          <w:szCs w:val="16"/>
        </w:rPr>
        <w:br/>
        <w:t>3. All Indicators must be timely, valid and reliable</w:t>
      </w:r>
      <w:r w:rsidRPr="00ED172B">
        <w:rPr>
          <w:color w:val="000000" w:themeColor="text1"/>
          <w:szCs w:val="16"/>
        </w:rPr>
        <w:br/>
        <w:t>4. Citizen’s complaints filed and/or due process hearing or mediations held</w:t>
      </w:r>
      <w:r w:rsidRPr="00ED172B">
        <w:rPr>
          <w:color w:val="000000" w:themeColor="text1"/>
          <w:szCs w:val="16"/>
        </w:rPr>
        <w:br/>
      </w:r>
      <w:r w:rsidRPr="00ED172B">
        <w:rPr>
          <w:color w:val="000000" w:themeColor="text1"/>
          <w:szCs w:val="16"/>
        </w:rPr>
        <w:br/>
        <w:t>A compliance indicator summary worksheet and determination evaluation scoring rubric is used to make LLA determinations. ESIT uses the four (4) OSEP determination categories to make LLA determinations. The enforcement actions and sanctions applied to ESIT are applied to LLAs. Before LLA’s status determinations are made, ESIT notifies the LLA of any findings of noncompliance. ESIT reports to the public the performance of each LLA, a review of each program’s performance against targets in the State’s SPP/APR within 120 days from when ESIT submits the APR to OSEP.</w:t>
      </w:r>
      <w:r w:rsidRPr="00ED172B">
        <w:rPr>
          <w:color w:val="000000" w:themeColor="text1"/>
          <w:szCs w:val="16"/>
        </w:rPr>
        <w:br/>
      </w:r>
      <w:r w:rsidRPr="00ED172B">
        <w:rPr>
          <w:color w:val="000000" w:themeColor="text1"/>
          <w:szCs w:val="16"/>
        </w:rPr>
        <w:br/>
        <w:t>Dispute Resolution Options</w:t>
      </w:r>
      <w:r w:rsidRPr="00ED172B">
        <w:rPr>
          <w:color w:val="000000" w:themeColor="text1"/>
          <w:szCs w:val="16"/>
        </w:rPr>
        <w:br/>
        <w:t>The timely administrative resolution of complaints occurs through established mediation, complaint, and due process hearing procedures. Monitoring the use of these dispute resolution options assists ESIT in identifying noncompliance and other systemic issues. By following each procedure's required steps and timelines, the resolution of any dispute will occur in a timely manner. Families are made aware of their dispute resolution options throughout their participation in the early intervention program. ESIT has a system in place to track and monitor complaint, mediation and due process dispute resolution activities. Parent identified issues are typically resolved through informal procedures rather than the formal dispute resolution options that are available to them.</w:t>
      </w:r>
      <w:r w:rsidRPr="00ED172B">
        <w:rPr>
          <w:color w:val="000000" w:themeColor="text1"/>
          <w:szCs w:val="16"/>
        </w:rPr>
        <w:br/>
      </w:r>
      <w:r w:rsidRPr="00ED172B">
        <w:rPr>
          <w:color w:val="000000" w:themeColor="text1"/>
          <w:szCs w:val="16"/>
        </w:rPr>
        <w:br/>
        <w:t>Biennial Local Team Self-Assessment Process</w:t>
      </w:r>
      <w:r w:rsidRPr="00ED172B">
        <w:rPr>
          <w:color w:val="000000" w:themeColor="text1"/>
          <w:szCs w:val="16"/>
        </w:rPr>
        <w:br/>
        <w:t>Each LLA self-assessment team is required to complete the self-assessment biennially through a review of children's records. In addition, each LLA is now required to complete a portion of the Local Child Outcomes Measurement System Self-Assessment (LCOMS-SA). Each LLA submits a Local System Improvement Plan with a minimum of one improvement activity related to the local team self-assessment results and one activity related to the LCOMS-SA. The LLA implements improvement strategies throughout the following contract year.</w:t>
      </w:r>
      <w:r w:rsidRPr="00ED172B">
        <w:rPr>
          <w:color w:val="000000" w:themeColor="text1"/>
          <w:szCs w:val="16"/>
        </w:rPr>
        <w:br/>
      </w:r>
      <w:r w:rsidRPr="00ED172B">
        <w:rPr>
          <w:color w:val="000000" w:themeColor="text1"/>
          <w:szCs w:val="16"/>
        </w:rPr>
        <w:br/>
        <w:t>The self-assessment tool and process is designed to gather data from each LLA on state selected data that is not available through the DMS. These data are used to substantiate compliance with IDEA and related requirements associated with each APR indicator, and to encourage the use of best practices associated with improved results for children and families.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On-site Targeted Technical Assistance</w:t>
      </w:r>
      <w:r w:rsidRPr="00ED172B">
        <w:rPr>
          <w:color w:val="000000" w:themeColor="text1"/>
          <w:szCs w:val="16"/>
        </w:rPr>
        <w:br/>
        <w:t>Targeted technical assistance is provided to individual LLAs, a selected group of LLAs, or statewide as needs are identified. Through the State Systemic Improvement Plan (SSIP), LLAs that are implementation sites receive targeted training and technical assistance as described in Indicator 11. Monitoring, complaints, mediation, and due process data may be used to identify and provide technical assistance. On-site targeted technical assistance is provided more frequently when ESIT or an LLA has identified an issue or set of issues that require focused attention. The technical assistance visit may center on the exploration of factors that might contribute to the present performance or system concern/issue. Information, resources, and supports are provided based on the contributing factors or identified concerns and issues.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Through contracts with the Early Support for Infants and Toddlers (ESIT) program, local lead agencies (LLAs) are required to ensure all early intervention programs employ qualified personnel. This contract requirement pertains to employing service coordinators or family resources coordinators </w:t>
      </w:r>
      <w:r w:rsidRPr="00ED172B">
        <w:rPr>
          <w:color w:val="000000" w:themeColor="text1"/>
          <w:szCs w:val="16"/>
        </w:rPr>
        <w:lastRenderedPageBreak/>
        <w:t xml:space="preserve">(FRCs). ESIT guidance on minimum education and state licensure/certification/registration requirements are posted on the ESIT website. This guidance information is accessible by going to https://www.dcyf.wa.gov/sites/default/files/pdf/esit/Qualified_Personnel_Guidelines.pdf. </w:t>
      </w:r>
      <w:r w:rsidRPr="00ED172B">
        <w:rPr>
          <w:color w:val="000000" w:themeColor="text1"/>
          <w:szCs w:val="16"/>
        </w:rPr>
        <w:br/>
      </w:r>
      <w:r w:rsidRPr="00ED172B">
        <w:rPr>
          <w:color w:val="000000" w:themeColor="text1"/>
          <w:szCs w:val="16"/>
        </w:rPr>
        <w:br/>
        <w:t>The Office of Superintendent for Public Instruction and Department of Health license or certify most providers. ESIT provides a statewide training and registration system for FRCs. Maintaining current FRC registration status requires meeting annual training requirements.</w:t>
      </w:r>
      <w:r w:rsidRPr="00ED172B">
        <w:rPr>
          <w:color w:val="000000" w:themeColor="text1"/>
          <w:szCs w:val="16"/>
        </w:rPr>
        <w:br/>
      </w:r>
      <w:r w:rsidRPr="00ED172B">
        <w:rPr>
          <w:color w:val="000000" w:themeColor="text1"/>
          <w:szCs w:val="16"/>
        </w:rPr>
        <w:br/>
        <w:t>ESIT offers three basic Part C online training modules, quarterly professional learning community (PLC) seminars, and various training opportunities on current topics throughout the year. Training occurs through webinars, conference calls or local onsite workshops. Two curricula, developed by and for parents explaining Part C and transition are posted on the website. Training efforts are in place statewide and in local implementation sites as part of ESIT’s State Systemic Improvement Plan.</w:t>
      </w:r>
      <w:r w:rsidRPr="00ED172B">
        <w:rPr>
          <w:color w:val="000000" w:themeColor="text1"/>
          <w:szCs w:val="16"/>
        </w:rPr>
        <w:br/>
      </w:r>
      <w:r w:rsidRPr="00ED172B">
        <w:rPr>
          <w:color w:val="000000" w:themeColor="text1"/>
          <w:szCs w:val="16"/>
        </w:rPr>
        <w:br/>
        <w:t>ESIT is a major sponsor and active participant on the planning committee for the statewide Infant and Early Childhood Conference that occurs each year. This important conference draws professionals and interested stakeholders from across the state's many early childhood programs. State and national experts from diverse early childhood backgrounds continue to be key conference and workshop presenters. The conference scheduled for May 2020 was cancelled due to COVID-19. This year's conference scheduled for May 2021 is being held virtually and continues to serve as the state's key early childhood professional development event.</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szCs w:val="16"/>
        </w:rPr>
        <w:br/>
      </w:r>
      <w:r w:rsidRPr="00ED172B">
        <w:rPr>
          <w:color w:val="000000" w:themeColor="text1"/>
          <w:szCs w:val="16"/>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szCs w:val="16"/>
        </w:rPr>
        <w:br/>
      </w:r>
      <w:r w:rsidRPr="00ED172B">
        <w:rPr>
          <w:color w:val="000000" w:themeColor="text1"/>
          <w:szCs w:val="16"/>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szCs w:val="16"/>
        </w:rPr>
        <w:br/>
      </w:r>
      <w:r w:rsidRPr="00ED172B">
        <w:rPr>
          <w:color w:val="000000" w:themeColor="text1"/>
          <w:szCs w:val="16"/>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szCs w:val="16"/>
        </w:rPr>
        <w:br/>
      </w:r>
      <w:r w:rsidRPr="00ED172B">
        <w:rPr>
          <w:color w:val="000000" w:themeColor="text1"/>
          <w:szCs w:val="16"/>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The Early Support for Infants and Toddlers Program made the following items available to the public on the program website at </w:t>
      </w:r>
      <w:r w:rsidRPr="00ED172B">
        <w:rPr>
          <w:color w:val="000000" w:themeColor="text1"/>
          <w:szCs w:val="16"/>
        </w:rPr>
        <w:br/>
        <w:t>https://www.dcyf.wa.gov/practice/oiaa/reports.</w:t>
      </w:r>
      <w:r w:rsidRPr="00ED172B">
        <w:rPr>
          <w:color w:val="000000" w:themeColor="text1"/>
          <w:szCs w:val="16"/>
        </w:rPr>
        <w:br/>
      </w:r>
      <w:r w:rsidRPr="00ED172B">
        <w:rPr>
          <w:color w:val="000000" w:themeColor="text1"/>
          <w:szCs w:val="16"/>
        </w:rPr>
        <w:br/>
        <w:t>• Annual Performance Report (APR)</w:t>
      </w:r>
      <w:r w:rsidRPr="00ED172B">
        <w:rPr>
          <w:color w:val="000000" w:themeColor="text1"/>
          <w:szCs w:val="16"/>
        </w:rPr>
        <w:br/>
        <w:t>• Local Lead Agency APR Data</w:t>
      </w:r>
      <w:r w:rsidRPr="00ED172B">
        <w:rPr>
          <w:color w:val="000000" w:themeColor="text1"/>
          <w:szCs w:val="16"/>
        </w:rPr>
        <w:br/>
        <w:t>• Local Lead Agency Determination Status Reports</w:t>
      </w:r>
      <w:r w:rsidRPr="00ED172B">
        <w:rPr>
          <w:color w:val="000000" w:themeColor="text1"/>
          <w:szCs w:val="16"/>
        </w:rPr>
        <w:br/>
        <w:t>• 618 Data Tables</w:t>
      </w:r>
      <w:r w:rsidRPr="00ED172B">
        <w:rPr>
          <w:color w:val="000000" w:themeColor="text1"/>
          <w:szCs w:val="16"/>
        </w:rPr>
        <w:br/>
      </w:r>
      <w:r w:rsidRPr="00ED172B">
        <w:rPr>
          <w:color w:val="000000" w:themeColor="text1"/>
          <w:szCs w:val="16"/>
        </w:rPr>
        <w:br/>
        <w:t>Information on how these reports could be accessed was emailed to our SICC, LLAs, and other stakeholders.</w:t>
      </w:r>
      <w:r w:rsidRPr="00ED172B">
        <w:rPr>
          <w:color w:val="000000" w:themeColor="text1"/>
          <w:szCs w:val="16"/>
        </w:rPr>
        <w:br/>
      </w:r>
      <w:r w:rsidRPr="00ED172B">
        <w:rPr>
          <w:color w:val="000000" w:themeColor="text1"/>
          <w:szCs w:val="16"/>
        </w:rPr>
        <w:br/>
        <w:t>On June 23, 2020, the Office of Special Education Programs (OSEP) FFY 2020 Determination Letter notified the director of the Washington State Department of Children, Youth, and Families (DCYF), the State Lead Agency for Part C, that the Washington State Part C program met requirements of Part C of the IDEA.</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OSEP notes that one or more of the attachments included in the State’s FFY 2018 SPP/APR submission are not in compliance with Section 508 of the Rehabilitation Act of 1973, as amended (Section 508), and will not be posted on the U.S. Department of Education’s IDEA website. Therefore, the State must make the attachment(s) available to the public as soon as practicable, but no later than 120 days after the date of the determination letter.</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lastRenderedPageBreak/>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98.16%</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96.57%</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97.93%</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96.90%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97.34%</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12,158</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12,848</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97.34%</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98.22%</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461</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Washington State’s criteria for timely receipt of early intervention services requires the provider agency to conduct an initial evaluation and assessments and the initial IFSP within 45 days from the date the provider agency received the referral. The early interventions services listed on the initial IFSP must start within 30 days from the initial IFSP date or have a planned start date set in the future (beyond 30 days from the IFSP date). When a future planned start date is set, the actual service must start on or before that date.</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Data were collected from January 1 through March 31, 2020, third quarter, selection from the full reporting period and was obtained from all IFSPs entered into the ESIT Data Management System (DMS) during this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annual compliance period in the state of Washington is from January 1 through March 31, 2020,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In FFY 2019, 1.78% of IFSPs entered in the state database during the compliance monitoring period were late. After analysis of the late reasons that were identified as "late, other" three categories of late reasons were identified. The three categories are provider shortages, late due to circumstances related to the COVID-19 pandemic, and late due to administrative and provider agency scheduling errors.</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121</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121</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0E372632" w:rsidR="002F1A9A" w:rsidRPr="00ED172B" w:rsidRDefault="00AA3463" w:rsidP="00B83404">
      <w:pPr>
        <w:rPr>
          <w:color w:val="000000" w:themeColor="text1"/>
        </w:rPr>
      </w:pPr>
      <w:r w:rsidRPr="00ED172B">
        <w:rPr>
          <w:b/>
          <w:color w:val="000000" w:themeColor="text1"/>
        </w:rPr>
        <w:t>FFY 2018 Findings of Noncompliance Verified as Corrected</w:t>
      </w:r>
    </w:p>
    <w:p w14:paraId="55F5996D" w14:textId="4D1595A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A0BD85E" w14:textId="6583A277" w:rsidR="002F1A9A" w:rsidRPr="00ED172B" w:rsidRDefault="00860830">
      <w:pPr>
        <w:rPr>
          <w:color w:val="000000" w:themeColor="text1"/>
        </w:rPr>
      </w:pPr>
      <w:r w:rsidRPr="00ED172B">
        <w:rPr>
          <w:color w:val="000000" w:themeColor="text1"/>
        </w:rPr>
        <w:t>The ESIT program verified that it corrected all findings of noncompliance identified in FFY 2018, consistent with the requirements in OSEP Memo 09-02.</w:t>
      </w:r>
      <w:r w:rsidRPr="00ED172B">
        <w:rPr>
          <w:color w:val="000000" w:themeColor="text1"/>
        </w:rPr>
        <w:br/>
        <w:t>ESIT staff, Local Lead Agency (LLA) administrators, Family Resources Coordinators (FRCs), and providers used the ESIT Data Management System (DMS) IFSP Compliance Report to review data.</w:t>
      </w:r>
      <w:r w:rsidRPr="00ED172B">
        <w:rPr>
          <w:color w:val="000000" w:themeColor="text1"/>
        </w:rPr>
        <w:br/>
        <w:t>From the date the LLA received a finding letter for noncompliance, the LLA had one year to correct identified non-compliance for each indicator not meeting 100%. Each LLA reviewed compliance reports from the DMS to ensure data was entered accurately into the system and that the regulatory requirements regarding timely service provision were being met.</w:t>
      </w:r>
      <w:r w:rsidRPr="00ED172B">
        <w:rPr>
          <w:color w:val="000000" w:themeColor="text1"/>
        </w:rPr>
        <w:br/>
        <w:t>To verify that noncompliance was correctly addressing the regulatory requirements, each LLA reviewed and identified a minimum of two weeks of DMS data. If data demonstrated compliance for each indicator where findings were issued, compliance was considered achieved. The LLA then submitted the DMS data to ESIT staff for reverification. After ESIT staff verified the data submitted, (and verified correction of individual child noncompliance, ESIT staff sent a letter documenting that noncompliance was fully corrected.</w:t>
      </w:r>
      <w:r w:rsidRPr="00ED172B">
        <w:rPr>
          <w:color w:val="000000" w:themeColor="text1"/>
        </w:rPr>
        <w:br/>
        <w:t>If correction of non-compliance has not been verified within one-year of the findings, ESIT staff notifies the LLA that they must develop a CAP. During FFY18, no LLA met the criteria for needing a CAP.</w:t>
      </w:r>
    </w:p>
    <w:p w14:paraId="43786BF5" w14:textId="501BBD8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D27FB9" w14:textId="5AC7708B" w:rsidR="002F1A9A" w:rsidRDefault="00860830">
      <w:pPr>
        <w:rPr>
          <w:color w:val="000000" w:themeColor="text1"/>
        </w:rPr>
      </w:pPr>
      <w:r w:rsidRPr="00ED172B">
        <w:rPr>
          <w:color w:val="000000" w:themeColor="text1"/>
        </w:rPr>
        <w:t>ESIT staff verified correction of each individual incidence of non-compliance through the ESIT data management system (DMS). The DMS provides a start date and an actual start date for every new service initiated in an IFSP. If a service is late, the DMS requires the user to enter a reason for the delay.</w:t>
      </w:r>
      <w:r w:rsidRPr="00ED172B">
        <w:rPr>
          <w:color w:val="000000" w:themeColor="text1"/>
        </w:rPr>
        <w:br/>
        <w:t>Late Exceptional Family Circumstance (EFC): extraordinary events that prevent the family from participating in required events on time.</w:t>
      </w:r>
      <w:r w:rsidRPr="00ED172B">
        <w:rPr>
          <w:color w:val="000000" w:themeColor="text1"/>
        </w:rPr>
        <w:br/>
        <w:t>Late Other: events identified by the early intervention program or provider and not the family that prevent required events from being completed on time.</w:t>
      </w:r>
      <w:r w:rsidRPr="00ED172B">
        <w:rPr>
          <w:color w:val="000000" w:themeColor="text1"/>
        </w:rPr>
        <w:br/>
        <w:t>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w:t>
      </w:r>
    </w:p>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If the State uses data from a State database to report on this indicator in its FFY 2019 SPP/APR, and the State does not use data from the full reporting period (July 1, 2019-June 30, 2020), the State must describe, in the FFY 2019 SPP/APR, how the time period in which the data were collected accurately reflects data for infants and toddlers with IFSPs for the full reporting period. </w:t>
      </w:r>
      <w:r w:rsidRPr="00ED172B">
        <w:rPr>
          <w:color w:val="000000" w:themeColor="text1"/>
        </w:rPr>
        <w:br/>
      </w:r>
      <w:r w:rsidRPr="00ED172B">
        <w:rPr>
          <w:color w:val="000000" w:themeColor="text1"/>
        </w:rPr>
        <w:br/>
        <w:t xml:space="preserve"> </w:t>
      </w:r>
    </w:p>
    <w:p w14:paraId="50B0C9A3" w14:textId="77777777" w:rsidR="004C1CEE" w:rsidRPr="00ED172B" w:rsidRDefault="004C1CEE" w:rsidP="002F1A9A">
      <w:pPr>
        <w:rPr>
          <w:rFonts w:cs="Arial"/>
          <w:color w:val="000000" w:themeColor="text1"/>
          <w:szCs w:val="16"/>
        </w:rPr>
      </w:pPr>
    </w:p>
    <w:p w14:paraId="7CD7BB8E" w14:textId="65794B3D" w:rsidR="002F1A9A" w:rsidRPr="00ED172B" w:rsidRDefault="002F1A9A"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described how the time period in which the data were collected accurately reflects data for infants and toddlers with IFSPs for the full reporting period.</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48.00%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92.50%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92.75%</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93.00%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93.25%</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93.50%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94.49%</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95.34%</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95.54%</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96.21%</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95.71%</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9,601</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10,002</w:t>
            </w:r>
          </w:p>
        </w:tc>
      </w:tr>
    </w:tbl>
    <w:p w14:paraId="7B961186" w14:textId="267FE6AE" w:rsidR="006628E4" w:rsidRPr="00ED172B" w:rsidRDefault="006628E4">
      <w:pPr>
        <w:rPr>
          <w:b/>
          <w:color w:val="000000" w:themeColor="text1"/>
        </w:rPr>
      </w:pPr>
      <w:r w:rsidRPr="00ED172B">
        <w:rPr>
          <w:b/>
          <w:color w:val="000000" w:themeColor="text1"/>
        </w:rPr>
        <w:lastRenderedPageBreak/>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9,601</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10,002</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95.71%</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95.99%</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56.70%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56.80%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58.25%</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56.21%</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56.38%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56.63%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55.69%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56.74%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59.06%</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55.25%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54.77%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56.14%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55.40%</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65.11%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65.11%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65.75%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65.11%</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63.71%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64.12%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64.96%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65.22%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66.32%</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57.20%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57.40%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57.80%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56.79%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52.54%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51.95%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50.43%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51.96%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52.27%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69.25%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69.50%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68.26%</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66.86%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66.04%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66.29%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67.25%</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2013</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58.25%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58.50%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59.35%</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58.17%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56.73%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54.67%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53.71%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55.04%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55.51%</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58.50%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56.00%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66.25%</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57.80%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69.50%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59.35%</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7,266</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57</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0.78%</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lastRenderedPageBreak/>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1,956</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26.92%</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1,241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17.08%</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1,922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26.45%</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2,090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28.76%</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3,163</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5,176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59.06%</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58.50%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61.11%</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4,012</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7,266</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55.40%</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56.00%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55.22%</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54</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0.74%</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1,837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25.28%</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1,653</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22.75%</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2,289</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31.50%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1,433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19.72%</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3,942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5,833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66.32%</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66.25%</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67.58%</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3,722</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7,266</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52.27%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57.80%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51.22%</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While maintaining a level of compliance that compares to the previous year, slippage occurred, resulting in a slight decrease in performance of 1.05% from FFY18 to FFY19. </w:t>
      </w:r>
      <w:r w:rsidRPr="00ED172B">
        <w:rPr>
          <w:color w:val="000000" w:themeColor="text1"/>
        </w:rPr>
        <w:br/>
      </w:r>
      <w:r w:rsidRPr="00ED172B">
        <w:rPr>
          <w:color w:val="000000" w:themeColor="text1"/>
        </w:rPr>
        <w:br/>
        <w:t>Upon further data analysis, several reasons were determined as the possible cause for this decrease. We believe that slippage may have occurred as a result of the continued implementation of the State's Systemic Improvement Plan (SSIP). The goal of the SSIP work is to increase the accuracy of COS ratings through additional COS training on engaging the family, and the training on and use of the COS decision tree. The ratings entered by the FRC may be more accurate, which in turn lead to a change in progress categories and then SS2.</w:t>
      </w:r>
      <w:r w:rsidRPr="00ED172B">
        <w:rPr>
          <w:color w:val="000000" w:themeColor="text1"/>
        </w:rPr>
        <w:br/>
      </w:r>
      <w:r w:rsidRPr="00ED172B">
        <w:rPr>
          <w:color w:val="000000" w:themeColor="text1"/>
        </w:rPr>
        <w:br/>
      </w:r>
      <w:r w:rsidRPr="00ED172B">
        <w:rPr>
          <w:color w:val="000000" w:themeColor="text1"/>
        </w:rPr>
        <w:lastRenderedPageBreak/>
        <w:t>The slippage could also be a result of the updated guidance for children entering Part C services with a qualifying diagnosis. We have revised the list of qualifying diagnosis and added several new diagnosis to our list. The change in our data could be the result of more children with severe diagnosis entering services and the fact that they do not meet expectations in Outcome B by the time they turn three years old.</w:t>
      </w:r>
      <w:r w:rsidRPr="00ED172B">
        <w:rPr>
          <w:color w:val="000000" w:themeColor="text1"/>
        </w:rPr>
        <w:br/>
        <w:t xml:space="preserve"> </w:t>
      </w:r>
      <w:r w:rsidRPr="00ED172B">
        <w:rPr>
          <w:color w:val="000000" w:themeColor="text1"/>
        </w:rPr>
        <w:br/>
        <w:t>We will be following up with our local provider agencies in each of our regions to further identify reasons for the decrease percent of infants and toddlers who were functioning within age expectations in Outcome B by the time they turned 3 years of age or exited the program.</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49</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0.67%</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1,730</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23.81%</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1,502</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20.67%</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2,501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34.42%</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1,484</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20.42%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4,003</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5,782</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67.25%</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69.50%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69.23%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3,985</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7,266</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55.51%</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59.35%</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54.84%</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10,195</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2,929</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Outcome Measurement Policies and Procedures</w:t>
      </w:r>
      <w:r w:rsidRPr="00ED172B">
        <w:rPr>
          <w:rFonts w:cs="Arial"/>
          <w:color w:val="000000" w:themeColor="text1"/>
          <w:szCs w:val="16"/>
        </w:rPr>
        <w:br/>
        <w:t>Washington State’s outcome measurement policies and procedures require all eligible infants and toddlers who have received at least six months of early intervention services to have child outcome data collected at entry and exit.</w:t>
      </w:r>
      <w:r w:rsidRPr="00ED172B">
        <w:rPr>
          <w:rFonts w:cs="Arial"/>
          <w:color w:val="000000" w:themeColor="text1"/>
          <w:szCs w:val="16"/>
        </w:rPr>
        <w:br/>
        <w:t>Child outcome entry data is gathered prior to completing each initial IFSP, with an exception when a child entered early intervention at 30 months of age or later. Under this circumstance, the child is not required to have an entry COS rating because s/he would not have been in service for the required six-month period. All infants and toddlers, who had an entry COS and received at least six months of consecutive services, had an exit COS completed prior to leaving early intervention.</w:t>
      </w:r>
      <w:r w:rsidRPr="00ED172B">
        <w:rPr>
          <w:rFonts w:cs="Arial"/>
          <w:color w:val="000000" w:themeColor="text1"/>
          <w:szCs w:val="16"/>
        </w:rPr>
        <w:br/>
      </w:r>
      <w:r w:rsidRPr="00ED172B">
        <w:rPr>
          <w:rFonts w:cs="Arial"/>
          <w:color w:val="000000" w:themeColor="text1"/>
          <w:szCs w:val="16"/>
        </w:rPr>
        <w:br/>
        <w:t>Washington State’s IFSP process integrates the child outcome summary into the initial evaluation and assessment process. Training and technical assistance continue to focus on gathering functional information about the child to inform the child outcome summary rating process. Because of the integrated child outcome summary and IFSP process, evaluation and assessment data are used in a more consistent way to determine child outcome summary ratings.</w:t>
      </w:r>
      <w:r w:rsidRPr="00ED172B">
        <w:rPr>
          <w:rFonts w:cs="Arial"/>
          <w:color w:val="000000" w:themeColor="text1"/>
          <w:szCs w:val="16"/>
        </w:rPr>
        <w:br/>
      </w:r>
      <w:r w:rsidRPr="00ED172B">
        <w:rPr>
          <w:rFonts w:cs="Arial"/>
          <w:color w:val="000000" w:themeColor="text1"/>
          <w:szCs w:val="16"/>
        </w:rPr>
        <w:br/>
        <w:t>Measurement Strategies and Data Collection</w:t>
      </w:r>
      <w:r w:rsidRPr="00ED172B">
        <w:rPr>
          <w:rFonts w:cs="Arial"/>
          <w:color w:val="000000" w:themeColor="text1"/>
          <w:szCs w:val="16"/>
        </w:rPr>
        <w:br/>
        <w:t xml:space="preserve">The child's IFSP team, which includes the child's parent, used a variety of data sources to determine the child’s level of functioning in each child </w:t>
      </w:r>
      <w:r w:rsidRPr="00ED172B">
        <w:rPr>
          <w:rFonts w:cs="Arial"/>
          <w:color w:val="000000" w:themeColor="text1"/>
          <w:szCs w:val="16"/>
        </w:rPr>
        <w:lastRenderedPageBreak/>
        <w:t xml:space="preserve">outcome area. IFSP teams made assessment tool selections based on the needs of the child and family. The child’s functional performance was rated following the ECO child outcome summary process. The data sources used by the team included standardized tools, curriculum-based measures, parent/caregiver report, professional observations, and other relevant assessment information. </w:t>
      </w:r>
      <w:r w:rsidRPr="00ED172B">
        <w:rPr>
          <w:rFonts w:cs="Arial"/>
          <w:color w:val="000000" w:themeColor="text1"/>
          <w:szCs w:val="16"/>
        </w:rPr>
        <w:br/>
      </w:r>
      <w:r w:rsidRPr="00ED172B">
        <w:rPr>
          <w:rFonts w:cs="Arial"/>
          <w:color w:val="000000" w:themeColor="text1"/>
          <w:szCs w:val="16"/>
        </w:rPr>
        <w:br/>
        <w:t>When standardized tools or curriculum-based instruments were administered, the instruments or measures most frequently used included:</w:t>
      </w:r>
      <w:r w:rsidRPr="00ED172B">
        <w:rPr>
          <w:rFonts w:cs="Arial"/>
          <w:color w:val="000000" w:themeColor="text1"/>
          <w:szCs w:val="16"/>
        </w:rPr>
        <w:br/>
        <w:t>• Assessment, Evaluation, and Programming System for Infants and Children (AEPS) -- Birth to three Battelle Developmental Inventory</w:t>
      </w:r>
      <w:r w:rsidRPr="00ED172B">
        <w:rPr>
          <w:rFonts w:cs="Arial"/>
          <w:color w:val="000000" w:themeColor="text1"/>
          <w:szCs w:val="16"/>
        </w:rPr>
        <w:br/>
        <w:t>• Developmental Assessment of Young Children (DAYC) Bayley Scales of Infant and Toddler Development</w:t>
      </w:r>
      <w:r w:rsidRPr="00ED172B">
        <w:rPr>
          <w:rFonts w:cs="Arial"/>
          <w:color w:val="000000" w:themeColor="text1"/>
          <w:szCs w:val="16"/>
        </w:rPr>
        <w:br/>
      </w:r>
      <w:r w:rsidRPr="00ED172B">
        <w:rPr>
          <w:rFonts w:cs="Arial"/>
          <w:color w:val="000000" w:themeColor="text1"/>
          <w:szCs w:val="16"/>
        </w:rPr>
        <w:br/>
        <w:t>Early Intervention Program Agency staff enter child outcome summary data into the data management system on an ongoing basis.</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82.50%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82.75%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83.25%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89.87%</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81.55%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81.78%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75.72%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79.17%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79.53%</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90.50%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90.75%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91.25%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92.16%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88.54%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88.39%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81.86%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85.87%</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86.50%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86.75%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87.00%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87.25%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87.50%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86.89%</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85.98%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87.65%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80.07%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85.10%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84.90%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83.50%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91.50%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87.50%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w:t>
      </w:r>
      <w:r w:rsidRPr="00ED172B">
        <w:rPr>
          <w:color w:val="000000" w:themeColor="text1"/>
        </w:rPr>
        <w:lastRenderedPageBreak/>
        <w:t>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4,216</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1,915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1,562</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1,738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1,727</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1,874</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1,418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1,632</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79.53%</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83.50%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89.87%</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85.87%</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91.50%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92.16%</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84.90%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87.50%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86.89%</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2D915B3D" w14:textId="77777777" w:rsidTr="00470774">
        <w:tc>
          <w:tcPr>
            <w:tcW w:w="3950" w:type="pct"/>
          </w:tcPr>
          <w:p w14:paraId="5F7B6E1E" w14:textId="50130F8F" w:rsidR="00013004" w:rsidRPr="00ED172B" w:rsidRDefault="00013004" w:rsidP="00781A26">
            <w:pPr>
              <w:rPr>
                <w:rFonts w:cs="Arial"/>
                <w:color w:val="000000" w:themeColor="text1"/>
                <w:szCs w:val="16"/>
              </w:rPr>
            </w:pPr>
            <w:r w:rsidRPr="00ED172B">
              <w:rPr>
                <w:rFonts w:cs="Arial"/>
                <w:color w:val="000000" w:themeColor="text1"/>
                <w:szCs w:val="16"/>
              </w:rPr>
              <w:t>If your collection tool has changed, upload it here</w:t>
            </w:r>
          </w:p>
        </w:tc>
        <w:tc>
          <w:tcPr>
            <w:tcW w:w="1050" w:type="pct"/>
          </w:tcPr>
          <w:p w14:paraId="1D3C4E37" w14:textId="4B752F95" w:rsidR="00013004" w:rsidRPr="00ED172B" w:rsidRDefault="00860830" w:rsidP="00781A26">
            <w:pPr>
              <w:rPr>
                <w:rFonts w:cs="Arial"/>
                <w:color w:val="000000" w:themeColor="text1"/>
                <w:szCs w:val="16"/>
              </w:rPr>
            </w:pPr>
            <w:r w:rsidRPr="00ED172B">
              <w:rPr>
                <w:rFonts w:cs="Arial"/>
                <w:color w:val="000000" w:themeColor="text1"/>
                <w:szCs w:val="16"/>
              </w:rPr>
              <w:t>Family Survey Tool FFY19 &amp; 508 Compliance Verification</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lastRenderedPageBreak/>
        <w:t xml:space="preserve">FFY 2019 family outcome data was collected and reported using a new Family Outcomes Survey. The survey was developed by Washington State University (WSU) in collaboration with the Parent Institute for Engagement (PIE) Family Outcomes Survey Workgroup. The State Interagency Coordinating Council (SICC) reviewed the new tool and provided feedback prior to the finalization and implementation of the questionnaire. </w:t>
      </w:r>
      <w:r w:rsidRPr="00ED172B">
        <w:rPr>
          <w:rFonts w:cs="Arial"/>
          <w:color w:val="000000" w:themeColor="text1"/>
          <w:szCs w:val="16"/>
        </w:rPr>
        <w:br/>
      </w:r>
      <w:r w:rsidRPr="00ED172B">
        <w:rPr>
          <w:rFonts w:cs="Arial"/>
          <w:color w:val="000000" w:themeColor="text1"/>
          <w:szCs w:val="16"/>
        </w:rPr>
        <w:br/>
        <w:t xml:space="preserve">The re-design of the Family Outcomes Survey focused on simplified text and friendlier tone, fewer response options and a shorter survey. The child's name and the provider agency were pre-populated on the personalized survey and the cover letter was signed by ESIT's Family Engagement Coordinator. </w:t>
      </w:r>
      <w:r w:rsidRPr="00ED172B">
        <w:rPr>
          <w:rFonts w:cs="Arial"/>
          <w:color w:val="000000" w:themeColor="text1"/>
          <w:szCs w:val="16"/>
        </w:rPr>
        <w:br/>
      </w:r>
      <w:r w:rsidRPr="00ED172B">
        <w:rPr>
          <w:rFonts w:cs="Arial"/>
          <w:color w:val="000000" w:themeColor="text1"/>
          <w:szCs w:val="16"/>
        </w:rPr>
        <w:br/>
        <w:t>WSU mailed a cover letter and the printed surveys to families whose child exited the program in the last 6 months, who received services for at least 6 months and/or who had an Annual IFSP. Families whose children deceased did not receive a survey. The letter stated the purpose of the survey and how the data is used. Surveys were available in twelve languages. WSU followed up with a postcard reminder as well as an email reminder in the month of November. Telephone surveys were conducted from December 2020 to January of 2021. This allowed ESIT the ability to distribute surveys targeting underrepresented groups with follow-up communication as needed.</w:t>
      </w:r>
      <w:r w:rsidRPr="00ED172B">
        <w:rPr>
          <w:rFonts w:cs="Arial"/>
          <w:color w:val="000000" w:themeColor="text1"/>
          <w:szCs w:val="16"/>
        </w:rPr>
        <w:br/>
      </w:r>
      <w:r w:rsidRPr="00ED172B">
        <w:rPr>
          <w:rFonts w:cs="Arial"/>
          <w:color w:val="000000" w:themeColor="text1"/>
          <w:szCs w:val="16"/>
        </w:rPr>
        <w:br/>
        <w:t>The representativeness (geographic area, region, race/ethnicity, age of the child, length of program participation, and socio-economic status) of survey respondents was assessed by comparing survey response data with the data of all survey recipients. Race and Ethnicity data was also compared to the December 1, 2020 Child County Data. Demographic data was obtained from all geographic areas of the state. The metric selected to measure representativeness is that data with+/- 3% discrepancy in the proportion of responders in comparison to the target group is considered to be representative.</w:t>
      </w:r>
      <w:r w:rsidRPr="00ED172B">
        <w:rPr>
          <w:rFonts w:cs="Arial"/>
          <w:color w:val="000000" w:themeColor="text1"/>
          <w:szCs w:val="16"/>
        </w:rPr>
        <w:br/>
      </w:r>
      <w:r w:rsidRPr="00ED172B">
        <w:rPr>
          <w:rFonts w:cs="Arial"/>
          <w:color w:val="000000" w:themeColor="text1"/>
          <w:szCs w:val="16"/>
        </w:rPr>
        <w:br/>
        <w:t xml:space="preserve">When considering age of child, the largest difference in representation was observed for children age 13-24 months old. We observed no significant over-representation (2% difference) for children age 13-24 months and children older than 37 months (2% difference). </w:t>
      </w:r>
      <w:r w:rsidRPr="00ED172B">
        <w:rPr>
          <w:rFonts w:cs="Arial"/>
          <w:color w:val="000000" w:themeColor="text1"/>
          <w:szCs w:val="16"/>
        </w:rPr>
        <w:br/>
      </w:r>
      <w:r w:rsidRPr="00ED172B">
        <w:rPr>
          <w:rFonts w:cs="Arial"/>
          <w:color w:val="000000" w:themeColor="text1"/>
          <w:szCs w:val="16"/>
        </w:rPr>
        <w:br/>
        <w:t>Age of Child a) Survey Responses b)December 1, 2017 Child Count</w:t>
      </w:r>
      <w:r w:rsidRPr="00ED172B">
        <w:rPr>
          <w:rFonts w:cs="Arial"/>
          <w:color w:val="000000" w:themeColor="text1"/>
          <w:szCs w:val="16"/>
        </w:rPr>
        <w:br/>
      </w:r>
      <w:r w:rsidRPr="00ED172B">
        <w:rPr>
          <w:rFonts w:cs="Arial"/>
          <w:color w:val="000000" w:themeColor="text1"/>
          <w:szCs w:val="16"/>
        </w:rPr>
        <w:br/>
        <w:t>Birth – 12 months</w:t>
      </w:r>
      <w:r w:rsidRPr="00ED172B">
        <w:rPr>
          <w:rFonts w:cs="Arial"/>
          <w:color w:val="000000" w:themeColor="text1"/>
          <w:szCs w:val="16"/>
        </w:rPr>
        <w:br/>
        <w:t>a)1%</w:t>
      </w:r>
      <w:r w:rsidRPr="00ED172B">
        <w:rPr>
          <w:rFonts w:cs="Arial"/>
          <w:color w:val="000000" w:themeColor="text1"/>
          <w:szCs w:val="16"/>
        </w:rPr>
        <w:br/>
        <w:t>b)1%</w:t>
      </w:r>
      <w:r w:rsidRPr="00ED172B">
        <w:rPr>
          <w:rFonts w:cs="Arial"/>
          <w:color w:val="000000" w:themeColor="text1"/>
          <w:szCs w:val="16"/>
        </w:rPr>
        <w:br/>
      </w:r>
      <w:r w:rsidRPr="00ED172B">
        <w:rPr>
          <w:rFonts w:cs="Arial"/>
          <w:color w:val="000000" w:themeColor="text1"/>
          <w:szCs w:val="16"/>
        </w:rPr>
        <w:br/>
        <w:t>13 – 24 months</w:t>
      </w:r>
      <w:r w:rsidRPr="00ED172B">
        <w:rPr>
          <w:rFonts w:cs="Arial"/>
          <w:color w:val="000000" w:themeColor="text1"/>
          <w:szCs w:val="16"/>
        </w:rPr>
        <w:br/>
        <w:t>a)19%</w:t>
      </w:r>
      <w:r w:rsidRPr="00ED172B">
        <w:rPr>
          <w:rFonts w:cs="Arial"/>
          <w:color w:val="000000" w:themeColor="text1"/>
          <w:szCs w:val="16"/>
        </w:rPr>
        <w:br/>
        <w:t>b)17%</w:t>
      </w:r>
      <w:r w:rsidRPr="00ED172B">
        <w:rPr>
          <w:rFonts w:cs="Arial"/>
          <w:color w:val="000000" w:themeColor="text1"/>
          <w:szCs w:val="16"/>
        </w:rPr>
        <w:br/>
      </w:r>
      <w:r w:rsidRPr="00ED172B">
        <w:rPr>
          <w:rFonts w:cs="Arial"/>
          <w:color w:val="000000" w:themeColor="text1"/>
          <w:szCs w:val="16"/>
        </w:rPr>
        <w:br/>
        <w:t>25 – 36 months</w:t>
      </w:r>
      <w:r w:rsidRPr="00ED172B">
        <w:rPr>
          <w:rFonts w:cs="Arial"/>
          <w:color w:val="000000" w:themeColor="text1"/>
          <w:szCs w:val="16"/>
        </w:rPr>
        <w:br/>
        <w:t>a)35%</w:t>
      </w:r>
      <w:r w:rsidRPr="00ED172B">
        <w:rPr>
          <w:rFonts w:cs="Arial"/>
          <w:color w:val="000000" w:themeColor="text1"/>
          <w:szCs w:val="16"/>
        </w:rPr>
        <w:br/>
        <w:t>b)34%</w:t>
      </w:r>
      <w:r w:rsidRPr="00ED172B">
        <w:rPr>
          <w:rFonts w:cs="Arial"/>
          <w:color w:val="000000" w:themeColor="text1"/>
          <w:szCs w:val="16"/>
        </w:rPr>
        <w:br/>
      </w:r>
      <w:r w:rsidRPr="00ED172B">
        <w:rPr>
          <w:rFonts w:cs="Arial"/>
          <w:color w:val="000000" w:themeColor="text1"/>
          <w:szCs w:val="16"/>
        </w:rPr>
        <w:br/>
        <w:t>Older than 36 months</w:t>
      </w:r>
      <w:r w:rsidRPr="00ED172B">
        <w:rPr>
          <w:rFonts w:cs="Arial"/>
          <w:color w:val="000000" w:themeColor="text1"/>
          <w:szCs w:val="16"/>
        </w:rPr>
        <w:br/>
        <w:t>a)45%</w:t>
      </w:r>
      <w:r w:rsidRPr="00ED172B">
        <w:rPr>
          <w:rFonts w:cs="Arial"/>
          <w:color w:val="000000" w:themeColor="text1"/>
          <w:szCs w:val="16"/>
        </w:rPr>
        <w:br/>
        <w:t>b)47%</w:t>
      </w:r>
      <w:r w:rsidRPr="00ED172B">
        <w:rPr>
          <w:rFonts w:cs="Arial"/>
          <w:color w:val="000000" w:themeColor="text1"/>
          <w:szCs w:val="16"/>
        </w:rPr>
        <w:br/>
      </w:r>
      <w:r w:rsidRPr="00ED172B">
        <w:rPr>
          <w:rFonts w:cs="Arial"/>
          <w:color w:val="000000" w:themeColor="text1"/>
          <w:szCs w:val="16"/>
        </w:rPr>
        <w:br/>
        <w:t xml:space="preserve">The race/ethnicity data of our survey respondents is representative of the data of our recipient population as well as the data of our general population as seen in the December 1, 2020 Child Count Data. </w:t>
      </w:r>
      <w:r w:rsidRPr="00ED172B">
        <w:rPr>
          <w:rFonts w:cs="Arial"/>
          <w:color w:val="000000" w:themeColor="text1"/>
          <w:szCs w:val="16"/>
        </w:rPr>
        <w:br/>
      </w:r>
      <w:r w:rsidRPr="00ED172B">
        <w:rPr>
          <w:rFonts w:cs="Arial"/>
          <w:color w:val="000000" w:themeColor="text1"/>
          <w:szCs w:val="16"/>
        </w:rPr>
        <w:br/>
        <w:t>Race/Ethnicity a) Survey Responses b)December 1, 2020 c)Survey Recipient Count</w:t>
      </w:r>
      <w:r w:rsidRPr="00ED172B">
        <w:rPr>
          <w:rFonts w:cs="Arial"/>
          <w:color w:val="000000" w:themeColor="text1"/>
          <w:szCs w:val="16"/>
        </w:rPr>
        <w:br/>
        <w:t>White a) 56% b) 56% c)54%</w:t>
      </w:r>
      <w:r w:rsidRPr="00ED172B">
        <w:rPr>
          <w:rFonts w:cs="Arial"/>
          <w:color w:val="000000" w:themeColor="text1"/>
          <w:szCs w:val="16"/>
        </w:rPr>
        <w:br/>
        <w:t>Hispanic a)21% b)22% c)23%</w:t>
      </w:r>
      <w:r w:rsidRPr="00ED172B">
        <w:rPr>
          <w:rFonts w:cs="Arial"/>
          <w:color w:val="000000" w:themeColor="text1"/>
          <w:szCs w:val="16"/>
        </w:rPr>
        <w:br/>
        <w:t>Asian a)9% b)7% c)7%</w:t>
      </w:r>
      <w:r w:rsidRPr="00ED172B">
        <w:rPr>
          <w:rFonts w:cs="Arial"/>
          <w:color w:val="000000" w:themeColor="text1"/>
          <w:szCs w:val="16"/>
        </w:rPr>
        <w:br/>
        <w:t>Native Hawaiian/ a)1% b)1% c)1%</w:t>
      </w:r>
      <w:r w:rsidRPr="00ED172B">
        <w:rPr>
          <w:rFonts w:cs="Arial"/>
          <w:color w:val="000000" w:themeColor="text1"/>
          <w:szCs w:val="16"/>
        </w:rPr>
        <w:br/>
        <w:t>Pacific Islander</w:t>
      </w:r>
      <w:r w:rsidRPr="00ED172B">
        <w:rPr>
          <w:rFonts w:cs="Arial"/>
          <w:color w:val="000000" w:themeColor="text1"/>
          <w:szCs w:val="16"/>
        </w:rPr>
        <w:br/>
        <w:t xml:space="preserve">Black or a)4% b)5% c)5% </w:t>
      </w:r>
      <w:r w:rsidRPr="00ED172B">
        <w:rPr>
          <w:rFonts w:cs="Arial"/>
          <w:color w:val="000000" w:themeColor="text1"/>
          <w:szCs w:val="16"/>
        </w:rPr>
        <w:br/>
        <w:t xml:space="preserve">African American </w:t>
      </w:r>
      <w:r w:rsidRPr="00ED172B">
        <w:rPr>
          <w:rFonts w:cs="Arial"/>
          <w:color w:val="000000" w:themeColor="text1"/>
          <w:szCs w:val="16"/>
        </w:rPr>
        <w:br/>
        <w:t>Two or More Races a)8% b)8% c)8%</w:t>
      </w:r>
      <w:r w:rsidRPr="00ED172B">
        <w:rPr>
          <w:rFonts w:cs="Arial"/>
          <w:color w:val="000000" w:themeColor="text1"/>
          <w:szCs w:val="16"/>
        </w:rPr>
        <w:br/>
        <w:t>American Indian or a)1% b)1% c)1%</w:t>
      </w:r>
      <w:r w:rsidRPr="00ED172B">
        <w:rPr>
          <w:rFonts w:cs="Arial"/>
          <w:color w:val="000000" w:themeColor="text1"/>
          <w:szCs w:val="16"/>
        </w:rPr>
        <w:br/>
        <w:t>Alaska Native</w:t>
      </w:r>
      <w:r w:rsidRPr="00ED172B">
        <w:rPr>
          <w:rFonts w:cs="Arial"/>
          <w:color w:val="000000" w:themeColor="text1"/>
          <w:szCs w:val="16"/>
        </w:rPr>
        <w:br/>
      </w:r>
      <w:r w:rsidRPr="00ED172B">
        <w:rPr>
          <w:rFonts w:cs="Arial"/>
          <w:color w:val="000000" w:themeColor="text1"/>
          <w:szCs w:val="16"/>
        </w:rPr>
        <w:br/>
        <w:t>When considering the gender of the children receiving services, the data of the survey respondents was representative of the data of our survey recipient population (less than 1% difference). This is also true for data pertaining to the primary language spoken by the families who received the survey compared to the data of families who responded to the survey (largest difference is 0.3% for families speaking Russian and Punjabi).</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4C1CEE" w:rsidP="00027F39">
      <w:pPr>
        <w:rPr>
          <w:color w:val="000000" w:themeColor="text1"/>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lastRenderedPageBreak/>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OSEP notes that the State submitted verification that the attachment complies with Section 508 of the Rehabilitation Act of 1973, as amended (Section 508). However, one or more of the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29530553" w14:textId="77777777" w:rsidR="003D02CD" w:rsidRDefault="003D02CD" w:rsidP="008D619C">
      <w:pPr>
        <w:rPr>
          <w:color w:val="000000" w:themeColor="text1"/>
        </w:rPr>
      </w:pPr>
    </w:p>
    <w:p w14:paraId="77C6ECDB" w14:textId="77777777" w:rsidR="00114E3C" w:rsidRDefault="00114E3C" w:rsidP="008D619C">
      <w:pPr>
        <w:rPr>
          <w:color w:val="000000" w:themeColor="text1"/>
        </w:rPr>
      </w:pPr>
    </w:p>
    <w:p w14:paraId="6F5FDE45" w14:textId="2AFE1376" w:rsidR="000844F2" w:rsidRPr="00A40EE1" w:rsidRDefault="000844F2" w:rsidP="000844F2">
      <w:pPr>
        <w:pStyle w:val="Heading2"/>
      </w:pPr>
      <w:r w:rsidRPr="00A40EE1">
        <w:t xml:space="preserve">4 </w:t>
      </w:r>
      <w:r>
        <w:t>–</w:t>
      </w:r>
      <w:r w:rsidRPr="00A40EE1">
        <w:t xml:space="preserve"> </w:t>
      </w:r>
      <w:r>
        <w:t>State Attachment</w:t>
      </w:r>
    </w:p>
    <w:p w14:paraId="11D8B7F8" w14:textId="6BF5D851" w:rsidR="00B4375C" w:rsidRPr="00ED172B" w:rsidRDefault="00722B68" w:rsidP="008D619C">
      <w:pPr>
        <w:rPr>
          <w:color w:val="000000" w:themeColor="text1"/>
        </w:rPr>
        <w:sectPr w:rsidR="00B4375C" w:rsidRPr="00ED172B" w:rsidSect="00E22993">
          <w:pgSz w:w="12240" w:h="15840"/>
          <w:pgMar w:top="720" w:right="720" w:bottom="720" w:left="720" w:header="720" w:footer="720" w:gutter="0"/>
          <w:cols w:space="720"/>
          <w:docGrid w:linePitch="360"/>
        </w:sectPr>
      </w:pPr>
      <w:r>
        <w:object w:dxaOrig="1508" w:dyaOrig="983" w14:anchorId="67110EF3">
          <v:shape id="_x0000_i1033" type="#_x0000_t75" alt="Family Survey Tool FFY19 &amp; 508 Compliance Verification" style="width:76.85pt;height:51.6pt" o:ole="">
            <v:imagedata r:id="rId13" o:title=""/>
          </v:shape>
          <o:OLEObject Type="Embed" ProgID="Acrobat.Document.DC" ShapeID="_x0000_i1033" DrawAspect="Icon" ObjectID="_1688998082" r:id="rId14"/>
        </w:object>
      </w: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0.51%</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0.82%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0.85%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0.89%</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0.92%</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0.96%</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1.27%</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1.47%</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1.44%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1.63%</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1.95%</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1.21%</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1,799</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88,095</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1,799</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88,095</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1.95%</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1.21%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2.04%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 xml:space="preserve">(Sources: Grads360; the number and percent of infants and toddlers receiving early intervention services under IDEA, Part C, by age and state; Institution: U.S. Department of Education; Publication Year: 20XX https://osep.grads360.org/#communities/pdc/documents/9795) </w:t>
      </w:r>
      <w:r w:rsidRPr="00ED172B">
        <w:rPr>
          <w:rFonts w:cs="Arial"/>
          <w:color w:val="000000" w:themeColor="text1"/>
          <w:szCs w:val="16"/>
        </w:rPr>
        <w:br/>
      </w:r>
      <w:r w:rsidRPr="00ED172B">
        <w:rPr>
          <w:rFonts w:cs="Arial"/>
          <w:color w:val="000000" w:themeColor="text1"/>
          <w:szCs w:val="16"/>
        </w:rPr>
        <w:br/>
        <w:t>When comparing Washington State data with national data for Indicator 5, Washington was above the national average. Washington's data for this indicator was 2.04%, and the national average for this indicator was 1.37%.</w:t>
      </w:r>
      <w:r w:rsidRPr="00ED172B">
        <w:rPr>
          <w:rFonts w:cs="Arial"/>
          <w:color w:val="000000" w:themeColor="text1"/>
          <w:szCs w:val="16"/>
        </w:rPr>
        <w:br/>
        <w:t>This reflects state and local efforts to better identify eligible infants under the age of 12 months. ESIT collected data for this indicator in the statewide data management system. Local lead agencies have access to a report in state’s data management system (DMS) that provides the percent of children from birth to one year old with IFSPs compared the state total population of children from birth to one year old at a point-in-time.</w:t>
      </w:r>
      <w:r w:rsidRPr="00ED172B">
        <w:rPr>
          <w:rFonts w:cs="Arial"/>
          <w:color w:val="000000" w:themeColor="text1"/>
          <w:szCs w:val="16"/>
        </w:rPr>
        <w:br/>
        <w:t>We anticipate an increase number of children served with Washington States continued efforts to support universal developmental screenings for all children. Statewide Parent/Caregiver Outreach and Public Awareness Parent/caregiver awareness about the importance of developmental screening increased over the past year through Washington’s WithinReach and Parent Help 123/Help Me</w:t>
      </w:r>
      <w:r w:rsidRPr="00ED172B">
        <w:rPr>
          <w:rFonts w:cs="Arial"/>
          <w:color w:val="000000" w:themeColor="text1"/>
          <w:szCs w:val="16"/>
        </w:rPr>
        <w:br/>
        <w:t>Grow websites: http://www.withinreachwa.org/ and http://www.parenthelp123.org/child-development/help-me-grow-washington.</w:t>
      </w:r>
      <w:r w:rsidRPr="00ED172B">
        <w:rPr>
          <w:rFonts w:cs="Arial"/>
          <w:color w:val="000000" w:themeColor="text1"/>
          <w:szCs w:val="16"/>
        </w:rPr>
        <w:br/>
      </w:r>
      <w:r w:rsidRPr="00ED172B">
        <w:rPr>
          <w:rFonts w:cs="Arial"/>
          <w:color w:val="000000" w:themeColor="text1"/>
          <w:szCs w:val="16"/>
        </w:rPr>
        <w:br/>
        <w:t>WithinReach Family Health Hotline continued to serve as ESIT’s central directory contractor and provided statewide information and referral to ESIT Family Resources Coordinators (FRCs). WithinReach Family Health Hotline continued to be the 1-800 number families call if they have concerns or questions about their child’s development or need to find out how to access public health insurance, immunizations for their child, food or housing assistance, etc.</w:t>
      </w:r>
      <w:r w:rsidRPr="00ED172B">
        <w:rPr>
          <w:rFonts w:cs="Arial"/>
          <w:color w:val="000000" w:themeColor="text1"/>
          <w:szCs w:val="16"/>
        </w:rPr>
        <w:br/>
      </w:r>
      <w:r w:rsidRPr="00ED172B">
        <w:rPr>
          <w:rFonts w:cs="Arial"/>
          <w:color w:val="000000" w:themeColor="text1"/>
          <w:szCs w:val="16"/>
        </w:rPr>
        <w:br/>
        <w:t xml:space="preserve">CHILD Profile continued to serve as an effective ESIT public awareness resource to families. CHILD Profile is a program of the Department of Health (DOH) that provided immunization tracking and continued to distribute free child development and health information for Washington families that have children ages birth to six years of age. CHILD Profile continued to serve as Washington State’s Health Promotion and Immunization Registry system. ESIT continued to contract with CHILD Profile to distribute three specific targeted mailings to families statewide with information on how children grow and develop. This information also included the WithinReach Family Health Hotline phone number, should families have a concern about their child’s development. Parents of all children born in Washington State get these free materials. Children and families who move into the state could also be added to the system by their health care provider. Parents were also able to sign up directly to receive the materials. For more information about CHILD Profile, go to https://www.doh.wa.gov/YouandYourFamily/Immunization/ChildProfileHealthPromotion/ForParents </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1.79%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2.32%</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2.38%</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2.43%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2.55%</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2.69%</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2.77%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2.99%</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3.43%</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2.80%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10,002</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268,540</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lastRenderedPageBreak/>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10,002</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268,540</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3.43%</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2.80%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3.72%</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(Sources: Grads360; the number and percent of infants and toddlers receiving early intervention services under IDEA, Part C, by age and state; Institution: U.S. Department of Education; Publication Year: 20XX https://osep.grads360.org/#communities/pdc/documents/9795)</w:t>
      </w:r>
      <w:r w:rsidRPr="00ED172B">
        <w:rPr>
          <w:color w:val="000000" w:themeColor="text1"/>
        </w:rPr>
        <w:br/>
      </w:r>
      <w:r w:rsidRPr="00ED172B">
        <w:rPr>
          <w:color w:val="000000" w:themeColor="text1"/>
        </w:rPr>
        <w:br/>
        <w:t>When comparing Washington State data with national data for Indicator 6, Washington represents the national average. Washington's data for this indicator was 3.72%, and the national average for this indicator was 3.7%. Washington continues to increase the percentage of children served each year and exceeding the state’s target. Stakeholders noted that this improvement over the prior year reflects the effort that has been made at both the state and local level to reach out and identify more infants and toddlers that are eligible for early intervention services.</w:t>
      </w:r>
      <w:r w:rsidRPr="00ED172B">
        <w:rPr>
          <w:color w:val="000000" w:themeColor="text1"/>
        </w:rPr>
        <w:br/>
      </w:r>
      <w:r w:rsidRPr="00ED172B">
        <w:rPr>
          <w:color w:val="000000" w:themeColor="text1"/>
        </w:rPr>
        <w:br/>
        <w:t>Local lead agencies have access to a report in state’s data management system (DMS) that provides the percent of children from birth to three year old with IFSPs compared the state total population of children from birth to one year old at a point-in-time.</w:t>
      </w:r>
      <w:r w:rsidRPr="00ED172B">
        <w:rPr>
          <w:color w:val="000000" w:themeColor="text1"/>
        </w:rPr>
        <w:br/>
      </w:r>
      <w:r w:rsidRPr="00ED172B">
        <w:rPr>
          <w:color w:val="000000" w:themeColor="text1"/>
        </w:rPr>
        <w:br/>
        <w:t xml:space="preserve">We anticipate a continuous increase number of children served with the Washington States continued efforts to support universal developmental screenings for all children. Statewide Parent/Caregiver Outreach and Public Awareness Parent/caregiver awareness about the importance of developmental screening increased over the past year through Washington’s WithinReach and Parent Help 123/Help Me Grow websites: http://www.withinreachwa.org/ and http://www.parenthelp123.org/child-development/help-me-grow-washington. </w:t>
      </w:r>
      <w:r w:rsidRPr="00ED172B">
        <w:rPr>
          <w:color w:val="000000" w:themeColor="text1"/>
        </w:rPr>
        <w:br/>
        <w:t>WithinReach Family Health Hotline continued to serve as ESIT’s central directory contractor and provided statewide information and referral to ESIT Family Resources Coordinators (FRCs). WithinReach Family Health Hotline continued to be the 1-800 number families call if they have concerns or questions about their child’s development or need to find out how to access public health insurance, immunizations for their child, food or housing assistance, etc.</w:t>
      </w:r>
      <w:r w:rsidRPr="00ED172B">
        <w:rPr>
          <w:color w:val="000000" w:themeColor="text1"/>
        </w:rPr>
        <w:br/>
      </w:r>
      <w:r w:rsidRPr="00ED172B">
        <w:rPr>
          <w:color w:val="000000" w:themeColor="text1"/>
        </w:rPr>
        <w:br/>
        <w:t>CHILD Profile continued to serve as an effective ESIT public awareness resource to families. CHILD Profile is a program of the Department of Health (DOH) that provided immunization tracking and continued to distribute free child development and health information for Washington families that have children ages birth to six years of age. CHILD Profile continued to serve as Washington State’s Health Promotion and Immunization Registry system. ESIT continued to contract with CHILD Profile to distribute three specific targeted mailings to families statewide with information on how</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85.00%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92.21%</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93.67%</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91.90%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91.43%</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90.77%</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4,021</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5,437</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90.77%</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94.78%</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1,132</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Data were collected from January 1 through March 31, 2020, third quarter, selection from the full reporting period and was obtained from all IFSPs entered into the ESIT Data Management System (DMS) during this period.</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2020,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In FFY 2019, 5.82% of services entered in the state database during the compliance monitoring period were late. After analysis of the late reasons that were identified as "late, other" three categories of late reasons were identified. The three categories are provider shortages, late due to circumstances related to the COVID-19 pandemic, and late due to administrative and provider agency scheduling errors.</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195</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195</w:t>
            </w:r>
          </w:p>
        </w:tc>
        <w:tc>
          <w:tcPr>
            <w:tcW w:w="1229" w:type="pct"/>
            <w:shd w:val="clear" w:color="auto" w:fill="auto"/>
          </w:tcPr>
          <w:p w14:paraId="7767046D" w14:textId="6877FBBE" w:rsidR="008203B4" w:rsidRPr="00ED172B" w:rsidRDefault="008203B4" w:rsidP="00186420">
            <w:pPr>
              <w:jc w:val="center"/>
              <w:rPr>
                <w:rFonts w:cs="Arial"/>
                <w:color w:val="000000" w:themeColor="text1"/>
                <w:szCs w:val="16"/>
              </w:rPr>
            </w:pP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The ESIT program verified that it corrected all findings of noncompliance identified in FFY 2018, consistent with the requirements in OSEP Memo 09-02.</w:t>
      </w:r>
      <w:r w:rsidRPr="00ED172B">
        <w:rPr>
          <w:rFonts w:cs="Arial"/>
          <w:color w:val="000000" w:themeColor="text1"/>
          <w:szCs w:val="16"/>
        </w:rPr>
        <w:br/>
        <w:t>ESIT staff, Local Lead Agency (LLA) administrators, Family Resources Coordinators (FRCs), and providers used the ESIT Data Management System (DMS) IFSP Compliance Report to review data.</w:t>
      </w:r>
      <w:r w:rsidRPr="00ED172B">
        <w:rPr>
          <w:rFonts w:cs="Arial"/>
          <w:color w:val="000000" w:themeColor="text1"/>
          <w:szCs w:val="16"/>
        </w:rPr>
        <w:br/>
        <w:t>From the date the LLA received a finding letter for noncompliance, the LLA had one year to correct identified non-compliance for each indicator not meeting 100%. Each LLA reviewed compliance reports from the DMS to ensure data was entered accurately into the system and that the regulatory requirements regarding timely service provision were being met</w:t>
      </w:r>
      <w:r w:rsidRPr="00ED172B">
        <w:rPr>
          <w:rFonts w:cs="Arial"/>
          <w:color w:val="000000" w:themeColor="text1"/>
          <w:szCs w:val="16"/>
        </w:rPr>
        <w:br/>
        <w:t>To verify that noncompliance was correctly addressing the regulatory requirements, each LLA reviewed and identified a minimum of two weeks of DMS data. If data demonstrated compliance for each indicator where findings were issued, compliance was considered achieved. The LLA then submitted the DMS data to ESIT staff for reverification. After ESIT staff verified the data submitted, (and verified correction of individual child noncompliance, ESIT staff sent a letter documenting that noncompliance was fully corrected.</w:t>
      </w:r>
      <w:r w:rsidRPr="00ED172B">
        <w:rPr>
          <w:rFonts w:cs="Arial"/>
          <w:color w:val="000000" w:themeColor="text1"/>
          <w:szCs w:val="16"/>
        </w:rPr>
        <w:br/>
        <w:t>If correction of non-compliance has not been verified within one-year of the findings, ESIT staff notifies the LLA that they must develop a CAP. During FFY18, no LLA met the criteria for needing a CAP.</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ESIT staff verified correction of each individual incidence of non-compliance through the ESIT data management system (DMS). The  DMS provides a referral date, an Initial IFSP due date and the actual date the Initial IFSP was issued for every new IFSP. If an Initial IFSP was late, the DMS requires the user to enter a reason for the delay.</w:t>
      </w:r>
      <w:r w:rsidRPr="00ED172B">
        <w:rPr>
          <w:rFonts w:cs="Arial"/>
          <w:color w:val="000000" w:themeColor="text1"/>
          <w:szCs w:val="16"/>
        </w:rPr>
        <w:br/>
      </w:r>
      <w:r w:rsidRPr="00ED172B">
        <w:rPr>
          <w:rFonts w:cs="Arial"/>
          <w:color w:val="000000" w:themeColor="text1"/>
          <w:szCs w:val="16"/>
        </w:rPr>
        <w:br/>
        <w:t>Late Exceptional Family Circumstance (EFC): extraordinary events that prevent the family from participating in required events on time.</w:t>
      </w:r>
      <w:r w:rsidRPr="00ED172B">
        <w:rPr>
          <w:rFonts w:cs="Arial"/>
          <w:color w:val="000000" w:themeColor="text1"/>
          <w:szCs w:val="16"/>
        </w:rPr>
        <w:br/>
      </w:r>
      <w:r w:rsidRPr="00ED172B">
        <w:rPr>
          <w:rFonts w:cs="Arial"/>
          <w:color w:val="000000" w:themeColor="text1"/>
          <w:szCs w:val="16"/>
        </w:rPr>
        <w:br/>
        <w:t>Late Other: events identified by the early intervention program or provider and not the family that prevent required events from being completed on time.</w:t>
      </w:r>
      <w:r w:rsidRPr="00ED172B">
        <w:rPr>
          <w:rFonts w:cs="Arial"/>
          <w:color w:val="000000" w:themeColor="text1"/>
          <w:szCs w:val="16"/>
        </w:rPr>
        <w:br/>
      </w:r>
      <w:r w:rsidRPr="00ED172B">
        <w:rPr>
          <w:rFonts w:cs="Arial"/>
          <w:color w:val="000000" w:themeColor="text1"/>
          <w:szCs w:val="16"/>
        </w:rPr>
        <w:br/>
        <w:t>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 xml:space="preserve">If the State uses data from a State database to report on this indicator in its FFY 2019 SPP/APR, and the State does not use data from the full reporting period (July 1, 2019-June 30, 2020), the State must describe, in the FFY 2019 SPP/APR, how the time period in which the data were collected accurately reflects data for infants and toddlers with IFSPs for the full reporting period. </w:t>
      </w:r>
    </w:p>
    <w:p w14:paraId="4F1F97B2" w14:textId="0B85FD60" w:rsidR="008203B4" w:rsidRPr="00ED172B" w:rsidRDefault="008203B4" w:rsidP="00B83404">
      <w:pPr>
        <w:rPr>
          <w:color w:val="000000" w:themeColor="text1"/>
        </w:rPr>
      </w:pPr>
      <w:r w:rsidRPr="00ED172B">
        <w:rPr>
          <w:b/>
          <w:color w:val="000000" w:themeColor="text1"/>
        </w:rPr>
        <w:t>Response to actions required in FFY 2018 SPP/APR</w:t>
      </w:r>
    </w:p>
    <w:p w14:paraId="6341AF1F" w14:textId="0B05114A" w:rsidR="004C1CEE" w:rsidRPr="00ED172B" w:rsidRDefault="004C1CEE" w:rsidP="00027F39">
      <w:pPr>
        <w:rPr>
          <w:color w:val="000000" w:themeColor="text1"/>
        </w:rPr>
      </w:pP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described how the time period in which the data were collected accurately reflects data for infants and toddlers with IFSPs for the full reporting period.</w:t>
      </w:r>
    </w:p>
    <w:p w14:paraId="7B429480" w14:textId="6D8920D4" w:rsidR="008203B4" w:rsidRPr="00A40EE1" w:rsidRDefault="000D0117" w:rsidP="005C3FFD">
      <w:pPr>
        <w:pStyle w:val="Heading2"/>
      </w:pPr>
      <w:r w:rsidRPr="00A40EE1">
        <w:lastRenderedPageBreak/>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76.00%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5,816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5,816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Data were collected from January 1 through March 31, 2020, third quarter, selection from the full reporting period and was obtained from all IFSPs entered into the ESIT Data Management System (DMS) during this period</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2020,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203B4" w:rsidP="00ED172B">
            <w:pPr>
              <w:jc w:val="center"/>
              <w:rPr>
                <w:rFonts w:cs="Arial"/>
                <w:color w:val="000000" w:themeColor="text1"/>
                <w:szCs w:val="16"/>
              </w:rPr>
            </w:pP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If the State uses data from a State database to report on this indicator in its FFY 2019 SPP/APR, and the State does not use data from the full reporting period (July 1, 2019-June 30, 2020), the State must describe, in the FFY 2019 SPP/APR, how the time period in which the data were collected accurately reflects data for infants and toddlers with IFSPs for the full reporting period. </w:t>
      </w:r>
    </w:p>
    <w:p w14:paraId="61E6D547" w14:textId="5B2B6F03" w:rsidR="008203B4" w:rsidRPr="00ED172B" w:rsidRDefault="008203B4"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described how the time period in which the data were collected accurately reflects data for infants and toddlers with IFSPs for the full reporting period.</w:t>
      </w:r>
    </w:p>
    <w:p w14:paraId="159B2003" w14:textId="176E124F" w:rsidR="008203B4" w:rsidRPr="00A40EE1" w:rsidRDefault="000D0117" w:rsidP="007B0787">
      <w:pPr>
        <w:pStyle w:val="Heading2"/>
      </w:pPr>
      <w:r w:rsidRPr="00A40EE1">
        <w:lastRenderedPageBreak/>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95.00%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4,788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5,544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756</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The ESIT Data Management System (DMS) business rules requires local lead agencies (LLA) administrators, family resources coordinators (FRCs), and service providers to document in the DMS if a  child was  potentially eligible for  Part B.  ESIT, the  state lead agency (SLA),  generates  notifications from the DMS  to the state education agency(SEA) and local education agency (LEA).</w:t>
      </w:r>
      <w:r w:rsidRPr="00ED172B">
        <w:rPr>
          <w:color w:val="000000" w:themeColor="text1"/>
          <w:szCs w:val="16"/>
        </w:rPr>
        <w:br/>
      </w:r>
      <w:r w:rsidRPr="00ED172B">
        <w:rPr>
          <w:color w:val="000000" w:themeColor="text1"/>
          <w:szCs w:val="16"/>
        </w:rPr>
        <w:br/>
        <w:t>LEA Notification. Potential eligibility for Part B special education documentation resulted in the DMS generating notifications. The DMS sent an automated electronic notification to all LEAs informing them of potentially eligible toddlers that would soon be transitioning from early intervention.</w:t>
      </w:r>
      <w:r w:rsidRPr="00ED172B">
        <w:rPr>
          <w:color w:val="000000" w:themeColor="text1"/>
          <w:szCs w:val="16"/>
        </w:rPr>
        <w:br/>
      </w:r>
      <w:r w:rsidRPr="00ED172B">
        <w:rPr>
          <w:color w:val="000000" w:themeColor="text1"/>
          <w:szCs w:val="16"/>
        </w:rPr>
        <w:br/>
        <w:t>SEA Notification. ESIT staff manually sent the required notification to the SEA data manager. SEA and LEA notifications occur monthly. Because of the structure of the DMS, individual instances of noncompliance could not occur regarding this indicator.</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Data were collected from January 1 through March 31, 2020, third quarter, selection from the full reporting period and was obtained from all IFSPs entered into the ESIT Data Management System (DMS) during this period</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The annual compliance period in the state of Washington is from January 1 through March 31, 2020,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If the State uses data from a State database to report on this indicator in its FFY 2019 SPP/APR, and the State does not use data from the full reporting period (July 1, 2019-June 30, 2020), the State must describe, in the FFY 2019 SPP/APR, how the time period in which the data were collected accurately reflects data for infants and toddlers with IFSPs for the full reporting period. </w:t>
      </w:r>
    </w:p>
    <w:p w14:paraId="38009665" w14:textId="5CEF4730" w:rsidR="008203B4" w:rsidRPr="00ED172B" w:rsidRDefault="008203B4" w:rsidP="00B83404">
      <w:pPr>
        <w:rPr>
          <w:color w:val="000000" w:themeColor="text1"/>
        </w:rPr>
      </w:pPr>
      <w:r w:rsidRPr="00ED172B">
        <w:rPr>
          <w:b/>
          <w:color w:val="000000" w:themeColor="text1"/>
        </w:rPr>
        <w:lastRenderedPageBreak/>
        <w:t>Response to actions required in FFY 2018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described how the time period in which the data were collected accurately reflects data for infants and toddlers with IFSPs for the full reporting period.</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80.00%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96.92%</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95.48%</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98.52%</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96.96%</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97.20%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4,216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5,544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97.20%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95.15%</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 xml:space="preserve">While maintaining a relatively high level of compliance, slippage occurred, resulting in a 2.05% decrease between FFY18 (97.20%) and FFY19 (95.15%). </w:t>
      </w:r>
      <w:r w:rsidRPr="00ED172B">
        <w:rPr>
          <w:color w:val="000000" w:themeColor="text1"/>
        </w:rPr>
        <w:br/>
      </w:r>
      <w:r w:rsidRPr="00ED172B">
        <w:rPr>
          <w:color w:val="000000" w:themeColor="text1"/>
        </w:rPr>
        <w:br/>
        <w:t>Upon further analysis of our data, it was determined that the slippage is a result of the global COVID-19 pandemic that caused many school districts to either close entirely, or work with limited staff. Transition conferences did not take place as planned or were delayed as a result. Family Resources Coordinators entered the late transition conferences as "Other".</w:t>
      </w:r>
      <w:r w:rsidRPr="00ED172B">
        <w:rPr>
          <w:color w:val="000000" w:themeColor="text1"/>
        </w:rPr>
        <w:br/>
      </w:r>
      <w:r w:rsidRPr="00ED172B">
        <w:rPr>
          <w:color w:val="000000" w:themeColor="text1"/>
        </w:rPr>
        <w:br/>
        <w:t>ESIT staff is in the process of creating training and technical assistance guidance for FRCs and school districts on data entry of transition conferences that are delayed or cancelled due to COVID-19 related challenges and appropriate documentation of the late reasons (late other and exceptional family circumstances).</w:t>
      </w:r>
      <w:r w:rsidRPr="00ED172B">
        <w:rPr>
          <w:color w:val="000000" w:themeColor="text1"/>
        </w:rPr>
        <w:br/>
      </w:r>
      <w:r w:rsidRPr="00ED172B">
        <w:rPr>
          <w:color w:val="000000" w:themeColor="text1"/>
        </w:rPr>
        <w:br/>
        <w:t xml:space="preserve">Other efforts to ensure timely transition conference meetings is the implementation of virtual conferences in partnership with the school districts. </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406</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673</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Data were collected from January 1 through March 31, 2020, third quarter, selection from the full reporting period and was obtained from all IFSPs entered into the ESIT Data Management System (DMS) during this period.</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The annual compliance period in the state of Washington is from January 1 through March 31, 2020, third quarter of the respective reporting year. During this time, the state confirms the timeliness of all IFSPs entered in the data management system. The three months of data collected from all IFSPs during this period contain the full range of variability exhibited by the population served by ESIT throughout the year. The data is from all programs across the state making it representative of the entire state.</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In FFY 2019, 4.85% of transition conferences entered in the state database during the compliance monitoring period were late. After analysis of the late reasons that were identified as "late, other" three categories of late reasons were identified. The three categories are provider shortages, late due to circumstances related to the COVID-19 pandemic, specifically school district closures, and late due to administrative and provider agency scheduling errors.</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31</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31</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lastRenderedPageBreak/>
        <w:t>The ESIT program verified that it corrected all findings of noncompliance identified in FFY 2018, consistent with the requirements in OSEP Memo 09-02.</w:t>
      </w:r>
      <w:r w:rsidRPr="00ED172B">
        <w:rPr>
          <w:color w:val="000000" w:themeColor="text1"/>
        </w:rPr>
        <w:br/>
        <w:t>ESIT staff, Local Lead Agency (LLA) administrators, Family Resources Coordinators (FRCs), and providers used the ESIT Data Management System (DMS) IFSP Compliance Report to review data.</w:t>
      </w:r>
      <w:r w:rsidRPr="00ED172B">
        <w:rPr>
          <w:color w:val="000000" w:themeColor="text1"/>
        </w:rPr>
        <w:br/>
        <w:t>From the date the LLA received a finding letter for noncompliance, the LLA had one year to correct identified non-compliance for each indicator not meeting 100%. Each LLA reviewed compliance reports from the DMS to ensure data was entered accurately into the system and that the regulatory requirements regarding timely service provision were being met.</w:t>
      </w:r>
      <w:r w:rsidRPr="00ED172B">
        <w:rPr>
          <w:color w:val="000000" w:themeColor="text1"/>
        </w:rPr>
        <w:br/>
        <w:t>To verify that noncompliance was correctly addressing the regulatory requirements, each LLA reviewed and identified a minimum of two weeks of DMS data. If data demonstrated compliance for each indicator where findings were issued, compliance was considered   achieved. The LLA then submitted the DMS data to ESIT staff for reverification. After ESIT staff verified the data submitted, (and verified correction of individual child noncompliance, ESIT staff sent a letter documenting that noncompliance was fully corrected.</w:t>
      </w:r>
      <w:r w:rsidRPr="00ED172B">
        <w:rPr>
          <w:color w:val="000000" w:themeColor="text1"/>
        </w:rPr>
        <w:br/>
        <w:t>If correction of non-compliance has not been verified within one-year of the findings, ESIT staff notifies the LLA that they must develop a CAP. During FFY18, no LLA met the criteria for needing a CAP.</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ESIT staff verified correction of each individual incidence of non-compliance through the ESIT data management system (DMS). The DMS provides a transition conference due date and an actual date when the transition conference occurred for each child record required to have a transition conference. If a transition conference was late, the DMS requires the user to enter a reason for the delay.</w:t>
      </w:r>
      <w:r w:rsidRPr="00ED172B">
        <w:rPr>
          <w:color w:val="000000" w:themeColor="text1"/>
        </w:rPr>
        <w:br/>
      </w:r>
      <w:r w:rsidRPr="00ED172B">
        <w:rPr>
          <w:color w:val="000000" w:themeColor="text1"/>
        </w:rPr>
        <w:br/>
        <w:t>Late Exceptional Family Circumstance (EFC): extraordinary events that prevent the family from participating in required events on time.</w:t>
      </w:r>
      <w:r w:rsidRPr="00ED172B">
        <w:rPr>
          <w:color w:val="000000" w:themeColor="text1"/>
        </w:rPr>
        <w:br/>
      </w:r>
      <w:r w:rsidRPr="00ED172B">
        <w:rPr>
          <w:color w:val="000000" w:themeColor="text1"/>
        </w:rPr>
        <w:br/>
        <w:t>Late Other: events identified by the early intervention program or provider and not the family that prevent required events from being completed on time.</w:t>
      </w:r>
      <w:r w:rsidRPr="00ED172B">
        <w:rPr>
          <w:color w:val="000000" w:themeColor="text1"/>
        </w:rPr>
        <w:br/>
      </w:r>
      <w:r w:rsidRPr="00ED172B">
        <w:rPr>
          <w:color w:val="000000" w:themeColor="text1"/>
        </w:rPr>
        <w:br/>
        <w:t>ESIT staff reviewed compliance reports from the DMS during the annual compliance monitoring period and subsequent intervals as needed to verify each individual instance of noncompliance is corrected unless the child is no longer within the jurisdiction of the local lead agency, the family declined services, or the local lead agency was unable to make contact with the family.</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If the State uses data from a State database to report on this indicator in its FFY 2019 SPP/APR, and the State does not use data from the full reporting period (July 1, 2019-June 30, 2020), the State must describe, in the FFY 2019 SPP/APR, how the time period in which the data were collected accurately reflects data for infants and toddlers with IFSPs for the full reporting period. </w:t>
      </w:r>
    </w:p>
    <w:p w14:paraId="4EE6B923" w14:textId="67B7A138" w:rsidR="00E06C1E" w:rsidRPr="00ED172B" w:rsidRDefault="00E06C1E"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7FE546ED" w14:textId="628A60E0" w:rsidR="00720D77" w:rsidRPr="00ED172B" w:rsidRDefault="00720D77" w:rsidP="00027F39">
      <w:pPr>
        <w:rPr>
          <w:color w:val="000000" w:themeColor="text1"/>
        </w:rPr>
      </w:pP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reported that it used data from a State database to report on this indicator. The State further reported that it did not use data for the full reporting period (July 1, 2019-June 30, 2020). The State described how the time period in which the data were collected accurately reflects data for infants and toddlers with IFSPs for the full reporting period.</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2A44ABCF" w14:textId="6B1152E6" w:rsidR="00F80C9C" w:rsidRPr="00ED172B" w:rsidRDefault="004761C7" w:rsidP="00B83404">
      <w:pPr>
        <w:rPr>
          <w:color w:val="000000" w:themeColor="text1"/>
        </w:rPr>
      </w:pPr>
      <w:r w:rsidRPr="00ED172B">
        <w:rPr>
          <w:rFonts w:cs="Arial"/>
          <w:color w:val="000000" w:themeColor="text1"/>
          <w:szCs w:val="16"/>
        </w:rPr>
        <w:t>SICC Special Meeting -- Annual Performance Report (APR) Review</w:t>
      </w:r>
      <w:r w:rsidRPr="00ED172B">
        <w:rPr>
          <w:rFonts w:cs="Arial"/>
          <w:color w:val="000000" w:themeColor="text1"/>
          <w:szCs w:val="16"/>
        </w:rPr>
        <w:br/>
        <w:t>January 20, 2021, the State Interagency Coordinating Council (SICC) met to review the Washington State’s Part C State Annual Performance Report. The SICC provided input and requested additional clarification. Some Indicators were discussed in more detail with SICC input integrated into indicator sections as appropriate. The SICC did not directly recommend changes to any targets that were previously set, rather referred a review of the targets to the Data Committee as part of its ongoing data analysis. The Data Committee intends to integrate a racial equity mindset into each of its work plan components throughout FFY 2020.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lastRenderedPageBreak/>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r w:rsidRPr="00ED172B">
              <w:rPr>
                <w:color w:val="000000" w:themeColor="text1"/>
              </w:rPr>
              <w:t>0</w:t>
            </w:r>
          </w:p>
        </w:tc>
        <w:tc>
          <w:tcPr>
            <w:tcW w:w="715" w:type="pct"/>
            <w:shd w:val="clear" w:color="auto" w:fill="auto"/>
            <w:vAlign w:val="center"/>
          </w:tcPr>
          <w:p w14:paraId="5DDF2207" w14:textId="136FC9D3" w:rsidR="000378F3" w:rsidRPr="00ED172B" w:rsidRDefault="000378F3" w:rsidP="000378F3">
            <w:pPr>
              <w:jc w:val="center"/>
              <w:rPr>
                <w:color w:val="000000" w:themeColor="text1"/>
              </w:rPr>
            </w:pPr>
            <w:r w:rsidRPr="00ED172B">
              <w:rPr>
                <w:color w:val="000000" w:themeColor="text1"/>
              </w:rPr>
              <w:t>0.00%</w:t>
            </w: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4374D6" w:rsidP="00186420">
            <w:pPr>
              <w:jc w:val="center"/>
              <w:rPr>
                <w:rFonts w:cs="Arial"/>
                <w:color w:val="000000" w:themeColor="text1"/>
                <w:szCs w:val="16"/>
              </w:rPr>
            </w:pPr>
            <w:r w:rsidRPr="00ED172B">
              <w:rPr>
                <w:rFonts w:cs="Arial"/>
                <w:color w:val="000000" w:themeColor="text1"/>
                <w:szCs w:val="16"/>
              </w:rPr>
              <w:t>0.00%</w:t>
            </w: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r w:rsidRPr="00ED172B">
              <w:rPr>
                <w:color w:val="000000" w:themeColor="text1"/>
              </w:rPr>
              <w:t>0.00%</w:t>
            </w: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OSEP notes that this indicator is not applicable.</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Stakeholder meetings were convened in November 2014 to discuss APR target setting. A broad range of stakeholders participated including; early intervention service providers, agency administrators, local lead agency (LLA) staff and school district staff. The group was given the task of reviewing data and making recommendations to ESIT on targets covering the next six years for Indicators 2, 3a,b,c, 4a,b,c, 5 and 6.</w:t>
      </w:r>
      <w:r w:rsidRPr="00ED172B">
        <w:rPr>
          <w:color w:val="000000" w:themeColor="text1"/>
        </w:rPr>
        <w:br/>
      </w:r>
      <w:r w:rsidRPr="00ED172B">
        <w:rPr>
          <w:color w:val="000000" w:themeColor="text1"/>
        </w:rPr>
        <w:br/>
        <w:t>An overview of the indicators and parameters of target setting were presented. Participants were divided into small groups and given a data packet for reference in their discussions. The data packet showed state trends for each results indicator over the past several years. After discussion and analysis, individuals from the groups generated a recommendation for each target for the next six years. ESIT staff were present to answer any questions.</w:t>
      </w:r>
      <w:r w:rsidRPr="00ED172B">
        <w:rPr>
          <w:color w:val="000000" w:themeColor="text1"/>
        </w:rPr>
        <w:br/>
      </w:r>
      <w:r w:rsidRPr="00ED172B">
        <w:rPr>
          <w:color w:val="000000" w:themeColor="text1"/>
        </w:rPr>
        <w:br/>
        <w:t>Results were compiled and the mean, median, and modes were calculated for each indicator for each year. The groups’ input was consolidated into one set of indicators for each year and presented at a special APR review meeting of the State Interagency Coordinating Council (SICC) in January 2015.</w:t>
      </w:r>
      <w:r w:rsidRPr="00ED172B">
        <w:rPr>
          <w:color w:val="000000" w:themeColor="text1"/>
        </w:rPr>
        <w:br/>
      </w:r>
      <w:r w:rsidRPr="00ED172B">
        <w:rPr>
          <w:color w:val="000000" w:themeColor="text1"/>
        </w:rPr>
        <w:br/>
        <w:t>January 16, 2020, the State Interagency Coordinating Council (SICC) met to reviewe all target setting for Indicators 2, 3a,b,c, 4a,b,c, 5 and 6 as a part of the annual performance review process. The Council did not recommend changes to any targets that were previously set.</w:t>
      </w:r>
      <w:r w:rsidRPr="00ED172B">
        <w:rPr>
          <w:color w:val="000000" w:themeColor="text1"/>
        </w:rPr>
        <w:br/>
      </w:r>
      <w:r w:rsidRPr="00ED172B">
        <w:rPr>
          <w:color w:val="000000" w:themeColor="text1"/>
        </w:rPr>
        <w:br/>
        <w:t xml:space="preserve">For FFY 2019, as a result of diverse stakeholder input and with SICC vetting, the instrument and the methodology for collecting data on Family Outcomes Indicator 4 was changed. The instrument was completely revised and the methodology was modified. January 20, 2021 the SICC met to review all targets; no changes were recommended. However, the SICC did recommend using the FFY 2019 data as new baseline data for Family Outcomes Indicator 4 in the upcoming SPP/APR FFY 2021 - FFY 2025 performance cycle. </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SICC Special Meeting -- Annual Performance Report (APR) Review</w:t>
      </w:r>
      <w:r w:rsidRPr="00ED172B">
        <w:rPr>
          <w:rFonts w:cs="Arial"/>
          <w:b w:val="0"/>
          <w:color w:val="000000" w:themeColor="text1"/>
          <w:szCs w:val="16"/>
        </w:rPr>
        <w:br/>
        <w:t>January 20, 2021, the State Interagency Coordinating Council (SICC) met to review the Washington State’s Part C State Annual Performance Report. The SICC provided input and requested additional clarification. Some Indicators were discussed in more detail with SICC input integrated into indicator sections as appropriate. The SICC did not directly recommend changes to any targets that were previously set, rather referred a review of the targets to the Data Committee as part of its ongoing data analysis. The Data Committee intends to integrate a racial equity mindset into each of its work plan components throughout FFY 2020.</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0.00%</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15DB453B" w14:textId="77777777" w:rsidR="0080641A" w:rsidRDefault="0080641A">
      <w:pPr>
        <w:spacing w:before="0" w:after="200" w:line="276" w:lineRule="auto"/>
        <w:rPr>
          <w:rFonts w:eastAsiaTheme="majorEastAsia" w:cstheme="majorBidi"/>
          <w:b/>
          <w:bCs/>
          <w:sz w:val="22"/>
          <w:szCs w:val="28"/>
        </w:rPr>
      </w:pPr>
      <w:r>
        <w:br w:type="page"/>
      </w:r>
    </w:p>
    <w:p w14:paraId="76BEC9D6" w14:textId="77777777" w:rsidR="00D77E41" w:rsidRPr="00ED172B" w:rsidRDefault="00D77E41" w:rsidP="00D77E41">
      <w:pPr>
        <w:pStyle w:val="Heading1"/>
        <w:rPr>
          <w:color w:val="000000" w:themeColor="text1"/>
        </w:rPr>
      </w:pPr>
      <w:bookmarkStart w:id="55"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 King</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Family Support Programs</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judy.king@dcyf.wa.gov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360-464-0272</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04/23/21  6:12:19 PM</w:t>
      </w:r>
    </w:p>
    <w:p w14:paraId="7B3F3D6E" w14:textId="3A1B48EB" w:rsidR="00FD047C" w:rsidRPr="00ED172B" w:rsidRDefault="00FD047C" w:rsidP="00D77E41">
      <w:pPr>
        <w:autoSpaceDE w:val="0"/>
        <w:autoSpaceDN w:val="0"/>
        <w:adjustRightInd w:val="0"/>
        <w:rPr>
          <w:rFonts w:cs="Arial"/>
          <w:b/>
          <w:color w:val="000000" w:themeColor="text1"/>
          <w:szCs w:val="16"/>
        </w:rPr>
      </w:pPr>
    </w:p>
    <w:p w14:paraId="4E14B1B4" w14:textId="77777777" w:rsidR="009547BC" w:rsidRDefault="009547BC">
      <w:pPr>
        <w:spacing w:before="0" w:after="200" w:line="276" w:lineRule="auto"/>
        <w:rPr>
          <w:rFonts w:eastAsiaTheme="majorEastAsia" w:cstheme="majorBidi"/>
          <w:b/>
          <w:bCs/>
          <w:sz w:val="22"/>
          <w:szCs w:val="28"/>
        </w:rPr>
      </w:pPr>
      <w:r>
        <w:br w:type="page"/>
      </w:r>
    </w:p>
    <w:p w14:paraId="5C9A4D04" w14:textId="0826EDF3" w:rsidR="003D5989" w:rsidRDefault="003D5989" w:rsidP="003D5989">
      <w:pPr>
        <w:pStyle w:val="Heading1"/>
      </w:pPr>
      <w:r w:rsidRPr="003D5989">
        <w:lastRenderedPageBreak/>
        <w:t xml:space="preserve">ED </w:t>
      </w:r>
      <w:r w:rsidR="009547BC">
        <w:t>A</w:t>
      </w:r>
      <w:r w:rsidRPr="003D5989">
        <w:t>ttachments</w:t>
      </w:r>
    </w:p>
    <w:p w14:paraId="1EC1F298" w14:textId="118479AD" w:rsidR="003D5989" w:rsidRDefault="003D5989" w:rsidP="003D5989"/>
    <w:p w14:paraId="223CAE20" w14:textId="0599549F" w:rsidR="003D5989" w:rsidRPr="003D5989" w:rsidRDefault="00A61DAC" w:rsidP="003D5989">
      <w:r>
        <w:object w:dxaOrig="1508" w:dyaOrig="983" w14:anchorId="0ACC375D">
          <v:shape id="_x0000_i1028" type="#_x0000_t75" alt="wa -resultsmatrix-2021c" style="width:76.85pt;height:51.6pt" o:ole="">
            <v:imagedata r:id="rId15" o:title=""/>
          </v:shape>
          <o:OLEObject Type="Embed" ProgID="Acrobat.Document.DC" ShapeID="_x0000_i1028" DrawAspect="Icon" ObjectID="_1688998083" r:id="rId16"/>
        </w:object>
      </w:r>
      <w:r w:rsidR="00C649C2">
        <w:tab/>
      </w:r>
      <w:r>
        <w:object w:dxaOrig="1508" w:dyaOrig="983" w14:anchorId="6C647C47">
          <v:shape id="_x0000_i1029" type="#_x0000_t75" alt="WA-C-Dispute-Resolution-2019-20" style="width:76.85pt;height:51.6pt" o:ole="">
            <v:imagedata r:id="rId17" o:title=""/>
          </v:shape>
          <o:OLEObject Type="Embed" ProgID="Acrobat.Document.DC" ShapeID="_x0000_i1029" DrawAspect="Icon" ObjectID="_1688998084" r:id="rId18"/>
        </w:object>
      </w:r>
      <w:r w:rsidR="00C649C2">
        <w:tab/>
      </w:r>
      <w:r w:rsidR="00C649C2">
        <w:object w:dxaOrig="1508" w:dyaOrig="983" w14:anchorId="5D0EE0C2">
          <v:shape id="_x0000_i1030" type="#_x0000_t75" alt="WA-2021DataRubricPartC.xlsx" style="width:76.85pt;height:51.6pt" o:ole="">
            <v:imagedata r:id="rId19" o:title=""/>
          </v:shape>
          <o:OLEObject Type="Embed" ProgID="Excel.Sheet.12" ShapeID="_x0000_i1030" DrawAspect="Icon" ObjectID="_1688998085" r:id="rId20"/>
        </w:object>
      </w:r>
    </w:p>
    <w:sectPr w:rsidR="003D5989" w:rsidRPr="003D5989"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2E64" w14:textId="77777777" w:rsidR="00AE5653" w:rsidRDefault="00AE5653" w:rsidP="000802F7">
      <w:pPr>
        <w:spacing w:before="0" w:after="0"/>
      </w:pPr>
      <w:r>
        <w:separator/>
      </w:r>
    </w:p>
  </w:endnote>
  <w:endnote w:type="continuationSeparator" w:id="0">
    <w:p w14:paraId="649CB04E" w14:textId="77777777" w:rsidR="00AE5653" w:rsidRDefault="00AE5653" w:rsidP="000802F7">
      <w:pPr>
        <w:spacing w:before="0" w:after="0"/>
      </w:pPr>
      <w:r>
        <w:continuationSeparator/>
      </w:r>
    </w:p>
  </w:endnote>
  <w:endnote w:type="continuationNotice" w:id="1">
    <w:p w14:paraId="187AB377" w14:textId="77777777" w:rsidR="00AE5653" w:rsidRDefault="00AE565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EAAC" w14:textId="77777777" w:rsidR="00AE5653" w:rsidRDefault="00AE5653" w:rsidP="000802F7">
      <w:pPr>
        <w:spacing w:before="0" w:after="0"/>
      </w:pPr>
      <w:r>
        <w:separator/>
      </w:r>
    </w:p>
  </w:footnote>
  <w:footnote w:type="continuationSeparator" w:id="0">
    <w:p w14:paraId="37AD901D" w14:textId="77777777" w:rsidR="00AE5653" w:rsidRDefault="00AE5653" w:rsidP="000802F7">
      <w:pPr>
        <w:spacing w:before="0" w:after="0"/>
      </w:pPr>
      <w:r>
        <w:continuationSeparator/>
      </w:r>
    </w:p>
  </w:footnote>
  <w:footnote w:type="continuationNotice" w:id="1">
    <w:p w14:paraId="49A13FEF" w14:textId="77777777" w:rsidR="00AE5653" w:rsidRDefault="00AE565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9.9pt;height:18.2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2C2CCD"/>
    <w:multiLevelType w:val="hybridMultilevel"/>
    <w:tmpl w:val="1FFC4E9A"/>
    <w:lvl w:ilvl="0" w:tplc="96ACB54C">
      <w:start w:val="1"/>
      <w:numFmt w:val="decimal"/>
      <w:lvlText w:val="%1."/>
      <w:lvlJc w:val="left"/>
      <w:pPr>
        <w:ind w:left="720" w:hanging="360"/>
      </w:pPr>
      <w:rPr>
        <w:rFonts w:ascii="Segoe UI Light" w:eastAsiaTheme="minorHAnsi" w:hAnsi="Segoe UI Light" w:cs="Segoe UI Light"/>
      </w:rPr>
    </w:lvl>
    <w:lvl w:ilvl="1" w:tplc="CA689FE0">
      <w:start w:val="1"/>
      <w:numFmt w:val="lowerLetter"/>
      <w:lvlText w:val="%2."/>
      <w:lvlJc w:val="left"/>
      <w:pPr>
        <w:ind w:left="1440" w:hanging="360"/>
      </w:pPr>
      <w:rPr>
        <w:b w:val="0"/>
        <w:bCs w:val="0"/>
      </w:rPr>
    </w:lvl>
    <w:lvl w:ilvl="2" w:tplc="04090001">
      <w:start w:val="1"/>
      <w:numFmt w:val="bullet"/>
      <w:lvlText w:val=""/>
      <w:lvlJc w:val="left"/>
      <w:pPr>
        <w:ind w:left="2160" w:hanging="180"/>
      </w:pPr>
      <w:rPr>
        <w:rFonts w:ascii="Symbol" w:hAnsi="Symbol" w:hint="default"/>
      </w:rPr>
    </w:lvl>
    <w:lvl w:ilvl="3" w:tplc="59EC29DA">
      <w:start w:val="1"/>
      <w:numFmt w:val="bullet"/>
      <w:lvlText w:val="‒"/>
      <w:lvlJc w:val="left"/>
      <w:pPr>
        <w:ind w:left="2880" w:hanging="360"/>
      </w:pPr>
      <w:rPr>
        <w:rFonts w:ascii="Segoe UI Light" w:hAnsi="Segoe UI Light"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19"/>
  </w:num>
  <w:num w:numId="4">
    <w:abstractNumId w:val="25"/>
  </w:num>
  <w:num w:numId="5">
    <w:abstractNumId w:val="9"/>
  </w:num>
  <w:num w:numId="6">
    <w:abstractNumId w:val="27"/>
  </w:num>
  <w:num w:numId="7">
    <w:abstractNumId w:val="1"/>
  </w:num>
  <w:num w:numId="8">
    <w:abstractNumId w:val="5"/>
  </w:num>
  <w:num w:numId="9">
    <w:abstractNumId w:val="16"/>
  </w:num>
  <w:num w:numId="10">
    <w:abstractNumId w:val="13"/>
  </w:num>
  <w:num w:numId="11">
    <w:abstractNumId w:val="28"/>
  </w:num>
  <w:num w:numId="12">
    <w:abstractNumId w:val="7"/>
  </w:num>
  <w:num w:numId="13">
    <w:abstractNumId w:val="15"/>
  </w:num>
  <w:num w:numId="14">
    <w:abstractNumId w:val="12"/>
  </w:num>
  <w:num w:numId="15">
    <w:abstractNumId w:val="2"/>
  </w:num>
  <w:num w:numId="16">
    <w:abstractNumId w:val="14"/>
  </w:num>
  <w:num w:numId="17">
    <w:abstractNumId w:val="22"/>
  </w:num>
  <w:num w:numId="18">
    <w:abstractNumId w:val="18"/>
  </w:num>
  <w:num w:numId="19">
    <w:abstractNumId w:val="3"/>
  </w:num>
  <w:num w:numId="20">
    <w:abstractNumId w:val="21"/>
  </w:num>
  <w:num w:numId="21">
    <w:abstractNumId w:val="0"/>
  </w:num>
  <w:num w:numId="22">
    <w:abstractNumId w:val="10"/>
  </w:num>
  <w:num w:numId="23">
    <w:abstractNumId w:val="24"/>
  </w:num>
  <w:num w:numId="24">
    <w:abstractNumId w:val="23"/>
  </w:num>
  <w:num w:numId="25">
    <w:abstractNumId w:val="5"/>
  </w:num>
  <w:num w:numId="26">
    <w:abstractNumId w:val="3"/>
  </w:num>
  <w:num w:numId="27">
    <w:abstractNumId w:val="21"/>
  </w:num>
  <w:num w:numId="28">
    <w:abstractNumId w:val="4"/>
  </w:num>
  <w:num w:numId="29">
    <w:abstractNumId w:val="6"/>
  </w:num>
  <w:num w:numId="30">
    <w:abstractNumId w:val="26"/>
  </w:num>
  <w:num w:numId="31">
    <w:abstractNumId w:val="11"/>
  </w:num>
  <w:num w:numId="32">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4F2"/>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4E3C"/>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2DA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2A4D"/>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6952"/>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6D4F"/>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989"/>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0162"/>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034"/>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B68"/>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4FFF"/>
    <w:rsid w:val="007F55E8"/>
    <w:rsid w:val="007F6192"/>
    <w:rsid w:val="007F63D9"/>
    <w:rsid w:val="007F6AFF"/>
    <w:rsid w:val="0080086C"/>
    <w:rsid w:val="008012B6"/>
    <w:rsid w:val="00803FBB"/>
    <w:rsid w:val="00804222"/>
    <w:rsid w:val="0080439F"/>
    <w:rsid w:val="008043A8"/>
    <w:rsid w:val="00804BFA"/>
    <w:rsid w:val="00805DD3"/>
    <w:rsid w:val="0080641A"/>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47BC"/>
    <w:rsid w:val="0095537B"/>
    <w:rsid w:val="009553C6"/>
    <w:rsid w:val="00956341"/>
    <w:rsid w:val="00956545"/>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51"/>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1DAC"/>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5653"/>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75C"/>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49C2"/>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884"/>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C6B"/>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0A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2CBB"/>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FAA9882-F786-4D91-A873-833FC7F9B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41</Pages>
  <Words>20696</Words>
  <Characters>117971</Characters>
  <Application>Microsoft Office Word</Application>
  <DocSecurity>0</DocSecurity>
  <Lines>983</Lines>
  <Paragraphs>276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10</cp:revision>
  <cp:lastPrinted>2014-08-19T16:56:00Z</cp:lastPrinted>
  <dcterms:created xsi:type="dcterms:W3CDTF">2021-07-21T20:35:00Z</dcterms:created>
  <dcterms:modified xsi:type="dcterms:W3CDTF">2021-07-28T21:21:00Z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e6c0d0ce-dcf4-43a2-9699-dbdd74a3b248</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