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1BA153F3"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Washington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Washington state continues to co-design efforts with invested partners, including families, focused on indicators leading to improved outcomes for students with disabilities in PreK to </w:t>
      </w:r>
      <w:proofErr w:type="gramStart"/>
      <w:r w:rsidRPr="00781112">
        <w:rPr>
          <w:rFonts w:cs="Arial"/>
          <w:color w:val="000000" w:themeColor="text1"/>
          <w:szCs w:val="16"/>
        </w:rPr>
        <w:t>12</w:t>
      </w:r>
      <w:proofErr w:type="gramEnd"/>
      <w:r w:rsidRPr="00781112">
        <w:rPr>
          <w:rFonts w:cs="Arial"/>
          <w:color w:val="000000" w:themeColor="text1"/>
          <w:szCs w:val="16"/>
        </w:rPr>
        <w:t xml:space="preserve"> and post-secondary education, employment, and independent living, incorporating activities that address the following strategic priority areas:</w:t>
      </w:r>
      <w:r w:rsidRPr="00781112">
        <w:rPr>
          <w:rFonts w:cs="Arial"/>
          <w:color w:val="000000" w:themeColor="text1"/>
          <w:szCs w:val="16"/>
        </w:rPr>
        <w:br/>
        <w:t>1. Partnering for equity by co-designing improvement efforts with students, families, community organizations and statewide professional development providers. Supports focus on culturally responsive communications and interactions, language access and accommodations, and diversifying special education staff and advisory group participants.</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Shaping inclusionary outcomes by aligning practices across statewide initiatives, including social emotional learning, multi-tiered systems of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positive behavioral interventions and supports. Supports include resources and training to disrupt disproportionality, increased access to core instruction in general education settings from PreK to </w:t>
      </w:r>
      <w:proofErr w:type="gramStart"/>
      <w:r w:rsidRPr="00781112">
        <w:rPr>
          <w:rFonts w:cs="Arial"/>
          <w:color w:val="000000" w:themeColor="text1"/>
          <w:szCs w:val="16"/>
        </w:rPr>
        <w:t>12</w:t>
      </w:r>
      <w:proofErr w:type="gramEnd"/>
      <w:r w:rsidRPr="00781112">
        <w:rPr>
          <w:rFonts w:cs="Arial"/>
          <w:color w:val="000000" w:themeColor="text1"/>
          <w:szCs w:val="16"/>
        </w:rPr>
        <w:t>, and equity in evaluation and provision of services.</w:t>
      </w:r>
      <w:r w:rsidRPr="00781112">
        <w:rPr>
          <w:rFonts w:cs="Arial"/>
          <w:color w:val="000000" w:themeColor="text1"/>
          <w:szCs w:val="16"/>
        </w:rPr>
        <w:br/>
        <w:t>3. Leading with intention to model, across all levels of the educational system including the SEA, intentional connections among fiscal, data, program, and dispute resolution in support of improved special education outcomes.</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Fostering excellence by identifying positive exemplars across fiscal, program, and dispute resolution. Supports include on-site visits and community conversations, cross-agency collaborative efforts, and data collection, analysis, and reporting to move beyond admiring the problem and shine a light on promising practices.</w:t>
      </w:r>
      <w:r w:rsidRPr="00781112">
        <w:rPr>
          <w:rFonts w:cs="Arial"/>
          <w:color w:val="000000" w:themeColor="text1"/>
          <w:szCs w:val="16"/>
        </w:rPr>
        <w:br/>
      </w:r>
      <w:r w:rsidRPr="00781112">
        <w:rPr>
          <w:rFonts w:cs="Arial"/>
          <w:color w:val="000000" w:themeColor="text1"/>
          <w:szCs w:val="16"/>
        </w:rPr>
        <w:br/>
        <w:t xml:space="preserve">Invested partners acknowledge the improvements currently in process and share that additional systemic changes </w:t>
      </w:r>
      <w:proofErr w:type="gramStart"/>
      <w:r w:rsidRPr="00781112">
        <w:rPr>
          <w:rFonts w:cs="Arial"/>
          <w:color w:val="000000" w:themeColor="text1"/>
          <w:szCs w:val="16"/>
        </w:rPr>
        <w:t>are urgently needed</w:t>
      </w:r>
      <w:proofErr w:type="gramEnd"/>
      <w:r w:rsidRPr="00781112">
        <w:rPr>
          <w:rFonts w:cs="Arial"/>
          <w:color w:val="000000" w:themeColor="text1"/>
          <w:szCs w:val="16"/>
        </w:rPr>
        <w:t xml:space="preserve">. In a co-design process with the Washington Office of Superintendent of Public Instruction (OSPI), partners have focused on increasing inclusionary practices over the past four years, with visible improvements in student data. Washington’s approved Every Student Succeeds Act (ESSA) Plan specifically addresses the performance of students with disabilities, and the intentional design of the identification process has resulted in </w:t>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schools identified for supports due to the instruction provided to, and outcomes resulting from, students with disabilities. As a result, coordinated efforts across OSPI divisions continue to actively analyze root causes of the current data as well as resulting impacts on other student groups through a comprehensive plan specifically targeting improvement efforts regarding the outcomes of students with disabilities. On an annual basis, Washington state commits additional state and federal resources to address areas in which there was slippage or targets were not met, as well as areas where partners identify greater needs.</w:t>
      </w:r>
      <w:r w:rsidRPr="00781112">
        <w:rPr>
          <w:rFonts w:cs="Arial"/>
          <w:color w:val="000000" w:themeColor="text1"/>
          <w:szCs w:val="16"/>
        </w:rPr>
        <w:br/>
      </w:r>
      <w:r w:rsidRPr="00781112">
        <w:rPr>
          <w:rFonts w:cs="Arial"/>
          <w:color w:val="000000" w:themeColor="text1"/>
          <w:szCs w:val="16"/>
        </w:rPr>
        <w:br/>
        <w:t>The June 23, 2022, Office of Special Education Programs (OSEP) Determination Letter, which is publicly available, states that Washington state continues to require assistance in implementing the requirements of Part B of the IDEA for more than two years and directs Washington state to report with this federal fiscal year (FFY) 2021 state performance plan (SPP) / annual performance report (APR) submission on two elements: (1) TA sources accessed and from which the state received assistance, and (2) actions taken by the state as a result of the TA. Washington continues working with multiple national TA centers, including the:</w:t>
      </w:r>
      <w:r w:rsidRPr="00781112">
        <w:rPr>
          <w:rFonts w:cs="Arial"/>
          <w:color w:val="000000" w:themeColor="text1"/>
          <w:szCs w:val="16"/>
        </w:rPr>
        <w:br/>
        <w:t>• National Center for Systemic Improvement (NCSI);</w:t>
      </w:r>
      <w:r w:rsidRPr="00781112">
        <w:rPr>
          <w:rFonts w:cs="Arial"/>
          <w:color w:val="000000" w:themeColor="text1"/>
          <w:szCs w:val="16"/>
        </w:rPr>
        <w:br/>
        <w:t>• National Center for Intensive Intervention (NCII);</w:t>
      </w:r>
      <w:r w:rsidRPr="00781112">
        <w:rPr>
          <w:rFonts w:cs="Arial"/>
          <w:color w:val="000000" w:themeColor="text1"/>
          <w:szCs w:val="16"/>
        </w:rPr>
        <w:br/>
        <w:t>• National Center for Pyramid Model Innovations (NCPMI);</w:t>
      </w:r>
      <w:r w:rsidRPr="00781112">
        <w:rPr>
          <w:rFonts w:cs="Arial"/>
          <w:color w:val="000000" w:themeColor="text1"/>
          <w:szCs w:val="16"/>
        </w:rPr>
        <w:br/>
        <w:t>• National Center on Deaf-Blindness (NCDB);</w:t>
      </w:r>
      <w:r w:rsidRPr="00781112">
        <w:rPr>
          <w:rFonts w:cs="Arial"/>
          <w:color w:val="000000" w:themeColor="text1"/>
          <w:szCs w:val="16"/>
        </w:rPr>
        <w:br/>
        <w:t>• National Technical Assistance Center on Transition (NTACT);</w:t>
      </w:r>
      <w:r w:rsidRPr="00781112">
        <w:rPr>
          <w:rFonts w:cs="Arial"/>
          <w:color w:val="000000" w:themeColor="text1"/>
          <w:szCs w:val="16"/>
        </w:rPr>
        <w:br/>
        <w:t>• Early Childhood Technical Assistance Center (ECTA);</w:t>
      </w:r>
      <w:r w:rsidRPr="00781112">
        <w:rPr>
          <w:rFonts w:cs="Arial"/>
          <w:color w:val="000000" w:themeColor="text1"/>
          <w:szCs w:val="16"/>
        </w:rPr>
        <w:br/>
        <w:t>• Center for IDEA Early Childhood Data Systems (DaSy);</w:t>
      </w:r>
      <w:r w:rsidRPr="00781112">
        <w:rPr>
          <w:rFonts w:cs="Arial"/>
          <w:color w:val="000000" w:themeColor="text1"/>
          <w:szCs w:val="16"/>
        </w:rPr>
        <w:br/>
        <w:t>• Center for the Integration of IDEA Data (CIID);</w:t>
      </w:r>
      <w:r w:rsidRPr="00781112">
        <w:rPr>
          <w:rFonts w:cs="Arial"/>
          <w:color w:val="000000" w:themeColor="text1"/>
          <w:szCs w:val="16"/>
        </w:rPr>
        <w:br/>
        <w:t>• IDEA Data Center (IDC) to support data integration, analysis, and accuracy efforts across the agency;</w:t>
      </w:r>
      <w:r w:rsidRPr="00781112">
        <w:rPr>
          <w:rFonts w:cs="Arial"/>
          <w:color w:val="000000" w:themeColor="text1"/>
          <w:szCs w:val="16"/>
        </w:rPr>
        <w:br/>
        <w:t>• TIES Center: Increasing Time, Instructional Effectiveness, Engagement, and State Support for Inclusive Practices for Students with Significant Cognitive Disabilities;</w:t>
      </w:r>
      <w:r w:rsidRPr="00781112">
        <w:rPr>
          <w:rFonts w:cs="Arial"/>
          <w:color w:val="000000" w:themeColor="text1"/>
          <w:szCs w:val="16"/>
        </w:rPr>
        <w:br/>
        <w:t>• CEEDAR Center: Collaboration for Effective Educator Development, Accountability, and Reform Center;</w:t>
      </w:r>
      <w:r w:rsidRPr="00781112">
        <w:rPr>
          <w:rFonts w:cs="Arial"/>
          <w:color w:val="000000" w:themeColor="text1"/>
          <w:szCs w:val="16"/>
        </w:rPr>
        <w:br/>
        <w:t>•</w:t>
      </w:r>
      <w:r w:rsidRPr="00781112">
        <w:rPr>
          <w:rFonts w:cs="Arial"/>
          <w:color w:val="000000" w:themeColor="text1"/>
          <w:szCs w:val="16"/>
        </w:rPr>
        <w:tab/>
        <w:t xml:space="preserve">Center for Appropriate Dispute Resolution in Special Education (CADRE); and </w:t>
      </w:r>
      <w:r w:rsidRPr="00781112">
        <w:rPr>
          <w:rFonts w:cs="Arial"/>
          <w:color w:val="000000" w:themeColor="text1"/>
          <w:szCs w:val="16"/>
        </w:rPr>
        <w:br/>
        <w:t>•</w:t>
      </w:r>
      <w:r w:rsidRPr="00781112">
        <w:rPr>
          <w:rFonts w:cs="Arial"/>
          <w:color w:val="000000" w:themeColor="text1"/>
          <w:szCs w:val="16"/>
        </w:rPr>
        <w:tab/>
        <w:t xml:space="preserve">Center for IDEA Fiscal Reporting (CIFR) to ensure IDEA funds are used efficiently, appropriately, and in collaboration with other improvement efforts, when appropriate. </w:t>
      </w:r>
      <w:r w:rsidRPr="00781112">
        <w:rPr>
          <w:rFonts w:cs="Arial"/>
          <w:color w:val="000000" w:themeColor="text1"/>
          <w:szCs w:val="16"/>
        </w:rPr>
        <w:br/>
      </w:r>
      <w:r w:rsidRPr="00781112">
        <w:rPr>
          <w:rFonts w:cs="Arial"/>
          <w:color w:val="000000" w:themeColor="text1"/>
          <w:szCs w:val="16"/>
        </w:rPr>
        <w:br/>
        <w:t>Additionally, our OSEP-assigned TA continues to provide frequent technical assistance, resulting in increased capacity of SEA special education leadership in addition to practice and policy shifts. TA efforts have been focused on the priority areas and areas of the SPP/APR showing slippage, not meeting targets, and/or needing improvement, such as preschool LRE and outcomes, post-school outcomes, disproportionality and equity, the State Systemic Improvement Plan (SSIP) Theory of Action and evaluation plan, along with revisions to discipline data collection and reporting and closer alignment of statewide improvement efforts with our Part C counterpart. As a result of the TA received, Washington state deepened analysis specific to outcome data for students with disabilities, reviewed additional research and policy, discussed promising practices and ongoing barriers, and continued efforts to address root causes of outcomes.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In FFY 2021, Washington state moved to a new calculation for identifying a significant discrepancy in the rate of out-of-school suspensions for students with IEPs, shifting from comparing LEA discipline data to statewide special education discipline data (a single state bar) to comparison of LEA discipline data for students with and without disabilities within the LEA (rate difference). See Indicator B-4 for additional information.</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287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lastRenderedPageBreak/>
        <w:t xml:space="preserve">Washington state continues to expand efforts to integrate systems across the educational system to drive improved developmental, functional, and academic outcomes for students with disabilities while simultaneously ensuring that the requirements of IDEA Part B </w:t>
      </w:r>
      <w:proofErr w:type="gramStart"/>
      <w:r w:rsidRPr="00781112">
        <w:rPr>
          <w:rFonts w:cs="Arial"/>
          <w:color w:val="000000" w:themeColor="text1"/>
          <w:szCs w:val="16"/>
        </w:rPr>
        <w:t>are met</w:t>
      </w:r>
      <w:proofErr w:type="gramEnd"/>
      <w:r w:rsidRPr="00781112">
        <w:rPr>
          <w:rFonts w:cs="Arial"/>
          <w:color w:val="000000" w:themeColor="text1"/>
          <w:szCs w:val="16"/>
        </w:rPr>
        <w:t>. The state’s comprehensive General Supervisory System includes several key components implemented across three primary agency/division work groups: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The Program Improvement Work Group is responsible for design and implementation of the Washington Integrated System of Monitoring (WISM) for both Special Education Programming and Fiscal, in collaboration with the Operations Work Group. WISM is an outcome-based, data-driven monitoring framework, which has significantly increased the potential for improving student outcomes. The Program Improvement Work Group collaborates across all levels of the educational system to co-design special education oversight and improvement activities in alignment with other support structures, including federal monitoring, system and school improvement, regional supports, and sovereign tribal partners. In recognition of this critical work, the Program Improvement Work Group </w:t>
      </w:r>
      <w:proofErr w:type="gramStart"/>
      <w:r w:rsidRPr="00781112">
        <w:rPr>
          <w:rFonts w:cs="Arial"/>
          <w:color w:val="000000" w:themeColor="text1"/>
          <w:szCs w:val="16"/>
        </w:rPr>
        <w:t>was restructured</w:t>
      </w:r>
      <w:proofErr w:type="gramEnd"/>
      <w:r w:rsidRPr="00781112">
        <w:rPr>
          <w:rFonts w:cs="Arial"/>
          <w:color w:val="000000" w:themeColor="text1"/>
          <w:szCs w:val="16"/>
        </w:rPr>
        <w:t xml:space="preserve"> and expanding to include a Special Projects Lead in support of students with disabilities served in non-traditional settings, including alternative learning environments, charters, and tribal compact schools. This Lead role also serves as a special education liaison across SEA program offices such as Native Education, Multilingual Education, Highly Capable, and Learning Options.</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w:t>
      </w:r>
      <w:r w:rsidRPr="00781112">
        <w:rPr>
          <w:rFonts w:cs="Arial"/>
          <w:color w:val="000000" w:themeColor="text1"/>
          <w:szCs w:val="16"/>
        </w:rPr>
        <w:tab/>
        <w:t xml:space="preserve">The Operations (i.e., Data and Fiscal Management) Work Group has responsibilities for data collection and analysis, Safety Net, and all aspects of fiscal oversight, including allocation, monitoring, and regulation of federal funding. In alignment with Washington state’s strategic priority of leading with Intention, the Operations Work Group has increased collaboration with CIFR to improve fiscal policies and protocols and engaged in collaborative efforts across content areas in Washington state, including program, instruction, and educator growth and development, to provide jointly-developed fiscal presentations, guidance, and technical assistance to school, district, and community partners. </w:t>
      </w:r>
      <w:r w:rsidRPr="00781112">
        <w:rPr>
          <w:rFonts w:cs="Arial"/>
          <w:color w:val="000000" w:themeColor="text1"/>
          <w:szCs w:val="16"/>
        </w:rPr>
        <w:br/>
        <w:t xml:space="preserve">3. The Dispute Resolution Work Group holds responsibility for dispute resolution, including activities such as IEP facilitation, alternative dispute resolution activities, conducting community complaint investigations, resolution sessions, mediations, and oversight of due process hearings. In response to invested partner (stakeholder) input, the work group has </w:t>
      </w:r>
      <w:proofErr w:type="gramStart"/>
      <w:r w:rsidRPr="00781112">
        <w:rPr>
          <w:rFonts w:cs="Arial"/>
          <w:color w:val="000000" w:themeColor="text1"/>
          <w:szCs w:val="16"/>
        </w:rPr>
        <w:t>been restructured</w:t>
      </w:r>
      <w:proofErr w:type="gramEnd"/>
      <w:r w:rsidRPr="00781112">
        <w:rPr>
          <w:rFonts w:cs="Arial"/>
          <w:color w:val="000000" w:themeColor="text1"/>
          <w:szCs w:val="16"/>
        </w:rPr>
        <w:t xml:space="preserve"> to add additional complaint investigator contractors, expand work group leadership to support both dispute resolution activities along with policy and community engagement efforts, additional disaggregation of dispute resolution data, and oversight of non-public agencies (NPAs). To ensure equity of access and outcomes, the dispute resolution work group meets regularly with the state’s Office of Administrative Hearings, the state Special Education Advisory Council (SEAC), and the state’s contracted vendor for mediation and IEP facilitation.</w:t>
      </w:r>
      <w:r w:rsidRPr="00781112">
        <w:rPr>
          <w:rFonts w:cs="Arial"/>
          <w:color w:val="000000" w:themeColor="text1"/>
          <w:szCs w:val="16"/>
        </w:rPr>
        <w:br/>
      </w:r>
      <w:r w:rsidRPr="00781112">
        <w:rPr>
          <w:rFonts w:cs="Arial"/>
          <w:color w:val="000000" w:themeColor="text1"/>
          <w:szCs w:val="16"/>
        </w:rPr>
        <w:br/>
        <w:t>Planning and provision of universal and targeted professional development, technical assistance, and early childhood oversight are integrated across all aspects of the General Supervisory System. There has been a continued focus on engaging invested educational partners (stakeholders) involved in, and impacted by, special education services and outcomes for students with disabilities to review, analyze, and plan for system improvements and celebrate successes over the past years, including the engagement of diverse families and community members, to ensure that the intersectional needs of each student with an IEP are considered during improvement planning.</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data included in this report, as well as other available data, have </w:t>
      </w:r>
      <w:proofErr w:type="gramStart"/>
      <w:r w:rsidRPr="00781112">
        <w:rPr>
          <w:rFonts w:cs="Arial"/>
          <w:color w:val="000000" w:themeColor="text1"/>
          <w:szCs w:val="16"/>
        </w:rPr>
        <w:t>been analyzed</w:t>
      </w:r>
      <w:proofErr w:type="gramEnd"/>
      <w:r w:rsidRPr="00781112">
        <w:rPr>
          <w:rFonts w:cs="Arial"/>
          <w:color w:val="000000" w:themeColor="text1"/>
          <w:szCs w:val="16"/>
        </w:rPr>
        <w:t xml:space="preserve"> at the state and regional levels and with national TA providers, and analyses with school district staff, SEAC, and other education partners are held at least annually as part of comprehensive improvement efforts, including those under the ESSA. The state has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mechanisms in place to ensure the timely delivery of high-quality, evidence-based technical assistance and professional development support as part of its formal Technical Assistance System. Facilitation for direct school district access to technical assistance and professional development resources designed to improve educational results and functional outcomes for students with disabilities has continued to evolve over FFY 2021.</w:t>
      </w:r>
      <w:r w:rsidRPr="00781112">
        <w:rPr>
          <w:rFonts w:cs="Arial"/>
          <w:color w:val="000000" w:themeColor="text1"/>
          <w:szCs w:val="16"/>
        </w:rPr>
        <w:br/>
      </w:r>
      <w:r w:rsidRPr="00781112">
        <w:rPr>
          <w:rFonts w:cs="Arial"/>
          <w:color w:val="000000" w:themeColor="text1"/>
          <w:szCs w:val="16"/>
        </w:rPr>
        <w:br/>
        <w:t>Technical assistance and supports are provided to LEAs as part of the Washington Integrated System of Monitoring (WISM) through a number of activities, including, but not limited to: (a) review and feedback on LEA self-assessments, (b) focus groups, individual interviews, and management work sessions as part of on-site monitoring reviews and remote desk review, (c) recommendations and resources included in monitoring reports, (d) quarterly meetings with districts implementing Comprehensive Coordinated Early Intervening Services (CCEIS), and (e) guidance briefs/tips included in OSPI's Special Education Monthly Update.</w:t>
      </w:r>
      <w:r w:rsidRPr="00781112">
        <w:rPr>
          <w:rFonts w:cs="Arial"/>
          <w:color w:val="000000" w:themeColor="text1"/>
          <w:szCs w:val="16"/>
        </w:rPr>
        <w:br/>
      </w:r>
      <w:r w:rsidRPr="00781112">
        <w:rPr>
          <w:rFonts w:cs="Arial"/>
          <w:color w:val="000000" w:themeColor="text1"/>
          <w:szCs w:val="16"/>
        </w:rPr>
        <w:br/>
        <w:t xml:space="preserve">The state gathers timely and current special education research and information from state and federal partners to develop a monthly update for school and district partners, advocates, and family and community members, including over 6,000 monthly subscribers. In FFY 2021, video summaries of the monthly update content </w:t>
      </w:r>
      <w:proofErr w:type="gramStart"/>
      <w:r w:rsidRPr="00781112">
        <w:rPr>
          <w:rFonts w:cs="Arial"/>
          <w:color w:val="000000" w:themeColor="text1"/>
          <w:szCs w:val="16"/>
        </w:rPr>
        <w:t>were incorporated</w:t>
      </w:r>
      <w:proofErr w:type="gramEnd"/>
      <w:r w:rsidRPr="00781112">
        <w:rPr>
          <w:rFonts w:cs="Arial"/>
          <w:color w:val="000000" w:themeColor="text1"/>
          <w:szCs w:val="16"/>
        </w:rPr>
        <w:t xml:space="preserve"> to increase accessibility and understanding across partner groups. Additionally, division staff members are assigned as special education liaisons to each of the 9 ESDs and meet monthly with all of the district special education directors and leadership for their assigned regions to review key points from the monthly update and other sources.</w:t>
      </w:r>
      <w:r w:rsidRPr="00781112">
        <w:rPr>
          <w:rFonts w:cs="Arial"/>
          <w:color w:val="000000" w:themeColor="text1"/>
          <w:szCs w:val="16"/>
        </w:rPr>
        <w:br/>
      </w:r>
      <w:r w:rsidRPr="00781112">
        <w:rPr>
          <w:rFonts w:cs="Arial"/>
          <w:color w:val="000000" w:themeColor="text1"/>
          <w:szCs w:val="16"/>
        </w:rPr>
        <w:br/>
        <w:t>To provide greater direct access to SEA leadership, the division also hosts semimonthly office hours for school and district leadership several times a month, for both special education programming and fiscal and data questions. Cross-content experts join the office hours as specific questions and areas of need arise, including preschool funding, graduation and transition barriers, students served in NPAs, and navigating local bargaining agreements.</w:t>
      </w:r>
      <w:r w:rsidRPr="00781112">
        <w:rPr>
          <w:rFonts w:cs="Arial"/>
          <w:color w:val="000000" w:themeColor="text1"/>
          <w:szCs w:val="16"/>
        </w:rPr>
        <w:br/>
      </w:r>
      <w:r w:rsidRPr="00781112">
        <w:rPr>
          <w:rFonts w:cs="Arial"/>
          <w:color w:val="000000" w:themeColor="text1"/>
          <w:szCs w:val="16"/>
        </w:rPr>
        <w:br/>
        <w:t xml:space="preserve">Technical assistance resources are also distributed through Coordinated Service Agreements (CSAs) with the </w:t>
      </w:r>
      <w:proofErr w:type="gramStart"/>
      <w:r w:rsidRPr="00781112">
        <w:rPr>
          <w:rFonts w:cs="Arial"/>
          <w:color w:val="000000" w:themeColor="text1"/>
          <w:szCs w:val="16"/>
        </w:rPr>
        <w:t>9</w:t>
      </w:r>
      <w:proofErr w:type="gramEnd"/>
      <w:r w:rsidRPr="00781112">
        <w:rPr>
          <w:rFonts w:cs="Arial"/>
          <w:color w:val="000000" w:themeColor="text1"/>
          <w:szCs w:val="16"/>
        </w:rPr>
        <w:t xml:space="preserve"> regional ESDs and through State Needs Projects. The ESDs provide extensive technical assistance directly aligned with each of the indicators in the State Performance Plan based on regional performance profiles routinely updated in accordance with the APR cycles. In response to concerns raised about increasing student mental health and behavioral needs, state-level activity funds were leveraged to expand partnerships with ESDs to augment therapeutic programs as alternatives to NPAs with a focus on intensive behavioral and mental health supports for students and job-embedded capacity building for staff in students’ resident school districts.</w:t>
      </w:r>
      <w:r w:rsidRPr="00781112">
        <w:rPr>
          <w:rFonts w:cs="Arial"/>
          <w:color w:val="000000" w:themeColor="text1"/>
          <w:szCs w:val="16"/>
        </w:rPr>
        <w:br/>
      </w:r>
      <w:r w:rsidRPr="00781112">
        <w:rPr>
          <w:rFonts w:cs="Arial"/>
          <w:color w:val="000000" w:themeColor="text1"/>
          <w:szCs w:val="16"/>
        </w:rPr>
        <w:br/>
        <w:t xml:space="preserve">Additionally, the State Needs Projects collectively assist with statewide capacity for enhancing student outcomes through professional development opportunities, targeted and intensive technical assistance, and consultation and training for parents, families, and educators. Areas of expertise include, but </w:t>
      </w:r>
      <w:proofErr w:type="gramStart"/>
      <w:r w:rsidRPr="00781112">
        <w:rPr>
          <w:rFonts w:cs="Arial"/>
          <w:color w:val="000000" w:themeColor="text1"/>
          <w:szCs w:val="16"/>
        </w:rPr>
        <w:t>are not limited</w:t>
      </w:r>
      <w:proofErr w:type="gramEnd"/>
      <w:r w:rsidRPr="00781112">
        <w:rPr>
          <w:rFonts w:cs="Arial"/>
          <w:color w:val="000000" w:themeColor="text1"/>
          <w:szCs w:val="16"/>
        </w:rPr>
        <w:t xml:space="preserve"> to, sensory disabilities, secondary transition, assistive technology, and specially designed instruction provided within a continuum of placement options. More information may be located at https://www.k12.wa.us/state-needs-projects.</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Systems continue to ensure service providers have the skills to effectively provide services that improve access and results for students with disabilities. Professional development structures, including regional Educational Service Districts (ESDs) and Local Education Agencies (LEAs),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address state and local needs as determined by data analyses, education partners (stakeholder) input, and state and local priorities. Activities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support professional learning that will engage leaders in the work of developing effective system processes and support structures to create a culture of collaboration that will positively impact teacher knowledge and skills to improve student learning. </w:t>
      </w:r>
      <w:r w:rsidRPr="00781112">
        <w:rPr>
          <w:rFonts w:cs="Arial"/>
          <w:color w:val="000000" w:themeColor="text1"/>
          <w:szCs w:val="16"/>
        </w:rPr>
        <w:br/>
      </w:r>
      <w:r w:rsidRPr="00781112">
        <w:rPr>
          <w:rFonts w:cs="Arial"/>
          <w:color w:val="000000" w:themeColor="text1"/>
          <w:szCs w:val="16"/>
        </w:rPr>
        <w:lastRenderedPageBreak/>
        <w:br/>
        <w:t>Examples of recommendations consistent with special education priorities and needs identified include:</w:t>
      </w:r>
      <w:r w:rsidRPr="00781112">
        <w:rPr>
          <w:rFonts w:cs="Arial"/>
          <w:color w:val="000000" w:themeColor="text1"/>
          <w:szCs w:val="16"/>
        </w:rPr>
        <w:br/>
        <w:t>• Use of evidence-based approaches to making decisions about the design of professional learning opportunities;</w:t>
      </w:r>
      <w:r w:rsidRPr="00781112">
        <w:rPr>
          <w:rFonts w:cs="Arial"/>
          <w:color w:val="000000" w:themeColor="text1"/>
          <w:szCs w:val="16"/>
        </w:rPr>
        <w:br/>
        <w:t>• System-wide use of the Standards for Professional Learning to communicate priorities and distributive leadership;</w:t>
      </w:r>
      <w:r w:rsidRPr="00781112">
        <w:rPr>
          <w:rFonts w:cs="Arial"/>
          <w:color w:val="000000" w:themeColor="text1"/>
          <w:szCs w:val="16"/>
        </w:rPr>
        <w:br/>
        <w:t>• Increase data literacy across all levels and partnerships of the educational system;</w:t>
      </w:r>
      <w:r w:rsidRPr="00781112">
        <w:rPr>
          <w:rFonts w:cs="Arial"/>
          <w:color w:val="000000" w:themeColor="text1"/>
          <w:szCs w:val="16"/>
        </w:rPr>
        <w:br/>
        <w:t>• Seek to understand and recognize the pressures associated with standardized assessment and leverage test results as a useful tool for examining data on student learning and progress;</w:t>
      </w:r>
      <w:r w:rsidRPr="00781112">
        <w:rPr>
          <w:rFonts w:cs="Arial"/>
          <w:color w:val="000000" w:themeColor="text1"/>
          <w:szCs w:val="16"/>
        </w:rPr>
        <w:br/>
        <w:t>• Link professional learning activities directly to teachers' content knowledge and support teachers as they teach that content to students;</w:t>
      </w:r>
      <w:r w:rsidRPr="00781112">
        <w:rPr>
          <w:rFonts w:cs="Arial"/>
          <w:color w:val="000000" w:themeColor="text1"/>
          <w:szCs w:val="16"/>
        </w:rPr>
        <w:br/>
        <w:t>• Scale support systems statewide in order to build high-quality professional learning that is responsive, relevant, and provides all partners an entry point at their level of readiness to benefit; and</w:t>
      </w:r>
      <w:r w:rsidRPr="00781112">
        <w:rPr>
          <w:rFonts w:cs="Arial"/>
          <w:color w:val="000000" w:themeColor="text1"/>
          <w:szCs w:val="16"/>
        </w:rPr>
        <w:br/>
        <w:t>• Explore strategies to address the specific elements identified by ESSA in its definition of professional development which emphasizes the importance of "...sustainability (not stand-alone, 1-day, and short-term workshops), intensity, collaboration, job-embedded, data-driven, and classroom focused..." characteristics.</w:t>
      </w:r>
      <w:r w:rsidRPr="00781112">
        <w:rPr>
          <w:rFonts w:cs="Arial"/>
          <w:color w:val="000000" w:themeColor="text1"/>
          <w:szCs w:val="16"/>
        </w:rPr>
        <w:br/>
      </w:r>
      <w:r w:rsidRPr="00781112">
        <w:rPr>
          <w:rFonts w:cs="Arial"/>
          <w:color w:val="000000" w:themeColor="text1"/>
          <w:szCs w:val="16"/>
        </w:rPr>
        <w:br/>
        <w:t>Washington’s State Needs Projects contribute significantly to professional development delivery in the state of Washington, and ESDs also provide professional development services to school districts statewide, based on locally-identified needs. A primary focus includes the provision of both online and in-person workshops and coursework for educators designed specifically to improve academic, behavioral, and social emotional outcomes for students with disabilities. Topical examples include inclusionary practices within a multi-tiered system of support (MTSS) framework, universal design for learning (UDL), literacy, math, science, early childhood, provision of specially designed instruction (SDI), social emotional and positive behavioral supports, multilingual and migrant support, as well as culturally-affirming and representative curriculum selection and adoption.</w:t>
      </w:r>
      <w:r w:rsidRPr="00781112">
        <w:rPr>
          <w:rFonts w:cs="Arial"/>
          <w:color w:val="000000" w:themeColor="text1"/>
          <w:szCs w:val="16"/>
        </w:rPr>
        <w:br/>
      </w:r>
      <w:r w:rsidRPr="00781112">
        <w:rPr>
          <w:rFonts w:cs="Arial"/>
          <w:color w:val="000000" w:themeColor="text1"/>
          <w:szCs w:val="16"/>
        </w:rPr>
        <w:br/>
        <w:t xml:space="preserve">The statewide Inclusionary Practices Professional (IPP) Development Cadre provides job-embedded professional development to a variety of education partners, including school board members, district teams, school teams, educators, families, and community partners. IPP is focused on fostering a culture of inclusion in Washington, and in 2021 OSPI partnered with </w:t>
      </w:r>
      <w:proofErr w:type="gramStart"/>
      <w:r w:rsidRPr="00781112">
        <w:rPr>
          <w:rFonts w:cs="Arial"/>
          <w:color w:val="000000" w:themeColor="text1"/>
          <w:szCs w:val="16"/>
        </w:rPr>
        <w:t>12</w:t>
      </w:r>
      <w:proofErr w:type="gramEnd"/>
      <w:r w:rsidRPr="00781112">
        <w:rPr>
          <w:rFonts w:cs="Arial"/>
          <w:color w:val="000000" w:themeColor="text1"/>
          <w:szCs w:val="16"/>
        </w:rPr>
        <w:t xml:space="preserve"> statewide professional development (PD) providers. Examples of how organizations engaged with communities include:</w:t>
      </w:r>
      <w:r w:rsidRPr="00781112">
        <w:rPr>
          <w:rFonts w:cs="Arial"/>
          <w:color w:val="000000" w:themeColor="text1"/>
          <w:szCs w:val="16"/>
        </w:rPr>
        <w:br/>
        <w:t>• The Association of Educational Service Districts (AESD) provided professional development on inclusionary practices to 140 school district teams, in over 61 school districts, and had a statewide reach, including the school leadership teams of over 10,100 educators and 93,180 hours of PD.</w:t>
      </w:r>
      <w:r w:rsidRPr="00781112">
        <w:rPr>
          <w:rFonts w:cs="Arial"/>
          <w:color w:val="000000" w:themeColor="text1"/>
          <w:szCs w:val="16"/>
        </w:rPr>
        <w:br/>
        <w:t>• Family Engagement Collaborative (FEC) trainings included sessions with over 300 participants, spanning parents, educators, and community stakeholders. The content of the trainings aligned with evidence-based family engagement and inclusive education practices, along with embedded accessibility supports and accommodations for various adult learning styles.</w:t>
      </w:r>
      <w:r w:rsidRPr="00781112">
        <w:rPr>
          <w:rFonts w:cs="Arial"/>
          <w:color w:val="000000" w:themeColor="text1"/>
          <w:szCs w:val="16"/>
        </w:rPr>
        <w:br/>
        <w:t>• The University of Washington IPP demonstration sites team collaborated with the FEC to support their work on gathering case studies around family engagement across IPP demonstration sites coordinating leadership in family engagement as part of their inclusive workgroups and with family navigators. The IPP Demonstration sites have an operating waitlist for visitors and have welcomed educators from around WA state, national partners, and international visitors who are coming to engage in a transformational learning experience.</w:t>
      </w:r>
      <w:r w:rsidRPr="00781112">
        <w:rPr>
          <w:rFonts w:cs="Arial"/>
          <w:color w:val="000000" w:themeColor="text1"/>
          <w:szCs w:val="16"/>
        </w:rPr>
        <w:br/>
      </w:r>
      <w:r w:rsidRPr="00781112">
        <w:rPr>
          <w:rFonts w:cs="Arial"/>
          <w:color w:val="000000" w:themeColor="text1"/>
          <w:szCs w:val="16"/>
        </w:rPr>
        <w:br/>
        <w:t>IPP priorities for 2021-2022 included centering racial equity and intersectionality, engaging families as decision-makers and co-designers, and including student voice with opportunities for self-advocacy. These priorities and the intentional collaboration among IPP Cadre organizations demonstrate the efficacy of building a statewide network that utilizes lived experiences and different perspectives and expertise to create sustainable and systemic inclusive education change. IPP is paving the way for future work that focuses on inclusive education outcomes for all students occurring within an MTSS framework. As WA state works together to consider new ways to measure impact and use data to inform systems change, it will include examining inclusive leadership across all levels of the PreK-12 system within an MTSS framework and developing a technical assistance network that accounts for the interdependence required to create a robust educational system.</w:t>
      </w:r>
      <w:r w:rsidRPr="00781112">
        <w:rPr>
          <w:rFonts w:cs="Arial"/>
          <w:color w:val="000000" w:themeColor="text1"/>
          <w:szCs w:val="16"/>
        </w:rPr>
        <w:br/>
      </w:r>
      <w:r w:rsidRPr="00781112">
        <w:rPr>
          <w:rFonts w:cs="Arial"/>
          <w:color w:val="000000" w:themeColor="text1"/>
          <w:szCs w:val="16"/>
        </w:rPr>
        <w:br/>
        <w:t xml:space="preserve">Since 2021, Washington state has been partnering as an intensive technical assistance state with the Council of Chief State School Officers (CCSSO) on the Advancing Inclusive Principal Leadership (AIPL) project. This project </w:t>
      </w:r>
      <w:proofErr w:type="gramStart"/>
      <w:r w:rsidRPr="00781112">
        <w:rPr>
          <w:rFonts w:cs="Arial"/>
          <w:color w:val="000000" w:themeColor="text1"/>
          <w:szCs w:val="16"/>
        </w:rPr>
        <w:t>is focused</w:t>
      </w:r>
      <w:proofErr w:type="gramEnd"/>
      <w:r w:rsidRPr="00781112">
        <w:rPr>
          <w:rFonts w:cs="Arial"/>
          <w:color w:val="000000" w:themeColor="text1"/>
          <w:szCs w:val="16"/>
        </w:rPr>
        <w:t xml:space="preserve"> on improving the skills and leadership of Principals to implement inclusive education across the state. This is another multi-organizational professional development collaboration that includes involvement from OSPI leadership within and beyond special education, family representatives, community-based partners, district leadership, university partners, and collaborators from professional organizations across the state. This group is preparing materials and goals for professional development and technical assistance for practicing principals and to inform principal preparation programs.</w:t>
      </w:r>
      <w:r w:rsidRPr="00781112">
        <w:rPr>
          <w:rFonts w:cs="Arial"/>
          <w:color w:val="000000" w:themeColor="text1"/>
          <w:szCs w:val="16"/>
        </w:rPr>
        <w:br/>
      </w:r>
      <w:r w:rsidRPr="00781112">
        <w:rPr>
          <w:rFonts w:cs="Arial"/>
          <w:color w:val="000000" w:themeColor="text1"/>
          <w:szCs w:val="16"/>
        </w:rPr>
        <w:br/>
        <w:t xml:space="preserve">Aligned with the above priorities are professional development provided in partnership with the CEEDAR Center to increase capacity of both pre-service and in-service learning. CEEDAR stands for “Collaboration for Effective Educator Development, Accountability, and Reform.” The mission of CEEDAR is to support students with disabilities in achieving college- and career-ready standards by building the capacity of state personnel preparation systems to prepare teachers and leaders to implement evidence-based practices within multi-tiered systems of support. There are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committees that drive this work and provide professional development to the community, which include OSPI representation and leadership. These committees included: Policy and planning, High Leverage Practices (HLP), Universal Design for Learning (UDL), Multi-Tiered Systems of Support (MTSS), and Knowledge and Mobilization. The CEEDARs team has also been drafting a syllabi protocol to map current scope and sequence for inclusive practices for educator preparation programs.</w:t>
      </w:r>
      <w:r w:rsidRPr="00781112">
        <w:rPr>
          <w:rFonts w:cs="Arial"/>
          <w:color w:val="000000" w:themeColor="text1"/>
          <w:szCs w:val="16"/>
        </w:rPr>
        <w:br/>
      </w:r>
      <w:r w:rsidRPr="00781112">
        <w:rPr>
          <w:rFonts w:cs="Arial"/>
          <w:color w:val="000000" w:themeColor="text1"/>
          <w:szCs w:val="16"/>
        </w:rPr>
        <w:br/>
        <w:t xml:space="preserve">For school district Special Education Directors in WA State, with support from OSPI, the Washington Association of School Administrators (WASA) Special Education Director Academy (SPEDA) was developed to support those who have administrative responsibilities of Special Education. Session modules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in partnership with OSPI to support leaders with relevant and timely topics, presented by local experts and practitioners. </w:t>
      </w:r>
      <w:proofErr w:type="gramStart"/>
      <w:r w:rsidRPr="00781112">
        <w:rPr>
          <w:rFonts w:cs="Arial"/>
          <w:color w:val="000000" w:themeColor="text1"/>
          <w:szCs w:val="16"/>
        </w:rPr>
        <w:t>Some</w:t>
      </w:r>
      <w:proofErr w:type="gramEnd"/>
      <w:r w:rsidRPr="00781112">
        <w:rPr>
          <w:rFonts w:cs="Arial"/>
          <w:color w:val="000000" w:themeColor="text1"/>
          <w:szCs w:val="16"/>
        </w:rPr>
        <w:t xml:space="preserve"> topics in 2021 included: Communicating with families, UDL and Inclusive Practices, and Effective Professional Development for Teachers.</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lastRenderedPageBreak/>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456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Special Education State Design Team (SDT):</w:t>
      </w:r>
      <w:r w:rsidRPr="00781112">
        <w:rPr>
          <w:color w:val="000000" w:themeColor="text1"/>
          <w:szCs w:val="16"/>
        </w:rPr>
        <w:br/>
      </w:r>
      <w:r w:rsidRPr="00781112">
        <w:rPr>
          <w:color w:val="000000" w:themeColor="text1"/>
          <w:szCs w:val="16"/>
        </w:rPr>
        <w:br/>
        <w:t xml:space="preserve">As previously described, 141 of SDT participants were parents/family members of individuals with disabilities, each assigned to one of seven focus groups based on their identified interests. The individual focus groups, facilitated by OSPI staff, met in October through December 2021 to analyze indicator </w:t>
      </w:r>
      <w:proofErr w:type="gramStart"/>
      <w:r w:rsidRPr="00781112">
        <w:rPr>
          <w:color w:val="000000" w:themeColor="text1"/>
          <w:szCs w:val="16"/>
        </w:rPr>
        <w:t>data</w:t>
      </w:r>
      <w:proofErr w:type="gramEnd"/>
      <w:r w:rsidRPr="00781112">
        <w:rPr>
          <w:color w:val="000000" w:themeColor="text1"/>
          <w:szCs w:val="16"/>
        </w:rPr>
        <w:t xml:space="preserve"> and collaboratively develop recommendations for indicator targets. The full SDT </w:t>
      </w:r>
      <w:proofErr w:type="gramStart"/>
      <w:r w:rsidRPr="00781112">
        <w:rPr>
          <w:color w:val="000000" w:themeColor="text1"/>
          <w:szCs w:val="16"/>
        </w:rPr>
        <w:t>was brought</w:t>
      </w:r>
      <w:proofErr w:type="gramEnd"/>
      <w:r w:rsidRPr="00781112">
        <w:rPr>
          <w:color w:val="000000" w:themeColor="text1"/>
          <w:szCs w:val="16"/>
        </w:rPr>
        <w:t xml:space="preserve"> together for a second virtual meeting on January 11, 2022, to review the work of the focus groups and the recommended targets, prior to presenting the targets to the state SEAC for review and approval on January 20, 2022. The SDT met again in May 2022 to review and discuss OSEP’s clarification window feedback and OSPI’s response to the feedback. SEAC includes an additional </w:t>
      </w:r>
      <w:proofErr w:type="gramStart"/>
      <w:r w:rsidRPr="00781112">
        <w:rPr>
          <w:color w:val="000000" w:themeColor="text1"/>
          <w:szCs w:val="16"/>
        </w:rPr>
        <w:t>10</w:t>
      </w:r>
      <w:proofErr w:type="gramEnd"/>
      <w:r w:rsidRPr="00781112">
        <w:rPr>
          <w:color w:val="000000" w:themeColor="text1"/>
          <w:szCs w:val="16"/>
        </w:rPr>
        <w:t xml:space="preserve"> members who are parents of individuals with disabilities.</w:t>
      </w:r>
      <w:r w:rsidRPr="00781112">
        <w:rPr>
          <w:color w:val="000000" w:themeColor="text1"/>
          <w:szCs w:val="16"/>
        </w:rPr>
        <w:br/>
      </w:r>
      <w:r w:rsidRPr="00781112">
        <w:rPr>
          <w:color w:val="000000" w:themeColor="text1"/>
          <w:szCs w:val="16"/>
        </w:rPr>
        <w:br/>
      </w:r>
      <w:r w:rsidRPr="00781112">
        <w:rPr>
          <w:color w:val="000000" w:themeColor="text1"/>
          <w:szCs w:val="16"/>
        </w:rPr>
        <w:lastRenderedPageBreak/>
        <w:t xml:space="preserve">All SDT focus group materials, including slide decks, indicator guides, discussion protocols, participant guidelines, meeting recordings/transcripts, and participant input was maintained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color w:val="000000" w:themeColor="text1"/>
          <w:szCs w:val="16"/>
        </w:rPr>
        <w:t>were posted</w:t>
      </w:r>
      <w:proofErr w:type="gramEnd"/>
      <w:r w:rsidRPr="00781112">
        <w:rPr>
          <w:color w:val="000000" w:themeColor="text1"/>
          <w:szCs w:val="16"/>
        </w:rPr>
        <w:t xml:space="preserve"> publicly on OSPI’s Special Education Family Engagement and Guidance webpage (https://www.k12.wa.us/student-success/special-education/family-engagement-and-guidance).</w:t>
      </w:r>
      <w:r w:rsidRPr="00781112">
        <w:rPr>
          <w:color w:val="000000" w:themeColor="text1"/>
          <w:szCs w:val="16"/>
        </w:rPr>
        <w:br/>
      </w:r>
      <w:r w:rsidRPr="00781112">
        <w:rPr>
          <w:color w:val="000000" w:themeColor="text1"/>
          <w:szCs w:val="16"/>
        </w:rPr>
        <w:br/>
        <w:t>The SEAC met on January 20, 2022, to review the recommended targets for approval. Summaries of SEAC meetings and decisions are posted on OSPI’s SEAC webpage (https://www.k12.wa.us/about-ospi/workgroups-committees/currently-meeting-workgroups/special-education-advisory-council-seac).</w:t>
      </w:r>
      <w:r w:rsidRPr="00781112">
        <w:rPr>
          <w:color w:val="000000" w:themeColor="text1"/>
          <w:szCs w:val="16"/>
        </w:rPr>
        <w:br/>
      </w:r>
      <w:r w:rsidRPr="00781112">
        <w:rPr>
          <w:color w:val="000000" w:themeColor="text1"/>
          <w:szCs w:val="16"/>
        </w:rPr>
        <w:br/>
        <w:t>Family and Community Engagement with Statewide Technical Assistance Partners:</w:t>
      </w:r>
      <w:r w:rsidRPr="00781112">
        <w:rPr>
          <w:color w:val="000000" w:themeColor="text1"/>
          <w:szCs w:val="16"/>
        </w:rPr>
        <w:br/>
      </w:r>
      <w:r w:rsidRPr="00781112">
        <w:rPr>
          <w:color w:val="000000" w:themeColor="text1"/>
          <w:szCs w:val="16"/>
        </w:rPr>
        <w:br/>
        <w:t xml:space="preserve">In addition to directly serving a majority of families from diverse communities, the IPP Cadre Family Engagement Collaborative provided direct input and coaching for the other 11 IPP Cadre projects, including strategies and capacity building for engaging in authentic community conversations, co-designing initiatives with family and community members, and including families and community members in shared decision making. Toward these goals, the IPP Cadre continued to interrogate their beliefs aligned with inclusive culture, philosophy, and practices. This included making sure that staff learning occurred alongside </w:t>
      </w:r>
      <w:proofErr w:type="gramStart"/>
      <w:r w:rsidRPr="00781112">
        <w:rPr>
          <w:color w:val="000000" w:themeColor="text1"/>
          <w:szCs w:val="16"/>
        </w:rPr>
        <w:t>families</w:t>
      </w:r>
      <w:proofErr w:type="gramEnd"/>
      <w:r w:rsidRPr="00781112">
        <w:rPr>
          <w:color w:val="000000" w:themeColor="text1"/>
          <w:szCs w:val="16"/>
        </w:rPr>
        <w:t xml:space="preserve"> representative of their school and community partners. </w:t>
      </w:r>
      <w:proofErr w:type="gramStart"/>
      <w:r w:rsidRPr="00781112">
        <w:rPr>
          <w:color w:val="000000" w:themeColor="text1"/>
          <w:szCs w:val="16"/>
        </w:rPr>
        <w:t>Some of</w:t>
      </w:r>
      <w:proofErr w:type="gramEnd"/>
      <w:r w:rsidRPr="00781112">
        <w:rPr>
          <w:color w:val="000000" w:themeColor="text1"/>
          <w:szCs w:val="16"/>
        </w:rPr>
        <w:t xml:space="preserve"> the questions the IPP Cadre grappled with included: What are the stories, experiences, and events that shape the meaning of inclusion and why it matters to staff, students, and families? How are we creating space to engage in discussions around inclusion and equity? How are we honoring the diverse cultures and identities represented in the school community, as well as examining how the ways we view, engage, and value students and families can </w:t>
      </w:r>
      <w:proofErr w:type="gramStart"/>
      <w:r w:rsidRPr="00781112">
        <w:rPr>
          <w:color w:val="000000" w:themeColor="text1"/>
          <w:szCs w:val="16"/>
        </w:rPr>
        <w:t>be shaped</w:t>
      </w:r>
      <w:proofErr w:type="gramEnd"/>
      <w:r w:rsidRPr="00781112">
        <w:rPr>
          <w:color w:val="000000" w:themeColor="text1"/>
          <w:szCs w:val="16"/>
        </w:rPr>
        <w:t xml:space="preserve"> by implicit bias and our own positionality?</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Special Education State Design Team (SDT):</w:t>
      </w:r>
      <w:r w:rsidRPr="00781112">
        <w:rPr>
          <w:color w:val="000000" w:themeColor="text1"/>
          <w:szCs w:val="16"/>
        </w:rPr>
        <w:br/>
      </w:r>
      <w:r w:rsidRPr="00781112">
        <w:rPr>
          <w:color w:val="000000" w:themeColor="text1"/>
          <w:szCs w:val="16"/>
        </w:rPr>
        <w:br/>
        <w:t xml:space="preserve">As described previously, multiple efforts </w:t>
      </w:r>
      <w:proofErr w:type="gramStart"/>
      <w:r w:rsidRPr="00781112">
        <w:rPr>
          <w:color w:val="000000" w:themeColor="text1"/>
          <w:szCs w:val="16"/>
        </w:rPr>
        <w:t>were made</w:t>
      </w:r>
      <w:proofErr w:type="gramEnd"/>
      <w:r w:rsidRPr="00781112">
        <w:rPr>
          <w:color w:val="000000" w:themeColor="text1"/>
          <w:szCs w:val="16"/>
        </w:rPr>
        <w:t xml:space="preserve"> to ensure the diversity of the SDT participants. Interested individuals were directed to complete an invitation survey (https://survey.alchemer.com/s3/6323118/Invitation-to-Serve-2021–22-Special-Education-State-Design-Team) that was translated into the </w:t>
      </w:r>
      <w:proofErr w:type="gramStart"/>
      <w:r w:rsidRPr="00781112">
        <w:rPr>
          <w:color w:val="000000" w:themeColor="text1"/>
          <w:szCs w:val="16"/>
        </w:rPr>
        <w:t>13</w:t>
      </w:r>
      <w:proofErr w:type="gramEnd"/>
      <w:r w:rsidRPr="00781112">
        <w:rPr>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t>
      </w:r>
      <w:proofErr w:type="gramStart"/>
      <w:r w:rsidRPr="00781112">
        <w:rPr>
          <w:color w:val="000000" w:themeColor="text1"/>
          <w:szCs w:val="16"/>
        </w:rPr>
        <w:t>was disseminated</w:t>
      </w:r>
      <w:proofErr w:type="gramEnd"/>
      <w:r w:rsidRPr="00781112">
        <w:rPr>
          <w:color w:val="000000" w:themeColor="text1"/>
          <w:szCs w:val="16"/>
        </w:rPr>
        <w:t xml:space="preserve"> statewide through multiple methods, including but not limited to GovDelivery communications, OSPI’s Special Education Monthly Updates, ESD meetings, Spanish and English radio and newspaper advertisements, and collaboration with statewide professional organizations and diverse CBOs and PTI Centers. The Spanish radio and newspaper advertisements </w:t>
      </w:r>
      <w:proofErr w:type="gramStart"/>
      <w:r w:rsidRPr="00781112">
        <w:rPr>
          <w:color w:val="000000" w:themeColor="text1"/>
          <w:szCs w:val="16"/>
        </w:rPr>
        <w:t>were initiated</w:t>
      </w:r>
      <w:proofErr w:type="gramEnd"/>
      <w:r w:rsidRPr="00781112">
        <w:rPr>
          <w:color w:val="000000" w:themeColor="text1"/>
          <w:szCs w:val="16"/>
        </w:rPr>
        <w:t xml:space="preserve"> upon review of the demographics of the preliminary participants and determining that individuals identified as Hispanic were underrepresented on the SDT.</w:t>
      </w:r>
      <w:r w:rsidRPr="00781112">
        <w:rPr>
          <w:color w:val="000000" w:themeColor="text1"/>
          <w:szCs w:val="16"/>
        </w:rPr>
        <w:br/>
      </w:r>
      <w:r w:rsidRPr="00781112">
        <w:rPr>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 and their area(s) of interest.</w:t>
      </w:r>
      <w:r w:rsidRPr="00781112">
        <w:rPr>
          <w:color w:val="000000" w:themeColor="text1"/>
          <w:szCs w:val="16"/>
        </w:rPr>
        <w:br/>
      </w:r>
      <w:r w:rsidRPr="00781112">
        <w:rPr>
          <w:color w:val="000000" w:themeColor="text1"/>
          <w:szCs w:val="16"/>
        </w:rPr>
        <w:br/>
        <w:t>Family and Community Engagement with Statewide Technical Assistance Partners:</w:t>
      </w:r>
      <w:r w:rsidRPr="00781112">
        <w:rPr>
          <w:color w:val="000000" w:themeColor="text1"/>
          <w:szCs w:val="16"/>
        </w:rPr>
        <w:br/>
      </w:r>
      <w:r w:rsidRPr="00781112">
        <w:rPr>
          <w:color w:val="000000" w:themeColor="text1"/>
          <w:szCs w:val="16"/>
        </w:rPr>
        <w:br/>
        <w:t>The IPP Cadre prioritized the following principles and practices to expand and sustain diverse family and community engagement:</w:t>
      </w:r>
      <w:r w:rsidRPr="00781112">
        <w:rPr>
          <w:color w:val="000000" w:themeColor="text1"/>
          <w:szCs w:val="16"/>
        </w:rPr>
        <w:br/>
        <w:t>1. Trust is established with families by showing care for others' well-being, demonstrating integrity of word and action, through open communication, by showing reliability, and by inviting families to be co-designers in their child’s education.</w:t>
      </w:r>
      <w:r w:rsidRPr="00781112">
        <w:rPr>
          <w:color w:val="000000" w:themeColor="text1"/>
          <w:szCs w:val="16"/>
        </w:rPr>
        <w:br/>
      </w:r>
      <w:proofErr w:type="gramStart"/>
      <w:r w:rsidRPr="00781112">
        <w:rPr>
          <w:color w:val="000000" w:themeColor="text1"/>
          <w:szCs w:val="16"/>
        </w:rPr>
        <w:t>2</w:t>
      </w:r>
      <w:proofErr w:type="gramEnd"/>
      <w:r w:rsidRPr="00781112">
        <w:rPr>
          <w:color w:val="000000" w:themeColor="text1"/>
          <w:szCs w:val="16"/>
        </w:rPr>
        <w:t>. Communication is framed so it is solution centered and partners communicate regularly with families about things that are going well.</w:t>
      </w:r>
      <w:r w:rsidRPr="00781112">
        <w:rPr>
          <w:color w:val="000000" w:themeColor="text1"/>
          <w:szCs w:val="16"/>
        </w:rPr>
        <w:br/>
      </w:r>
      <w:proofErr w:type="gramStart"/>
      <w:r w:rsidRPr="00781112">
        <w:rPr>
          <w:color w:val="000000" w:themeColor="text1"/>
          <w:szCs w:val="16"/>
        </w:rPr>
        <w:t>3</w:t>
      </w:r>
      <w:proofErr w:type="gramEnd"/>
      <w:r w:rsidRPr="00781112">
        <w:rPr>
          <w:color w:val="000000" w:themeColor="text1"/>
          <w:szCs w:val="16"/>
        </w:rPr>
        <w:t>. Leaders connect with families who historically have not been included or in leadership roles in the education community and invite them to be part of leadership teams.</w:t>
      </w:r>
      <w:r w:rsidRPr="00781112">
        <w:rPr>
          <w:color w:val="000000" w:themeColor="text1"/>
          <w:szCs w:val="16"/>
        </w:rPr>
        <w:br/>
      </w:r>
      <w:proofErr w:type="gramStart"/>
      <w:r w:rsidRPr="00781112">
        <w:rPr>
          <w:color w:val="000000" w:themeColor="text1"/>
          <w:szCs w:val="16"/>
        </w:rPr>
        <w:t>4</w:t>
      </w:r>
      <w:proofErr w:type="gramEnd"/>
      <w:r w:rsidRPr="00781112">
        <w:rPr>
          <w:color w:val="000000" w:themeColor="text1"/>
          <w:szCs w:val="16"/>
        </w:rPr>
        <w:t>. Partners elicit feedback from families' preferred ways of two-way communication (email, phone, school apps, etc.) and use a variety of formats to communicate.</w:t>
      </w:r>
      <w:r w:rsidRPr="00781112">
        <w:rPr>
          <w:color w:val="000000" w:themeColor="text1"/>
          <w:szCs w:val="16"/>
        </w:rPr>
        <w:br/>
      </w:r>
      <w:proofErr w:type="gramStart"/>
      <w:r w:rsidRPr="00781112">
        <w:rPr>
          <w:color w:val="000000" w:themeColor="text1"/>
          <w:szCs w:val="16"/>
        </w:rPr>
        <w:t>5</w:t>
      </w:r>
      <w:proofErr w:type="gramEnd"/>
      <w:r w:rsidRPr="00781112">
        <w:rPr>
          <w:color w:val="000000" w:themeColor="text1"/>
          <w:szCs w:val="16"/>
        </w:rPr>
        <w:t>. Communication is available across modalities to reach everyone (email, voicemail, website, family portal systems, paper).</w:t>
      </w:r>
      <w:r w:rsidRPr="00781112">
        <w:rPr>
          <w:color w:val="000000" w:themeColor="text1"/>
          <w:szCs w:val="16"/>
        </w:rPr>
        <w:br/>
      </w:r>
      <w:proofErr w:type="gramStart"/>
      <w:r w:rsidRPr="00781112">
        <w:rPr>
          <w:color w:val="000000" w:themeColor="text1"/>
          <w:szCs w:val="16"/>
        </w:rPr>
        <w:t>6</w:t>
      </w:r>
      <w:proofErr w:type="gramEnd"/>
      <w:r w:rsidRPr="00781112">
        <w:rPr>
          <w:color w:val="000000" w:themeColor="text1"/>
          <w:szCs w:val="16"/>
        </w:rPr>
        <w:t>. Communication is presented in all primary languages reflective of the group population.</w:t>
      </w:r>
      <w:r w:rsidRPr="00781112">
        <w:rPr>
          <w:color w:val="000000" w:themeColor="text1"/>
          <w:szCs w:val="16"/>
        </w:rPr>
        <w:br/>
      </w:r>
      <w:proofErr w:type="gramStart"/>
      <w:r w:rsidRPr="00781112">
        <w:rPr>
          <w:color w:val="000000" w:themeColor="text1"/>
          <w:szCs w:val="16"/>
        </w:rPr>
        <w:t>7</w:t>
      </w:r>
      <w:proofErr w:type="gramEnd"/>
      <w:r w:rsidRPr="00781112">
        <w:rPr>
          <w:color w:val="000000" w:themeColor="text1"/>
          <w:szCs w:val="16"/>
        </w:rPr>
        <w:t>. All partner activities include interpreters (multiple languages, including ASL) and virtual meetings include closed captioning.</w:t>
      </w:r>
      <w:r w:rsidRPr="00781112">
        <w:rPr>
          <w:color w:val="000000" w:themeColor="text1"/>
          <w:szCs w:val="16"/>
        </w:rPr>
        <w:br/>
      </w:r>
      <w:proofErr w:type="gramStart"/>
      <w:r w:rsidRPr="00781112">
        <w:rPr>
          <w:color w:val="000000" w:themeColor="text1"/>
          <w:szCs w:val="16"/>
        </w:rPr>
        <w:t>8</w:t>
      </w:r>
      <w:proofErr w:type="gramEnd"/>
      <w:r w:rsidRPr="00781112">
        <w:rPr>
          <w:color w:val="000000" w:themeColor="text1"/>
          <w:szCs w:val="16"/>
        </w:rPr>
        <w:t>. When scheduling meetings with family members and community events, event times are reflective of diverse family schedules to allow full participation.</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In spring 2021, OSPI issued a request for individuals who were interested in joining a Special Education SDT. Individuals were directed to complete an invitation survey (https://survey.alchemer.com/s3/6323118/Invitation-to-Serve-2021–22-Special-Education-State-Design-Team) that was translated into the </w:t>
      </w:r>
      <w:proofErr w:type="gramStart"/>
      <w:r w:rsidRPr="00781112">
        <w:rPr>
          <w:color w:val="000000" w:themeColor="text1"/>
          <w:szCs w:val="16"/>
        </w:rPr>
        <w:t>13</w:t>
      </w:r>
      <w:proofErr w:type="gramEnd"/>
      <w:r w:rsidRPr="00781112">
        <w:rPr>
          <w:color w:val="000000" w:themeColor="text1"/>
          <w:szCs w:val="16"/>
        </w:rPr>
        <w:t xml:space="preserve"> most commonly spoken languages in Washington state. The survey identified the individual’s contact information, age group(s) representing, county/school district representing, race/ethnicity (optional), role,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diverse CBOs and PTI Centers.</w:t>
      </w:r>
      <w:r w:rsidRPr="00781112">
        <w:rPr>
          <w:color w:val="000000" w:themeColor="text1"/>
          <w:szCs w:val="16"/>
        </w:rPr>
        <w:br/>
      </w:r>
      <w:r w:rsidRPr="00781112">
        <w:rPr>
          <w:color w:val="000000" w:themeColor="text1"/>
          <w:szCs w:val="16"/>
        </w:rPr>
        <w:br/>
        <w:t xml:space="preserve">Participants were assigned to a focus group based on their role and identified area(s) of interest. The individual focus groups, facilitated by OSPI staff, met </w:t>
      </w:r>
      <w:proofErr w:type="gramStart"/>
      <w:r w:rsidRPr="00781112">
        <w:rPr>
          <w:color w:val="000000" w:themeColor="text1"/>
          <w:szCs w:val="16"/>
        </w:rPr>
        <w:t>virtually in</w:t>
      </w:r>
      <w:proofErr w:type="gramEnd"/>
      <w:r w:rsidRPr="00781112">
        <w:rPr>
          <w:color w:val="000000" w:themeColor="text1"/>
          <w:szCs w:val="16"/>
        </w:rPr>
        <w:t xml:space="preserve"> October through December 2021 to analyze indicator data and collaboratively develop recommendations for indicator targets. The full SDT </w:t>
      </w:r>
      <w:proofErr w:type="gramStart"/>
      <w:r w:rsidRPr="00781112">
        <w:rPr>
          <w:color w:val="000000" w:themeColor="text1"/>
          <w:szCs w:val="16"/>
        </w:rPr>
        <w:t>was brought</w:t>
      </w:r>
      <w:proofErr w:type="gramEnd"/>
      <w:r w:rsidRPr="00781112">
        <w:rPr>
          <w:color w:val="000000" w:themeColor="text1"/>
          <w:szCs w:val="16"/>
        </w:rPr>
        <w:t xml:space="preserve"> together for a second virtual meeting on January 11, 2022, to review the work of the focus groups and the recommended targets, prior to presenting the targets to the state SEAC for review and approval on January 20, 2022. All focus group materials, including slide decks, indicator guides, discussion protocols, participant guidelines, meeting recordings/transcripts, and participant input </w:t>
      </w:r>
      <w:proofErr w:type="gramStart"/>
      <w:r w:rsidRPr="00781112">
        <w:rPr>
          <w:color w:val="000000" w:themeColor="text1"/>
          <w:szCs w:val="16"/>
        </w:rPr>
        <w:t>was maintained</w:t>
      </w:r>
      <w:proofErr w:type="gramEnd"/>
      <w:r w:rsidRPr="00781112">
        <w:rPr>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lastRenderedPageBreak/>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All SDT focus group materials, including slide decks, indicator guides, discussion protocols, participant guidelines, meeting recordings/transcripts, and participant input </w:t>
      </w:r>
      <w:proofErr w:type="gramStart"/>
      <w:r w:rsidRPr="00781112">
        <w:rPr>
          <w:color w:val="000000" w:themeColor="text1"/>
          <w:szCs w:val="16"/>
        </w:rPr>
        <w:t>was maintained</w:t>
      </w:r>
      <w:proofErr w:type="gramEnd"/>
      <w:r w:rsidRPr="00781112">
        <w:rPr>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color w:val="000000" w:themeColor="text1"/>
          <w:szCs w:val="16"/>
        </w:rPr>
        <w:t>were posted</w:t>
      </w:r>
      <w:proofErr w:type="gramEnd"/>
      <w:r w:rsidRPr="00781112">
        <w:rPr>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color w:val="000000" w:themeColor="text1"/>
          <w:szCs w:val="16"/>
        </w:rPr>
        <w:t>are posted</w:t>
      </w:r>
      <w:proofErr w:type="gramEnd"/>
      <w:r w:rsidRPr="00781112">
        <w:rPr>
          <w:color w:val="000000" w:themeColor="text1"/>
          <w:szCs w:val="16"/>
        </w:rPr>
        <w:t xml:space="preserve"> on OSPI’s SEAC webpage (https://www.k12.wa.us/about-ospi/workgroups-committees/currently-meeting-workgroups/special-education-advisory-council-seac).</w:t>
      </w:r>
      <w:r w:rsidRPr="00781112">
        <w:rPr>
          <w:color w:val="000000" w:themeColor="text1"/>
          <w:szCs w:val="16"/>
        </w:rPr>
        <w:br/>
      </w:r>
      <w:r w:rsidRPr="00781112">
        <w:rPr>
          <w:color w:val="000000" w:themeColor="text1"/>
          <w:szCs w:val="16"/>
        </w:rPr>
        <w:br/>
        <w:t xml:space="preserve">All IPP Cadre materials, including evaluation results and data updates, are posted to the project pages for the individual Cadre partners. Each of the IPP Cadre partners </w:t>
      </w:r>
      <w:proofErr w:type="gramStart"/>
      <w:r w:rsidRPr="00781112">
        <w:rPr>
          <w:color w:val="000000" w:themeColor="text1"/>
          <w:szCs w:val="16"/>
        </w:rPr>
        <w:t>are featured</w:t>
      </w:r>
      <w:proofErr w:type="gramEnd"/>
      <w:r w:rsidRPr="00781112">
        <w:rPr>
          <w:color w:val="000000" w:themeColor="text1"/>
          <w:szCs w:val="16"/>
        </w:rPr>
        <w:t xml:space="preserve"> and hyperlinked on the main webpage for the statewide IPP (https://www.k12.wa.us/policy-funding/special-education-funding-and-finance/inclusionary-practices-professional-development-project).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 continues to publicly post and report on both SEA and LEA performance on the state performance plan (SPP)/annual performance report (APR) indicators. The FFY 2020 data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(https://www.k12.wa.us/student-success/special-education/special-education-data-collection) in March 2022. Complete copies of the Washington SPP and APR are located on the same webpage.</w:t>
      </w:r>
      <w:r w:rsidRPr="00781112">
        <w:rPr>
          <w:rFonts w:cs="Arial"/>
          <w:color w:val="000000" w:themeColor="text1"/>
          <w:szCs w:val="16"/>
        </w:rPr>
        <w:br/>
      </w:r>
      <w:r w:rsidRPr="00781112">
        <w:rPr>
          <w:rFonts w:cs="Arial"/>
          <w:color w:val="000000" w:themeColor="text1"/>
          <w:szCs w:val="16"/>
        </w:rPr>
        <w:br/>
        <w:t xml:space="preserve">The APR </w:t>
      </w:r>
      <w:proofErr w:type="gramStart"/>
      <w:r w:rsidRPr="00781112">
        <w:rPr>
          <w:rFonts w:cs="Arial"/>
          <w:color w:val="000000" w:themeColor="text1"/>
          <w:szCs w:val="16"/>
        </w:rPr>
        <w:t>is disseminated</w:t>
      </w:r>
      <w:proofErr w:type="gramEnd"/>
      <w:r w:rsidRPr="00781112">
        <w:rPr>
          <w:rFonts w:cs="Arial"/>
          <w:color w:val="000000" w:themeColor="text1"/>
          <w:szCs w:val="16"/>
        </w:rPr>
        <w:t xml:space="preserve"> throughout the state via OSPI’s website (https://www.k12.wa.us/student-success/special-education/special-education-data-collection) and the agency's social media accounts (Twitter, RSS feeds, Facebook) and available to the media and families. This information </w:t>
      </w:r>
      <w:proofErr w:type="gramStart"/>
      <w:r w:rsidRPr="00781112">
        <w:rPr>
          <w:rFonts w:cs="Arial"/>
          <w:color w:val="000000" w:themeColor="text1"/>
          <w:szCs w:val="16"/>
        </w:rPr>
        <w:t>was also distributed</w:t>
      </w:r>
      <w:proofErr w:type="gramEnd"/>
      <w:r w:rsidRPr="00781112">
        <w:rPr>
          <w:rFonts w:cs="Arial"/>
          <w:color w:val="000000" w:themeColor="text1"/>
          <w:szCs w:val="16"/>
        </w:rPr>
        <w:t xml:space="preserve"> in the February 2021 special education monthly update, through the Partnerships for Action Voices for Empowerment (PAVE) PTI Center, to stakeholder committees who gave substantial input and feedback to the development of this document, and to the SEAC. This information </w:t>
      </w:r>
      <w:proofErr w:type="gramStart"/>
      <w:r w:rsidRPr="00781112">
        <w:rPr>
          <w:rFonts w:cs="Arial"/>
          <w:color w:val="000000" w:themeColor="text1"/>
          <w:szCs w:val="16"/>
        </w:rPr>
        <w:t>is also presented</w:t>
      </w:r>
      <w:proofErr w:type="gramEnd"/>
      <w:r w:rsidRPr="00781112">
        <w:rPr>
          <w:rFonts w:cs="Arial"/>
          <w:color w:val="000000" w:themeColor="text1"/>
          <w:szCs w:val="16"/>
        </w:rPr>
        <w:t xml:space="preserve"> at regional ESD meetings and various conferences throughout the state.</w:t>
      </w:r>
      <w:r w:rsidRPr="00781112">
        <w:rPr>
          <w:rFonts w:cs="Arial"/>
          <w:color w:val="000000" w:themeColor="text1"/>
          <w:szCs w:val="16"/>
        </w:rPr>
        <w:br/>
      </w:r>
      <w:r w:rsidRPr="00781112">
        <w:rPr>
          <w:rFonts w:cs="Arial"/>
          <w:color w:val="000000" w:themeColor="text1"/>
          <w:szCs w:val="16"/>
        </w:rPr>
        <w:br/>
        <w:t xml:space="preserve">Data showing the performance of each LEA in the state on the SPP and APR indicators are posted on the data profiles at https://www.k12.wa.us/student-success/special-education/special-education-data-collection (Indicators 1 through 14, and timely reporting status). Districts enter their unique county-district number on the data profile, and their district’s performance data can </w:t>
      </w:r>
      <w:proofErr w:type="gramStart"/>
      <w:r w:rsidRPr="00781112">
        <w:rPr>
          <w:rFonts w:cs="Arial"/>
          <w:color w:val="000000" w:themeColor="text1"/>
          <w:szCs w:val="16"/>
        </w:rPr>
        <w:t>be compared</w:t>
      </w:r>
      <w:proofErr w:type="gramEnd"/>
      <w:r w:rsidRPr="00781112">
        <w:rPr>
          <w:rFonts w:cs="Arial"/>
          <w:color w:val="000000" w:themeColor="text1"/>
          <w:szCs w:val="16"/>
        </w:rPr>
        <w:t xml:space="preserve"> to statewide data at-a-glance. Districts also use these data to complete their LEA federal fund applications.</w:t>
      </w:r>
      <w:r w:rsidRPr="00781112">
        <w:rPr>
          <w:rFonts w:cs="Arial"/>
          <w:color w:val="000000" w:themeColor="text1"/>
          <w:szCs w:val="16"/>
        </w:rPr>
        <w:br/>
      </w:r>
      <w:r w:rsidRPr="00781112">
        <w:rPr>
          <w:rFonts w:cs="Arial"/>
          <w:color w:val="000000" w:themeColor="text1"/>
          <w:szCs w:val="16"/>
        </w:rPr>
        <w:br/>
        <w:t>State assessment data links are below:</w:t>
      </w:r>
      <w:r w:rsidRPr="00781112">
        <w:rPr>
          <w:rFonts w:cs="Arial"/>
          <w:color w:val="000000" w:themeColor="text1"/>
          <w:szCs w:val="16"/>
        </w:rPr>
        <w:br/>
      </w:r>
      <w:r w:rsidRPr="00781112">
        <w:rPr>
          <w:rFonts w:cs="Arial"/>
          <w:color w:val="000000" w:themeColor="text1"/>
          <w:szCs w:val="16"/>
        </w:rPr>
        <w:br/>
        <w:t>Accommodations Data for State and District:</w:t>
      </w:r>
      <w:r w:rsidRPr="00781112">
        <w:rPr>
          <w:rFonts w:cs="Arial"/>
          <w:color w:val="000000" w:themeColor="text1"/>
          <w:szCs w:val="16"/>
        </w:rPr>
        <w:br/>
        <w:t>https://www.k12.wa.us/student-success/special-education/special-education-data-collection/state-special-education-data-collection-summaries (scroll down the page to "Part B Assessments").</w:t>
      </w:r>
      <w:r w:rsidRPr="00781112">
        <w:rPr>
          <w:rFonts w:cs="Arial"/>
          <w:color w:val="000000" w:themeColor="text1"/>
          <w:szCs w:val="16"/>
        </w:rPr>
        <w:br/>
      </w:r>
      <w:r w:rsidRPr="00781112">
        <w:rPr>
          <w:rFonts w:cs="Arial"/>
          <w:color w:val="000000" w:themeColor="text1"/>
          <w:szCs w:val="16"/>
        </w:rPr>
        <w:br/>
        <w:t>Statewide Smarter Balanced Assessment:</w:t>
      </w:r>
      <w:r w:rsidRPr="00781112">
        <w:rPr>
          <w:rFonts w:cs="Arial"/>
          <w:color w:val="000000" w:themeColor="text1"/>
          <w:szCs w:val="16"/>
        </w:rPr>
        <w:br/>
        <w:t>https://washingtonstatereportcard.ospi.k12.wa.us/ReportCard, choose "I Want to See Data for Washington State", scroll down the page, then choose "Assessment" in the Student Performance Section, and then choose "Details".</w:t>
      </w:r>
      <w:r w:rsidRPr="00781112">
        <w:rPr>
          <w:rFonts w:cs="Arial"/>
          <w:color w:val="000000" w:themeColor="text1"/>
          <w:szCs w:val="16"/>
        </w:rPr>
        <w:br/>
      </w:r>
      <w:r w:rsidRPr="00781112">
        <w:rPr>
          <w:rFonts w:cs="Arial"/>
          <w:color w:val="000000" w:themeColor="text1"/>
          <w:szCs w:val="16"/>
        </w:rPr>
        <w:br/>
        <w:t>Statewide Alternate Assessment:</w:t>
      </w:r>
      <w:r w:rsidRPr="00781112">
        <w:rPr>
          <w:rFonts w:cs="Arial"/>
          <w:color w:val="000000" w:themeColor="text1"/>
          <w:szCs w:val="16"/>
        </w:rPr>
        <w:br/>
        <w:t>https://washingtonstatereportcard.ospi.k12.wa.us/ReportCard, choose "I Want to See Data for Washington State", scroll down the page, then choose "Assessment" in the Student Performance Section, and then choose "Details".</w:t>
      </w:r>
      <w:r w:rsidRPr="00781112">
        <w:rPr>
          <w:rFonts w:cs="Arial"/>
          <w:color w:val="000000" w:themeColor="text1"/>
          <w:szCs w:val="16"/>
        </w:rPr>
        <w:br/>
      </w:r>
      <w:r w:rsidRPr="00781112">
        <w:rPr>
          <w:rFonts w:cs="Arial"/>
          <w:color w:val="000000" w:themeColor="text1"/>
          <w:szCs w:val="16"/>
        </w:rPr>
        <w:br/>
        <w:t>District Smarter Balanced Example:</w:t>
      </w:r>
      <w:r w:rsidRPr="00781112">
        <w:rPr>
          <w:rFonts w:cs="Arial"/>
          <w:color w:val="000000" w:themeColor="text1"/>
          <w:szCs w:val="16"/>
        </w:rPr>
        <w:br/>
        <w:t>https://washingtonstatereportcard.ospi.k12.wa.us/ReportCard, choose "I Want to See Data for a school or school district" and type in "Spokane School District" and click "GO", scroll down the page, then choose "Assessment" in the Student Performance Section, and then choose "Details".</w:t>
      </w:r>
      <w:r w:rsidRPr="00781112">
        <w:rPr>
          <w:rFonts w:cs="Arial"/>
          <w:color w:val="000000" w:themeColor="text1"/>
          <w:szCs w:val="16"/>
        </w:rPr>
        <w:br/>
      </w:r>
      <w:r w:rsidRPr="00781112">
        <w:rPr>
          <w:rFonts w:cs="Arial"/>
          <w:color w:val="000000" w:themeColor="text1"/>
          <w:szCs w:val="16"/>
        </w:rPr>
        <w:br/>
        <w:t>District Alternate Assessment Example:</w:t>
      </w:r>
      <w:r w:rsidRPr="00781112">
        <w:rPr>
          <w:rFonts w:cs="Arial"/>
          <w:color w:val="000000" w:themeColor="text1"/>
          <w:szCs w:val="16"/>
        </w:rPr>
        <w:br/>
        <w:t>https://washingtonstatereportcard.ospi.k12.wa.us/ReportCard, choose "I Want to See Data for a school or school district" and type in "Seattle School District No. 1" and click "GO", scroll down the page, then choose "Assessment" in the Student Performance Section, and then choose "Details".</w:t>
      </w:r>
      <w:r w:rsidRPr="00781112">
        <w:rPr>
          <w:rFonts w:cs="Arial"/>
          <w:color w:val="000000" w:themeColor="text1"/>
          <w:szCs w:val="16"/>
        </w:rPr>
        <w:br/>
      </w:r>
      <w:r w:rsidRPr="00781112">
        <w:rPr>
          <w:rFonts w:cs="Arial"/>
          <w:color w:val="000000" w:themeColor="text1"/>
          <w:szCs w:val="16"/>
        </w:rPr>
        <w:br/>
        <w:t>School Level Smarter Balanced Example: https://washingtonstatereportcard.ospi.k12.wa.us/ReportCard, choose "I Want to See Data for a school or school district" and type in "Ballard High School, Seattle School District No. 1" and click "GO", scroll down the page, then choose "Assessment" in the Student Performance Section, and then choose "Details".</w:t>
      </w:r>
      <w:r w:rsidRPr="00781112">
        <w:rPr>
          <w:rFonts w:cs="Arial"/>
          <w:color w:val="000000" w:themeColor="text1"/>
          <w:szCs w:val="16"/>
        </w:rPr>
        <w:br/>
      </w:r>
      <w:r w:rsidRPr="00781112">
        <w:rPr>
          <w:rFonts w:cs="Arial"/>
          <w:color w:val="000000" w:themeColor="text1"/>
          <w:szCs w:val="16"/>
        </w:rPr>
        <w:br/>
        <w:t>School Alternate Assessment Example: https://washingtonstatereportcard.ospi.k12.wa.us/ReportCard, choose "I Want to See Data for a school or school district" and type in "Maya Angelou Elementary School, Pasco School District" and click "GO", scroll down the page, then choose "Assessment" in the Student Performance Section, and then choose "Details".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improve its performance. The State must report, with its FFY 2021 SPP/APR submission, due February 1, 2023, on: (1) the technical assistance sources from which the State received assistance; and (2) the actions the State took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that technical assistance.</w:t>
      </w:r>
    </w:p>
    <w:p w14:paraId="6ECA4985" w14:textId="77777777" w:rsidR="008C56EE" w:rsidRPr="00781112" w:rsidRDefault="008C56EE" w:rsidP="000B4AA4">
      <w:pPr>
        <w:rPr>
          <w:rFonts w:cs="Arial"/>
          <w:color w:val="000000" w:themeColor="text1"/>
          <w:szCs w:val="16"/>
        </w:rPr>
      </w:pPr>
    </w:p>
    <w:p w14:paraId="615D9F24" w14:textId="2436358F" w:rsidR="009F764E" w:rsidRPr="00781112" w:rsidRDefault="007639D7" w:rsidP="004369B2">
      <w:pPr>
        <w:rPr>
          <w:b/>
          <w:color w:val="000000" w:themeColor="text1"/>
        </w:rPr>
      </w:pPr>
      <w:r>
        <w:rPr>
          <w:b/>
          <w:color w:val="000000" w:themeColor="text1"/>
        </w:rPr>
        <w:t>Response to actions required in FFY 2020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lastRenderedPageBreak/>
        <w:t>The June 23, 2022, Office of Special Education Programs (OSEP) Determination Letter, which is publicly available, states that Washington state continues to require assistance in implementing the requirements of Part B of the IDEA for more than two years and directs Washington state to report with this federal fiscal year (FFY) 2021 state performance plan (SPP) / annual performance report (APR) submission on two elements: (1) TA sources accessed and from which the state received assistance, and (2) actions taken by the state as a result of the TA. Washington expanded collaboration with multiple national TA centers, including the:</w:t>
      </w:r>
      <w:r w:rsidRPr="00781112">
        <w:rPr>
          <w:rFonts w:cs="Arial"/>
          <w:color w:val="000000" w:themeColor="text1"/>
          <w:szCs w:val="16"/>
        </w:rPr>
        <w:br/>
        <w:t>• National Center for Systemic Improvement (NCSI);</w:t>
      </w:r>
      <w:r w:rsidRPr="00781112">
        <w:rPr>
          <w:rFonts w:cs="Arial"/>
          <w:color w:val="000000" w:themeColor="text1"/>
          <w:szCs w:val="16"/>
        </w:rPr>
        <w:br/>
        <w:t>• National Center for Intensive Intervention (NCII);</w:t>
      </w:r>
      <w:r w:rsidRPr="00781112">
        <w:rPr>
          <w:rFonts w:cs="Arial"/>
          <w:color w:val="000000" w:themeColor="text1"/>
          <w:szCs w:val="16"/>
        </w:rPr>
        <w:br/>
        <w:t>• National Center for Pyramid Model Innovations (NCPMI);</w:t>
      </w:r>
      <w:r w:rsidRPr="00781112">
        <w:rPr>
          <w:rFonts w:cs="Arial"/>
          <w:color w:val="000000" w:themeColor="text1"/>
          <w:szCs w:val="16"/>
        </w:rPr>
        <w:br/>
        <w:t>• National Center on Deaf-Blindness (NCDB);</w:t>
      </w:r>
      <w:r w:rsidRPr="00781112">
        <w:rPr>
          <w:rFonts w:cs="Arial"/>
          <w:color w:val="000000" w:themeColor="text1"/>
          <w:szCs w:val="16"/>
        </w:rPr>
        <w:br/>
        <w:t>• National Technical Assistance Center on Transition (NTACT);</w:t>
      </w:r>
      <w:r w:rsidRPr="00781112">
        <w:rPr>
          <w:rFonts w:cs="Arial"/>
          <w:color w:val="000000" w:themeColor="text1"/>
          <w:szCs w:val="16"/>
        </w:rPr>
        <w:br/>
        <w:t>• Early Childhood Technical Assistance Center (ECTA);</w:t>
      </w:r>
      <w:r w:rsidRPr="00781112">
        <w:rPr>
          <w:rFonts w:cs="Arial"/>
          <w:color w:val="000000" w:themeColor="text1"/>
          <w:szCs w:val="16"/>
        </w:rPr>
        <w:br/>
        <w:t>• Center for IDEA Early Childhood Data Systems (DaSy);</w:t>
      </w:r>
      <w:r w:rsidRPr="00781112">
        <w:rPr>
          <w:rFonts w:cs="Arial"/>
          <w:color w:val="000000" w:themeColor="text1"/>
          <w:szCs w:val="16"/>
        </w:rPr>
        <w:br/>
        <w:t>• Center for the Integration of IDEA Data (CIID);</w:t>
      </w:r>
      <w:r w:rsidRPr="00781112">
        <w:rPr>
          <w:rFonts w:cs="Arial"/>
          <w:color w:val="000000" w:themeColor="text1"/>
          <w:szCs w:val="16"/>
        </w:rPr>
        <w:br/>
        <w:t>• IDEA Data Center (IDC) to support data integration, analysis, and accuracy efforts across the agency;</w:t>
      </w:r>
      <w:r w:rsidRPr="00781112">
        <w:rPr>
          <w:rFonts w:cs="Arial"/>
          <w:color w:val="000000" w:themeColor="text1"/>
          <w:szCs w:val="16"/>
        </w:rPr>
        <w:br/>
        <w:t>• TIES Center: Increasing Time, Instructional Effectiveness, Engagement, and State Support for Inclusive Practices for Students with Significant Cognitive Disabilities;</w:t>
      </w:r>
      <w:r w:rsidRPr="00781112">
        <w:rPr>
          <w:rFonts w:cs="Arial"/>
          <w:color w:val="000000" w:themeColor="text1"/>
          <w:szCs w:val="16"/>
        </w:rPr>
        <w:br/>
        <w:t>• CEEDAR Center: Collaboration for Effective Educator Development, Accountability, and Reform Center;</w:t>
      </w:r>
      <w:r w:rsidRPr="00781112">
        <w:rPr>
          <w:rFonts w:cs="Arial"/>
          <w:color w:val="000000" w:themeColor="text1"/>
          <w:szCs w:val="16"/>
        </w:rPr>
        <w:br/>
        <w:t>•</w:t>
      </w:r>
      <w:r w:rsidRPr="00781112">
        <w:rPr>
          <w:rFonts w:cs="Arial"/>
          <w:color w:val="000000" w:themeColor="text1"/>
          <w:szCs w:val="16"/>
        </w:rPr>
        <w:tab/>
        <w:t xml:space="preserve">Center for Appropriate Dispute Resolution in Special Education (CADRE); and </w:t>
      </w:r>
      <w:r w:rsidRPr="00781112">
        <w:rPr>
          <w:rFonts w:cs="Arial"/>
          <w:color w:val="000000" w:themeColor="text1"/>
          <w:szCs w:val="16"/>
        </w:rPr>
        <w:br/>
        <w:t>•</w:t>
      </w:r>
      <w:r w:rsidRPr="00781112">
        <w:rPr>
          <w:rFonts w:cs="Arial"/>
          <w:color w:val="000000" w:themeColor="text1"/>
          <w:szCs w:val="16"/>
        </w:rPr>
        <w:tab/>
        <w:t xml:space="preserve">Center for IDEA Fiscal Reporting (CIFR) to ensure IDEA funds are used efficiently, appropriately, and in collaboration with other improvement efforts, when appropriate. </w:t>
      </w:r>
      <w:r w:rsidRPr="00781112">
        <w:rPr>
          <w:rFonts w:cs="Arial"/>
          <w:color w:val="000000" w:themeColor="text1"/>
          <w:szCs w:val="16"/>
        </w:rPr>
        <w:br/>
      </w:r>
      <w:r w:rsidRPr="00781112">
        <w:rPr>
          <w:rFonts w:cs="Arial"/>
          <w:color w:val="000000" w:themeColor="text1"/>
          <w:szCs w:val="16"/>
        </w:rPr>
        <w:br/>
        <w:t>Additionally, our OSEP-assigned TA continues to provide frequent technical assistance, resulting in increased capacity of SEA special education leadership in addition to practice and policy shifts. TA efforts have been focused on the priority areas and areas of the SPP/APR showing slippage, not meeting targets, and/or needing improvement, such as preschool LRE and outcomes, post-school outcomes, disproportionality and equity, the State Systemic Improvement Plan (SSIP) Theory of Action and evaluation plan, along with revisions to discipline data collection and reporting and closer alignment of statewide improvement efforts with our Part C counterpart. As a result of the TA received, Washington state deepened analysis specific to outcome data for students with disabilities, reviewed additional research and policy, discussed promising practices and ongoing barriers, and continued efforts to address root causes of outcomes.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2021 and 2022 were Needs Assistance. Pursuant to section 616(e)(1) of the IDEA and 34 C.F.R. § 300.604(a), OSEP's June 24,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0959023A" w:rsidR="005E59DB" w:rsidRPr="00781112" w:rsidRDefault="005E59DB" w:rsidP="00B65C2C">
      <w:pPr>
        <w:rPr>
          <w:b/>
          <w:color w:val="000000" w:themeColor="text1"/>
        </w:rPr>
      </w:pPr>
      <w:r w:rsidRPr="00781112">
        <w:rPr>
          <w:b/>
          <w:color w:val="000000" w:themeColor="text1"/>
        </w:rPr>
        <w:t>Historical Data</w:t>
      </w:r>
      <w:r w:rsidR="00F306B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2018</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68.21%</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54.90%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58.10%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61.30%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71.00%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58.74%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59.41%</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69.86%</w:t>
            </w:r>
          </w:p>
        </w:tc>
        <w:tc>
          <w:tcPr>
            <w:tcW w:w="833" w:type="pct"/>
            <w:tcBorders>
              <w:bottom w:val="single" w:sz="4" w:space="0" w:color="auto"/>
            </w:tcBorders>
            <w:shd w:val="clear" w:color="auto" w:fill="auto"/>
            <w:vAlign w:val="center"/>
          </w:tcPr>
          <w:p w14:paraId="180CBFE9" w14:textId="66518A85" w:rsidR="007F24E2" w:rsidRPr="00781112" w:rsidRDefault="002B7490" w:rsidP="00E0321D">
            <w:pPr>
              <w:jc w:val="center"/>
              <w:rPr>
                <w:rFonts w:cs="Arial"/>
                <w:color w:val="000000" w:themeColor="text1"/>
                <w:szCs w:val="16"/>
              </w:rPr>
            </w:pPr>
            <w:r w:rsidRPr="00781112">
              <w:rPr>
                <w:rFonts w:cs="Arial"/>
                <w:color w:val="000000" w:themeColor="text1"/>
                <w:szCs w:val="16"/>
              </w:rPr>
              <w:t>62.2%</w:t>
            </w:r>
            <w:r w:rsidR="00221C30">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7D563443" w:rsidR="007F24E2" w:rsidRPr="00781112" w:rsidRDefault="00221C30" w:rsidP="00E0321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4"/>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72.00%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73.00%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74.00%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75.00%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76.00%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lastRenderedPageBreak/>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5,921</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1,838</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5,921</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7,777</w:t>
            </w:r>
          </w:p>
        </w:tc>
        <w:tc>
          <w:tcPr>
            <w:tcW w:w="623" w:type="pct"/>
            <w:shd w:val="clear" w:color="auto" w:fill="auto"/>
          </w:tcPr>
          <w:p w14:paraId="02406DF0" w14:textId="248E099E" w:rsidR="0098478C" w:rsidRPr="00781112" w:rsidRDefault="00221C30"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5"/>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76.13%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Washington State Requirements for the class of 2021: Total credits required = 24</w:t>
      </w:r>
      <w:r w:rsidRPr="00781112">
        <w:rPr>
          <w:rFonts w:cs="Arial"/>
          <w:color w:val="000000" w:themeColor="text1"/>
          <w:szCs w:val="16"/>
        </w:rPr>
        <w:br/>
      </w:r>
      <w:r w:rsidRPr="00781112">
        <w:rPr>
          <w:rFonts w:cs="Arial"/>
          <w:color w:val="000000" w:themeColor="text1"/>
          <w:szCs w:val="16"/>
        </w:rPr>
        <w:br/>
        <w:t xml:space="preserve">Subject, number of credits required and additional information: </w:t>
      </w:r>
      <w:r w:rsidRPr="00781112">
        <w:rPr>
          <w:rFonts w:cs="Arial"/>
          <w:color w:val="000000" w:themeColor="text1"/>
          <w:szCs w:val="16"/>
        </w:rPr>
        <w:br/>
        <w:t>• English (4)</w:t>
      </w:r>
      <w:r w:rsidRPr="00781112">
        <w:rPr>
          <w:rFonts w:cs="Arial"/>
          <w:color w:val="000000" w:themeColor="text1"/>
          <w:szCs w:val="16"/>
        </w:rPr>
        <w:br/>
        <w:t>• Math (3), Algebra 1 or Integrated Math 1, Geometry or Integrated Math 2 Algebra 2 or Integrated, Math 3, or a 3rd credit of math*</w:t>
      </w:r>
      <w:r w:rsidRPr="00781112">
        <w:rPr>
          <w:rFonts w:cs="Arial"/>
          <w:color w:val="000000" w:themeColor="text1"/>
          <w:szCs w:val="16"/>
        </w:rPr>
        <w:br/>
        <w:t>• Science (3): At least two labs, a 3rd credit of science*</w:t>
      </w:r>
      <w:r w:rsidRPr="00781112">
        <w:rPr>
          <w:rFonts w:cs="Arial"/>
          <w:color w:val="000000" w:themeColor="text1"/>
          <w:szCs w:val="16"/>
        </w:rPr>
        <w:br/>
        <w:t>• Social Studies (3): 1.0 U.S. History and Government, 0.5 Contemporary World History, Geography, and Problems, 0.5 credits of Civics, 1.0 credits of Social Studies Elective (may include 0.5 credits of a second semester of Contemporary World History or the equivalent)</w:t>
      </w:r>
      <w:r w:rsidRPr="00781112">
        <w:rPr>
          <w:rFonts w:cs="Arial"/>
          <w:color w:val="000000" w:themeColor="text1"/>
          <w:szCs w:val="16"/>
        </w:rPr>
        <w:br/>
        <w:t>• Arts (2): Performing or visual arts, one credit may be a Personalized Pathway Requirements**</w:t>
      </w:r>
      <w:r w:rsidRPr="00781112">
        <w:rPr>
          <w:rFonts w:cs="Arial"/>
          <w:color w:val="000000" w:themeColor="text1"/>
          <w:szCs w:val="16"/>
        </w:rPr>
        <w:br/>
        <w:t>• World Language (2): Both credits may be a Personalized Pathway Requirements**</w:t>
      </w:r>
      <w:r w:rsidRPr="00781112">
        <w:rPr>
          <w:rFonts w:cs="Arial"/>
          <w:color w:val="000000" w:themeColor="text1"/>
          <w:szCs w:val="16"/>
        </w:rPr>
        <w:br/>
        <w:t>• Health and Fitness (2): 0.5 credits of Health, 1.5 credits of Fitness, Students must earn credit for physical education unless excused per Revised Code of Washington (RCW) 28A.230.050</w:t>
      </w:r>
      <w:r w:rsidRPr="00781112">
        <w:rPr>
          <w:rFonts w:cs="Arial"/>
          <w:color w:val="000000" w:themeColor="text1"/>
          <w:szCs w:val="16"/>
        </w:rPr>
        <w:br/>
        <w:t>• Career and Technical Education (CTE) (1), may be an Occupational Education course that meets the definition of an exploratory course as described in the CTE program standards</w:t>
      </w:r>
      <w:r w:rsidRPr="00781112">
        <w:rPr>
          <w:rFonts w:cs="Arial"/>
          <w:color w:val="000000" w:themeColor="text1"/>
          <w:szCs w:val="16"/>
        </w:rPr>
        <w:br/>
        <w:t>• Electives (4)</w:t>
      </w:r>
      <w:r w:rsidRPr="00781112">
        <w:rPr>
          <w:rFonts w:cs="Arial"/>
          <w:color w:val="000000" w:themeColor="text1"/>
          <w:szCs w:val="16"/>
        </w:rPr>
        <w:br/>
        <w:t>*The 3rd credit of science and the 3rd credit of math are chosen by the student based on the student's interest and High School and Beyond Plan (HSBP), and approved by the parent or guardian, or if the parent or guardian is unavailable or does not indicate a preference, the school counselor or principal. (See Washington Administrative Code (WAC) 180-51-068).</w:t>
      </w:r>
      <w:r w:rsidRPr="00781112">
        <w:rPr>
          <w:rFonts w:cs="Arial"/>
          <w:color w:val="000000" w:themeColor="text1"/>
          <w:szCs w:val="16"/>
        </w:rPr>
        <w:br/>
        <w:t>**Personalized Pathway Requirement are related courses that lead to a specific post high school career or educational outcome chosen by the student based on the student’s interests and HSBP, that may include CTE and are intended to provide a focus for the student’s learning.</w:t>
      </w:r>
      <w:r w:rsidRPr="00781112">
        <w:rPr>
          <w:rFonts w:cs="Arial"/>
          <w:color w:val="000000" w:themeColor="text1"/>
          <w:szCs w:val="16"/>
        </w:rPr>
        <w:br/>
      </w:r>
      <w:r w:rsidRPr="00781112">
        <w:rPr>
          <w:rFonts w:cs="Arial"/>
          <w:color w:val="000000" w:themeColor="text1"/>
          <w:szCs w:val="16"/>
        </w:rPr>
        <w:br/>
        <w:t>Non-Credit Requirements:</w:t>
      </w:r>
      <w:r w:rsidRPr="00781112">
        <w:rPr>
          <w:rFonts w:cs="Arial"/>
          <w:color w:val="000000" w:themeColor="text1"/>
          <w:szCs w:val="16"/>
        </w:rPr>
        <w:br/>
        <w:t>• HSBP (https://www.sbe.wa.gov/faqs/high_school_beyond)</w:t>
      </w:r>
      <w:r w:rsidRPr="00781112">
        <w:rPr>
          <w:rFonts w:cs="Arial"/>
          <w:color w:val="000000" w:themeColor="text1"/>
          <w:szCs w:val="16"/>
        </w:rPr>
        <w:br/>
        <w:t>• Washington State History</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67C4D04B" w:rsidR="00907A35" w:rsidRPr="00781112" w:rsidRDefault="00907A35" w:rsidP="004369B2">
      <w:pPr>
        <w:rPr>
          <w:b/>
          <w:color w:val="000000" w:themeColor="text1"/>
        </w:rPr>
      </w:pPr>
      <w:r w:rsidRPr="00781112">
        <w:rPr>
          <w:b/>
          <w:color w:val="000000" w:themeColor="text1"/>
        </w:rPr>
        <w:t>Historical Data</w:t>
      </w:r>
      <w:r w:rsidR="00F306B7">
        <w:rPr>
          <w:rStyle w:val="FootnoteReference"/>
          <w:b/>
          <w:color w:val="000000" w:themeColor="text1"/>
        </w:rPr>
        <w:footnoteReference w:id="6"/>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31.93%</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5.55%</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5.50%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5.45%</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5.45%</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31.00%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6.74%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6.43%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6.61%</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6.81%</w:t>
            </w:r>
          </w:p>
        </w:tc>
        <w:tc>
          <w:tcPr>
            <w:tcW w:w="834" w:type="pct"/>
            <w:tcBorders>
              <w:bottom w:val="single" w:sz="4" w:space="0" w:color="auto"/>
            </w:tcBorders>
            <w:shd w:val="clear" w:color="auto" w:fill="auto"/>
            <w:vAlign w:val="center"/>
          </w:tcPr>
          <w:p w14:paraId="32A53100" w14:textId="31028EA3" w:rsidR="00907A35" w:rsidRPr="00781112" w:rsidRDefault="00AE65F6" w:rsidP="00E0321D">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7"/>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30.50%</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29.00%</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27.50%</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26.20%</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25.10%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r>
      <w:r w:rsidRPr="00781112">
        <w:rPr>
          <w:rFonts w:cs="Arial"/>
          <w:color w:val="000000" w:themeColor="text1"/>
          <w:szCs w:val="16"/>
        </w:rPr>
        <w:lastRenderedPageBreak/>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5,921</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1,838</w:t>
            </w:r>
          </w:p>
        </w:tc>
      </w:tr>
    </w:tbl>
    <w:p w14:paraId="7CE42756" w14:textId="445D9372" w:rsidR="00654A4B" w:rsidRPr="00781112" w:rsidRDefault="00654A4B" w:rsidP="004369B2">
      <w:pPr>
        <w:rPr>
          <w:color w:val="000000" w:themeColor="text1"/>
        </w:rPr>
      </w:pPr>
    </w:p>
    <w:p w14:paraId="2A8766EE" w14:textId="77777777" w:rsidR="002A120C" w:rsidRDefault="002A120C">
      <w:pPr>
        <w:spacing w:before="0" w:after="200" w:line="276" w:lineRule="auto"/>
        <w:rPr>
          <w:b/>
          <w:color w:val="000000" w:themeColor="text1"/>
        </w:rPr>
      </w:pPr>
      <w:r>
        <w:rPr>
          <w:b/>
          <w:color w:val="000000" w:themeColor="text1"/>
        </w:rPr>
        <w:br w:type="page"/>
      </w:r>
    </w:p>
    <w:p w14:paraId="4463AFB2" w14:textId="204FA55B" w:rsidR="00C96339" w:rsidRPr="00781112" w:rsidRDefault="0047313F" w:rsidP="004369B2">
      <w:pPr>
        <w:rPr>
          <w:color w:val="000000" w:themeColor="text1"/>
        </w:rPr>
      </w:pPr>
      <w:r>
        <w:rPr>
          <w:b/>
          <w:color w:val="000000" w:themeColor="text1"/>
        </w:rPr>
        <w:lastRenderedPageBreak/>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1,838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7,777</w:t>
            </w:r>
          </w:p>
        </w:tc>
        <w:tc>
          <w:tcPr>
            <w:tcW w:w="633" w:type="pct"/>
            <w:shd w:val="clear" w:color="auto" w:fill="auto"/>
          </w:tcPr>
          <w:p w14:paraId="77541D8A" w14:textId="6F9CAB4B" w:rsidR="00C96339" w:rsidRPr="00781112" w:rsidRDefault="00AE65F6" w:rsidP="00A018D4">
            <w:pPr>
              <w:jc w:val="center"/>
              <w:rPr>
                <w:rFonts w:cs="Arial"/>
                <w:color w:val="000000" w:themeColor="text1"/>
                <w:szCs w:val="16"/>
              </w:rPr>
            </w:pPr>
            <w:r>
              <w:rPr>
                <w:rFonts w:cs="Arial"/>
                <w:color w:val="000000" w:themeColor="text1"/>
                <w:szCs w:val="16"/>
              </w:rPr>
              <w:t>x</w:t>
            </w:r>
            <w:r>
              <w:rPr>
                <w:rStyle w:val="FootnoteReference"/>
                <w:rFonts w:cs="Arial"/>
                <w:color w:val="000000" w:themeColor="text1"/>
                <w:szCs w:val="16"/>
              </w:rPr>
              <w:footnoteReference w:id="8"/>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30.50%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23.63%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Dropping out </w:t>
      </w:r>
      <w:proofErr w:type="gramStart"/>
      <w:r w:rsidRPr="00781112">
        <w:rPr>
          <w:rFonts w:cs="Arial"/>
          <w:color w:val="000000" w:themeColor="text1"/>
          <w:szCs w:val="16"/>
          <w:shd w:val="clear" w:color="auto" w:fill="FFFFFF"/>
        </w:rPr>
        <w:t>is defined</w:t>
      </w:r>
      <w:proofErr w:type="gramEnd"/>
      <w:r w:rsidRPr="00781112">
        <w:rPr>
          <w:rFonts w:cs="Arial"/>
          <w:color w:val="000000" w:themeColor="text1"/>
          <w:szCs w:val="16"/>
          <w:shd w:val="clear" w:color="auto" w:fill="FFFFFF"/>
        </w:rPr>
        <w:t xml:space="preserve"> as any student who leaves school for any reason, except death, before completing school with a high school diploma or transferring to another school with a known exit reason. A student </w:t>
      </w:r>
      <w:proofErr w:type="gramStart"/>
      <w:r w:rsidRPr="00781112">
        <w:rPr>
          <w:rFonts w:cs="Arial"/>
          <w:color w:val="000000" w:themeColor="text1"/>
          <w:szCs w:val="16"/>
          <w:shd w:val="clear" w:color="auto" w:fill="FFFFFF"/>
        </w:rPr>
        <w:t>is considered</w:t>
      </w:r>
      <w:proofErr w:type="gramEnd"/>
      <w:r w:rsidRPr="00781112">
        <w:rPr>
          <w:rFonts w:cs="Arial"/>
          <w:color w:val="000000" w:themeColor="text1"/>
          <w:szCs w:val="16"/>
          <w:shd w:val="clear" w:color="auto" w:fill="FFFFFF"/>
        </w:rPr>
        <w:t xml:space="preserve"> as dropping out regardless of when dropping out occurs (i.e., during or between regular school terms). A student who leaves during the year but returns during the reporting period is not considered as dropping out.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Dropping out includes those students who provide a reason for dropping out, those who leave school to attempt/obtain a General Equivalency Degree (GED), and those students who have an unconfirmed transfer or who were enrolled but stopped attending and no further information could be found for these students.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There is no differentiation of the definition of dropping out between students with or without disabilities.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95.00%</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92.60%</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88.40%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94.90%</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92.10%</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86.60%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4B8B8032" w14:textId="7C9F4CA2" w:rsidR="0034094E" w:rsidRPr="00781112" w:rsidRDefault="00480083" w:rsidP="002A120C">
      <w:pPr>
        <w:spacing w:before="0" w:after="200"/>
        <w:rPr>
          <w:b/>
          <w:color w:val="000000" w:themeColor="text1"/>
        </w:rPr>
      </w:pPr>
      <w:r w:rsidRPr="00781112">
        <w:rPr>
          <w:b/>
          <w:color w:val="000000" w:themeColor="text1"/>
        </w:rPr>
        <w:t xml:space="preserve">Targets: Description of Stakeholder Input </w:t>
      </w:r>
      <w:r w:rsidR="002A120C">
        <w:rPr>
          <w:b/>
          <w:color w:val="000000" w:themeColor="text1"/>
        </w:rPr>
        <w:br/>
      </w: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w:t>
      </w:r>
      <w:r w:rsidRPr="00781112">
        <w:rPr>
          <w:rFonts w:cs="Arial"/>
          <w:color w:val="000000" w:themeColor="text1"/>
          <w:szCs w:val="16"/>
        </w:rPr>
        <w:lastRenderedPageBreak/>
        <w:t xml:space="preserve">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7262A26B" w14:textId="77777777" w:rsidR="002A120C" w:rsidRDefault="002A120C" w:rsidP="004F4016">
      <w:pPr>
        <w:rPr>
          <w:b/>
          <w:color w:val="000000" w:themeColor="text1"/>
        </w:rPr>
      </w:pPr>
    </w:p>
    <w:p w14:paraId="185A3541" w14:textId="5C20D39A" w:rsidR="004F4016" w:rsidRPr="00781112" w:rsidRDefault="00FA33C9" w:rsidP="004F4016">
      <w:pPr>
        <w:rPr>
          <w:b/>
          <w:color w:val="000000" w:themeColor="text1"/>
        </w:rPr>
      </w:pPr>
      <w:r>
        <w:rPr>
          <w:b/>
          <w:color w:val="000000" w:themeColor="text1"/>
        </w:rPr>
        <w:t>FFY 2021 Data Disaggregation from EDFacts</w:t>
      </w:r>
    </w:p>
    <w:p w14:paraId="0D09503A" w14:textId="4CFDDD2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38A5C2F4" w14:textId="77777777" w:rsidR="002A120C" w:rsidRDefault="002A120C" w:rsidP="004F4016">
      <w:pPr>
        <w:rPr>
          <w:b/>
          <w:color w:val="000000" w:themeColor="text1"/>
        </w:rPr>
      </w:pPr>
    </w:p>
    <w:p w14:paraId="651CC948" w14:textId="7C43306D"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12,702</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11,796</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10,697</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8,654</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7,874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6,647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2,228</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1,783</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1,175</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lastRenderedPageBreak/>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808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658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691</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9875BDB" w14:textId="77777777" w:rsidR="002A120C" w:rsidRDefault="002A120C" w:rsidP="004F4016">
      <w:pPr>
        <w:rPr>
          <w:b/>
          <w:color w:val="000000" w:themeColor="text1"/>
        </w:rPr>
      </w:pPr>
    </w:p>
    <w:p w14:paraId="4F72747C" w14:textId="4A34E022"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12,702</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11,798</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10,700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7,224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4,779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4,729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3,623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4,832</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2,892</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801</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655</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689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11,690</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12,702</w:t>
            </w:r>
          </w:p>
        </w:tc>
        <w:tc>
          <w:tcPr>
            <w:tcW w:w="466" w:type="pct"/>
            <w:shd w:val="clear" w:color="auto" w:fill="auto"/>
            <w:vAlign w:val="center"/>
          </w:tcPr>
          <w:p w14:paraId="701F3D15" w14:textId="07C4BD40" w:rsidR="00892DD7" w:rsidRPr="00781112" w:rsidRDefault="0058647B" w:rsidP="00892DD7">
            <w:pPr>
              <w:jc w:val="center"/>
              <w:rPr>
                <w:rFonts w:cs="Arial"/>
                <w:color w:val="000000" w:themeColor="text1"/>
                <w:szCs w:val="16"/>
              </w:rPr>
            </w:pPr>
            <w:r>
              <w:rPr>
                <w:rFonts w:cs="Arial"/>
                <w:color w:val="000000" w:themeColor="text1"/>
                <w:szCs w:val="16"/>
              </w:rPr>
              <w:t>*</w:t>
            </w:r>
            <w:bookmarkStart w:id="14" w:name="_Ref141112656"/>
            <w:r>
              <w:rPr>
                <w:rStyle w:val="FootnoteReference"/>
                <w:rFonts w:cs="Arial"/>
                <w:color w:val="000000" w:themeColor="text1"/>
                <w:szCs w:val="16"/>
              </w:rPr>
              <w:footnoteReference w:id="9"/>
            </w:r>
            <w:bookmarkEnd w:id="14"/>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92.03%</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10,315</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11,796</w:t>
            </w:r>
          </w:p>
        </w:tc>
        <w:tc>
          <w:tcPr>
            <w:tcW w:w="466" w:type="pct"/>
            <w:shd w:val="clear" w:color="auto" w:fill="auto"/>
            <w:vAlign w:val="center"/>
          </w:tcPr>
          <w:p w14:paraId="6B3B6780" w14:textId="4F9C37C3" w:rsidR="00892DD7" w:rsidRPr="00781112" w:rsidRDefault="0058647B" w:rsidP="00892DD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_Ref141112656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8</w:t>
            </w:r>
            <w:r>
              <w:rPr>
                <w:rFonts w:cs="Arial"/>
                <w:color w:val="000000" w:themeColor="text1"/>
                <w:szCs w:val="16"/>
              </w:rPr>
              <w:fldChar w:fldCharType="end"/>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87.44%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8,513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10,697</w:t>
            </w:r>
          </w:p>
        </w:tc>
        <w:tc>
          <w:tcPr>
            <w:tcW w:w="466" w:type="pct"/>
            <w:shd w:val="clear" w:color="auto" w:fill="auto"/>
            <w:vAlign w:val="center"/>
          </w:tcPr>
          <w:p w14:paraId="300E10D2" w14:textId="170A41A3" w:rsidR="00892DD7" w:rsidRPr="00781112" w:rsidRDefault="0058647B" w:rsidP="00892DD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_Ref141112656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8</w:t>
            </w:r>
            <w:r>
              <w:rPr>
                <w:rFonts w:cs="Arial"/>
                <w:color w:val="000000" w:themeColor="text1"/>
                <w:szCs w:val="16"/>
              </w:rPr>
              <w:fldChar w:fldCharType="end"/>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79.58%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11,648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12,702</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89.44%</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91.70%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10,266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11,798</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79.39%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87.01%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8,310</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10,700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75.75%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77.66%</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lastRenderedPageBreak/>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Report Card—Washington State Report Card (ospi.k12.wa.us) https://washingtonstatereportcard.ospi.k12.wa.us/ReportCard/ViewSchoolOrDistrict/103300. Choose Student Enrollment &gt;&gt; Assessment for details on the statewide assessment data.</w:t>
      </w:r>
      <w:r w:rsidRPr="00781112">
        <w:rPr>
          <w:rFonts w:cs="Arial"/>
          <w:color w:val="000000" w:themeColor="text1"/>
          <w:szCs w:val="16"/>
        </w:rPr>
        <w:br/>
      </w:r>
      <w:r w:rsidRPr="00781112">
        <w:rPr>
          <w:rFonts w:cs="Arial"/>
          <w:color w:val="000000" w:themeColor="text1"/>
          <w:szCs w:val="16"/>
        </w:rPr>
        <w:br/>
        <w:t>Students with disabilities taking the statewide assessment using an accommodation information is located at: https://www.k12.wa.us/student-success/special-education/special-education-data-collection/special-education-data-collection-summaries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 xml:space="preserve">The change in baseline for this indicator is due to the federal change in the indicator. The grades reported in previous SPP/APRs were grade bands 3-5, 6-8 and high school, and in this new SPP/APR the grades to report are now 4, 8 and high school. </w:t>
      </w:r>
      <w:r w:rsidRPr="00781112">
        <w:rPr>
          <w:rFonts w:cs="Arial"/>
          <w:color w:val="000000" w:themeColor="text1"/>
          <w:szCs w:val="16"/>
        </w:rPr>
        <w:br/>
      </w:r>
      <w:r w:rsidRPr="00781112">
        <w:rPr>
          <w:rFonts w:cs="Arial"/>
          <w:color w:val="000000" w:themeColor="text1"/>
          <w:szCs w:val="16"/>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r w:rsidRPr="00781112">
        <w:rPr>
          <w:rFonts w:cs="Arial"/>
          <w:color w:val="000000" w:themeColor="text1"/>
          <w:szCs w:val="16"/>
        </w:rPr>
        <w:br/>
      </w:r>
      <w:r w:rsidRPr="00781112">
        <w:rPr>
          <w:rFonts w:cs="Arial"/>
          <w:color w:val="000000" w:themeColor="text1"/>
          <w:szCs w:val="16"/>
        </w:rPr>
        <w:br/>
        <w:t xml:space="preserve">It should be noted that the FFY 2020 data for Reading Participation was not prepopulated into this platform. The Washington State Data Manager submitted tickets addressing this issue, but PSC was unable to resolve the issue. Washington's OSEP liaison (Keesha Blythe) recommended adding the missing data in this section. </w:t>
      </w:r>
      <w:r w:rsidRPr="00781112">
        <w:rPr>
          <w:rFonts w:cs="Arial"/>
          <w:color w:val="000000" w:themeColor="text1"/>
          <w:szCs w:val="16"/>
        </w:rPr>
        <w:br/>
      </w:r>
      <w:r w:rsidRPr="00781112">
        <w:rPr>
          <w:rFonts w:cs="Arial"/>
          <w:color w:val="000000" w:themeColor="text1"/>
          <w:szCs w:val="16"/>
        </w:rPr>
        <w:br/>
        <w:t xml:space="preserve">FFY 2020 Reading Participation data for </w:t>
      </w:r>
      <w:r w:rsidRPr="00781112">
        <w:rPr>
          <w:rFonts w:cs="Arial"/>
          <w:color w:val="000000" w:themeColor="text1"/>
          <w:szCs w:val="16"/>
        </w:rPr>
        <w:br/>
        <w:t>Grade 4: 89.76 -- no slippage FFY 2021: 92.03</w:t>
      </w:r>
      <w:r w:rsidRPr="00781112">
        <w:rPr>
          <w:rFonts w:cs="Arial"/>
          <w:color w:val="000000" w:themeColor="text1"/>
          <w:szCs w:val="16"/>
        </w:rPr>
        <w:br/>
        <w:t>Grade 8: 79.81 -- no slippage FFY 2021: 87.44</w:t>
      </w:r>
      <w:r w:rsidRPr="00781112">
        <w:rPr>
          <w:rFonts w:cs="Arial"/>
          <w:color w:val="000000" w:themeColor="text1"/>
          <w:szCs w:val="16"/>
        </w:rPr>
        <w:br/>
        <w:t>Grade HS: 76.46 -- no slippage FFY 2021: 79.58</w:t>
      </w:r>
      <w:r w:rsidRPr="00781112">
        <w:rPr>
          <w:rFonts w:cs="Arial"/>
          <w:color w:val="000000" w:themeColor="text1"/>
          <w:szCs w:val="16"/>
        </w:rPr>
        <w:br/>
      </w:r>
      <w:r w:rsidRPr="00781112">
        <w:rPr>
          <w:rFonts w:cs="Arial"/>
          <w:color w:val="000000" w:themeColor="text1"/>
          <w:szCs w:val="16"/>
        </w:rPr>
        <w:br/>
        <w:t>To address Section 3A -- OSEP Response of this APR:</w:t>
      </w:r>
      <w:r w:rsidRPr="00781112">
        <w:rPr>
          <w:rFonts w:cs="Arial"/>
          <w:color w:val="000000" w:themeColor="text1"/>
          <w:szCs w:val="16"/>
        </w:rPr>
        <w:br/>
        <w:t>Washington’s Part B Data for Indicator 3A-Reading from FFY 2020 was not prepopulated in the APR Data Platform. Partner Support was unable to open the platform and add the prior year’s data. The email from Partner Support instructed us to put the actual data from FFY 2020 in the “additional information” text field. We followed these instructions, which enabled us to analyze the current data for this APR.</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With the FFY 2021 SPP/APR, the State must provide an explanation for the revision of the baseline to FFY 2018.</w:t>
      </w:r>
      <w:r w:rsidRPr="00781112">
        <w:rPr>
          <w:rFonts w:cs="Arial"/>
          <w:color w:val="000000" w:themeColor="text1"/>
          <w:szCs w:val="16"/>
        </w:rPr>
        <w:br/>
      </w:r>
      <w:r w:rsidRPr="00781112">
        <w:rPr>
          <w:rFonts w:cs="Arial"/>
          <w:color w:val="000000" w:themeColor="text1"/>
          <w:szCs w:val="16"/>
        </w:rPr>
        <w:br/>
        <w:t xml:space="preserve">OSEP notes that the State submitted verification that the attachment(s) complies with Section 508 of the Rehabilitation Act of 1973, as amended (Section 508). However, one or more of the Indicator 3A attachment(s) included in the State’s FFY 2020 SPP/APR submission are not in compliance with Section 508 and will not </w:t>
      </w:r>
      <w:proofErr w:type="gramStart"/>
      <w:r w:rsidRPr="00781112">
        <w:rPr>
          <w:rFonts w:cs="Arial"/>
          <w:color w:val="000000" w:themeColor="text1"/>
          <w:szCs w:val="16"/>
        </w:rPr>
        <w:t>be posted</w:t>
      </w:r>
      <w:proofErr w:type="gramEnd"/>
      <w:r w:rsidRPr="00781112">
        <w:rPr>
          <w:rFonts w:cs="Arial"/>
          <w:color w:val="000000" w:themeColor="text1"/>
          <w:szCs w:val="16"/>
        </w:rPr>
        <w:t xml:space="preserve"> on the U.S. Department of Education’s IDEA website. Therefore, the State must make the attachment(s) available to the public as soon as practicable, but no later than 120 days after the date of the determination letter.</w:t>
      </w:r>
    </w:p>
    <w:p w14:paraId="47286128" w14:textId="02FB1092" w:rsidR="00361CFA" w:rsidRPr="00781112" w:rsidRDefault="007639D7" w:rsidP="00361CFA">
      <w:pPr>
        <w:rPr>
          <w:color w:val="000000" w:themeColor="text1"/>
        </w:rPr>
      </w:pPr>
      <w:r>
        <w:rPr>
          <w:b/>
          <w:color w:val="000000" w:themeColor="text1"/>
        </w:rPr>
        <w:t>Response to actions required in FFY 2020 SPP/APR</w:t>
      </w:r>
      <w:r w:rsidR="00361CFA" w:rsidRPr="00781112">
        <w:rPr>
          <w:rFonts w:cs="Arial"/>
          <w:color w:val="000000" w:themeColor="text1"/>
          <w:szCs w:val="16"/>
        </w:rPr>
        <w:t xml:space="preserve"> </w:t>
      </w:r>
    </w:p>
    <w:p w14:paraId="7324288D" w14:textId="1285CFC6" w:rsidR="00361CFA" w:rsidRPr="00781112" w:rsidRDefault="00361CFA" w:rsidP="00361CFA">
      <w:pPr>
        <w:rPr>
          <w:rFonts w:cs="Arial"/>
          <w:color w:val="000000" w:themeColor="text1"/>
          <w:szCs w:val="16"/>
        </w:rPr>
      </w:pPr>
      <w:r w:rsidRPr="00781112">
        <w:rPr>
          <w:rFonts w:cs="Arial"/>
          <w:color w:val="000000" w:themeColor="text1"/>
          <w:szCs w:val="16"/>
        </w:rPr>
        <w:t>The change in baseline for this indicator is due to the federal change in the indicator. The grades reported in previous SPP/APRs were grade bands 3-5, 6-8 and high school, and in this new SPP/APR the grades to report are now 4, 8 and high school. The proficiency indicator (previously Indicator 3C) also changed. Instead of reporting grade level achievement standards and alternate achievement standards together in one indicator, they are now two separate indicators (3B and 3C).</w:t>
      </w:r>
      <w:r w:rsidRPr="00781112">
        <w:rPr>
          <w:rFonts w:cs="Arial"/>
          <w:color w:val="000000" w:themeColor="text1"/>
          <w:szCs w:val="16"/>
        </w:rPr>
        <w:br/>
      </w:r>
      <w:r w:rsidRPr="00781112">
        <w:rPr>
          <w:rFonts w:cs="Arial"/>
          <w:color w:val="000000" w:themeColor="text1"/>
          <w:szCs w:val="16"/>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r w:rsidRPr="00781112">
        <w:rPr>
          <w:rFonts w:cs="Arial"/>
          <w:color w:val="000000" w:themeColor="text1"/>
          <w:szCs w:val="16"/>
        </w:rPr>
        <w:br/>
      </w:r>
      <w:r w:rsidRPr="00781112">
        <w:rPr>
          <w:rFonts w:cs="Arial"/>
          <w:color w:val="000000" w:themeColor="text1"/>
          <w:szCs w:val="16"/>
        </w:rPr>
        <w:br/>
        <w:t>The entire FFY 2020 SPP/APR has been posted on Washington's Special Education website. This document includes the reference attachment above. The entire document is Section 508 compliant. The document is located at: https://www.k12.wa.us/student-success/special-education/special-education-data-collection</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1CC9E3D" w14:textId="77777777" w:rsidR="002A120C" w:rsidRDefault="002A120C">
      <w:pPr>
        <w:spacing w:before="0" w:after="200" w:line="276" w:lineRule="auto"/>
        <w:rPr>
          <w:rFonts w:eastAsiaTheme="majorEastAsia" w:cstheme="majorBidi"/>
          <w:b/>
          <w:bCs/>
          <w:color w:val="000000" w:themeColor="text1"/>
          <w:sz w:val="22"/>
          <w:szCs w:val="28"/>
        </w:rPr>
      </w:pPr>
      <w:r>
        <w:rPr>
          <w:color w:val="000000" w:themeColor="text1"/>
          <w:sz w:val="22"/>
        </w:rPr>
        <w:br w:type="page"/>
      </w:r>
    </w:p>
    <w:p w14:paraId="4B525DFA" w14:textId="08DBC2CB"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5"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5"/>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25.50%</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15.60%</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24.80%</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24.30%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10.00%</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6.30%</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57.10%</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63.70%</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70.30%</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76.90%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83.50%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57.10%</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63.70%</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70.30%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76.90%</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83.50%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57.10%</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63.70%</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70.30%</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76.90%</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83.50%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55.20%</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62.10%</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69.00%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75.90%</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82.80%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55.20%</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62.10%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69.00%</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75.90%</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82.80%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55.20%</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62.10%</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69.00%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75.90%</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82.80%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6"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078CA662" w14:textId="77777777" w:rsidR="002A120C" w:rsidRPr="00781112" w:rsidRDefault="002A120C"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10,882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9,657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7,822</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lastRenderedPageBreak/>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2,179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1,183</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1,717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302</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147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194</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10,847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9,611</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7,621</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2,057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578</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355</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278</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102</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49</w:t>
            </w:r>
          </w:p>
        </w:tc>
      </w:tr>
      <w:bookmarkEnd w:id="16"/>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2,481</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10,882</w:t>
            </w:r>
          </w:p>
        </w:tc>
        <w:tc>
          <w:tcPr>
            <w:tcW w:w="503" w:type="pct"/>
            <w:shd w:val="clear" w:color="auto" w:fill="auto"/>
            <w:vAlign w:val="center"/>
          </w:tcPr>
          <w:p w14:paraId="69FD37B5" w14:textId="4E452AD5" w:rsidR="00AD0E97" w:rsidRPr="00781112" w:rsidRDefault="00840DBC" w:rsidP="00AD0E97">
            <w:pPr>
              <w:jc w:val="center"/>
              <w:rPr>
                <w:rFonts w:cs="Arial"/>
                <w:color w:val="000000" w:themeColor="text1"/>
                <w:szCs w:val="16"/>
              </w:rPr>
            </w:pPr>
            <w:r>
              <w:rPr>
                <w:rFonts w:cs="Arial"/>
                <w:color w:val="000000" w:themeColor="text1"/>
                <w:szCs w:val="16"/>
              </w:rPr>
              <w:t>*</w:t>
            </w:r>
            <w:bookmarkStart w:id="17" w:name="_Ref141370680"/>
            <w:r w:rsidR="00363A1F">
              <w:rPr>
                <w:rStyle w:val="FootnoteReference"/>
                <w:rFonts w:cs="Arial"/>
                <w:color w:val="000000" w:themeColor="text1"/>
                <w:szCs w:val="16"/>
              </w:rPr>
              <w:footnoteReference w:id="10"/>
            </w:r>
            <w:bookmarkEnd w:id="17"/>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57.10%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22.80%</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1,330</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9,657</w:t>
            </w:r>
          </w:p>
        </w:tc>
        <w:tc>
          <w:tcPr>
            <w:tcW w:w="503" w:type="pct"/>
            <w:shd w:val="clear" w:color="auto" w:fill="auto"/>
            <w:vAlign w:val="center"/>
          </w:tcPr>
          <w:p w14:paraId="3FB80D14" w14:textId="7AE77413" w:rsidR="00AD0E97" w:rsidRPr="00781112" w:rsidRDefault="009D105B"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_Ref141370680 \f \h </w:instrText>
            </w:r>
            <w:r>
              <w:rPr>
                <w:rFonts w:cs="Arial"/>
                <w:color w:val="000000" w:themeColor="text1"/>
                <w:szCs w:val="16"/>
              </w:rPr>
            </w:r>
            <w:r>
              <w:rPr>
                <w:rFonts w:cs="Arial"/>
                <w:color w:val="000000" w:themeColor="text1"/>
                <w:szCs w:val="16"/>
              </w:rPr>
              <w:fldChar w:fldCharType="separate"/>
            </w:r>
            <w:r w:rsidRPr="009D105B">
              <w:rPr>
                <w:rStyle w:val="FootnoteReference"/>
              </w:rPr>
              <w:t>9</w:t>
            </w:r>
            <w:r>
              <w:rPr>
                <w:rFonts w:cs="Arial"/>
                <w:color w:val="000000" w:themeColor="text1"/>
                <w:szCs w:val="16"/>
              </w:rPr>
              <w:fldChar w:fldCharType="end"/>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57.10%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13.77%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1,911</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7,822</w:t>
            </w:r>
          </w:p>
        </w:tc>
        <w:tc>
          <w:tcPr>
            <w:tcW w:w="503" w:type="pct"/>
            <w:shd w:val="clear" w:color="auto" w:fill="auto"/>
            <w:vAlign w:val="center"/>
          </w:tcPr>
          <w:p w14:paraId="039885F2" w14:textId="209123AA" w:rsidR="00AD0E97" w:rsidRPr="00781112" w:rsidRDefault="009D105B" w:rsidP="00AD0E97">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_Ref141370680 \f \h </w:instrText>
            </w:r>
            <w:r>
              <w:rPr>
                <w:rFonts w:cs="Arial"/>
                <w:color w:val="000000" w:themeColor="text1"/>
                <w:szCs w:val="16"/>
              </w:rPr>
            </w:r>
            <w:r>
              <w:rPr>
                <w:rFonts w:cs="Arial"/>
                <w:color w:val="000000" w:themeColor="text1"/>
                <w:szCs w:val="16"/>
              </w:rPr>
              <w:fldChar w:fldCharType="separate"/>
            </w:r>
            <w:r w:rsidRPr="009D105B">
              <w:rPr>
                <w:rStyle w:val="FootnoteReference"/>
              </w:rPr>
              <w:t>9</w:t>
            </w:r>
            <w:r>
              <w:rPr>
                <w:rFonts w:cs="Arial"/>
                <w:color w:val="000000" w:themeColor="text1"/>
                <w:szCs w:val="16"/>
              </w:rPr>
              <w:fldChar w:fldCharType="end"/>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57.10%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24.43%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Due to ongoing impacts related to the COVID-19 pandemic, proficiency rates in FFY 2021, although higher than those from the 2020–2021 administration, were not as high as those in a typical, pre-pandemic administration year.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factors, including possible disrupted learning during previous and current school years, differences in instructional delivery methods (e.g., online, in-person, or hybrid model), and higher absence rates for both students and staff contributed to the slippage in proficiency rates.</w:t>
      </w:r>
    </w:p>
    <w:p w14:paraId="1E0C977F" w14:textId="77777777" w:rsidR="005004AB" w:rsidRPr="00781112" w:rsidRDefault="005004AB" w:rsidP="005004AB">
      <w:pPr>
        <w:rPr>
          <w:color w:val="000000" w:themeColor="text1"/>
        </w:rPr>
      </w:pPr>
    </w:p>
    <w:p w14:paraId="20021CD9" w14:textId="77777777" w:rsidR="002A120C" w:rsidRDefault="002A120C">
      <w:pPr>
        <w:spacing w:before="0" w:after="200" w:line="276" w:lineRule="auto"/>
        <w:rPr>
          <w:b/>
          <w:color w:val="000000" w:themeColor="text1"/>
        </w:rPr>
      </w:pPr>
      <w:r>
        <w:rPr>
          <w:b/>
          <w:color w:val="000000" w:themeColor="text1"/>
        </w:rPr>
        <w:br w:type="page"/>
      </w:r>
    </w:p>
    <w:p w14:paraId="324457C6" w14:textId="39D79F2C" w:rsidR="00497DE4" w:rsidRPr="00781112" w:rsidRDefault="0047313F" w:rsidP="004369B2">
      <w:pPr>
        <w:rPr>
          <w:b/>
          <w:color w:val="000000" w:themeColor="text1"/>
        </w:rPr>
      </w:pPr>
      <w:r>
        <w:rPr>
          <w:b/>
          <w:color w:val="000000" w:themeColor="text1"/>
        </w:rPr>
        <w:lastRenderedPageBreak/>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2,335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10,847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14.81%</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55.20%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21.53%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680</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9,611</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4.80%</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55.20%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7.08%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404</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7,621</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4.45%</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55.20%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5.30%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bl>
    <w:p w14:paraId="197C30C8" w14:textId="77777777" w:rsidR="00CF57A2" w:rsidRPr="00781112" w:rsidRDefault="00CF57A2" w:rsidP="00580134">
      <w:pPr>
        <w:rPr>
          <w:rFonts w:cs="Arial"/>
          <w:iCs/>
          <w:color w:val="000000" w:themeColor="text1"/>
          <w:szCs w:val="16"/>
        </w:rPr>
      </w:pPr>
    </w:p>
    <w:p w14:paraId="3C6B4961" w14:textId="28351DE2" w:rsidR="00497DE4" w:rsidRPr="002A120C" w:rsidRDefault="00497DE4" w:rsidP="002A120C">
      <w:pPr>
        <w:spacing w:before="0" w:after="200" w:line="276" w:lineRule="auto"/>
        <w:rPr>
          <w:color w:val="000000" w:themeColor="text1"/>
        </w:rPr>
      </w:pPr>
      <w:r w:rsidRPr="00781112">
        <w:rPr>
          <w:b/>
          <w:color w:val="000000" w:themeColor="text1"/>
        </w:rPr>
        <w:t>Regulatory Information</w:t>
      </w:r>
      <w:r w:rsidR="002A120C">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Report Card—Washington State Report Card (ospi.k12.wa.us) https://washingtonstatereportcard.ospi.k12.wa.us/ReportCard/ViewSchoolOrDistrict/103300. Choose Student Enrollment &gt;&gt; Assessment for details on the statewide assessment data.</w:t>
      </w:r>
      <w:r w:rsidRPr="00781112">
        <w:rPr>
          <w:rFonts w:cs="Arial"/>
          <w:color w:val="000000" w:themeColor="text1"/>
          <w:szCs w:val="16"/>
        </w:rPr>
        <w:br/>
      </w:r>
      <w:r w:rsidRPr="00781112">
        <w:rPr>
          <w:rFonts w:cs="Arial"/>
          <w:color w:val="000000" w:themeColor="text1"/>
          <w:szCs w:val="16"/>
        </w:rPr>
        <w:br/>
        <w:t>Students with disabilities taking the statewide assessment using an accommodation information is located at: https://www.k12.wa.us/student-success/special-education/special-education-data-collection/special-education-data-collection-summaries</w:t>
      </w:r>
    </w:p>
    <w:p w14:paraId="2BE473B4" w14:textId="77777777" w:rsidR="00053391" w:rsidRPr="00781112" w:rsidRDefault="00053391" w:rsidP="004369B2">
      <w:pPr>
        <w:rPr>
          <w:b/>
          <w:color w:val="000000" w:themeColor="text1"/>
        </w:rPr>
      </w:pPr>
      <w:bookmarkStart w:id="18" w:name="_Toc382082367"/>
      <w:bookmarkStart w:id="19"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The change in baseline for this indicator is due to the federal change in the indicator. The grades reported in previous SPP/APRs were grade bands 3-5, 6-8 and high school, and in this new SPP/APR the grades to report are now 4, 8 and high school. The proficiency indicator (previously Indicator 3C) also changed. Instead of reporting grade level achievement standards and alternate achievement standards together in one indicator, they are now two separate indicators (3B and 3C).</w:t>
      </w:r>
      <w:r w:rsidRPr="00781112">
        <w:rPr>
          <w:rFonts w:cs="Arial"/>
          <w:color w:val="000000" w:themeColor="text1"/>
          <w:szCs w:val="16"/>
        </w:rPr>
        <w:br/>
      </w:r>
      <w:r w:rsidRPr="00781112">
        <w:rPr>
          <w:rFonts w:cs="Arial"/>
          <w:color w:val="000000" w:themeColor="text1"/>
          <w:szCs w:val="16"/>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With the FFY 2021 SPP/APR the State must provide an explanation for the baseline revision.</w:t>
      </w:r>
      <w:r w:rsidRPr="00781112">
        <w:rPr>
          <w:rFonts w:cs="Arial"/>
          <w:color w:val="000000" w:themeColor="text1"/>
          <w:szCs w:val="16"/>
        </w:rPr>
        <w:br/>
      </w:r>
      <w:r w:rsidRPr="00781112">
        <w:rPr>
          <w:rFonts w:cs="Arial"/>
          <w:color w:val="000000" w:themeColor="text1"/>
          <w:szCs w:val="16"/>
        </w:rPr>
        <w:br/>
        <w:t>With the FFY 2021 SPP/APR, the State must ensure that its FFY 2025 targets reflect improvement over the baseline.</w:t>
      </w:r>
    </w:p>
    <w:p w14:paraId="0F1F889A" w14:textId="7DA352CF" w:rsidR="000A2C83" w:rsidRPr="00781112" w:rsidRDefault="007639D7" w:rsidP="004369B2">
      <w:pPr>
        <w:rPr>
          <w:color w:val="000000" w:themeColor="text1"/>
        </w:rPr>
      </w:pPr>
      <w:r>
        <w:rPr>
          <w:b/>
          <w:color w:val="000000" w:themeColor="text1"/>
        </w:rPr>
        <w:t>Response to actions required in FFY 2020 SPP/APR</w:t>
      </w:r>
      <w:r w:rsidR="00D22710" w:rsidRPr="00781112">
        <w:rPr>
          <w:rFonts w:cs="Arial"/>
          <w:color w:val="000000" w:themeColor="text1"/>
          <w:szCs w:val="16"/>
        </w:rPr>
        <w:t xml:space="preserve"> </w:t>
      </w:r>
    </w:p>
    <w:p w14:paraId="47C82FA5" w14:textId="5B5AA1ED" w:rsidR="000A2C83" w:rsidRPr="00781112" w:rsidRDefault="002B7490" w:rsidP="000A2C83">
      <w:pPr>
        <w:rPr>
          <w:rFonts w:cs="Arial"/>
          <w:color w:val="000000" w:themeColor="text1"/>
          <w:szCs w:val="16"/>
        </w:rPr>
      </w:pPr>
      <w:r w:rsidRPr="00781112">
        <w:rPr>
          <w:rFonts w:cs="Arial"/>
          <w:color w:val="000000" w:themeColor="text1"/>
          <w:szCs w:val="16"/>
        </w:rPr>
        <w:t>The change in baseline for this indicator is due to the federal change in the indicator. The grades reported in previous SPP/APRs were grade bands 3-5, 6-8 and high school, and in this new SPP/APR the grades to report are now 4, 8 and high school. The proficiency indicator (previously Indicator 3C) also changed. Instead of reporting grade level achievement standards and alternate achievement standards together in one indicator, they are now two separate indicators (3B and 3C).</w:t>
      </w:r>
      <w:r w:rsidRPr="00781112">
        <w:rPr>
          <w:rFonts w:cs="Arial"/>
          <w:color w:val="000000" w:themeColor="text1"/>
          <w:szCs w:val="16"/>
        </w:rPr>
        <w:br/>
      </w:r>
      <w:r w:rsidRPr="00781112">
        <w:rPr>
          <w:rFonts w:cs="Arial"/>
          <w:color w:val="000000" w:themeColor="text1"/>
          <w:szCs w:val="16"/>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r w:rsidRPr="00781112">
        <w:rPr>
          <w:rFonts w:cs="Arial"/>
          <w:color w:val="000000" w:themeColor="text1"/>
          <w:szCs w:val="16"/>
        </w:rPr>
        <w:br/>
      </w:r>
      <w:r w:rsidRPr="00781112">
        <w:rPr>
          <w:rFonts w:cs="Arial"/>
          <w:color w:val="000000" w:themeColor="text1"/>
          <w:szCs w:val="16"/>
        </w:rPr>
        <w:br/>
        <w:t>The FFY 2025 targets for Indicator 3B all reflect improvement over the baseline (of FFY 2018).</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8"/>
      <w:bookmarkEnd w:id="19"/>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20" w:name="_Toc384383330"/>
      <w:bookmarkStart w:id="21" w:name="_Toc392159282"/>
      <w:bookmarkStart w:id="22"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56.10%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58.30%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33.60%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58.40%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48.90%</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60.50%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57.10%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63.70%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70.30%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76.90%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83.50%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57.10%</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63.70%</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70.30%</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76.90%</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83.50%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57.10%</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63.70%</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70.30%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76.90%</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83.50%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55.20%</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62.10%</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75.90%</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82.80%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55.20%</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62.10%</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75.90%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82.80%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55.20%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62.10%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69.00%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75.90%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82.80%</w:t>
            </w:r>
          </w:p>
        </w:tc>
      </w:tr>
    </w:tbl>
    <w:p w14:paraId="65881605" w14:textId="77777777" w:rsidR="002A120C" w:rsidRDefault="002A120C" w:rsidP="002A120C">
      <w:pPr>
        <w:spacing w:before="0" w:after="200" w:line="276" w:lineRule="auto"/>
        <w:rPr>
          <w:b/>
          <w:color w:val="000000" w:themeColor="text1"/>
        </w:rPr>
      </w:pPr>
    </w:p>
    <w:p w14:paraId="08B1A70A" w14:textId="102E3F53" w:rsidR="002D145D" w:rsidRPr="002A120C" w:rsidRDefault="002D145D" w:rsidP="002A120C">
      <w:pPr>
        <w:spacing w:before="0" w:after="200" w:line="276" w:lineRule="auto"/>
        <w:rPr>
          <w:b/>
          <w:color w:val="000000" w:themeColor="text1"/>
        </w:rPr>
      </w:pPr>
      <w:r w:rsidRPr="00781112">
        <w:rPr>
          <w:b/>
          <w:color w:val="000000" w:themeColor="text1"/>
        </w:rPr>
        <w:t xml:space="preserve">Targets: Description of Stakeholder Input </w:t>
      </w:r>
      <w:r w:rsidR="002A120C">
        <w:rPr>
          <w:b/>
          <w:color w:val="000000" w:themeColor="text1"/>
        </w:rPr>
        <w:br/>
      </w:r>
      <w:r w:rsidR="002B7490" w:rsidRPr="00781112">
        <w:rPr>
          <w:rFonts w:cs="Arial"/>
          <w:color w:val="000000" w:themeColor="text1"/>
          <w:szCs w:val="16"/>
        </w:rPr>
        <w:t>Special Education State Design Team (SDT):</w:t>
      </w:r>
      <w:r w:rsidR="002B7490" w:rsidRPr="00781112">
        <w:rPr>
          <w:rFonts w:cs="Arial"/>
          <w:color w:val="000000" w:themeColor="text1"/>
          <w:szCs w:val="16"/>
        </w:rPr>
        <w:br/>
      </w:r>
      <w:r w:rsidR="002B7490"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002B7490" w:rsidRPr="00781112">
        <w:rPr>
          <w:rFonts w:cs="Arial"/>
          <w:color w:val="000000" w:themeColor="text1"/>
          <w:szCs w:val="16"/>
        </w:rPr>
        <w:t>13</w:t>
      </w:r>
      <w:proofErr w:type="gramEnd"/>
      <w:r w:rsidR="002B7490"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002B7490" w:rsidRPr="00781112">
        <w:rPr>
          <w:rFonts w:cs="Arial"/>
          <w:color w:val="000000" w:themeColor="text1"/>
          <w:szCs w:val="16"/>
        </w:rPr>
        <w:br/>
      </w:r>
      <w:r w:rsidR="002B7490" w:rsidRPr="00781112">
        <w:rPr>
          <w:rFonts w:cs="Arial"/>
          <w:color w:val="000000" w:themeColor="text1"/>
          <w:szCs w:val="16"/>
        </w:rPr>
        <w:lastRenderedPageBreak/>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002B7490" w:rsidRPr="00781112">
        <w:rPr>
          <w:rFonts w:cs="Arial"/>
          <w:color w:val="000000" w:themeColor="text1"/>
          <w:szCs w:val="16"/>
        </w:rPr>
        <w:t>12</w:t>
      </w:r>
      <w:proofErr w:type="gramEnd"/>
      <w:r w:rsidR="002B7490" w:rsidRPr="00781112">
        <w:rPr>
          <w:rFonts w:cs="Arial"/>
          <w:color w:val="000000" w:themeColor="text1"/>
          <w:szCs w:val="16"/>
        </w:rPr>
        <w:t xml:space="preserve"> are students, 30 are individuals with disabilities, and 141 are parents or family members of an individual with a disability.</w:t>
      </w:r>
      <w:r w:rsidR="002B7490" w:rsidRPr="00781112">
        <w:rPr>
          <w:rFonts w:cs="Arial"/>
          <w:color w:val="000000" w:themeColor="text1"/>
          <w:szCs w:val="16"/>
        </w:rPr>
        <w:br/>
      </w:r>
      <w:r w:rsidR="002B7490"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002B7490" w:rsidRPr="00781112">
        <w:rPr>
          <w:rFonts w:cs="Arial"/>
          <w:color w:val="000000" w:themeColor="text1"/>
          <w:szCs w:val="16"/>
        </w:rPr>
        <w:br/>
      </w:r>
      <w:r w:rsidR="002B7490" w:rsidRPr="00781112">
        <w:rPr>
          <w:rFonts w:cs="Arial"/>
          <w:color w:val="000000" w:themeColor="text1"/>
          <w:szCs w:val="16"/>
        </w:rPr>
        <w:br/>
        <w:t xml:space="preserve">Five of the seven focus groups </w:t>
      </w:r>
      <w:proofErr w:type="gramStart"/>
      <w:r w:rsidR="002B7490" w:rsidRPr="00781112">
        <w:rPr>
          <w:rFonts w:cs="Arial"/>
          <w:color w:val="000000" w:themeColor="text1"/>
          <w:szCs w:val="16"/>
        </w:rPr>
        <w:t>were involved in</w:t>
      </w:r>
      <w:proofErr w:type="gramEnd"/>
      <w:r w:rsidR="002B7490" w:rsidRPr="00781112">
        <w:rPr>
          <w:rFonts w:cs="Arial"/>
          <w:color w:val="000000" w:themeColor="text1"/>
          <w:szCs w:val="16"/>
        </w:rPr>
        <w:t xml:space="preserve"> indicator analyses and target-setting activities:</w:t>
      </w:r>
      <w:r w:rsidR="002B7490" w:rsidRPr="00781112">
        <w:rPr>
          <w:rFonts w:cs="Arial"/>
          <w:color w:val="000000" w:themeColor="text1"/>
          <w:szCs w:val="16"/>
        </w:rPr>
        <w:br/>
        <w:t>1. Early Childhood [Indicators B-6, B-7, B-12, and B-17 (SSIP)]</w:t>
      </w:r>
      <w:r w:rsidR="002B7490" w:rsidRPr="00781112">
        <w:rPr>
          <w:rFonts w:cs="Arial"/>
          <w:color w:val="000000" w:themeColor="text1"/>
          <w:szCs w:val="16"/>
        </w:rPr>
        <w:br/>
      </w:r>
      <w:proofErr w:type="gramStart"/>
      <w:r w:rsidR="002B7490" w:rsidRPr="00781112">
        <w:rPr>
          <w:rFonts w:cs="Arial"/>
          <w:color w:val="000000" w:themeColor="text1"/>
          <w:szCs w:val="16"/>
        </w:rPr>
        <w:t>2</w:t>
      </w:r>
      <w:proofErr w:type="gramEnd"/>
      <w:r w:rsidR="002B7490" w:rsidRPr="00781112">
        <w:rPr>
          <w:rFonts w:cs="Arial"/>
          <w:color w:val="000000" w:themeColor="text1"/>
          <w:szCs w:val="16"/>
        </w:rPr>
        <w:t>. Secondary Transition (Indicators B-1, B-2, B-13, and B-14)</w:t>
      </w:r>
      <w:r w:rsidR="002B7490" w:rsidRPr="00781112">
        <w:rPr>
          <w:rFonts w:cs="Arial"/>
          <w:color w:val="000000" w:themeColor="text1"/>
          <w:szCs w:val="16"/>
        </w:rPr>
        <w:br/>
      </w:r>
      <w:proofErr w:type="gramStart"/>
      <w:r w:rsidR="002B7490" w:rsidRPr="00781112">
        <w:rPr>
          <w:rFonts w:cs="Arial"/>
          <w:color w:val="000000" w:themeColor="text1"/>
          <w:szCs w:val="16"/>
        </w:rPr>
        <w:t>3</w:t>
      </w:r>
      <w:proofErr w:type="gramEnd"/>
      <w:r w:rsidR="002B7490" w:rsidRPr="00781112">
        <w:rPr>
          <w:rFonts w:cs="Arial"/>
          <w:color w:val="000000" w:themeColor="text1"/>
          <w:szCs w:val="16"/>
        </w:rPr>
        <w:t>. Inclusionary Practices and Student Outcomes (B-3 and B-5)</w:t>
      </w:r>
      <w:r w:rsidR="002B7490" w:rsidRPr="00781112">
        <w:rPr>
          <w:rFonts w:cs="Arial"/>
          <w:color w:val="000000" w:themeColor="text1"/>
          <w:szCs w:val="16"/>
        </w:rPr>
        <w:br/>
      </w:r>
      <w:proofErr w:type="gramStart"/>
      <w:r w:rsidR="002B7490" w:rsidRPr="00781112">
        <w:rPr>
          <w:rFonts w:cs="Arial"/>
          <w:color w:val="000000" w:themeColor="text1"/>
          <w:szCs w:val="16"/>
        </w:rPr>
        <w:t>4</w:t>
      </w:r>
      <w:proofErr w:type="gramEnd"/>
      <w:r w:rsidR="002B7490" w:rsidRPr="00781112">
        <w:rPr>
          <w:rFonts w:cs="Arial"/>
          <w:color w:val="000000" w:themeColor="text1"/>
          <w:szCs w:val="16"/>
        </w:rPr>
        <w:t>. Parent Engagement (B-8)</w:t>
      </w:r>
      <w:r w:rsidR="002B7490" w:rsidRPr="00781112">
        <w:rPr>
          <w:rFonts w:cs="Arial"/>
          <w:color w:val="000000" w:themeColor="text1"/>
          <w:szCs w:val="16"/>
        </w:rPr>
        <w:br/>
      </w:r>
      <w:proofErr w:type="gramStart"/>
      <w:r w:rsidR="002B7490" w:rsidRPr="00781112">
        <w:rPr>
          <w:rFonts w:cs="Arial"/>
          <w:color w:val="000000" w:themeColor="text1"/>
          <w:szCs w:val="16"/>
        </w:rPr>
        <w:t>5</w:t>
      </w:r>
      <w:proofErr w:type="gramEnd"/>
      <w:r w:rsidR="002B7490" w:rsidRPr="00781112">
        <w:rPr>
          <w:rFonts w:cs="Arial"/>
          <w:color w:val="000000" w:themeColor="text1"/>
          <w:szCs w:val="16"/>
        </w:rPr>
        <w:t>. Disproportionality and Significant Discrepancy (B-4, B-9, and B-10)</w:t>
      </w:r>
      <w:r w:rsidR="002B7490"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002B7490" w:rsidRPr="00781112">
        <w:rPr>
          <w:rFonts w:cs="Arial"/>
          <w:color w:val="000000" w:themeColor="text1"/>
          <w:szCs w:val="16"/>
        </w:rPr>
        <w:br/>
      </w:r>
      <w:r w:rsidR="002B7490"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002B7490" w:rsidRPr="00781112">
        <w:rPr>
          <w:rFonts w:cs="Arial"/>
          <w:color w:val="000000" w:themeColor="text1"/>
          <w:szCs w:val="16"/>
        </w:rPr>
        <w:t>was emphasized</w:t>
      </w:r>
      <w:proofErr w:type="gramEnd"/>
      <w:r w:rsidR="002B7490"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002B7490" w:rsidRPr="00781112">
        <w:rPr>
          <w:rFonts w:cs="Arial"/>
          <w:color w:val="000000" w:themeColor="text1"/>
          <w:szCs w:val="16"/>
        </w:rPr>
        <w:t>data</w:t>
      </w:r>
      <w:proofErr w:type="gramEnd"/>
      <w:r w:rsidR="002B7490" w:rsidRPr="00781112">
        <w:rPr>
          <w:rFonts w:cs="Arial"/>
          <w:color w:val="000000" w:themeColor="text1"/>
          <w:szCs w:val="16"/>
        </w:rPr>
        <w:t xml:space="preserve"> and collaboratively develop recommendations for indicator targets. The full SDT </w:t>
      </w:r>
      <w:proofErr w:type="gramStart"/>
      <w:r w:rsidR="002B7490" w:rsidRPr="00781112">
        <w:rPr>
          <w:rFonts w:cs="Arial"/>
          <w:color w:val="000000" w:themeColor="text1"/>
          <w:szCs w:val="16"/>
        </w:rPr>
        <w:t>was brought</w:t>
      </w:r>
      <w:proofErr w:type="gramEnd"/>
      <w:r w:rsidR="002B7490"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002B7490" w:rsidRPr="00781112">
        <w:rPr>
          <w:rFonts w:cs="Arial"/>
          <w:color w:val="000000" w:themeColor="text1"/>
          <w:szCs w:val="16"/>
        </w:rPr>
        <w:t>were maintained</w:t>
      </w:r>
      <w:proofErr w:type="gramEnd"/>
      <w:r w:rsidR="002B7490"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002B7490" w:rsidRPr="00781112">
        <w:rPr>
          <w:rFonts w:cs="Arial"/>
          <w:color w:val="000000" w:themeColor="text1"/>
          <w:szCs w:val="16"/>
        </w:rPr>
        <w:t>were posted</w:t>
      </w:r>
      <w:proofErr w:type="gramEnd"/>
      <w:r w:rsidR="002B7490"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002B7490" w:rsidRPr="00781112">
        <w:rPr>
          <w:rFonts w:cs="Arial"/>
          <w:color w:val="000000" w:themeColor="text1"/>
          <w:szCs w:val="16"/>
        </w:rPr>
        <w:t>are posted</w:t>
      </w:r>
      <w:proofErr w:type="gramEnd"/>
      <w:r w:rsidR="002B7490" w:rsidRPr="00781112">
        <w:rPr>
          <w:rFonts w:cs="Arial"/>
          <w:color w:val="000000" w:themeColor="text1"/>
          <w:szCs w:val="16"/>
        </w:rPr>
        <w:t xml:space="preserve"> on OSPI’s SEAC webpage (https://www.k12.wa.us/about-ospi/workgroups-committees/currently-meeting-workgroups/special-education-advisory-council-seac).</w:t>
      </w:r>
      <w:r w:rsidR="002B7490" w:rsidRPr="00781112">
        <w:rPr>
          <w:rFonts w:cs="Arial"/>
          <w:color w:val="000000" w:themeColor="text1"/>
          <w:szCs w:val="16"/>
        </w:rPr>
        <w:br/>
      </w:r>
      <w:r w:rsidR="002B7490"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002B7490" w:rsidRPr="00781112">
        <w:rPr>
          <w:rFonts w:cs="Arial"/>
          <w:color w:val="000000" w:themeColor="text1"/>
          <w:szCs w:val="16"/>
        </w:rPr>
        <w:br/>
      </w:r>
      <w:r w:rsidR="002B7490" w:rsidRPr="00781112">
        <w:rPr>
          <w:rFonts w:cs="Arial"/>
          <w:color w:val="000000" w:themeColor="text1"/>
          <w:szCs w:val="16"/>
        </w:rPr>
        <w:br/>
        <w:t xml:space="preserve">Although there was no SDT focus group for Indicators B-15 and B-16, dispute resolution data </w:t>
      </w:r>
      <w:proofErr w:type="gramStart"/>
      <w:r w:rsidR="002B7490" w:rsidRPr="00781112">
        <w:rPr>
          <w:rFonts w:cs="Arial"/>
          <w:color w:val="000000" w:themeColor="text1"/>
          <w:szCs w:val="16"/>
        </w:rPr>
        <w:t>are shared</w:t>
      </w:r>
      <w:proofErr w:type="gramEnd"/>
      <w:r w:rsidR="002B7490"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002B7490" w:rsidRPr="00781112">
        <w:rPr>
          <w:rFonts w:cs="Arial"/>
          <w:color w:val="000000" w:themeColor="text1"/>
          <w:szCs w:val="16"/>
        </w:rPr>
        <w:t>are posted</w:t>
      </w:r>
      <w:proofErr w:type="gramEnd"/>
      <w:r w:rsidR="002B7490"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002B7490" w:rsidRPr="00781112">
        <w:rPr>
          <w:rFonts w:cs="Arial"/>
          <w:color w:val="000000" w:themeColor="text1"/>
          <w:szCs w:val="16"/>
        </w:rPr>
        <w:br/>
      </w:r>
      <w:r w:rsidR="002B7490" w:rsidRPr="00781112">
        <w:rPr>
          <w:rFonts w:cs="Arial"/>
          <w:color w:val="000000" w:themeColor="text1"/>
          <w:szCs w:val="16"/>
        </w:rPr>
        <w:br/>
        <w:t>State Systemic Improvement Plan (SSIP) State Design Team:</w:t>
      </w:r>
      <w:r w:rsidR="002B7490" w:rsidRPr="00781112">
        <w:rPr>
          <w:rFonts w:cs="Arial"/>
          <w:color w:val="000000" w:themeColor="text1"/>
          <w:szCs w:val="16"/>
        </w:rPr>
        <w:br/>
      </w:r>
      <w:r w:rsidR="002B7490"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002B7490" w:rsidRPr="00781112">
        <w:rPr>
          <w:rFonts w:cs="Arial"/>
          <w:color w:val="000000" w:themeColor="text1"/>
          <w:szCs w:val="16"/>
        </w:rPr>
        <w:br/>
      </w:r>
      <w:r w:rsidR="002B7490" w:rsidRPr="00781112">
        <w:rPr>
          <w:rFonts w:cs="Arial"/>
          <w:color w:val="000000" w:themeColor="text1"/>
          <w:szCs w:val="16"/>
        </w:rPr>
        <w:br/>
        <w:t>Family and Community Engagement with Statewide Technical Assistance Partners:</w:t>
      </w:r>
      <w:r w:rsidR="002B7490" w:rsidRPr="00781112">
        <w:rPr>
          <w:rFonts w:cs="Arial"/>
          <w:color w:val="000000" w:themeColor="text1"/>
          <w:szCs w:val="16"/>
        </w:rPr>
        <w:br/>
      </w:r>
      <w:r w:rsidR="002B7490"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002B7490" w:rsidRPr="00781112">
        <w:rPr>
          <w:rFonts w:cs="Arial"/>
          <w:color w:val="000000" w:themeColor="text1"/>
          <w:szCs w:val="16"/>
        </w:rPr>
        <w:t>300</w:t>
      </w:r>
      <w:proofErr w:type="gramEnd"/>
      <w:r w:rsidR="002B7490" w:rsidRPr="00781112">
        <w:rPr>
          <w:rFonts w:cs="Arial"/>
          <w:color w:val="000000" w:themeColor="text1"/>
          <w:szCs w:val="16"/>
        </w:rPr>
        <w:t xml:space="preserve"> family and community members, along with an additional 140 student participants.</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808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657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691</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lastRenderedPageBreak/>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317</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267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261</w:t>
            </w:r>
          </w:p>
        </w:tc>
      </w:tr>
    </w:tbl>
    <w:p w14:paraId="08B85B40" w14:textId="77777777" w:rsidR="002A120C" w:rsidRDefault="002A120C" w:rsidP="00286BDF">
      <w:pPr>
        <w:rPr>
          <w:rFonts w:cs="Arial"/>
          <w:b/>
          <w:color w:val="000000" w:themeColor="text1"/>
          <w:szCs w:val="16"/>
        </w:rPr>
      </w:pPr>
    </w:p>
    <w:p w14:paraId="31899BDA" w14:textId="59400979"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19A20C74" w14:textId="77777777" w:rsidR="002A120C" w:rsidRDefault="002A120C">
      <w:pPr>
        <w:rPr>
          <w:b/>
          <w:color w:val="000000" w:themeColor="text1"/>
        </w:rPr>
      </w:pPr>
    </w:p>
    <w:p w14:paraId="3365AF3D" w14:textId="23915622"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801</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655</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689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338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235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358</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8"/>
        <w:gridCol w:w="1178"/>
        <w:gridCol w:w="1245"/>
        <w:gridCol w:w="1372"/>
        <w:gridCol w:w="1139"/>
        <w:gridCol w:w="1599"/>
        <w:gridCol w:w="1051"/>
        <w:gridCol w:w="1271"/>
        <w:gridCol w:w="1237"/>
      </w:tblGrid>
      <w:tr w:rsidR="00FA33C9" w:rsidRPr="00781112" w14:paraId="73241F59" w14:textId="77777777" w:rsidTr="00C12AC2">
        <w:trPr>
          <w:tblHeader/>
        </w:trPr>
        <w:tc>
          <w:tcPr>
            <w:tcW w:w="323"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46"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77"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36"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28"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41"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87"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589"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74"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C12AC2">
        <w:tc>
          <w:tcPr>
            <w:tcW w:w="323"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46"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77"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317</w:t>
            </w:r>
          </w:p>
        </w:tc>
        <w:tc>
          <w:tcPr>
            <w:tcW w:w="636"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808</w:t>
            </w:r>
          </w:p>
        </w:tc>
        <w:tc>
          <w:tcPr>
            <w:tcW w:w="528" w:type="pct"/>
            <w:shd w:val="clear" w:color="auto" w:fill="auto"/>
          </w:tcPr>
          <w:p w14:paraId="6BA58310" w14:textId="3FA29381" w:rsidR="00566725" w:rsidRPr="00781112" w:rsidRDefault="00C12AC2" w:rsidP="00566725">
            <w:pPr>
              <w:jc w:val="center"/>
              <w:rPr>
                <w:rFonts w:cs="Arial"/>
                <w:color w:val="000000" w:themeColor="text1"/>
                <w:szCs w:val="16"/>
              </w:rPr>
            </w:pPr>
            <w:r>
              <w:rPr>
                <w:rFonts w:cs="Arial"/>
                <w:color w:val="000000" w:themeColor="text1"/>
                <w:szCs w:val="16"/>
              </w:rPr>
              <w:t>*</w:t>
            </w:r>
            <w:bookmarkStart w:id="23" w:name="_Ref141183236"/>
            <w:r>
              <w:rPr>
                <w:rStyle w:val="FootnoteReference"/>
                <w:rFonts w:cs="Arial"/>
                <w:color w:val="000000" w:themeColor="text1"/>
                <w:szCs w:val="16"/>
              </w:rPr>
              <w:footnoteReference w:id="11"/>
            </w:r>
            <w:bookmarkEnd w:id="23"/>
          </w:p>
        </w:tc>
        <w:tc>
          <w:tcPr>
            <w:tcW w:w="741"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57.10%</w:t>
            </w:r>
          </w:p>
        </w:tc>
        <w:tc>
          <w:tcPr>
            <w:tcW w:w="487"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39.23%</w:t>
            </w:r>
          </w:p>
        </w:tc>
        <w:tc>
          <w:tcPr>
            <w:tcW w:w="589"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74"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C12AC2" w:rsidRPr="00781112" w14:paraId="52B173E5" w14:textId="77777777" w:rsidTr="00C12AC2">
        <w:tc>
          <w:tcPr>
            <w:tcW w:w="323" w:type="pct"/>
            <w:shd w:val="clear" w:color="auto" w:fill="auto"/>
            <w:vAlign w:val="center"/>
          </w:tcPr>
          <w:p w14:paraId="5153CDB6" w14:textId="77777777" w:rsidR="00C12AC2" w:rsidRPr="00781112" w:rsidRDefault="00C12AC2" w:rsidP="00C12AC2">
            <w:pPr>
              <w:pStyle w:val="Default"/>
              <w:jc w:val="center"/>
              <w:rPr>
                <w:rFonts w:eastAsiaTheme="minorHAnsi"/>
                <w:color w:val="000000" w:themeColor="text1"/>
                <w:sz w:val="16"/>
                <w:szCs w:val="16"/>
              </w:rPr>
            </w:pPr>
            <w:r w:rsidRPr="00781112">
              <w:rPr>
                <w:b/>
                <w:color w:val="000000" w:themeColor="text1"/>
                <w:sz w:val="16"/>
                <w:szCs w:val="16"/>
              </w:rPr>
              <w:t>B</w:t>
            </w:r>
          </w:p>
        </w:tc>
        <w:tc>
          <w:tcPr>
            <w:tcW w:w="546" w:type="pct"/>
            <w:shd w:val="clear" w:color="auto" w:fill="auto"/>
          </w:tcPr>
          <w:p w14:paraId="137CEDF6" w14:textId="15D625F4" w:rsidR="00C12AC2" w:rsidRPr="00781112" w:rsidDel="00DE5045" w:rsidRDefault="00C12AC2" w:rsidP="00C12AC2">
            <w:pPr>
              <w:jc w:val="center"/>
              <w:rPr>
                <w:rFonts w:cs="Arial"/>
                <w:color w:val="000000" w:themeColor="text1"/>
                <w:szCs w:val="16"/>
              </w:rPr>
            </w:pPr>
            <w:r w:rsidRPr="00781112">
              <w:rPr>
                <w:rFonts w:cs="Arial"/>
                <w:color w:val="000000" w:themeColor="text1"/>
                <w:szCs w:val="16"/>
              </w:rPr>
              <w:t>Grade 8</w:t>
            </w:r>
          </w:p>
        </w:tc>
        <w:tc>
          <w:tcPr>
            <w:tcW w:w="577" w:type="pct"/>
            <w:shd w:val="clear" w:color="auto" w:fill="auto"/>
          </w:tcPr>
          <w:p w14:paraId="1707A82B" w14:textId="3E333A0B" w:rsidR="00C12AC2" w:rsidRPr="00781112" w:rsidRDefault="00C12AC2" w:rsidP="00C12AC2">
            <w:pPr>
              <w:jc w:val="center"/>
              <w:rPr>
                <w:rFonts w:cs="Arial"/>
                <w:color w:val="000000" w:themeColor="text1"/>
                <w:szCs w:val="16"/>
              </w:rPr>
            </w:pPr>
            <w:r w:rsidRPr="00781112">
              <w:rPr>
                <w:rFonts w:cs="Arial"/>
                <w:color w:val="000000" w:themeColor="text1"/>
                <w:szCs w:val="16"/>
              </w:rPr>
              <w:t>267</w:t>
            </w:r>
          </w:p>
        </w:tc>
        <w:tc>
          <w:tcPr>
            <w:tcW w:w="636" w:type="pct"/>
            <w:shd w:val="clear" w:color="auto" w:fill="auto"/>
          </w:tcPr>
          <w:p w14:paraId="1BCB466D" w14:textId="5DD60E0B" w:rsidR="00C12AC2" w:rsidRPr="00781112" w:rsidRDefault="00C12AC2" w:rsidP="00C12AC2">
            <w:pPr>
              <w:jc w:val="center"/>
              <w:rPr>
                <w:rFonts w:cs="Arial"/>
                <w:color w:val="000000" w:themeColor="text1"/>
                <w:szCs w:val="16"/>
              </w:rPr>
            </w:pPr>
            <w:r>
              <w:rPr>
                <w:rFonts w:cs="Arial"/>
                <w:color w:val="000000"/>
                <w:szCs w:val="16"/>
              </w:rPr>
              <w:t>657</w:t>
            </w:r>
          </w:p>
        </w:tc>
        <w:tc>
          <w:tcPr>
            <w:tcW w:w="528" w:type="pct"/>
            <w:shd w:val="clear" w:color="auto" w:fill="auto"/>
          </w:tcPr>
          <w:p w14:paraId="60597E0A" w14:textId="5ED3F4AA" w:rsidR="00C12AC2" w:rsidRPr="00781112" w:rsidRDefault="00C12AC2" w:rsidP="00C12AC2">
            <w:pPr>
              <w:jc w:val="center"/>
              <w:rPr>
                <w:rFonts w:cs="Arial"/>
                <w:color w:val="000000" w:themeColor="text1"/>
                <w:szCs w:val="16"/>
              </w:rPr>
            </w:pPr>
            <w:r w:rsidRPr="003F2D1E">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_Ref141183236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10</w:t>
            </w:r>
            <w:r>
              <w:rPr>
                <w:rFonts w:cs="Arial"/>
                <w:color w:val="000000" w:themeColor="text1"/>
                <w:szCs w:val="16"/>
              </w:rPr>
              <w:fldChar w:fldCharType="end"/>
            </w:r>
          </w:p>
        </w:tc>
        <w:tc>
          <w:tcPr>
            <w:tcW w:w="741" w:type="pct"/>
            <w:shd w:val="clear" w:color="auto" w:fill="auto"/>
          </w:tcPr>
          <w:p w14:paraId="6445398C" w14:textId="393A6DFD" w:rsidR="00C12AC2" w:rsidRPr="00781112" w:rsidRDefault="00C12AC2" w:rsidP="00C12AC2">
            <w:pPr>
              <w:jc w:val="center"/>
              <w:rPr>
                <w:rFonts w:cs="Arial"/>
                <w:color w:val="000000" w:themeColor="text1"/>
                <w:szCs w:val="16"/>
              </w:rPr>
            </w:pPr>
            <w:r w:rsidRPr="00781112">
              <w:rPr>
                <w:rFonts w:cs="Arial"/>
                <w:color w:val="000000" w:themeColor="text1"/>
                <w:szCs w:val="16"/>
              </w:rPr>
              <w:t>57.10%</w:t>
            </w:r>
          </w:p>
        </w:tc>
        <w:tc>
          <w:tcPr>
            <w:tcW w:w="487" w:type="pct"/>
            <w:shd w:val="clear" w:color="auto" w:fill="auto"/>
          </w:tcPr>
          <w:p w14:paraId="4EBD899F" w14:textId="57918237" w:rsidR="00C12AC2" w:rsidRPr="00781112" w:rsidRDefault="00C12AC2" w:rsidP="00C12AC2">
            <w:pPr>
              <w:jc w:val="center"/>
              <w:rPr>
                <w:rFonts w:cs="Arial"/>
                <w:color w:val="000000" w:themeColor="text1"/>
                <w:szCs w:val="16"/>
              </w:rPr>
            </w:pPr>
            <w:r w:rsidRPr="00781112">
              <w:rPr>
                <w:rFonts w:cs="Arial"/>
                <w:color w:val="000000" w:themeColor="text1"/>
                <w:szCs w:val="16"/>
              </w:rPr>
              <w:t>40.64%</w:t>
            </w:r>
          </w:p>
        </w:tc>
        <w:tc>
          <w:tcPr>
            <w:tcW w:w="589" w:type="pct"/>
            <w:shd w:val="clear" w:color="auto" w:fill="auto"/>
          </w:tcPr>
          <w:p w14:paraId="585589D4" w14:textId="6C3ED8A0" w:rsidR="00C12AC2" w:rsidRPr="00781112" w:rsidRDefault="00C12AC2" w:rsidP="00C12AC2">
            <w:pPr>
              <w:jc w:val="center"/>
              <w:rPr>
                <w:rFonts w:cs="Arial"/>
                <w:color w:val="000000" w:themeColor="text1"/>
                <w:szCs w:val="16"/>
              </w:rPr>
            </w:pPr>
            <w:r w:rsidRPr="00781112">
              <w:rPr>
                <w:rFonts w:cs="Arial"/>
                <w:color w:val="000000" w:themeColor="text1"/>
                <w:szCs w:val="16"/>
              </w:rPr>
              <w:t>Did not meet target</w:t>
            </w:r>
          </w:p>
        </w:tc>
        <w:tc>
          <w:tcPr>
            <w:tcW w:w="574" w:type="pct"/>
            <w:shd w:val="clear" w:color="auto" w:fill="auto"/>
          </w:tcPr>
          <w:p w14:paraId="64956786" w14:textId="4047CECE" w:rsidR="00C12AC2" w:rsidRPr="00781112" w:rsidRDefault="00C12AC2" w:rsidP="00C12AC2">
            <w:pPr>
              <w:jc w:val="center"/>
              <w:rPr>
                <w:rFonts w:cs="Arial"/>
                <w:color w:val="000000" w:themeColor="text1"/>
                <w:szCs w:val="16"/>
              </w:rPr>
            </w:pPr>
            <w:r w:rsidRPr="00781112">
              <w:rPr>
                <w:rFonts w:cs="Arial"/>
                <w:color w:val="000000" w:themeColor="text1"/>
                <w:szCs w:val="16"/>
              </w:rPr>
              <w:t>Slippage</w:t>
            </w:r>
          </w:p>
        </w:tc>
      </w:tr>
      <w:tr w:rsidR="00C12AC2" w:rsidRPr="00781112" w14:paraId="3EA2EA1E" w14:textId="77777777" w:rsidTr="00C12AC2">
        <w:tc>
          <w:tcPr>
            <w:tcW w:w="323" w:type="pct"/>
            <w:shd w:val="clear" w:color="auto" w:fill="auto"/>
            <w:vAlign w:val="center"/>
          </w:tcPr>
          <w:p w14:paraId="7CB7E776" w14:textId="77777777" w:rsidR="00C12AC2" w:rsidRPr="00781112" w:rsidRDefault="00C12AC2" w:rsidP="00C12AC2">
            <w:pPr>
              <w:pStyle w:val="Default"/>
              <w:jc w:val="center"/>
              <w:rPr>
                <w:rFonts w:eastAsiaTheme="minorHAnsi"/>
                <w:color w:val="000000" w:themeColor="text1"/>
                <w:sz w:val="16"/>
                <w:szCs w:val="16"/>
              </w:rPr>
            </w:pPr>
            <w:r w:rsidRPr="00781112">
              <w:rPr>
                <w:b/>
                <w:color w:val="000000" w:themeColor="text1"/>
                <w:sz w:val="16"/>
                <w:szCs w:val="16"/>
              </w:rPr>
              <w:t>C</w:t>
            </w:r>
          </w:p>
        </w:tc>
        <w:tc>
          <w:tcPr>
            <w:tcW w:w="546" w:type="pct"/>
            <w:shd w:val="clear" w:color="auto" w:fill="auto"/>
          </w:tcPr>
          <w:p w14:paraId="260DAFBC" w14:textId="292387CD" w:rsidR="00C12AC2" w:rsidRPr="00781112" w:rsidDel="00DE5045" w:rsidRDefault="00C12AC2" w:rsidP="00C12AC2">
            <w:pPr>
              <w:jc w:val="center"/>
              <w:rPr>
                <w:rFonts w:cs="Arial"/>
                <w:color w:val="000000" w:themeColor="text1"/>
                <w:szCs w:val="16"/>
              </w:rPr>
            </w:pPr>
            <w:r w:rsidRPr="00781112">
              <w:rPr>
                <w:rFonts w:cs="Arial"/>
                <w:color w:val="000000" w:themeColor="text1"/>
                <w:szCs w:val="16"/>
              </w:rPr>
              <w:t>Grade HS</w:t>
            </w:r>
          </w:p>
        </w:tc>
        <w:tc>
          <w:tcPr>
            <w:tcW w:w="577" w:type="pct"/>
            <w:shd w:val="clear" w:color="auto" w:fill="auto"/>
          </w:tcPr>
          <w:p w14:paraId="3637A0D0" w14:textId="4E467DC1" w:rsidR="00C12AC2" w:rsidRPr="00781112" w:rsidRDefault="00C12AC2" w:rsidP="00C12AC2">
            <w:pPr>
              <w:jc w:val="center"/>
              <w:rPr>
                <w:rFonts w:cs="Arial"/>
                <w:color w:val="000000" w:themeColor="text1"/>
                <w:szCs w:val="16"/>
              </w:rPr>
            </w:pPr>
            <w:r w:rsidRPr="00781112">
              <w:rPr>
                <w:rFonts w:cs="Arial"/>
                <w:color w:val="000000" w:themeColor="text1"/>
                <w:szCs w:val="16"/>
              </w:rPr>
              <w:t>261</w:t>
            </w:r>
          </w:p>
        </w:tc>
        <w:tc>
          <w:tcPr>
            <w:tcW w:w="636" w:type="pct"/>
            <w:shd w:val="clear" w:color="auto" w:fill="auto"/>
          </w:tcPr>
          <w:p w14:paraId="0F212AA6" w14:textId="77E5B78D" w:rsidR="00C12AC2" w:rsidRPr="00781112" w:rsidRDefault="00C12AC2" w:rsidP="00C12AC2">
            <w:pPr>
              <w:jc w:val="center"/>
              <w:rPr>
                <w:rFonts w:cs="Arial"/>
                <w:color w:val="000000" w:themeColor="text1"/>
                <w:szCs w:val="16"/>
              </w:rPr>
            </w:pPr>
            <w:r>
              <w:rPr>
                <w:rFonts w:cs="Arial"/>
                <w:color w:val="000000"/>
                <w:szCs w:val="16"/>
              </w:rPr>
              <w:t>691</w:t>
            </w:r>
          </w:p>
        </w:tc>
        <w:tc>
          <w:tcPr>
            <w:tcW w:w="528" w:type="pct"/>
            <w:shd w:val="clear" w:color="auto" w:fill="auto"/>
          </w:tcPr>
          <w:p w14:paraId="066DE90A" w14:textId="2435829E" w:rsidR="00C12AC2" w:rsidRPr="00781112" w:rsidRDefault="00C12AC2" w:rsidP="00C12AC2">
            <w:pPr>
              <w:jc w:val="center"/>
              <w:rPr>
                <w:rFonts w:cs="Arial"/>
                <w:color w:val="000000" w:themeColor="text1"/>
                <w:szCs w:val="16"/>
              </w:rPr>
            </w:pPr>
            <w:r w:rsidRPr="003F2D1E">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_Ref141183236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10</w:t>
            </w:r>
            <w:r>
              <w:rPr>
                <w:rFonts w:cs="Arial"/>
                <w:color w:val="000000" w:themeColor="text1"/>
                <w:szCs w:val="16"/>
              </w:rPr>
              <w:fldChar w:fldCharType="end"/>
            </w:r>
          </w:p>
        </w:tc>
        <w:tc>
          <w:tcPr>
            <w:tcW w:w="741" w:type="pct"/>
            <w:shd w:val="clear" w:color="auto" w:fill="auto"/>
          </w:tcPr>
          <w:p w14:paraId="4191EA17" w14:textId="17F82057" w:rsidR="00C12AC2" w:rsidRPr="00781112" w:rsidRDefault="00C12AC2" w:rsidP="00C12AC2">
            <w:pPr>
              <w:jc w:val="center"/>
              <w:rPr>
                <w:rFonts w:cs="Arial"/>
                <w:color w:val="000000" w:themeColor="text1"/>
                <w:szCs w:val="16"/>
              </w:rPr>
            </w:pPr>
            <w:r w:rsidRPr="00781112">
              <w:rPr>
                <w:rFonts w:cs="Arial"/>
                <w:color w:val="000000" w:themeColor="text1"/>
                <w:szCs w:val="16"/>
              </w:rPr>
              <w:t>57.10%</w:t>
            </w:r>
          </w:p>
        </w:tc>
        <w:tc>
          <w:tcPr>
            <w:tcW w:w="487" w:type="pct"/>
            <w:shd w:val="clear" w:color="auto" w:fill="auto"/>
          </w:tcPr>
          <w:p w14:paraId="15CE5CCF" w14:textId="00F68E62" w:rsidR="00C12AC2" w:rsidRPr="00781112" w:rsidRDefault="00C12AC2" w:rsidP="00C12AC2">
            <w:pPr>
              <w:jc w:val="center"/>
              <w:rPr>
                <w:rFonts w:cs="Arial"/>
                <w:color w:val="000000" w:themeColor="text1"/>
                <w:szCs w:val="16"/>
              </w:rPr>
            </w:pPr>
            <w:r w:rsidRPr="00781112">
              <w:rPr>
                <w:rFonts w:cs="Arial"/>
                <w:color w:val="000000" w:themeColor="text1"/>
                <w:szCs w:val="16"/>
              </w:rPr>
              <w:t>37.77%</w:t>
            </w:r>
          </w:p>
        </w:tc>
        <w:tc>
          <w:tcPr>
            <w:tcW w:w="589" w:type="pct"/>
            <w:shd w:val="clear" w:color="auto" w:fill="auto"/>
          </w:tcPr>
          <w:p w14:paraId="28CB2C9E" w14:textId="4F0EF91A" w:rsidR="00C12AC2" w:rsidRPr="00781112" w:rsidRDefault="00C12AC2" w:rsidP="00C12AC2">
            <w:pPr>
              <w:jc w:val="center"/>
              <w:rPr>
                <w:rFonts w:cs="Arial"/>
                <w:color w:val="000000" w:themeColor="text1"/>
                <w:szCs w:val="16"/>
              </w:rPr>
            </w:pPr>
            <w:r w:rsidRPr="00781112">
              <w:rPr>
                <w:rFonts w:cs="Arial"/>
                <w:color w:val="000000" w:themeColor="text1"/>
                <w:szCs w:val="16"/>
              </w:rPr>
              <w:t>Did not meet target</w:t>
            </w:r>
          </w:p>
        </w:tc>
        <w:tc>
          <w:tcPr>
            <w:tcW w:w="574" w:type="pct"/>
            <w:shd w:val="clear" w:color="auto" w:fill="auto"/>
          </w:tcPr>
          <w:p w14:paraId="157B84D0" w14:textId="0B58E631" w:rsidR="00C12AC2" w:rsidRPr="00781112" w:rsidRDefault="00C12AC2" w:rsidP="00C12AC2">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It should be noted that due to ongoing impacts related to the COVID-19 pandemic, participation rates in the 2021–2022 alternate state assessment (WA-AIM), although higher than those from the 2020–2021 administration, were not as high as those in a typical, pre-pandemic administration year [see more details about the student participation in Section 6.1, Chapter 6 (https://www.k12.wa.us/student-success/testing/state-testing/assessment-students-cognitive-disabilities-wa-aim/access-point-frameworks-and-performance-tasks)]. In addition to lower than typical test participation rates, aggregated test performance results from the 2021–2022 WA-AIM should be interpreted in the context of several factors, including possible disrupted learning during previous and current school years, differences in instructional delivery methods (e.g., online, in-person, or hybrid model), and higher absence rates for both students and staff, contributing to the slippage in proficiency rates.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See information provided in Group A.</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See information provided in Group A.</w:t>
      </w:r>
    </w:p>
    <w:p w14:paraId="493A373E" w14:textId="77777777" w:rsidR="00445640" w:rsidRPr="00781112" w:rsidRDefault="00445640" w:rsidP="000C3A20">
      <w:pPr>
        <w:rPr>
          <w:color w:val="000000" w:themeColor="text1"/>
        </w:rPr>
      </w:pPr>
    </w:p>
    <w:p w14:paraId="241C4281" w14:textId="77777777" w:rsidR="002A120C" w:rsidRDefault="002A120C">
      <w:pPr>
        <w:spacing w:before="0" w:after="200" w:line="276" w:lineRule="auto"/>
        <w:rPr>
          <w:b/>
          <w:color w:val="000000" w:themeColor="text1"/>
        </w:rPr>
      </w:pPr>
      <w:r>
        <w:rPr>
          <w:b/>
          <w:color w:val="000000" w:themeColor="text1"/>
        </w:rPr>
        <w:br w:type="page"/>
      </w:r>
    </w:p>
    <w:p w14:paraId="73E73F7F" w14:textId="78C47728" w:rsidR="00BD7229" w:rsidRPr="00781112" w:rsidRDefault="0047313F" w:rsidP="004369B2">
      <w:pPr>
        <w:rPr>
          <w:b/>
          <w:color w:val="000000" w:themeColor="text1"/>
        </w:rPr>
      </w:pPr>
      <w:r>
        <w:rPr>
          <w:b/>
          <w:color w:val="000000" w:themeColor="text1"/>
        </w:rPr>
        <w:lastRenderedPageBreak/>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338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801</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41.65%</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55.20%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42.20%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235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655</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44.00%</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55.20%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35.88%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358</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689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58.70%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55.20%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51.96%</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It should be noted that due to ongoing impacts related to the COVID-19 pandemic, participation rates in the 2021–2022 alternate state assessment (WA-AIM), although higher than those from the 2020–2021 administration, were not as high as those in a typical, pre-pandemic administration year [see more details about the student participation in Section 6.1, Chapter 6 (https://www.k12.wa.us/student-success/testing/state-testing/assessment-students-cognitive-disabilities-wa-aim/access-point-frameworks-and-performance-tasks)]. In addition to lower than typical test participation rates, aggregated test performance results from the 2021–2022 WA-AIM should be interpreted in the context of several factors, including possible disrupted learning during previous and current school years, differences in instructional delivery methods (e.g., online, in-person, or hybrid model), and higher absence rates for both students and staff, contributing to the slippage in proficiency rates.</w:t>
      </w:r>
    </w:p>
    <w:p w14:paraId="3FB91E80" w14:textId="77777777" w:rsidR="00BC545C" w:rsidRPr="00781112" w:rsidRDefault="00BC545C" w:rsidP="00BC545C">
      <w:pPr>
        <w:rPr>
          <w:b/>
          <w:color w:val="000000" w:themeColor="text1"/>
        </w:rPr>
      </w:pPr>
      <w:r w:rsidRPr="00781112">
        <w:rPr>
          <w:b/>
          <w:color w:val="000000" w:themeColor="text1"/>
        </w:rPr>
        <w:t>Provide reasons for slippage for Group C, if applicable</w:t>
      </w:r>
    </w:p>
    <w:p w14:paraId="3BD3EF8A" w14:textId="7B37B94B" w:rsidR="00BC545C" w:rsidRPr="00781112" w:rsidRDefault="00BC545C" w:rsidP="00BC545C">
      <w:pPr>
        <w:rPr>
          <w:rFonts w:cs="Arial"/>
          <w:color w:val="000000" w:themeColor="text1"/>
          <w:szCs w:val="16"/>
        </w:rPr>
      </w:pPr>
      <w:r w:rsidRPr="00781112">
        <w:rPr>
          <w:rFonts w:cs="Arial"/>
          <w:color w:val="000000" w:themeColor="text1"/>
          <w:szCs w:val="16"/>
        </w:rPr>
        <w:t>It should be noted that due to ongoing impacts related to the COVID-19 pandemic, participation rates in the 2021–2022 alternate state assessment (WA-AIM), although higher than those from the 2020–2021 administration, were not as high as those in a typical, pre-pandemic administration year [see more details about the student participation in Section 6.1, Chapter 6 (https://www.k12.wa.us/student-success/testing/state-testing/assessment-students-cognitive-disabilities-wa-aim/access-point-frameworks-and-performance-tasks)]. In addition to lower than typical test participation rates, aggregated test performance results from the 2021–2022 WA-AIM should be interpreted in the context of several factors, including possible disrupted learning during previous and current school years, differences in instructional delivery methods (e.g., online, in-person, or hybrid model), and higher absence rates for both students and staff, contributing to the slippage in proficiency rates.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Report Card—Washington State Report Card (ospi.k12.wa.us) https://washingtonstatereportcard.ospi.k12.wa.us/ReportCard/ViewSchoolOrDistrict/103300. Choose Student Enrollment &gt;&gt; Assessment for details on the statewide assessment data.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Students with disabilities taking the statewide assessment using an accommodation information is located at: https://www.k12.wa.us/student-success/special-education/special-education-data-collection/special-education-data-collection-summaries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The change in baseline for this indicator is due to the federal change in the indicator. The grades reported in previous SPP/APRs were grade bands 3-5, 6-8 and high school, and in this new SPP/APR the grades to report are now 4, 8 and high school. The proficiency indicator (previously Indicator 3C) also changed. Instead of reporting grade level achievement standards and alternate achievement standards together in one indicator, they are now two separate indicators (3B and 3C).</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With the FFY 2021 SPP/APR the State must provide an explanation for the baseline revision.</w:t>
      </w:r>
      <w:r w:rsidRPr="00781112">
        <w:rPr>
          <w:rFonts w:cs="Arial"/>
          <w:color w:val="000000" w:themeColor="text1"/>
          <w:szCs w:val="16"/>
        </w:rPr>
        <w:br/>
      </w:r>
      <w:r w:rsidRPr="00781112">
        <w:rPr>
          <w:rFonts w:cs="Arial"/>
          <w:color w:val="000000" w:themeColor="text1"/>
          <w:szCs w:val="16"/>
        </w:rPr>
        <w:br/>
        <w:t>With the FFY 2021 SPP/APR, the State must ensure that its FFY 2025 targets reflect improvement over the baseline.</w:t>
      </w:r>
    </w:p>
    <w:p w14:paraId="62E7127E" w14:textId="14B90969" w:rsidR="000A2C83" w:rsidRPr="00781112" w:rsidRDefault="007639D7" w:rsidP="004369B2">
      <w:pPr>
        <w:rPr>
          <w:b/>
          <w:color w:val="000000" w:themeColor="text1"/>
        </w:rPr>
      </w:pPr>
      <w:r>
        <w:rPr>
          <w:b/>
          <w:color w:val="000000" w:themeColor="text1"/>
        </w:rPr>
        <w:t>Response to actions required in FFY 2020 SPP/APR</w:t>
      </w:r>
    </w:p>
    <w:p w14:paraId="55BD5A37" w14:textId="67636212" w:rsidR="000A2C83" w:rsidRPr="00781112" w:rsidRDefault="002B7490" w:rsidP="000A2C83">
      <w:pPr>
        <w:rPr>
          <w:rFonts w:cs="Arial"/>
          <w:color w:val="000000" w:themeColor="text1"/>
          <w:szCs w:val="16"/>
        </w:rPr>
      </w:pPr>
      <w:r w:rsidRPr="00781112">
        <w:rPr>
          <w:rFonts w:cs="Arial"/>
          <w:color w:val="000000" w:themeColor="text1"/>
          <w:szCs w:val="16"/>
        </w:rPr>
        <w:lastRenderedPageBreak/>
        <w:t>The change in baseline for this indicator is due to the federal change in the indicator. The grades reported in previous SPP/APRs were grade bands 3-5, 6-8 and high school, and in this new SPP/APR the grades to report are now 4, 8 and high school. The proficiency indicator (previously Indicator 3C) also changed. Instead of reporting grade level achievement standards and alternate achievement standards together in one indicator, they are now two separate indicators (3B and 3C).</w:t>
      </w:r>
      <w:r w:rsidRPr="00781112">
        <w:rPr>
          <w:rFonts w:cs="Arial"/>
          <w:color w:val="000000" w:themeColor="text1"/>
          <w:szCs w:val="16"/>
        </w:rPr>
        <w:br/>
      </w:r>
      <w:r w:rsidRPr="00781112">
        <w:rPr>
          <w:rFonts w:cs="Arial"/>
          <w:color w:val="000000" w:themeColor="text1"/>
          <w:szCs w:val="16"/>
        </w:rPr>
        <w:br/>
        <w:t>Due to the COVID-19 Pandemic no statewide assessment was administered for 2019-20 and the 2020-21 statewide assessment was administered in the Fall of 2021, therefore our partners (stakeholders) recommended that we use the FFY 2018 test results as the baseline data for this SPP/APR.</w:t>
      </w:r>
      <w:r w:rsidRPr="00781112">
        <w:rPr>
          <w:rFonts w:cs="Arial"/>
          <w:color w:val="000000" w:themeColor="text1"/>
          <w:szCs w:val="16"/>
        </w:rPr>
        <w:br/>
      </w:r>
      <w:r w:rsidRPr="00781112">
        <w:rPr>
          <w:rFonts w:cs="Arial"/>
          <w:color w:val="000000" w:themeColor="text1"/>
          <w:szCs w:val="16"/>
        </w:rPr>
        <w:br/>
        <w:t>The FFY 2025 targets for Indicator 3C all reflect improvement over the baseline (of FFY 2018).</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32.30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44.10</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48.00</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30.70</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37.20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36.30</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24.70</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20.90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17.10</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13.30</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9.50</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36.50</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32.70</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28.90</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25.10</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21.30</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40.50</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36.70</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32.90</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29.10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25.30</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24.30</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21.10</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17.90</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14.70</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11.50</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30.80</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27.60</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24.40</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21.20</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18.00</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29.90</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26.70</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23.50</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20.30</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17.10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w:t>
      </w:r>
      <w:r w:rsidRPr="00781112">
        <w:rPr>
          <w:rFonts w:cs="Arial"/>
          <w:color w:val="000000" w:themeColor="text1"/>
          <w:szCs w:val="16"/>
        </w:rPr>
        <w:lastRenderedPageBreak/>
        <w:t>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75,340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79,048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73,947</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10,882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9,657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7,822</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37,765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41,162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51,004</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417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236</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313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2,179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1,183</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1,717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302</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147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194</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75,271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78,783</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72,667</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10,847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9,611</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7,621</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35,224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26,935</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25,356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364</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151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83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2,057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578</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355</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278</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102</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49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22.80%</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50.68%</w:t>
            </w:r>
          </w:p>
        </w:tc>
        <w:tc>
          <w:tcPr>
            <w:tcW w:w="516" w:type="pct"/>
            <w:shd w:val="clear" w:color="auto" w:fill="auto"/>
            <w:vAlign w:val="center"/>
          </w:tcPr>
          <w:p w14:paraId="54DCE3E3" w14:textId="38CD54EF" w:rsidR="00E22739" w:rsidRPr="00781112" w:rsidRDefault="00B73CE6" w:rsidP="00E22739">
            <w:pPr>
              <w:jc w:val="center"/>
              <w:rPr>
                <w:rFonts w:cs="Arial"/>
                <w:color w:val="000000" w:themeColor="text1"/>
                <w:szCs w:val="16"/>
              </w:rPr>
            </w:pPr>
            <w:r>
              <w:rPr>
                <w:rFonts w:cs="Arial"/>
                <w:color w:val="000000" w:themeColor="text1"/>
                <w:szCs w:val="16"/>
              </w:rPr>
              <w:t>*</w:t>
            </w:r>
            <w:bookmarkStart w:id="24" w:name="_Ref141168993"/>
            <w:r>
              <w:rPr>
                <w:rStyle w:val="FootnoteReference"/>
                <w:rFonts w:cs="Arial"/>
                <w:color w:val="000000" w:themeColor="text1"/>
                <w:szCs w:val="16"/>
              </w:rPr>
              <w:footnoteReference w:id="12"/>
            </w:r>
            <w:bookmarkEnd w:id="24"/>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24.70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27.88</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13.77%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52.37%</w:t>
            </w:r>
          </w:p>
        </w:tc>
        <w:tc>
          <w:tcPr>
            <w:tcW w:w="516" w:type="pct"/>
            <w:shd w:val="clear" w:color="auto" w:fill="auto"/>
            <w:vAlign w:val="center"/>
          </w:tcPr>
          <w:p w14:paraId="64AC26EC" w14:textId="4BCA67BA" w:rsidR="00E22739" w:rsidRPr="00781112" w:rsidRDefault="00B73CE6" w:rsidP="00E22739">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_Ref141168993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11</w:t>
            </w:r>
            <w:r>
              <w:rPr>
                <w:rFonts w:cs="Arial"/>
                <w:color w:val="000000" w:themeColor="text1"/>
                <w:szCs w:val="16"/>
              </w:rPr>
              <w:fldChar w:fldCharType="end"/>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36.50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38.60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24.43%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69.40%</w:t>
            </w:r>
          </w:p>
        </w:tc>
        <w:tc>
          <w:tcPr>
            <w:tcW w:w="516" w:type="pct"/>
            <w:shd w:val="clear" w:color="auto" w:fill="auto"/>
            <w:vAlign w:val="center"/>
          </w:tcPr>
          <w:p w14:paraId="76DE5213" w14:textId="4CE386DC" w:rsidR="00E22739" w:rsidRPr="00781112" w:rsidRDefault="00B73CE6" w:rsidP="00E22739">
            <w:pPr>
              <w:jc w:val="center"/>
              <w:rPr>
                <w:rFonts w:cs="Arial"/>
                <w:color w:val="000000" w:themeColor="text1"/>
                <w:szCs w:val="16"/>
              </w:rPr>
            </w:pPr>
            <w:r>
              <w:rPr>
                <w:rFonts w:cs="Arial"/>
                <w:color w:val="000000" w:themeColor="text1"/>
                <w:szCs w:val="16"/>
              </w:rPr>
              <w:t>*</w:t>
            </w:r>
            <w:r>
              <w:rPr>
                <w:rFonts w:cs="Arial"/>
                <w:color w:val="000000" w:themeColor="text1"/>
                <w:szCs w:val="16"/>
              </w:rPr>
              <w:fldChar w:fldCharType="begin"/>
            </w:r>
            <w:r>
              <w:rPr>
                <w:rFonts w:cs="Arial"/>
                <w:color w:val="000000" w:themeColor="text1"/>
                <w:szCs w:val="16"/>
              </w:rPr>
              <w:instrText xml:space="preserve"> NOTEREF _Ref141168993 \f \h </w:instrText>
            </w:r>
            <w:r>
              <w:rPr>
                <w:rFonts w:cs="Arial"/>
                <w:color w:val="000000" w:themeColor="text1"/>
                <w:szCs w:val="16"/>
              </w:rPr>
            </w:r>
            <w:r>
              <w:rPr>
                <w:rFonts w:cs="Arial"/>
                <w:color w:val="000000" w:themeColor="text1"/>
                <w:szCs w:val="16"/>
              </w:rPr>
              <w:fldChar w:fldCharType="separate"/>
            </w:r>
            <w:r w:rsidR="00271086" w:rsidRPr="00271086">
              <w:rPr>
                <w:rStyle w:val="FootnoteReference"/>
              </w:rPr>
              <w:t>11</w:t>
            </w:r>
            <w:r>
              <w:rPr>
                <w:rFonts w:cs="Arial"/>
                <w:color w:val="000000" w:themeColor="text1"/>
                <w:szCs w:val="16"/>
              </w:rPr>
              <w:fldChar w:fldCharType="end"/>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40.50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44.97</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slippage in this indicator correspond to the reasons for slippage in Indicator 3C. Due to ongoing impacts related to the COVID-19 pandemic, proficiency rates in FFY 2021, although higher than those from the 2020–2021 administration, were not as high as those in a typical, pre-pandemic administration year.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factors, including possible disrupted learning during previous and current school years, differences in instructional </w:t>
      </w:r>
      <w:r w:rsidRPr="00781112">
        <w:rPr>
          <w:rFonts w:cs="Arial"/>
          <w:color w:val="000000" w:themeColor="text1"/>
          <w:szCs w:val="16"/>
        </w:rPr>
        <w:lastRenderedPageBreak/>
        <w:t>delivery methods (e.g., online, in-person, or hybrid model), and higher absence rates for both students and staff, contributed to the slippage in proficiency rates.</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slippage in this indicator correspond to the reasons for slippage in Indicator 3C. Due to ongoing impacts related to the COVID-19 pandemic, proficiency rates in FFY 2021, although higher than those from the 2020–2021 administration, were not as high as those in a typical, pre-pandemic administration year.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factors, including possible disrupted learning during previous and current school years, differences in instructional delivery methods (e.g., online, in-person, or hybrid model), and higher absence rates for both students and staff, contributed to the slippage in proficiency rates.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21.53%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47.28%</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22.91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24.30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25.75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7.08%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34.38%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24.53</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30.80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27.31</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5.30%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35.01%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25.60</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29.90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29.71</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1933D4BB" w14:textId="701E9B2A" w:rsidR="00DD5B7A" w:rsidRPr="00781112" w:rsidRDefault="00DD5B7A" w:rsidP="00DD5B7A">
      <w:pPr>
        <w:rPr>
          <w:rFonts w:cs="Arial"/>
          <w:color w:val="000000" w:themeColor="text1"/>
          <w:szCs w:val="16"/>
        </w:rPr>
      </w:pPr>
      <w:r w:rsidRPr="00781112">
        <w:rPr>
          <w:rFonts w:cs="Arial"/>
          <w:color w:val="000000" w:themeColor="text1"/>
          <w:szCs w:val="16"/>
        </w:rPr>
        <w:t xml:space="preserve">The reasons for slippage in this indicator correspond to the reasons for slippage in Indicator 3C. Due to ongoing impacts related to the COVID-19 pandemic, proficiency rates in FFY 2021, although higher than those from the 2020–2021 administration, were not as high as those in a typical, pre-pandemic administration year.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factors, including possible disrupted learning during previous and current school years, differences in instructional delivery methods (e.g., online, in-person, or hybrid model), and higher absence rates for both students and staff, contributed to the slippage in proficiency rates.</w:t>
      </w:r>
    </w:p>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 xml:space="preserve">OSEP notes that the State submitted verification that the attachment(s) complies with Section 508 of the Rehabilitation Act of 1973, as amended (Section 508). However, one or more of the Indicator 3D </w:t>
      </w:r>
      <w:proofErr w:type="gramStart"/>
      <w:r w:rsidRPr="00781112">
        <w:rPr>
          <w:rFonts w:cs="Arial"/>
          <w:color w:val="000000" w:themeColor="text1"/>
          <w:szCs w:val="16"/>
        </w:rPr>
        <w:t>attachment</w:t>
      </w:r>
      <w:proofErr w:type="gramEnd"/>
      <w:r w:rsidRPr="00781112">
        <w:rPr>
          <w:rFonts w:cs="Arial"/>
          <w:color w:val="000000" w:themeColor="text1"/>
          <w:szCs w:val="16"/>
        </w:rPr>
        <w: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7ABF9E7" w14:textId="76AF8E5D" w:rsidR="00764DDE" w:rsidRPr="00781112" w:rsidRDefault="007639D7" w:rsidP="00764DDE">
      <w:pPr>
        <w:rPr>
          <w:color w:val="000000" w:themeColor="text1"/>
        </w:rPr>
      </w:pPr>
      <w:r>
        <w:rPr>
          <w:b/>
          <w:color w:val="000000" w:themeColor="text1"/>
        </w:rPr>
        <w:t>Response to actions required in FFY 2020 SPP/APR</w:t>
      </w:r>
      <w:r w:rsidR="00764DDE" w:rsidRPr="00781112">
        <w:rPr>
          <w:rFonts w:cs="Arial"/>
          <w:color w:val="000000" w:themeColor="text1"/>
          <w:szCs w:val="16"/>
        </w:rPr>
        <w:t xml:space="preserve"> </w:t>
      </w:r>
    </w:p>
    <w:p w14:paraId="2B9EE617" w14:textId="322813AD" w:rsidR="00764DDE" w:rsidRPr="00781112" w:rsidRDefault="00764DDE" w:rsidP="00764DDE">
      <w:pPr>
        <w:rPr>
          <w:rFonts w:cs="Arial"/>
          <w:color w:val="000000" w:themeColor="text1"/>
          <w:szCs w:val="16"/>
        </w:rPr>
      </w:pPr>
      <w:r w:rsidRPr="00781112">
        <w:rPr>
          <w:rFonts w:cs="Arial"/>
          <w:color w:val="000000" w:themeColor="text1"/>
          <w:szCs w:val="16"/>
        </w:rPr>
        <w:t xml:space="preserve">The entire FFY 2020 SPP/APR has </w:t>
      </w:r>
      <w:proofErr w:type="gramStart"/>
      <w:r w:rsidRPr="00781112">
        <w:rPr>
          <w:rFonts w:cs="Arial"/>
          <w:color w:val="000000" w:themeColor="text1"/>
          <w:szCs w:val="16"/>
        </w:rPr>
        <w:t>been posted</w:t>
      </w:r>
      <w:proofErr w:type="gramEnd"/>
      <w:r w:rsidRPr="00781112">
        <w:rPr>
          <w:rFonts w:cs="Arial"/>
          <w:color w:val="000000" w:themeColor="text1"/>
          <w:szCs w:val="16"/>
        </w:rPr>
        <w:t xml:space="preserve"> on Washington's Special Education website. This document includes the reference attachment above. The entire document is Section 508 compliant. The document is located at: https://www.k12.wa.us/student-success/special-education/special-education-data-collection</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20"/>
      <w:bookmarkEnd w:id="21"/>
    </w:p>
    <w:p w14:paraId="6B24B370" w14:textId="77777777" w:rsidR="006E5AE4" w:rsidRPr="00781112" w:rsidRDefault="006E5AE4" w:rsidP="00A018D4">
      <w:pPr>
        <w:rPr>
          <w:color w:val="000000" w:themeColor="text1"/>
          <w:szCs w:val="20"/>
        </w:rPr>
      </w:pPr>
      <w:bookmarkStart w:id="25" w:name="_Toc384383331"/>
      <w:bookmarkStart w:id="26"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7" w:name="_Toc384383332"/>
      <w:bookmarkStart w:id="28" w:name="_Toc392159284"/>
      <w:bookmarkEnd w:id="25"/>
      <w:bookmarkEnd w:id="26"/>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3.41%</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6.25%</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2.50%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2.25%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3.16%</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2.51%</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0.72%</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3.19%</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0.71%</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2.91%</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2.66%</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2.41%</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2.16%</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1.91%</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7"/>
    <w:bookmarkEnd w:id="28"/>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283</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0.71%</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2.91%</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Washington defined significant discrepancy in the rates of long-term suspensions and expulsions for students with IEPs through the following steps: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Calculate each district’s rate of suspension/expulsion for greater than 10 days for students with IEPs (total number of students with IEPs who </w:t>
      </w:r>
      <w:proofErr w:type="gramStart"/>
      <w:r w:rsidRPr="00781112">
        <w:rPr>
          <w:rFonts w:cs="Arial"/>
          <w:color w:val="000000" w:themeColor="text1"/>
          <w:szCs w:val="16"/>
        </w:rPr>
        <w:t>were suspended/expelled</w:t>
      </w:r>
      <w:proofErr w:type="gramEnd"/>
      <w:r w:rsidRPr="00781112">
        <w:rPr>
          <w:rFonts w:cs="Arial"/>
          <w:color w:val="000000" w:themeColor="text1"/>
          <w:szCs w:val="16"/>
        </w:rPr>
        <w:t xml:space="preserve"> for greater than 10 days in the district divided by the total number of students with IEPs in the district). This process will result in each district’s rate of suspensions/expulsions for students with IEPs.</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Calculate each district’s rate of suspension/expulsion for greater than 10 days for students without IEPs (total number of students without IEPs who </w:t>
      </w:r>
      <w:proofErr w:type="gramStart"/>
      <w:r w:rsidRPr="00781112">
        <w:rPr>
          <w:rFonts w:cs="Arial"/>
          <w:color w:val="000000" w:themeColor="text1"/>
          <w:szCs w:val="16"/>
        </w:rPr>
        <w:t>were suspended/expelled</w:t>
      </w:r>
      <w:proofErr w:type="gramEnd"/>
      <w:r w:rsidRPr="00781112">
        <w:rPr>
          <w:rFonts w:cs="Arial"/>
          <w:color w:val="000000" w:themeColor="text1"/>
          <w:szCs w:val="16"/>
        </w:rPr>
        <w:t xml:space="preserve"> for greater than 10 days in the district divided by the total number of students without IEPs in the district). This process will result in each district’s rate of suspensions/expulsions for students without IEPs.</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Subtract the district rate of suspension/expulsion for greater than 10 days for students without IEPs from the district rate of suspension/expulsions for students with IEPs. The result is the rate difference for each district.</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Districts with a rate difference of 2.0 or greater are identified as having a significant discrepancy.</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xml:space="preserve">. Districts must have a minimum 'n' size of at least two out-of-school disciplinary incidents of more than 10 days and a minimum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IEPs is required in order to be considered for significant discrepancy.</w:t>
      </w:r>
      <w:r w:rsidRPr="00781112">
        <w:rPr>
          <w:rFonts w:cs="Arial"/>
          <w:color w:val="000000" w:themeColor="text1"/>
          <w:szCs w:val="16"/>
        </w:rPr>
        <w:br/>
        <w:t xml:space="preserve">6. One district was excluded from the FFY 2020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not meeting this minimum “n” size requirement. This district’s data was included in the state-level calculations.</w:t>
      </w:r>
      <w:r w:rsidRPr="00781112">
        <w:rPr>
          <w:rFonts w:cs="Arial"/>
          <w:color w:val="000000" w:themeColor="text1"/>
          <w:szCs w:val="16"/>
        </w:rPr>
        <w:br/>
      </w:r>
      <w:r w:rsidRPr="00781112">
        <w:rPr>
          <w:rFonts w:cs="Arial"/>
          <w:color w:val="000000" w:themeColor="text1"/>
          <w:szCs w:val="16"/>
        </w:rPr>
        <w:br/>
        <w:t>Beginning in 2020-21, Washington’s description of significant discrepancy is calculated using a rate difference, which is the difference between the rate of out-of-school suspensions of more than 10 days for students with disabilities, and the rate for students without disabilities in the same LEA. A minimum “n” size of 10 total students with IEPs in the district is applied—districts with fewer than 10 total students with IEPs in the district are not included in the denominator of the Indicator B-4A calculation.</w:t>
      </w:r>
      <w:r w:rsidRPr="00781112">
        <w:rPr>
          <w:rFonts w:cs="Arial"/>
          <w:color w:val="000000" w:themeColor="text1"/>
          <w:szCs w:val="16"/>
        </w:rPr>
        <w:br/>
      </w:r>
      <w:r w:rsidRPr="00781112">
        <w:rPr>
          <w:rFonts w:cs="Arial"/>
          <w:color w:val="000000" w:themeColor="text1"/>
          <w:szCs w:val="16"/>
        </w:rPr>
        <w:br/>
        <w:t xml:space="preserve">Rate difference = (number of students with disabilities suspended more than 10 days in LEA divided by all students with disabilities in LEA) minus (number of students without disabilities suspended more than 10 days in LEA divided by all students without disabilities in LEA). </w:t>
      </w:r>
      <w:r w:rsidRPr="00781112">
        <w:rPr>
          <w:rFonts w:cs="Arial"/>
          <w:color w:val="000000" w:themeColor="text1"/>
          <w:szCs w:val="16"/>
        </w:rPr>
        <w:br/>
      </w:r>
      <w:r w:rsidRPr="00781112">
        <w:rPr>
          <w:rFonts w:cs="Arial"/>
          <w:color w:val="000000" w:themeColor="text1"/>
          <w:szCs w:val="16"/>
        </w:rPr>
        <w:br/>
        <w:t xml:space="preserve">A significant discrepancy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rate difference of 2.0 or more, with a minimum of two disciplinary incidents (out of school suspensions of more than 10 days) that year.</w:t>
      </w:r>
    </w:p>
    <w:p w14:paraId="47F07052" w14:textId="77777777" w:rsidR="00BB504D" w:rsidRPr="00781112" w:rsidRDefault="00BB504D" w:rsidP="004369B2">
      <w:pPr>
        <w:rPr>
          <w:b/>
          <w:color w:val="000000" w:themeColor="text1"/>
        </w:rPr>
      </w:pPr>
      <w:bookmarkStart w:id="29" w:name="_Toc384383334"/>
      <w:bookmarkStart w:id="30"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As previously described, Washington is using a new method for calculating a significant discrepancy for Indicator B-4. The new calculation will use a rate difference, which is the difference between the rate of out-of-school suspensions of more than 10 days for students with disabilities, and the rate for students without disabilities in the same LEA.</w:t>
      </w:r>
      <w:r w:rsidRPr="00781112">
        <w:rPr>
          <w:rFonts w:cs="Arial"/>
          <w:color w:val="000000" w:themeColor="text1"/>
          <w:szCs w:val="16"/>
        </w:rPr>
        <w:br/>
      </w:r>
      <w:r w:rsidRPr="00781112">
        <w:rPr>
          <w:rFonts w:cs="Arial"/>
          <w:color w:val="000000" w:themeColor="text1"/>
          <w:szCs w:val="16"/>
        </w:rPr>
        <w:br/>
        <w:t>This is a new method for calculating Indicator B-4A, therefore Washington is resetting its baseline in this FFY 2021 APR. The 2019-20 school year was not a complete year of data due to the COVID school facility closures. Therefore, after a review and discussion of the preliminary data for the new calculation through stakeholder meetings, the State Design Team and SEAC recommended using the discipline data from 2018-19 to establish the new baseline for this indicator beginning with the FFY 2021 APR submission. The 2018-19 data were recalculated using the new calculation methodology, which is why the new baseline does not match the 2018-19 data reported in last year's SPP/APR.</w:t>
      </w:r>
      <w:r w:rsidRPr="00781112">
        <w:rPr>
          <w:rFonts w:cs="Arial"/>
          <w:color w:val="000000" w:themeColor="text1"/>
          <w:szCs w:val="16"/>
        </w:rPr>
        <w:br/>
      </w:r>
      <w:r w:rsidRPr="00781112">
        <w:rPr>
          <w:rFonts w:cs="Arial"/>
          <w:color w:val="000000" w:themeColor="text1"/>
          <w:szCs w:val="16"/>
        </w:rPr>
        <w:br/>
        <w:t>Since the State Design Team and SEAC had access to the preliminary data for this new calculation as part of the stakeholder meetings, this information factored in to the target-setting process for this SPP submission. The State Design Team and SEAC also assisted the State in determining the new definition of significant discrepancy described in this section.</w:t>
      </w:r>
      <w:r w:rsidRPr="00781112">
        <w:rPr>
          <w:rFonts w:cs="Arial"/>
          <w:color w:val="000000" w:themeColor="text1"/>
          <w:szCs w:val="16"/>
        </w:rPr>
        <w:br/>
      </w:r>
      <w:r w:rsidRPr="00781112">
        <w:rPr>
          <w:rFonts w:cs="Arial"/>
          <w:color w:val="000000" w:themeColor="text1"/>
          <w:szCs w:val="16"/>
        </w:rPr>
        <w:br/>
        <w:t>OSPI acknowledges that the identification of zero districts meeting the definition of significant discrepancy for 2020-21 under the new calculation and methodology is of note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The 2020-21 school year, the year that these data were collected, was not a typical school year as many of the districts in Washington were engaged in remote learning </w:t>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the school year.  This resulted in a much smaller number of disciplinary removals of more than 10 days for both students with and without IEPs</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OSPI, in conjunction with the State Design Team and SEAC, will continue to review the data to determine the reasonableness of the State's methodology and make potential revisions to ensure the state is using a statistically sound methodology for identifying a significant discrepancy. </w:t>
      </w:r>
    </w:p>
    <w:bookmarkEnd w:id="29"/>
    <w:bookmarkEnd w:id="30"/>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Based on the methodology described in the section titled "Definition of Significant Discrepancy and Methodology", no districts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having a significant discrepancy in FFY 2021 (using school year 2020-2021 data).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If a district had been identified, OSPI would review and, if appropriate, required the affected district to revise the policies, procedures, and practices relating to the development and implementation of IEPs, the use of positive behavioral interventions and supports (PBIS), and procedural safeguards to ensure that these policies, procedures, and practices comply with IDEA. </w:t>
      </w:r>
      <w:r w:rsidRPr="00781112">
        <w:rPr>
          <w:rFonts w:cs="Arial"/>
          <w:color w:val="000000" w:themeColor="text1"/>
          <w:szCs w:val="16"/>
        </w:rPr>
        <w:br/>
      </w:r>
      <w:r w:rsidRPr="00781112">
        <w:rPr>
          <w:rFonts w:cs="Arial"/>
          <w:color w:val="000000" w:themeColor="text1"/>
          <w:szCs w:val="16"/>
        </w:rPr>
        <w:br/>
        <w:t xml:space="preserve">Identified districts would </w:t>
      </w:r>
      <w:proofErr w:type="gramStart"/>
      <w:r w:rsidRPr="00781112">
        <w:rPr>
          <w:rFonts w:cs="Arial"/>
          <w:color w:val="000000" w:themeColor="text1"/>
          <w:szCs w:val="16"/>
        </w:rPr>
        <w:t>be required</w:t>
      </w:r>
      <w:proofErr w:type="gramEnd"/>
      <w:r w:rsidRPr="00781112">
        <w:rPr>
          <w:rFonts w:cs="Arial"/>
          <w:color w:val="000000" w:themeColor="text1"/>
          <w:szCs w:val="16"/>
        </w:rPr>
        <w:t xml:space="preserve"> to complete a disproportionality self-assessment, which would include a review of policies, procedures, and practices; identification of potential root causes for the significant discrepancy; and a description of their plan for addressing the discrepancy in the upcoming school year. If revisions were made to the district’s policies, procedures, or practices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review, the district would be required to describe those revisions in the self-review. Revisions to formal, written special education policies and procedures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be submitted to OSPI. The state would also complete a student record review from the discrepant cells in designated districts. </w:t>
      </w:r>
      <w:r w:rsidRPr="00781112">
        <w:rPr>
          <w:rFonts w:cs="Arial"/>
          <w:color w:val="000000" w:themeColor="text1"/>
          <w:szCs w:val="16"/>
        </w:rPr>
        <w:br/>
      </w:r>
      <w:r w:rsidRPr="00781112">
        <w:rPr>
          <w:rFonts w:cs="Arial"/>
          <w:color w:val="000000" w:themeColor="text1"/>
          <w:szCs w:val="16"/>
        </w:rPr>
        <w:br/>
        <w:t xml:space="preserve">The state did not identify noncompliance with IDEA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31" w:name="_Toc381956335"/>
      <w:bookmarkStart w:id="32" w:name="_Toc384383336"/>
      <w:bookmarkStart w:id="33"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D57DA" w:rsidP="00212954">
      <w:pPr>
        <w:rPr>
          <w:rFonts w:cs="Arial"/>
          <w:color w:val="000000" w:themeColor="text1"/>
          <w:szCs w:val="16"/>
        </w:rPr>
      </w:pP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31"/>
      <w:bookmarkEnd w:id="32"/>
      <w:bookmarkEnd w:id="33"/>
    </w:p>
    <w:p w14:paraId="1BA30D93" w14:textId="77777777" w:rsidR="008637F8" w:rsidRPr="00781112" w:rsidRDefault="008637F8" w:rsidP="00A018D4">
      <w:pPr>
        <w:rPr>
          <w:color w:val="000000" w:themeColor="text1"/>
          <w:szCs w:val="20"/>
        </w:rPr>
      </w:pPr>
      <w:bookmarkStart w:id="34" w:name="_Toc384383338"/>
      <w:bookmarkStart w:id="35"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C1012B1" w14:textId="77777777" w:rsidR="002A120C" w:rsidRPr="00781112" w:rsidRDefault="002A120C"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33A24319" w14:textId="77777777" w:rsidR="002A120C" w:rsidRPr="00781112" w:rsidRDefault="002A120C"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2019</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1.66%</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4"/>
    <w:bookmarkEnd w:id="35"/>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282</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6"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Washington defined significant discrepancy in the rates of long-term suspensions and expulsions for students with IEPs through the following steps:</w:t>
      </w:r>
      <w:r w:rsidRPr="00781112">
        <w:rPr>
          <w:rFonts w:cs="Arial"/>
          <w:color w:val="000000" w:themeColor="text1"/>
          <w:szCs w:val="16"/>
        </w:rPr>
        <w:br/>
      </w:r>
      <w:proofErr w:type="gramStart"/>
      <w:r w:rsidRPr="00781112">
        <w:rPr>
          <w:rFonts w:cs="Arial"/>
          <w:color w:val="000000" w:themeColor="text1"/>
          <w:szCs w:val="16"/>
        </w:rPr>
        <w:t>1</w:t>
      </w:r>
      <w:proofErr w:type="gramEnd"/>
      <w:r w:rsidRPr="00781112">
        <w:rPr>
          <w:rFonts w:cs="Arial"/>
          <w:color w:val="000000" w:themeColor="text1"/>
          <w:szCs w:val="16"/>
        </w:rPr>
        <w:t xml:space="preserve">. Calculate each district’s rate of suspension/expulsion for greater than 10 days for students with IEPs for each race/ethnicity group (total number of students with IEPs from that race/ethnicity group who </w:t>
      </w:r>
      <w:proofErr w:type="gramStart"/>
      <w:r w:rsidRPr="00781112">
        <w:rPr>
          <w:rFonts w:cs="Arial"/>
          <w:color w:val="000000" w:themeColor="text1"/>
          <w:szCs w:val="16"/>
        </w:rPr>
        <w:t>were suspended/expelled</w:t>
      </w:r>
      <w:proofErr w:type="gramEnd"/>
      <w:r w:rsidRPr="00781112">
        <w:rPr>
          <w:rFonts w:cs="Arial"/>
          <w:color w:val="000000" w:themeColor="text1"/>
          <w:szCs w:val="16"/>
        </w:rPr>
        <w:t xml:space="preserve"> for greater than 10 days in the district divided by the total number of students with IEPs from that race/ethnicity group in the district). This process will result in each district’s rate of suspensions/expulsions for students with IEPs for each race/ethnicity group.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xml:space="preserve">. Calculate each district’s rate of suspension/expulsion for greater than 10 days for students without IEPs (total number of students without IEPs who </w:t>
      </w:r>
      <w:proofErr w:type="gramStart"/>
      <w:r w:rsidRPr="00781112">
        <w:rPr>
          <w:rFonts w:cs="Arial"/>
          <w:color w:val="000000" w:themeColor="text1"/>
          <w:szCs w:val="16"/>
        </w:rPr>
        <w:t>were suspended/expelled</w:t>
      </w:r>
      <w:proofErr w:type="gramEnd"/>
      <w:r w:rsidRPr="00781112">
        <w:rPr>
          <w:rFonts w:cs="Arial"/>
          <w:color w:val="000000" w:themeColor="text1"/>
          <w:szCs w:val="16"/>
        </w:rPr>
        <w:t xml:space="preserve"> for greater than 10 days in the district divided by the total number of students without IEPs in the district). This process will result in each district’s rate of suspensions/expulsions for students without IEPs.</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Subtract the district rate of suspension/expulsion for greater than 10 days for all students without IEPs from the district rate of suspension/expulsions for students with IEPs for each race/ethnicity group. The result is the rate difference.</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Districts with a rate difference of 2.0 or greater for any race/ethnicity group are identified as having a significant discrepancy.</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xml:space="preserve">. Districts must have a minimum 'n' size of at least two out-of-school disciplinary incidents of more than 10 days, and a minimum of </w:t>
      </w:r>
      <w:proofErr w:type="gramStart"/>
      <w:r w:rsidRPr="00781112">
        <w:rPr>
          <w:rFonts w:cs="Arial"/>
          <w:color w:val="000000" w:themeColor="text1"/>
          <w:szCs w:val="16"/>
        </w:rPr>
        <w:t>10</w:t>
      </w:r>
      <w:proofErr w:type="gramEnd"/>
      <w:r w:rsidRPr="00781112">
        <w:rPr>
          <w:rFonts w:cs="Arial"/>
          <w:color w:val="000000" w:themeColor="text1"/>
          <w:szCs w:val="16"/>
        </w:rPr>
        <w:t xml:space="preserve"> students with IEPs is required in order to be considered for significant discrepancy.</w:t>
      </w:r>
      <w:r w:rsidRPr="00781112">
        <w:rPr>
          <w:rFonts w:cs="Arial"/>
          <w:color w:val="000000" w:themeColor="text1"/>
          <w:szCs w:val="16"/>
        </w:rPr>
        <w:br/>
        <w:t xml:space="preserve">6. Two districts were excluded from the FFY 2020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not meeting this minimum “n” size requirement. The data from these two districts were included in the state-level calculations.</w:t>
      </w:r>
      <w:r w:rsidRPr="00781112">
        <w:rPr>
          <w:rFonts w:cs="Arial"/>
          <w:color w:val="000000" w:themeColor="text1"/>
          <w:szCs w:val="16"/>
        </w:rPr>
        <w:br/>
      </w:r>
      <w:r w:rsidRPr="00781112">
        <w:rPr>
          <w:rFonts w:cs="Arial"/>
          <w:color w:val="000000" w:themeColor="text1"/>
          <w:szCs w:val="16"/>
        </w:rPr>
        <w:br/>
        <w:t>Washington’s description of significant discrepancy is calculated using a rate difference, which is the difference between the rate of out-of-school suspensions of more than 10 days for students with disabilities, and the rate for students without disabilities in the same LEA. A minimum “n” size of 10 total students with IEPs in the district is applied—districts with fewer than 10 total students with IEPs in the district are not included in the denominator of the Indicator B-4B calculation.</w:t>
      </w:r>
      <w:r w:rsidRPr="00781112">
        <w:rPr>
          <w:rFonts w:cs="Arial"/>
          <w:color w:val="000000" w:themeColor="text1"/>
          <w:szCs w:val="16"/>
        </w:rPr>
        <w:br/>
      </w:r>
      <w:r w:rsidRPr="00781112">
        <w:rPr>
          <w:rFonts w:cs="Arial"/>
          <w:color w:val="000000" w:themeColor="text1"/>
          <w:szCs w:val="16"/>
        </w:rPr>
        <w:br/>
        <w:t>Rate difference = (# SWD from a specific race/ethnicity group with out of school suspensions for &gt;10 days divided by all SWD from that race/ethnicity group in the district) minus (# Students without disabilities with out of school suspensions &gt;10 days divided by all students without disabilities in the district)</w:t>
      </w:r>
      <w:r w:rsidRPr="00781112">
        <w:rPr>
          <w:rFonts w:cs="Arial"/>
          <w:color w:val="000000" w:themeColor="text1"/>
          <w:szCs w:val="16"/>
        </w:rPr>
        <w:br/>
      </w:r>
      <w:r w:rsidRPr="00781112">
        <w:rPr>
          <w:rFonts w:cs="Arial"/>
          <w:color w:val="000000" w:themeColor="text1"/>
          <w:szCs w:val="16"/>
        </w:rPr>
        <w:br/>
        <w:t>A significant discrepancy is defined as a rate difference of 2.0 or more for any race/ethnicity group, with a minimum of two disciplinary incidents (out of school suspensions of more than 10 days) that year.</w:t>
      </w:r>
    </w:p>
    <w:p w14:paraId="3EC3FBFA" w14:textId="77777777"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As previously described, Washington is using a new method for calculating a significant discrepancy for Indicator B-4. The new calculation will use a rate difference, which is the difference between the rate of out-of-school suspensions of more than 10 days for students with disabilities, and the rate for students without disabilities in the same LEA.</w:t>
      </w:r>
      <w:r w:rsidRPr="00781112">
        <w:rPr>
          <w:rFonts w:cs="Arial"/>
          <w:color w:val="000000" w:themeColor="text1"/>
          <w:szCs w:val="16"/>
        </w:rPr>
        <w:br/>
      </w:r>
      <w:r w:rsidRPr="00781112">
        <w:rPr>
          <w:rFonts w:cs="Arial"/>
          <w:color w:val="000000" w:themeColor="text1"/>
          <w:szCs w:val="16"/>
        </w:rPr>
        <w:br/>
        <w:t xml:space="preserve">This is a new method for calculating Indicator B-4A, therefore Washington is resetting its baseline in this FFY 2021 APR. The 2019-20 school year was not a complete year of data due to the COVID school facility closures. Therefore, after a review and discussion of the preliminary data for the new calculation through stakeholder meetings, the State Design Team and SEAC recommended using the discipline data from 2018-19 to establish the new baseline for this indicator beginning with the FFY 2021 APR submission. </w:t>
      </w:r>
      <w:proofErr w:type="gramStart"/>
      <w:r w:rsidRPr="00781112">
        <w:rPr>
          <w:rFonts w:cs="Arial"/>
          <w:color w:val="000000" w:themeColor="text1"/>
          <w:szCs w:val="16"/>
        </w:rPr>
        <w:t>The preliminary data were used by the State Design Team</w:t>
      </w:r>
      <w:proofErr w:type="gramEnd"/>
      <w:r w:rsidRPr="00781112">
        <w:rPr>
          <w:rFonts w:cs="Arial"/>
          <w:color w:val="000000" w:themeColor="text1"/>
          <w:szCs w:val="16"/>
        </w:rPr>
        <w:t xml:space="preserve"> and SEAC to assist the State in determining the new definition of significant discrepancy described in this section.</w:t>
      </w:r>
      <w:r w:rsidRPr="00781112">
        <w:rPr>
          <w:rFonts w:cs="Arial"/>
          <w:color w:val="000000" w:themeColor="text1"/>
          <w:szCs w:val="16"/>
        </w:rPr>
        <w:br/>
      </w:r>
      <w:r w:rsidRPr="00781112">
        <w:rPr>
          <w:rFonts w:cs="Arial"/>
          <w:color w:val="000000" w:themeColor="text1"/>
          <w:szCs w:val="16"/>
        </w:rPr>
        <w:br/>
        <w:t xml:space="preserve">OSPI acknowledges that the identification of zero districts meeting the definition of significant discrepancy for 2020-21 under the new calculation and methodology is of note. The 2020-21 school year, the year that these data were collected, was not a typical school year as many of the districts in Washington were engaged in remote learning </w:t>
      </w:r>
      <w:proofErr w:type="gramStart"/>
      <w:r w:rsidRPr="00781112">
        <w:rPr>
          <w:rFonts w:cs="Arial"/>
          <w:color w:val="000000" w:themeColor="text1"/>
          <w:szCs w:val="16"/>
        </w:rPr>
        <w:t>a majority of</w:t>
      </w:r>
      <w:proofErr w:type="gramEnd"/>
      <w:r w:rsidRPr="00781112">
        <w:rPr>
          <w:rFonts w:cs="Arial"/>
          <w:color w:val="000000" w:themeColor="text1"/>
          <w:szCs w:val="16"/>
        </w:rPr>
        <w:t xml:space="preserve"> the school year. This resulted in a much smaller number of disciplinary removals of more than 10 days for both students with and without IEPs. OSPI, in conjunction with the State Design Team and SEAC, will continue to review the data to determine the reasonableness of the State's methodology and make potential revisions to ensure the state is using a statistically sound methodology for identifying a significant discrepancy.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Based on the methodology described in the section titled "Definition of Significant Discrepancy and Methodology", no districts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having a significant discrepancy in FFY 2021 (using FFY 2020 data). </w:t>
      </w:r>
      <w:r w:rsidRPr="00781112">
        <w:rPr>
          <w:rFonts w:cs="Arial"/>
          <w:color w:val="000000" w:themeColor="text1"/>
          <w:szCs w:val="16"/>
        </w:rPr>
        <w:br/>
      </w:r>
      <w:r w:rsidRPr="00781112">
        <w:rPr>
          <w:rFonts w:cs="Arial"/>
          <w:color w:val="000000" w:themeColor="text1"/>
          <w:szCs w:val="16"/>
        </w:rPr>
        <w:br/>
        <w:t xml:space="preserve">If a district had been identified, OSPI would review and, if appropriate, required the affected district to revise the policies, procedures, and practices relating to the development and implementation of IEPs, the use of positive behavioral interventions and supports (PBIS), and procedural safeguards to ensure that these policies, procedures, and practices comply with IDEA. </w:t>
      </w:r>
      <w:r w:rsidRPr="00781112">
        <w:rPr>
          <w:rFonts w:cs="Arial"/>
          <w:color w:val="000000" w:themeColor="text1"/>
          <w:szCs w:val="16"/>
        </w:rPr>
        <w:br/>
      </w:r>
      <w:r w:rsidRPr="00781112">
        <w:rPr>
          <w:rFonts w:cs="Arial"/>
          <w:color w:val="000000" w:themeColor="text1"/>
          <w:szCs w:val="16"/>
        </w:rPr>
        <w:br/>
        <w:t xml:space="preserve">Identified districts would </w:t>
      </w:r>
      <w:proofErr w:type="gramStart"/>
      <w:r w:rsidRPr="00781112">
        <w:rPr>
          <w:rFonts w:cs="Arial"/>
          <w:color w:val="000000" w:themeColor="text1"/>
          <w:szCs w:val="16"/>
        </w:rPr>
        <w:t>be required</w:t>
      </w:r>
      <w:proofErr w:type="gramEnd"/>
      <w:r w:rsidRPr="00781112">
        <w:rPr>
          <w:rFonts w:cs="Arial"/>
          <w:color w:val="000000" w:themeColor="text1"/>
          <w:szCs w:val="16"/>
        </w:rPr>
        <w:t xml:space="preserve"> to complete a disproportionality self-assessment, which would include a review of policies, procedures, and practices; identification of potential root causes for the significant discrepancy; and a description of their plan for addressing the discrepancy in the upcoming school year. If revisions were made to the district’s policies, procedures, or practices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review, the district would be required to describe those revisions in the self-review. Revisions to formal, written special education policies and procedures </w:t>
      </w:r>
      <w:proofErr w:type="gramStart"/>
      <w:r w:rsidRPr="00781112">
        <w:rPr>
          <w:rFonts w:cs="Arial"/>
          <w:color w:val="000000" w:themeColor="text1"/>
          <w:szCs w:val="16"/>
        </w:rPr>
        <w:t>are required</w:t>
      </w:r>
      <w:proofErr w:type="gramEnd"/>
      <w:r w:rsidRPr="00781112">
        <w:rPr>
          <w:rFonts w:cs="Arial"/>
          <w:color w:val="000000" w:themeColor="text1"/>
          <w:szCs w:val="16"/>
        </w:rPr>
        <w:t xml:space="preserve"> to be submitted to OSPI. The state would also complete a student record review from the discrepant cells in designated districts. </w:t>
      </w:r>
      <w:r w:rsidRPr="00781112">
        <w:rPr>
          <w:rFonts w:cs="Arial"/>
          <w:color w:val="000000" w:themeColor="text1"/>
          <w:szCs w:val="16"/>
        </w:rPr>
        <w:br/>
      </w:r>
      <w:r w:rsidRPr="00781112">
        <w:rPr>
          <w:rFonts w:cs="Arial"/>
          <w:color w:val="000000" w:themeColor="text1"/>
          <w:szCs w:val="16"/>
        </w:rPr>
        <w:br/>
        <w:t xml:space="preserve">The state did not identify noncompliance with IDEA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2"/>
      <w:bookmarkEnd w:id="36"/>
    </w:p>
    <w:p w14:paraId="52AD89A1" w14:textId="77777777" w:rsidR="00775845" w:rsidRPr="00781112" w:rsidRDefault="00775845" w:rsidP="00A018D4">
      <w:pPr>
        <w:rPr>
          <w:color w:val="000000" w:themeColor="text1"/>
          <w:szCs w:val="20"/>
        </w:rPr>
      </w:pPr>
      <w:bookmarkStart w:id="37"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7"/>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52.25%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52.35%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55.00%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57.00%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60.00%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59.99%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55.21%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56.63%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57.73%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59.99%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13.06%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12.96%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12.75%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12.20%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12.15%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13.13%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12.15%</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1.00%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0.98%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0.86%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0.86%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0.89%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0.95%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0.98%</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61.70%</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63.40%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65.10%</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66.80%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68.50%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12.13%</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12.06%</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11.99%</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11.92%</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11.85%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1.00%</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0.99%</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0.99%</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0.98%</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0.97%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 xml:space="preserve">Participants were assigned to one of seven focus groups based on their identified areas of interest and role. Each of the groups contained 45–55 </w:t>
      </w:r>
      <w:r w:rsidRPr="00781112">
        <w:rPr>
          <w:rFonts w:cs="Arial"/>
          <w:color w:val="000000" w:themeColor="text1"/>
          <w:szCs w:val="16"/>
        </w:rPr>
        <w:lastRenderedPageBreak/>
        <w:t>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137,186</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85,563</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15,980</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952</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lastRenderedPageBreak/>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196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85,563</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137,186</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59.99%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61.70%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62.37%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15,980</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137,186</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12.15%</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12.13%</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11.65%</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1,313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137,186</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0.98%</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0.96%</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Washington state revised the baseline line for Indicators 5A, 5B, and 5C to the FFY 2020 data as required by OSEPs response in the FFY 2020 SPP.</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 xml:space="preserve">In its FFY 2021 SPP/APR, the State must revise its baseline, using FFY 2020 data and provide the required targets for FFY 2020 through FFY 2025, and ensure its FFY 2025 targets </w:t>
      </w:r>
      <w:proofErr w:type="gramStart"/>
      <w:r w:rsidRPr="00781112">
        <w:rPr>
          <w:rFonts w:cs="Arial"/>
          <w:color w:val="000000" w:themeColor="text1"/>
          <w:szCs w:val="16"/>
        </w:rPr>
        <w:t>reflects</w:t>
      </w:r>
      <w:proofErr w:type="gramEnd"/>
      <w:r w:rsidRPr="00781112">
        <w:rPr>
          <w:rFonts w:cs="Arial"/>
          <w:color w:val="000000" w:themeColor="text1"/>
          <w:szCs w:val="16"/>
        </w:rPr>
        <w:t xml:space="preserve"> improvement over baseline.</w:t>
      </w:r>
    </w:p>
    <w:p w14:paraId="7C18E8E7" w14:textId="02710B2C" w:rsidR="000A2C83" w:rsidRPr="00781112" w:rsidRDefault="007639D7" w:rsidP="004369B2">
      <w:pPr>
        <w:rPr>
          <w:b/>
          <w:bCs/>
          <w:color w:val="000000" w:themeColor="text1"/>
        </w:rPr>
      </w:pPr>
      <w:r>
        <w:rPr>
          <w:b/>
          <w:bCs/>
          <w:color w:val="000000" w:themeColor="text1"/>
        </w:rPr>
        <w:t>Response to actions required in FFY 2020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Washington state revised the baseline for Indicators 5A, 5B, and 5C to the FFY 2020 data per OSEP's required action noted above, and the FFY 2025 targets for Indicator B5 all reflect improvement over the baseline (of FFY 2020).</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revised its targets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8"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8"/>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28.90%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29.05%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29.20%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29.20%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21.04%</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24.81%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23.80%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25.29%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26.39%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21.04%</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38.20%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37.80%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37.80%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53.50%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40.96%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41.85%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40.71%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53.50%</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 xml:space="preserve">Participants were assigned to one of seven focus groups based on their identified areas of interest and role. Each of the groups contained 45–55 </w:t>
      </w:r>
      <w:r w:rsidRPr="00781112">
        <w:rPr>
          <w:rFonts w:cs="Arial"/>
          <w:color w:val="000000" w:themeColor="text1"/>
          <w:szCs w:val="16"/>
        </w:rPr>
        <w:lastRenderedPageBreak/>
        <w:t>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137AAC0F" w14:textId="77777777" w:rsidR="0059735F" w:rsidRDefault="0059735F" w:rsidP="0059735F">
      <w:pPr>
        <w:rPr>
          <w:rFonts w:cs="Arial"/>
          <w:color w:val="000000" w:themeColor="text1"/>
          <w:szCs w:val="16"/>
        </w:rPr>
      </w:pPr>
    </w:p>
    <w:p w14:paraId="37439DD3" w14:textId="3E5CC449" w:rsidR="002A120C" w:rsidRPr="00781112" w:rsidRDefault="002A120C"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21.04%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53.50%</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lastRenderedPageBreak/>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23.24%</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25.44%</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27.64%</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29.84%</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32.04%</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51.40%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49.30%</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47.20%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45.10%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43.00%</w:t>
            </w:r>
          </w:p>
        </w:tc>
      </w:tr>
    </w:tbl>
    <w:p w14:paraId="27170CED" w14:textId="772C81FC" w:rsidR="00E428BD" w:rsidRDefault="00E428BD" w:rsidP="004369B2">
      <w:pPr>
        <w:rPr>
          <w:color w:val="000000" w:themeColor="text1"/>
        </w:rPr>
      </w:pPr>
      <w:bookmarkStart w:id="39" w:name="_Toc382082378"/>
      <w:bookmarkStart w:id="40"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0.90%</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0.80%</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0.70%</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0.60%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3,281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5,018</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1,266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9,565</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703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1,378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378</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2,459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1,682</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2,217</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533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4,432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116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140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289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19</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9</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56</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C024B4D" w14:textId="79AE9BEC" w:rsidR="00D16730" w:rsidRPr="002A120C" w:rsidRDefault="00C910BC" w:rsidP="007D100A">
      <w:pPr>
        <w:rPr>
          <w:color w:val="000000" w:themeColor="text1"/>
        </w:rPr>
      </w:pPr>
      <w:r w:rsidRPr="00781112">
        <w:rPr>
          <w:color w:val="000000" w:themeColor="text1"/>
        </w:rPr>
        <w:t>NO</w:t>
      </w: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2,459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9,565</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21.04%</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23.24%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25.71%</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4,726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9,565</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53.50%</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51.40%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49.41%</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56</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9,565</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0.90%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0.59%</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lastRenderedPageBreak/>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9"/>
      <w:bookmarkEnd w:id="40"/>
    </w:p>
    <w:p w14:paraId="1404DCF9" w14:textId="77777777" w:rsidR="00531E54" w:rsidRPr="00781112" w:rsidRDefault="00531E54" w:rsidP="00A018D4">
      <w:pPr>
        <w:rPr>
          <w:color w:val="000000" w:themeColor="text1"/>
          <w:szCs w:val="20"/>
        </w:rPr>
      </w:pPr>
      <w:bookmarkStart w:id="41"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41"/>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83.70%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87.01%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91.19%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90.79%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89.59%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87.01%</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50.80%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38.10%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38.14%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48.91%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47.12%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47.89%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44.43%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38.14%</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82.40%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82.70%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86.01%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89.93%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88.46%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88.97%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88.77%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86.01%</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52.20%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37.56%</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37.56%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49.67%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48.26%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44.77%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37.56%</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81.40%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81.70%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86.65%</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86.65%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91.20%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88.91%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86.65%</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65.80%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66.20%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66.20%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48.06%</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48.06%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62.81%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61.72%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54.74%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48.06%</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87.40%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87.90%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88.30%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88.70%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89.20%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39.30%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40.40%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41.60%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42.70%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43.90%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86.50%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87.00%</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87.50%</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88.00%</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88.50%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38.80%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40.10%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41.30%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42.50%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43.80%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87.10%</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87.50%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87.80%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88.20%</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88.60%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49.30%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50.40%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51.60%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52.70%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53.90%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w:t>
      </w:r>
      <w:r w:rsidRPr="00781112">
        <w:rPr>
          <w:rFonts w:cs="Arial"/>
          <w:color w:val="000000" w:themeColor="text1"/>
          <w:szCs w:val="16"/>
        </w:rPr>
        <w:lastRenderedPageBreak/>
        <w:t xml:space="preserve">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4,618</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92</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1.99%</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437</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9.46%</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2,210</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47.86%</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1,422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30.79%</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457</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9.90%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3,632</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4,161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87.01%</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87.40%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87.29%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1,879</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4,618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38.14%</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39.30%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40.69%</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lastRenderedPageBreak/>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1.86%</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479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10.37%</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2,280</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49.37%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1,406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30.45%</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7.95%</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3,686</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4,251</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86.01%</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86.71%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1,773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4,618</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37.56%</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38.80%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38.39%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89</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1.93%</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435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9.42%</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1,835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39.74%</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1,613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34.93%</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646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13.99%</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3,448</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3,972</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86.65%</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87.10%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86.81%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w:t>
            </w:r>
            <w:r w:rsidRPr="00781112">
              <w:rPr>
                <w:rFonts w:cs="Arial"/>
                <w:color w:val="000000" w:themeColor="text1"/>
                <w:szCs w:val="16"/>
              </w:rPr>
              <w:lastRenderedPageBreak/>
              <w:t xml:space="preserve">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lastRenderedPageBreak/>
              <w:t>2,259</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4,618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48.06%</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49.30%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48.92%</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42" w:name="_Toc382082381"/>
      <w:bookmarkStart w:id="43"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ECTACenter.org: The Early Childhood Technical Assistance Center: Improving Systems, Practices and Outcomes for Young Children with Disabilities and their Families</w:t>
      </w:r>
      <w:r w:rsidRPr="00781112">
        <w:rPr>
          <w:rFonts w:cs="Arial"/>
          <w:color w:val="000000" w:themeColor="text1"/>
          <w:szCs w:val="16"/>
        </w:rPr>
        <w:br/>
      </w:r>
      <w:r w:rsidRPr="00781112">
        <w:rPr>
          <w:rFonts w:cs="Arial"/>
          <w:color w:val="000000" w:themeColor="text1"/>
          <w:szCs w:val="16"/>
        </w:rPr>
        <w:br/>
        <w:t>Washington state adopted the instruments and instructions initially developed by the ECO Center. The state continues to use the instrument (7-point scale) and training modules developed jointly by the Center for IDEA Early Childhood Data Systems (DaSy) and the Early Childhood Technical Assistance Center (ECTA Center).</w:t>
      </w:r>
      <w:r w:rsidRPr="00781112">
        <w:rPr>
          <w:rFonts w:cs="Arial"/>
          <w:color w:val="000000" w:themeColor="text1"/>
          <w:szCs w:val="16"/>
        </w:rPr>
        <w:br/>
      </w:r>
      <w:r w:rsidRPr="00781112">
        <w:rPr>
          <w:rFonts w:cs="Arial"/>
          <w:color w:val="000000" w:themeColor="text1"/>
          <w:szCs w:val="16"/>
        </w:rPr>
        <w:br/>
        <w:t xml:space="preserve">The COS process is a team process for summarizing information on a child’s functioning in each of the three child outcome areas using a 7-point scale (http://dasyonline.org/olms2/COS_Session4). With the COS process, a team of individuals who are familiar with a child (including parents) can consider multiple sources of information about his/her functioning, including parent/provider observation and results from direct assessment. Additionally, the COS process allows early intervention and early childhood special education programs to synthesize information about children across different assessment tools to produce data that can </w:t>
      </w:r>
      <w:proofErr w:type="gramStart"/>
      <w:r w:rsidRPr="00781112">
        <w:rPr>
          <w:rFonts w:cs="Arial"/>
          <w:color w:val="000000" w:themeColor="text1"/>
          <w:szCs w:val="16"/>
        </w:rPr>
        <w:t>be summarized</w:t>
      </w:r>
      <w:proofErr w:type="gramEnd"/>
      <w:r w:rsidRPr="00781112">
        <w:rPr>
          <w:rFonts w:cs="Arial"/>
          <w:color w:val="000000" w:themeColor="text1"/>
          <w:szCs w:val="16"/>
        </w:rPr>
        <w:t xml:space="preserve"> across programs in the state, as well as across states for a national picture. The ECTA Center developed a print resource providing an Overview of the COS Process (https://ectacenter.org/outcomes.asp).</w:t>
      </w:r>
      <w:r w:rsidRPr="00781112">
        <w:rPr>
          <w:rFonts w:cs="Arial"/>
          <w:color w:val="000000" w:themeColor="text1"/>
          <w:szCs w:val="16"/>
        </w:rPr>
        <w:br/>
      </w:r>
      <w:r w:rsidRPr="00781112">
        <w:rPr>
          <w:rFonts w:cs="Arial"/>
          <w:color w:val="000000" w:themeColor="text1"/>
          <w:szCs w:val="16"/>
        </w:rPr>
        <w:br/>
        <w:t xml:space="preserve">Beginning with the 2020–21 school year Washington added all the elements of the COS to the statewide student information system. Any student with an IEP in grade level preschool (PreK)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submit COS data to this system This was the first time to receive this detailed information as it included all corresponding demographic data for each of these students, in addition to the COS data. The validations in place in Washington’s student information system insured all data elements </w:t>
      </w:r>
      <w:proofErr w:type="gramStart"/>
      <w:r w:rsidRPr="00781112">
        <w:rPr>
          <w:rFonts w:cs="Arial"/>
          <w:color w:val="000000" w:themeColor="text1"/>
          <w:szCs w:val="16"/>
        </w:rPr>
        <w:t>were received</w:t>
      </w:r>
      <w:proofErr w:type="gramEnd"/>
      <w:r w:rsidRPr="00781112">
        <w:rPr>
          <w:rFonts w:cs="Arial"/>
          <w:color w:val="000000" w:themeColor="text1"/>
          <w:szCs w:val="16"/>
        </w:rPr>
        <w:t xml:space="preserve"> and met the requirements associated with each element (as outlined in the ECTA document “Calculating OSEP [Office of Special Education Programs] Categories from COS Responses”). By adding these elements to Washington’s statewide student information system, the manual checking by the State Part B Data Manager of missing elements or duplicate students has </w:t>
      </w:r>
      <w:proofErr w:type="gramStart"/>
      <w:r w:rsidRPr="00781112">
        <w:rPr>
          <w:rFonts w:cs="Arial"/>
          <w:color w:val="000000" w:themeColor="text1"/>
          <w:szCs w:val="16"/>
        </w:rPr>
        <w:t>been eliminated</w:t>
      </w:r>
      <w:proofErr w:type="gramEnd"/>
      <w:r w:rsidRPr="00781112">
        <w:rPr>
          <w:rFonts w:cs="Arial"/>
          <w:color w:val="000000" w:themeColor="text1"/>
          <w:szCs w:val="16"/>
        </w:rPr>
        <w:t xml:space="preserve">, saving time, and ensuring a higher quality of data collected.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42"/>
      <w:bookmarkEnd w:id="43"/>
    </w:p>
    <w:p w14:paraId="66FBCA03" w14:textId="77777777" w:rsidR="00B654C1" w:rsidRPr="00781112" w:rsidRDefault="00B654C1" w:rsidP="00A018D4">
      <w:pPr>
        <w:rPr>
          <w:color w:val="000000" w:themeColor="text1"/>
          <w:szCs w:val="20"/>
        </w:rPr>
      </w:pPr>
      <w:bookmarkStart w:id="44"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5"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5"/>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4"/>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lastRenderedPageBreak/>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During the 2021-22 school year, Washington convened a Parent Engagement Focus Group, part of the State Design Team (SDT), which engaged in work related to Indicator B-8. The Parent Engagement Focus Group consisted of </w:t>
      </w:r>
      <w:proofErr w:type="gramStart"/>
      <w:r w:rsidRPr="00781112">
        <w:rPr>
          <w:rFonts w:cs="Arial"/>
          <w:color w:val="000000" w:themeColor="text1"/>
          <w:szCs w:val="16"/>
        </w:rPr>
        <w:t>51</w:t>
      </w:r>
      <w:proofErr w:type="gramEnd"/>
      <w:r w:rsidRPr="00781112">
        <w:rPr>
          <w:rFonts w:cs="Arial"/>
          <w:color w:val="000000" w:themeColor="text1"/>
          <w:szCs w:val="16"/>
        </w:rPr>
        <w:t xml:space="preserve"> participants, including three individuals with disabilities and 30 parents/family members of individuals with disabilities. The group also included representatives from all seven federal race/ethnicity groups, tribal partners, advocates, general and special education teachers and administrators, state agency staff, and professional and community organizations. The group’s work included analyzing survey trend </w:t>
      </w:r>
      <w:proofErr w:type="gramStart"/>
      <w:r w:rsidRPr="00781112">
        <w:rPr>
          <w:rFonts w:cs="Arial"/>
          <w:color w:val="000000" w:themeColor="text1"/>
          <w:szCs w:val="16"/>
        </w:rPr>
        <w:t>data, and</w:t>
      </w:r>
      <w:proofErr w:type="gramEnd"/>
      <w:r w:rsidRPr="00781112">
        <w:rPr>
          <w:rFonts w:cs="Arial"/>
          <w:color w:val="000000" w:themeColor="text1"/>
          <w:szCs w:val="16"/>
        </w:rPr>
        <w:t xml:space="preserve"> discussing and determining targets for Indicator B8.</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21.10%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21.90%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22.10%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22.30%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22.50%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33.10%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28.68%</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28.03%</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30.27%</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32.34%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41.99%</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33.80%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34.60%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35.30%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36.00%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36.80%</w:t>
            </w:r>
          </w:p>
        </w:tc>
      </w:tr>
    </w:tbl>
    <w:p w14:paraId="68BCE5ED" w14:textId="77777777" w:rsidR="007E2779" w:rsidRPr="00781112" w:rsidRDefault="007E2779" w:rsidP="000A2C83">
      <w:pPr>
        <w:rPr>
          <w:rFonts w:cs="Arial"/>
          <w:color w:val="000000" w:themeColor="text1"/>
          <w:szCs w:val="16"/>
        </w:rPr>
      </w:pPr>
    </w:p>
    <w:p w14:paraId="505CFDF0" w14:textId="77777777" w:rsidR="002A120C" w:rsidRDefault="002A120C">
      <w:pPr>
        <w:spacing w:before="0" w:after="200" w:line="276" w:lineRule="auto"/>
        <w:rPr>
          <w:b/>
          <w:color w:val="000000" w:themeColor="text1"/>
        </w:rPr>
      </w:pPr>
      <w:r>
        <w:rPr>
          <w:b/>
          <w:color w:val="000000" w:themeColor="text1"/>
        </w:rPr>
        <w:br w:type="page"/>
      </w:r>
    </w:p>
    <w:p w14:paraId="15954908" w14:textId="05956C00" w:rsidR="00FB6462" w:rsidRPr="00781112" w:rsidRDefault="0047313F" w:rsidP="004369B2">
      <w:pPr>
        <w:rPr>
          <w:color w:val="000000" w:themeColor="text1"/>
        </w:rPr>
      </w:pPr>
      <w:r>
        <w:rPr>
          <w:b/>
          <w:color w:val="000000" w:themeColor="text1"/>
        </w:rPr>
        <w:lastRenderedPageBreak/>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775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2,570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41.99%</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33.80%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30.16%</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 xml:space="preserve">OSPI staff examined the survey results and had discussions </w:t>
      </w:r>
      <w:proofErr w:type="gramStart"/>
      <w:r w:rsidRPr="00781112">
        <w:rPr>
          <w:rFonts w:cs="Arial"/>
          <w:color w:val="000000" w:themeColor="text1"/>
          <w:szCs w:val="16"/>
        </w:rPr>
        <w:t>in an attempt to</w:t>
      </w:r>
      <w:proofErr w:type="gramEnd"/>
      <w:r w:rsidRPr="00781112">
        <w:rPr>
          <w:rFonts w:cs="Arial"/>
          <w:color w:val="000000" w:themeColor="text1"/>
          <w:szCs w:val="16"/>
        </w:rPr>
        <w:t xml:space="preserve"> determine reasons for the identified slippage. Below is a description of the potential contributing factors.</w:t>
      </w:r>
      <w:r w:rsidRPr="00781112">
        <w:rPr>
          <w:rFonts w:cs="Arial"/>
          <w:color w:val="000000" w:themeColor="text1"/>
          <w:szCs w:val="16"/>
        </w:rPr>
        <w:br/>
      </w:r>
      <w:r w:rsidRPr="00781112">
        <w:rPr>
          <w:rFonts w:cs="Arial"/>
          <w:color w:val="000000" w:themeColor="text1"/>
          <w:szCs w:val="16"/>
        </w:rPr>
        <w:br/>
        <w:t xml:space="preserve">First, the survey results for 2021-22 included the state's largest school district, which resulted in the performance of a single district having a disproportionate impact on the statewide results. This single district represented 35.2% of the total surveys sent out, and 40.1% of the responders statewide. This single district's response rate (14.5%) was higher than the total response rate for all other districts (12.8%), and the single district's results for the survey (26.3%) was lower than the state's total results (30.2%), resulting in a disproportionately larger impact on the statewide data. This district participated in an onsite program review in the spring of 2022. Parent involvement was an area of review during this visit, and recommendations </w:t>
      </w:r>
      <w:proofErr w:type="gramStart"/>
      <w:r w:rsidRPr="00781112">
        <w:rPr>
          <w:rFonts w:cs="Arial"/>
          <w:color w:val="000000" w:themeColor="text1"/>
          <w:szCs w:val="16"/>
        </w:rPr>
        <w:t>were included</w:t>
      </w:r>
      <w:proofErr w:type="gramEnd"/>
      <w:r w:rsidRPr="00781112">
        <w:rPr>
          <w:rFonts w:cs="Arial"/>
          <w:color w:val="000000" w:themeColor="text1"/>
          <w:szCs w:val="16"/>
        </w:rPr>
        <w:t xml:space="preserve"> as part of the final report to the district. </w:t>
      </w:r>
      <w:r w:rsidRPr="00781112">
        <w:rPr>
          <w:rFonts w:cs="Arial"/>
          <w:color w:val="000000" w:themeColor="text1"/>
          <w:szCs w:val="16"/>
        </w:rPr>
        <w:br/>
      </w:r>
      <w:r w:rsidRPr="00781112">
        <w:rPr>
          <w:rFonts w:cs="Arial"/>
          <w:color w:val="000000" w:themeColor="text1"/>
          <w:szCs w:val="16"/>
        </w:rPr>
        <w:br/>
        <w:t xml:space="preserve">Additionally, review of the FFY 2021 data for the state's performance for Indicator B8 confirm anecdotal data shared across educational partners (stakeholders), reflecting a shift away from trends observed in 2019-20 and 2020-21 regarding family expectations. As communities adjusted to the ongoing reality and impact of the pandemic and </w:t>
      </w:r>
      <w:proofErr w:type="gramStart"/>
      <w:r w:rsidRPr="00781112">
        <w:rPr>
          <w:rFonts w:cs="Arial"/>
          <w:color w:val="000000" w:themeColor="text1"/>
          <w:szCs w:val="16"/>
        </w:rPr>
        <w:t>shift</w:t>
      </w:r>
      <w:proofErr w:type="gramEnd"/>
      <w:r w:rsidRPr="00781112">
        <w:rPr>
          <w:rFonts w:cs="Arial"/>
          <w:color w:val="000000" w:themeColor="text1"/>
          <w:szCs w:val="16"/>
        </w:rPr>
        <w:t xml:space="preserve"> to endemic conditions, expectations from families and community members rose related to provision of services, including compensatory education (or recovery services). In other words, public perception shifted away from a feeling of "we are all in this together" to a mindset that additional delays and shortages were having an outsized impact on students with disabilities.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Washington state is not using a separate data collection methodology for preschool children. The state continues to use a single instrument for students ages 3–21; therefore, there is only one data set for baseline data, targets, and actual target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20,149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12.75%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6"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16.34%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12.75%</w:t>
            </w:r>
          </w:p>
        </w:tc>
      </w:tr>
      <w:bookmarkEnd w:id="46"/>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Current strategies for increasing response rates include providing the survey in the 12 most commonly spoken languages in Washington, piloting of an online version of the survey tool (in addition to the paper copy), additional follow-up reminders to parents to complete the survey, working with the local school district to provide advance notice to parents that the survey is coming, and collection of feedback from parents who have completed the survey.</w:t>
      </w:r>
      <w:r w:rsidRPr="0061205F">
        <w:rPr>
          <w:rFonts w:cs="Arial"/>
          <w:bCs/>
          <w:color w:val="000000" w:themeColor="text1"/>
          <w:szCs w:val="16"/>
        </w:rPr>
        <w:br/>
      </w:r>
      <w:r w:rsidRPr="0061205F">
        <w:rPr>
          <w:rFonts w:cs="Arial"/>
          <w:bCs/>
          <w:color w:val="000000" w:themeColor="text1"/>
          <w:szCs w:val="16"/>
        </w:rPr>
        <w:br/>
        <w:t xml:space="preserve">During in the 2021-22 school year, Washington convened a Parent Engagement Focus Group, part of the State Design Team (SDT), which engaged in work related to Indicator B-8. The Parent Engagement Focus Group consisted of </w:t>
      </w:r>
      <w:proofErr w:type="gramStart"/>
      <w:r w:rsidRPr="0061205F">
        <w:rPr>
          <w:rFonts w:cs="Arial"/>
          <w:bCs/>
          <w:color w:val="000000" w:themeColor="text1"/>
          <w:szCs w:val="16"/>
        </w:rPr>
        <w:t>51</w:t>
      </w:r>
      <w:proofErr w:type="gramEnd"/>
      <w:r w:rsidRPr="0061205F">
        <w:rPr>
          <w:rFonts w:cs="Arial"/>
          <w:bCs/>
          <w:color w:val="000000" w:themeColor="text1"/>
          <w:szCs w:val="16"/>
        </w:rPr>
        <w:t xml:space="preserve"> participants, including three individuals with disabilities and 30 parents/family members of individuals with disabilities. The group also included representatives from all seven federal race/ethnicity groups, tribal partners, advocates, general and special education teachers and administrators, state agency staff, and professional and community organizations. The group’s work </w:t>
      </w:r>
      <w:proofErr w:type="gramStart"/>
      <w:r w:rsidRPr="0061205F">
        <w:rPr>
          <w:rFonts w:cs="Arial"/>
          <w:bCs/>
          <w:color w:val="000000" w:themeColor="text1"/>
          <w:szCs w:val="16"/>
        </w:rPr>
        <w:t>was focused</w:t>
      </w:r>
      <w:proofErr w:type="gramEnd"/>
      <w:r w:rsidRPr="0061205F">
        <w:rPr>
          <w:rFonts w:cs="Arial"/>
          <w:bCs/>
          <w:color w:val="000000" w:themeColor="text1"/>
          <w:szCs w:val="16"/>
        </w:rPr>
        <w:t xml:space="preserve"> on the development of the new parent survey tool, as well as methods for implementing the new survey process. This work included analyzing survey data and response rates and identifying methods for increasing response rates particularly for underrepresented groups.</w:t>
      </w:r>
      <w:r w:rsidRPr="0061205F">
        <w:rPr>
          <w:rFonts w:cs="Arial"/>
          <w:bCs/>
          <w:color w:val="000000" w:themeColor="text1"/>
          <w:szCs w:val="16"/>
        </w:rPr>
        <w:br/>
      </w:r>
      <w:r w:rsidRPr="0061205F">
        <w:rPr>
          <w:rFonts w:cs="Arial"/>
          <w:bCs/>
          <w:color w:val="000000" w:themeColor="text1"/>
          <w:szCs w:val="16"/>
        </w:rPr>
        <w:br/>
        <w:t>Considerations for the new tool included discussions on methods for increasing response rate, such as decreasing the number of survey questions, ensuring clarity of the questions being asked, increasing the languages in which the survey is available, the use of incentives, accessibility of the tool, implementing multiple submission options, and more.</w:t>
      </w:r>
      <w:r w:rsidRPr="0061205F">
        <w:rPr>
          <w:rFonts w:cs="Arial"/>
          <w:bCs/>
          <w:color w:val="000000" w:themeColor="text1"/>
          <w:szCs w:val="16"/>
        </w:rPr>
        <w:br/>
      </w:r>
      <w:r w:rsidRPr="0061205F">
        <w:rPr>
          <w:rFonts w:cs="Arial"/>
          <w:bCs/>
          <w:color w:val="000000" w:themeColor="text1"/>
          <w:szCs w:val="16"/>
        </w:rPr>
        <w:br/>
        <w:t xml:space="preserve">The Parent Engagement Group's work resulted in a set of survey questions which was shared and discussed with the state's Special Education Advisory Council (SEAC) in May 2022. The survey content </w:t>
      </w:r>
      <w:proofErr w:type="gramStart"/>
      <w:r w:rsidRPr="0061205F">
        <w:rPr>
          <w:rFonts w:cs="Arial"/>
          <w:bCs/>
          <w:color w:val="000000" w:themeColor="text1"/>
          <w:szCs w:val="16"/>
        </w:rPr>
        <w:t>was finalized</w:t>
      </w:r>
      <w:proofErr w:type="gramEnd"/>
      <w:r w:rsidRPr="0061205F">
        <w:rPr>
          <w:rFonts w:cs="Arial"/>
          <w:bCs/>
          <w:color w:val="000000" w:themeColor="text1"/>
          <w:szCs w:val="16"/>
        </w:rPr>
        <w:t xml:space="preserve"> at the end of the 2021-22 school year.</w:t>
      </w:r>
      <w:r w:rsidRPr="0061205F">
        <w:rPr>
          <w:rFonts w:cs="Arial"/>
          <w:bCs/>
          <w:color w:val="000000" w:themeColor="text1"/>
          <w:szCs w:val="16"/>
        </w:rPr>
        <w:br/>
      </w:r>
      <w:r w:rsidRPr="0061205F">
        <w:rPr>
          <w:rFonts w:cs="Arial"/>
          <w:bCs/>
          <w:color w:val="000000" w:themeColor="text1"/>
          <w:szCs w:val="16"/>
        </w:rPr>
        <w:br/>
        <w:t xml:space="preserve">During the 2022-23 school year, OSPI is contracting with the Technical Assistance for Excellence in Special Education (TAESE) center to discuss and determine the process for implementing the new parent survey, using the recommendations provided by the Parent Engagement Focus Group. This work will involve the review of other state's processes, including strategies for increasing response rate and representativeness. OSPI anticipates the new parent survey tool and process, the culmination of this work, will </w:t>
      </w:r>
      <w:proofErr w:type="gramStart"/>
      <w:r w:rsidRPr="0061205F">
        <w:rPr>
          <w:rFonts w:cs="Arial"/>
          <w:bCs/>
          <w:color w:val="000000" w:themeColor="text1"/>
          <w:szCs w:val="16"/>
        </w:rPr>
        <w:t>be fully implemented</w:t>
      </w:r>
      <w:proofErr w:type="gramEnd"/>
      <w:r w:rsidRPr="0061205F">
        <w:rPr>
          <w:rFonts w:cs="Arial"/>
          <w:bCs/>
          <w:color w:val="000000" w:themeColor="text1"/>
          <w:szCs w:val="16"/>
        </w:rPr>
        <w:t xml:space="preserve"> during the 2024-25 school year.</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7"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7"/>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data for all cohort districts </w:t>
      </w:r>
      <w:proofErr w:type="gramStart"/>
      <w:r>
        <w:rPr>
          <w:rFonts w:cs="Arial"/>
          <w:szCs w:val="16"/>
        </w:rPr>
        <w:t>were reviewed</w:t>
      </w:r>
      <w:proofErr w:type="gramEnd"/>
      <w:r>
        <w:rPr>
          <w:rFonts w:cs="Arial"/>
          <w:szCs w:val="16"/>
        </w:rPr>
        <w:t xml:space="preserve"> and disaggregated by geographical location [regional review by Educational Service District (ESD)] and district size. Other factors considered during the analysis included a review of the response rates, the degree of representativeness of the survey respondents (by race/ethnicity, grade level, least restrictive environment (LRE) placement, disability category, and school type), and the potential for </w:t>
      </w:r>
      <w:r>
        <w:rPr>
          <w:rFonts w:cs="Arial"/>
          <w:szCs w:val="16"/>
        </w:rPr>
        <w:lastRenderedPageBreak/>
        <w:t>non-response bias. The review considered the results to be statistically representative of the target population if the response rate was +/- 3.0% of the target population for each characteristic.</w:t>
      </w:r>
      <w:r>
        <w:rPr>
          <w:rFonts w:cs="Arial"/>
          <w:szCs w:val="16"/>
        </w:rPr>
        <w:br/>
      </w:r>
      <w:r>
        <w:rPr>
          <w:rFonts w:cs="Arial"/>
          <w:szCs w:val="16"/>
        </w:rPr>
        <w:br/>
        <w:t>The analyses for the FFY 2021 survey data suggest that the results of the survey are statistically representative of the target population with variance noted within three race/ethnicity groups and two disability categories. Two race/ethnicity groups were slightly under-represented: parents of students identified as Black/African American (representing 12.25% of the survey population but 8.3% of the responders) and Hispanic/Latinx (representing 18.6% of the population but 12.7% of the responders). One race/ethnicity group was slightly over-represented: parents of students identified as White/Caucasian (representing 51.8% of the survey population but 59.6% of the responders). With the exception of the 2021-22 results, this variance is similar to the survey results seen in previous years.</w:t>
      </w:r>
      <w:r>
        <w:rPr>
          <w:rFonts w:cs="Arial"/>
          <w:szCs w:val="16"/>
        </w:rPr>
        <w:br/>
      </w:r>
      <w:r>
        <w:rPr>
          <w:rFonts w:cs="Arial"/>
          <w:szCs w:val="16"/>
        </w:rPr>
        <w:br/>
        <w:t>Similar to the prior year's results, parents of students qualifying for special education under the category of Autism are slightly over-represented, while parents of students qualifying for special education under the category of Specific Learning Disability are somewhat underrepresented. Parents of students eligible under the category of Autism are 13.5% of the sample but 20.3% of the respondents. Conversely, parents of students eligible under the category of Specific Learning Disability are 30.3% of the sample but 22.0% of the respondents. The results were found to be representative across all of the other areas of analysis (i.e., grade level, LRE placement, and school type).</w:t>
      </w:r>
      <w:r>
        <w:rPr>
          <w:rFonts w:cs="Arial"/>
          <w:szCs w:val="16"/>
        </w:rPr>
        <w:br/>
      </w:r>
      <w:r>
        <w:rPr>
          <w:rFonts w:cs="Arial"/>
          <w:szCs w:val="16"/>
        </w:rPr>
        <w:br/>
        <w:t xml:space="preserve">The state continues to conduct analyses to determine strategies for statewide technical assistance and guidance to help ensure progress and movement toward the targets for this indicator, as well as to reduce identified biases and increase responses from a broad cross section of parents of children with disabilities. As previously described, Washington </w:t>
      </w:r>
      <w:proofErr w:type="gramStart"/>
      <w:r>
        <w:rPr>
          <w:rFonts w:cs="Arial"/>
          <w:szCs w:val="16"/>
        </w:rPr>
        <w:t>worked</w:t>
      </w:r>
      <w:proofErr w:type="gramEnd"/>
      <w:r>
        <w:rPr>
          <w:rFonts w:cs="Arial"/>
          <w:szCs w:val="16"/>
        </w:rPr>
        <w:t xml:space="preserve"> with the Parent Engagement Focus Group in 2021-22, and the TAESE center in 2022-23, to improve both the parent survey tool and the process for implementing the parent surveys. This work continues to include the analyzing of survey data and identifying methods for increasing response rates, particularly for underrepresented groups. </w:t>
      </w:r>
      <w:r>
        <w:rPr>
          <w:rFonts w:cs="Arial"/>
          <w:szCs w:val="16"/>
        </w:rPr>
        <w:br/>
      </w:r>
      <w:r>
        <w:rPr>
          <w:rFonts w:cs="Arial"/>
          <w:szCs w:val="16"/>
        </w:rPr>
        <w:br/>
        <w:t>OSPI is also continuing to participate in a collaborative systemic equity review with the National Center for Systemic Improvement (NCSI) to ensure that diversity, equity, and inclusion are the foundation for our work, including the development and implementation of the new parent survey tool and process.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8" w:name="_Hlk112070690"/>
      <w:bookmarkStart w:id="49"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8"/>
    <w:bookmarkEnd w:id="49"/>
    <w:p w14:paraId="513A1FE6" w14:textId="77777777" w:rsidR="00090132" w:rsidRDefault="00090132" w:rsidP="006F6351">
      <w:pPr>
        <w:rPr>
          <w:b/>
          <w:bCs/>
        </w:rPr>
      </w:pPr>
      <w:r w:rsidRPr="000A2B9F">
        <w:rPr>
          <w:bCs/>
          <w:color w:val="000000" w:themeColor="text1"/>
        </w:rPr>
        <w:t xml:space="preserve">The data for all cohort districts </w:t>
      </w:r>
      <w:proofErr w:type="gramStart"/>
      <w:r w:rsidRPr="000A2B9F">
        <w:rPr>
          <w:bCs/>
          <w:color w:val="000000" w:themeColor="text1"/>
        </w:rPr>
        <w:t>were reviewed</w:t>
      </w:r>
      <w:proofErr w:type="gramEnd"/>
      <w:r w:rsidRPr="000A2B9F">
        <w:rPr>
          <w:bCs/>
          <w:color w:val="000000" w:themeColor="text1"/>
        </w:rPr>
        <w:t xml:space="preserve"> and disaggregated by geographical location (regional review by ESD) and district size. Other factors considered during the analysis included a review of the response rates, the degree of representativeness of the survey respondents (by race/ethnicity, grade level, least restrictive environment (LRE) placement, disability category, and school type), and the potential of non-response bias. </w:t>
      </w:r>
      <w:r w:rsidRPr="000A2B9F">
        <w:rPr>
          <w:bCs/>
          <w:color w:val="000000" w:themeColor="text1"/>
        </w:rPr>
        <w:br/>
      </w:r>
      <w:r w:rsidRPr="000A2B9F">
        <w:rPr>
          <w:bCs/>
          <w:color w:val="000000" w:themeColor="text1"/>
        </w:rPr>
        <w:br/>
        <w:t xml:space="preserve">As described above, the analyses for the FFY 2021 survey data suggest that the results of the survey </w:t>
      </w:r>
      <w:proofErr w:type="gramStart"/>
      <w:r w:rsidRPr="000A2B9F">
        <w:rPr>
          <w:bCs/>
          <w:color w:val="000000" w:themeColor="text1"/>
        </w:rPr>
        <w:t>are statistically underrepresented</w:t>
      </w:r>
      <w:proofErr w:type="gramEnd"/>
      <w:r w:rsidRPr="000A2B9F">
        <w:rPr>
          <w:bCs/>
          <w:color w:val="000000" w:themeColor="text1"/>
        </w:rPr>
        <w:t xml:space="preserve"> for two race/ethnicity groups (parents of students with IEPs identified as Black/African American and Hispanic/Latinx) and one disability category (students eligible under the category of Specific Learning Disability). The results were determined to be over-representative of parents of students identified as White/Caucasian and students eligible under the disability category of Autism. The results were found to be representative across </w:t>
      </w:r>
      <w:proofErr w:type="gramStart"/>
      <w:r w:rsidRPr="000A2B9F">
        <w:rPr>
          <w:bCs/>
          <w:color w:val="000000" w:themeColor="text1"/>
        </w:rPr>
        <w:t>all of</w:t>
      </w:r>
      <w:proofErr w:type="gramEnd"/>
      <w:r w:rsidRPr="000A2B9F">
        <w:rPr>
          <w:bCs/>
          <w:color w:val="000000" w:themeColor="text1"/>
        </w:rPr>
        <w:t xml:space="preserve"> the other disability categories as well as the other areas of analysis (i.e., race/ethnicity, grade level, LRE placement, and school type).</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As described earlier in this indicator, current strategies for increasing response rates include providing the survey in the 12 most commonly spoken languages in Washington, piloting of an online version of the survey tool (in addition to the paper copy), additional follow-up reminders to parents to complete the survey, working with the local school district to provide advance notice to parents that the survey is coming, and collection of feedback from parents who have completed the survey.</w:t>
      </w:r>
      <w:r w:rsidRPr="000A2B9F">
        <w:rPr>
          <w:b w:val="0"/>
          <w:bCs/>
          <w:color w:val="000000" w:themeColor="text1"/>
        </w:rPr>
        <w:br/>
      </w:r>
      <w:r w:rsidRPr="000A2B9F">
        <w:rPr>
          <w:b w:val="0"/>
          <w:bCs/>
          <w:color w:val="000000" w:themeColor="text1"/>
        </w:rPr>
        <w:br/>
        <w:t xml:space="preserve">During in the 2021-22 school year, Washington convened a Parent Engagement Focus Group, part of the State Design Team (SDT), which engaged in work related to Indicator B-8. The Parent Engagement Focus Group consisted of </w:t>
      </w:r>
      <w:proofErr w:type="gramStart"/>
      <w:r w:rsidRPr="000A2B9F">
        <w:rPr>
          <w:b w:val="0"/>
          <w:bCs/>
          <w:color w:val="000000" w:themeColor="text1"/>
        </w:rPr>
        <w:t>51</w:t>
      </w:r>
      <w:proofErr w:type="gramEnd"/>
      <w:r w:rsidRPr="000A2B9F">
        <w:rPr>
          <w:b w:val="0"/>
          <w:bCs/>
          <w:color w:val="000000" w:themeColor="text1"/>
        </w:rPr>
        <w:t xml:space="preserve"> participants, including three individuals with disabilities and 30 parents/family members of individuals with disabilities. The group also included representatives from all seven federal race/ethnicity groups, tribal partners, advocates, general and special education teachers and administrators, state agency staff, and professional and community organizations. The group’s work </w:t>
      </w:r>
      <w:proofErr w:type="gramStart"/>
      <w:r w:rsidRPr="000A2B9F">
        <w:rPr>
          <w:b w:val="0"/>
          <w:bCs/>
          <w:color w:val="000000" w:themeColor="text1"/>
        </w:rPr>
        <w:t>was focused</w:t>
      </w:r>
      <w:proofErr w:type="gramEnd"/>
      <w:r w:rsidRPr="000A2B9F">
        <w:rPr>
          <w:b w:val="0"/>
          <w:bCs/>
          <w:color w:val="000000" w:themeColor="text1"/>
        </w:rPr>
        <w:t xml:space="preserve"> on the development of the new parent survey tool, as well as methods for implementing the new survey process. This work included analyzing survey data and response rates and identifying methods for increasing response rates particularly for underrepresented groups.</w:t>
      </w:r>
      <w:r w:rsidRPr="000A2B9F">
        <w:rPr>
          <w:b w:val="0"/>
          <w:bCs/>
          <w:color w:val="000000" w:themeColor="text1"/>
        </w:rPr>
        <w:br/>
      </w:r>
      <w:r w:rsidRPr="000A2B9F">
        <w:rPr>
          <w:b w:val="0"/>
          <w:bCs/>
          <w:color w:val="000000" w:themeColor="text1"/>
        </w:rPr>
        <w:br/>
        <w:t>Considerations for the new tool included discussions on methods for increasing response rate, such as decreasing the number of survey questions, ensuring clarity of the questions being asked, increasing the languages in which the survey is available, the use of incentives, accessibility of the tool, implementing multiple submission options, and more.</w:t>
      </w:r>
      <w:r w:rsidRPr="000A2B9F">
        <w:rPr>
          <w:b w:val="0"/>
          <w:bCs/>
          <w:color w:val="000000" w:themeColor="text1"/>
        </w:rPr>
        <w:br/>
      </w:r>
      <w:r w:rsidRPr="000A2B9F">
        <w:rPr>
          <w:b w:val="0"/>
          <w:bCs/>
          <w:color w:val="000000" w:themeColor="text1"/>
        </w:rPr>
        <w:br/>
        <w:t xml:space="preserve">The Parent Engagement Group's work resulted in a set of survey questions which was shared and discussed with the state's Special Education Advisory Council (SEAC) in May 2022. The survey content </w:t>
      </w:r>
      <w:proofErr w:type="gramStart"/>
      <w:r w:rsidRPr="000A2B9F">
        <w:rPr>
          <w:b w:val="0"/>
          <w:bCs/>
          <w:color w:val="000000" w:themeColor="text1"/>
        </w:rPr>
        <w:t>was finalized</w:t>
      </w:r>
      <w:proofErr w:type="gramEnd"/>
      <w:r w:rsidRPr="000A2B9F">
        <w:rPr>
          <w:b w:val="0"/>
          <w:bCs/>
          <w:color w:val="000000" w:themeColor="text1"/>
        </w:rPr>
        <w:t xml:space="preserve"> at the end of the 2021-22 school year.</w:t>
      </w:r>
      <w:r w:rsidRPr="000A2B9F">
        <w:rPr>
          <w:b w:val="0"/>
          <w:bCs/>
          <w:color w:val="000000" w:themeColor="text1"/>
        </w:rPr>
        <w:br/>
      </w:r>
      <w:r w:rsidRPr="000A2B9F">
        <w:rPr>
          <w:b w:val="0"/>
          <w:bCs/>
          <w:color w:val="000000" w:themeColor="text1"/>
        </w:rPr>
        <w:br/>
        <w:t xml:space="preserve">During the 2022-23 school year, OSPI is contracting with the Technical Assistance for Excellence in Special Education (TAESE) center to discuss and determine the process for implementing the new parent survey, using the recommendations provided by the Parent Engagement Focus Group. This work will involve the review of other state's processes, including strategies for increasing response rate and representativeness. OSPI anticipates the new parent survey tool and process, the culmination of this work, will </w:t>
      </w:r>
      <w:proofErr w:type="gramStart"/>
      <w:r w:rsidRPr="000A2B9F">
        <w:rPr>
          <w:b w:val="0"/>
          <w:bCs/>
          <w:color w:val="000000" w:themeColor="text1"/>
        </w:rPr>
        <w:t>be fully implemented</w:t>
      </w:r>
      <w:proofErr w:type="gramEnd"/>
      <w:r w:rsidRPr="000A2B9F">
        <w:rPr>
          <w:b w:val="0"/>
          <w:bCs/>
          <w:color w:val="000000" w:themeColor="text1"/>
        </w:rPr>
        <w:t xml:space="preserve"> during the 2024-25 school year.</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Washington uses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The survey has not changed; therefore, a survey instrument </w:t>
      </w:r>
      <w:proofErr w:type="gramStart"/>
      <w:r w:rsidRPr="00781112">
        <w:rPr>
          <w:rFonts w:cs="Arial"/>
          <w:color w:val="000000" w:themeColor="text1"/>
          <w:szCs w:val="16"/>
        </w:rPr>
        <w:t>is not attached</w:t>
      </w:r>
      <w:proofErr w:type="gramEnd"/>
      <w:r w:rsidRPr="00781112">
        <w:rPr>
          <w:rFonts w:cs="Arial"/>
          <w:color w:val="000000" w:themeColor="text1"/>
          <w:szCs w:val="16"/>
        </w:rPr>
        <w:t xml:space="preserve">. Washington is currently </w:t>
      </w:r>
      <w:proofErr w:type="gramStart"/>
      <w:r w:rsidRPr="00781112">
        <w:rPr>
          <w:rFonts w:cs="Arial"/>
          <w:color w:val="000000" w:themeColor="text1"/>
          <w:szCs w:val="16"/>
        </w:rPr>
        <w:t>working</w:t>
      </w:r>
      <w:proofErr w:type="gramEnd"/>
      <w:r w:rsidRPr="00781112">
        <w:rPr>
          <w:rFonts w:cs="Arial"/>
          <w:color w:val="000000" w:themeColor="text1"/>
          <w:szCs w:val="16"/>
        </w:rPr>
        <w:t xml:space="preserve"> with partners to develop a new parent survey tool for gathering data for this indicator, as described in the Description of Stakeholder Input section of this indicator. A copy of the new instrument will </w:t>
      </w:r>
      <w:proofErr w:type="gramStart"/>
      <w:r w:rsidRPr="00781112">
        <w:rPr>
          <w:rFonts w:cs="Arial"/>
          <w:color w:val="000000" w:themeColor="text1"/>
          <w:szCs w:val="16"/>
        </w:rPr>
        <w:t>be submitted</w:t>
      </w:r>
      <w:proofErr w:type="gramEnd"/>
      <w:r w:rsidRPr="00781112">
        <w:rPr>
          <w:rFonts w:cs="Arial"/>
          <w:color w:val="000000" w:themeColor="text1"/>
          <w:szCs w:val="16"/>
        </w:rPr>
        <w:t xml:space="preserve"> with the state's Annual Performance Report (APR) after the new survey tool is implemented.</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9B37A2" w:rsidP="001F692C">
      <w:pPr>
        <w:rPr>
          <w:rFonts w:cs="Arial"/>
          <w:color w:val="000000" w:themeColor="text1"/>
          <w:szCs w:val="16"/>
        </w:rPr>
      </w:pP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50" w:name="_Toc384383343"/>
      <w:bookmarkStart w:id="51"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52" w:name="_Toc384383344"/>
      <w:bookmarkStart w:id="53" w:name="_Toc392159312"/>
      <w:bookmarkEnd w:id="50"/>
      <w:bookmarkEnd w:id="51"/>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52"/>
      <w:bookmarkEnd w:id="53"/>
    </w:tbl>
    <w:p w14:paraId="3CB57A90" w14:textId="77777777" w:rsidR="002A120C" w:rsidRDefault="002A120C">
      <w:pPr>
        <w:rPr>
          <w:b/>
          <w:color w:val="000000" w:themeColor="text1"/>
        </w:rPr>
      </w:pPr>
    </w:p>
    <w:p w14:paraId="3C104584" w14:textId="77777777" w:rsidR="002A120C" w:rsidRDefault="002A120C">
      <w:pPr>
        <w:spacing w:before="0" w:after="200" w:line="276" w:lineRule="auto"/>
        <w:rPr>
          <w:b/>
          <w:color w:val="000000" w:themeColor="text1"/>
        </w:rPr>
      </w:pPr>
      <w:r>
        <w:rPr>
          <w:b/>
          <w:color w:val="000000" w:themeColor="text1"/>
        </w:rPr>
        <w:br w:type="page"/>
      </w:r>
    </w:p>
    <w:p w14:paraId="77101B89" w14:textId="192BB01F"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8</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263</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4" w:name="_Hlk494459610"/>
      <w:r w:rsidRPr="00781112">
        <w:rPr>
          <w:rFonts w:cs="Arial"/>
          <w:color w:val="000000" w:themeColor="text1"/>
          <w:szCs w:val="16"/>
        </w:rPr>
        <w:t xml:space="preserve">The state has a process in place for reviewing all districts and educational service agencies in the state each year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disproportionate representation. The first step of this process includes a data analysis of all districts conducted by the Office of Superintendent of Public Instruction (OSPI). The state utilizes risk ratios or alternate risk ratios (RR) for the purpose of determining whether the district has met the state-defined threshold for disproportionate representation:</w:t>
      </w:r>
      <w:r w:rsidRPr="00781112">
        <w:rPr>
          <w:rFonts w:cs="Arial"/>
          <w:color w:val="000000" w:themeColor="text1"/>
          <w:szCs w:val="16"/>
        </w:rPr>
        <w:br/>
      </w:r>
      <w:r w:rsidRPr="00781112">
        <w:rPr>
          <w:rFonts w:cs="Arial"/>
          <w:color w:val="000000" w:themeColor="text1"/>
          <w:szCs w:val="16"/>
        </w:rPr>
        <w:br/>
        <w:t>Over-representation: RR = 2.0 or greater for three consecutive years in the same race/ethnicity group, with a minimum cell size (numerator) of 10 and a minimum "n" size (denominator) of 20.</w:t>
      </w:r>
      <w:r w:rsidRPr="00781112">
        <w:rPr>
          <w:rFonts w:cs="Arial"/>
          <w:color w:val="000000" w:themeColor="text1"/>
          <w:szCs w:val="16"/>
        </w:rPr>
        <w:br/>
      </w:r>
      <w:r w:rsidRPr="00781112">
        <w:rPr>
          <w:rFonts w:cs="Arial"/>
          <w:color w:val="000000" w:themeColor="text1"/>
          <w:szCs w:val="16"/>
        </w:rPr>
        <w:br/>
        <w:t>The source data used to calculate the RRs for FFY 2021 were the Total Enrollment Report submitted by every district in the state in October 2022, and the November 2022 Federal Special Education Child Count and Least Restrictive Environment (LRE) Report submitted by every district in the state.</w:t>
      </w:r>
    </w:p>
    <w:bookmarkEnd w:id="54"/>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Using the criteria established above, the state determined that eight districts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meeting the data threshold for disproportionate representation under Indicator 9. A total of </w:t>
      </w:r>
      <w:proofErr w:type="gramStart"/>
      <w:r w:rsidRPr="00781112">
        <w:rPr>
          <w:rFonts w:cs="Arial"/>
          <w:color w:val="000000" w:themeColor="text1"/>
          <w:szCs w:val="16"/>
        </w:rPr>
        <w:t>24</w:t>
      </w:r>
      <w:proofErr w:type="gramEnd"/>
      <w:r w:rsidRPr="00781112">
        <w:rPr>
          <w:rFonts w:cs="Arial"/>
          <w:color w:val="000000" w:themeColor="text1"/>
          <w:szCs w:val="16"/>
        </w:rPr>
        <w:t xml:space="preserve"> districts were excluded from the calculation due to not meeting the minimum “n” size requirement.</w:t>
      </w:r>
      <w:r w:rsidRPr="00781112">
        <w:rPr>
          <w:rFonts w:cs="Arial"/>
          <w:color w:val="000000" w:themeColor="text1"/>
          <w:szCs w:val="16"/>
        </w:rPr>
        <w:br/>
      </w:r>
      <w:r w:rsidRPr="00781112">
        <w:rPr>
          <w:rFonts w:cs="Arial"/>
          <w:color w:val="000000" w:themeColor="text1"/>
          <w:szCs w:val="16"/>
        </w:rPr>
        <w:br/>
        <w:t xml:space="preserve">The state analyzed the eight districts identified through the FFY 2021 data review as having disproportionate representation to determine whether the disproportionate representation was the result of inappropriate identification. The identified districts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complete a self-review as part of the Local Educational Agency (LEA) federal fund application. The state provided feedback and technical assistance to districts and asked for further clarification as needed in this review.</w:t>
      </w:r>
      <w:r w:rsidRPr="00781112">
        <w:rPr>
          <w:rFonts w:cs="Arial"/>
          <w:color w:val="000000" w:themeColor="text1"/>
          <w:szCs w:val="16"/>
        </w:rPr>
        <w:br/>
      </w:r>
      <w:r w:rsidRPr="00781112">
        <w:rPr>
          <w:rFonts w:cs="Arial"/>
          <w:color w:val="000000" w:themeColor="text1"/>
          <w:szCs w:val="16"/>
        </w:rPr>
        <w:br/>
        <w:t xml:space="preserve">As part of the self-review, districts were required to review their policies, procedures, and practices related to child find, referral, </w:t>
      </w:r>
      <w:proofErr w:type="gramStart"/>
      <w:r w:rsidRPr="00781112">
        <w:rPr>
          <w:rFonts w:cs="Arial"/>
          <w:color w:val="000000" w:themeColor="text1"/>
          <w:szCs w:val="16"/>
        </w:rPr>
        <w:t>evaluation</w:t>
      </w:r>
      <w:proofErr w:type="gramEnd"/>
      <w:r w:rsidRPr="00781112">
        <w:rPr>
          <w:rFonts w:cs="Arial"/>
          <w:color w:val="000000" w:themeColor="text1"/>
          <w:szCs w:val="16"/>
        </w:rPr>
        <w:t xml:space="preserve"> and eligibility. The self-review also included an analysis of potential causal factors for the identified disproportionality and a description of the district's plan to address the disproportionality in the upcoming school year.</w:t>
      </w:r>
      <w:r w:rsidRPr="00781112">
        <w:rPr>
          <w:rFonts w:cs="Arial"/>
          <w:color w:val="000000" w:themeColor="text1"/>
          <w:szCs w:val="16"/>
        </w:rPr>
        <w:br/>
      </w:r>
      <w:r w:rsidRPr="00781112">
        <w:rPr>
          <w:rFonts w:cs="Arial"/>
          <w:color w:val="000000" w:themeColor="text1"/>
          <w:szCs w:val="16"/>
        </w:rPr>
        <w:br/>
        <w:t xml:space="preserve">The state examined the results of each district’s self-review of child find, referral, evaluation, and eligibility through the LEA federal fund application, as well as a review of each district’s written special education policies and procedures. In addition, data collections conducted through the general supervisory system </w:t>
      </w:r>
      <w:proofErr w:type="gramStart"/>
      <w:r w:rsidRPr="00781112">
        <w:rPr>
          <w:rFonts w:cs="Arial"/>
          <w:color w:val="000000" w:themeColor="text1"/>
          <w:szCs w:val="16"/>
        </w:rPr>
        <w:t>were analyzed</w:t>
      </w:r>
      <w:proofErr w:type="gramEnd"/>
      <w:r w:rsidRPr="00781112">
        <w:rPr>
          <w:rFonts w:cs="Arial"/>
          <w:color w:val="000000" w:themeColor="text1"/>
          <w:szCs w:val="16"/>
        </w:rPr>
        <w:t xml:space="preserve"> to verify district-reported results. The state also completed a comprehensive student record review within the disproportionate cells across designated districts.</w:t>
      </w:r>
      <w:r w:rsidRPr="00781112">
        <w:rPr>
          <w:rFonts w:cs="Arial"/>
          <w:color w:val="000000" w:themeColor="text1"/>
          <w:szCs w:val="16"/>
        </w:rPr>
        <w:br/>
      </w:r>
      <w:r w:rsidRPr="00781112">
        <w:rPr>
          <w:rFonts w:cs="Arial"/>
          <w:color w:val="000000" w:themeColor="text1"/>
          <w:szCs w:val="16"/>
        </w:rPr>
        <w:br/>
        <w:t xml:space="preserve">As a result of this process, the state found that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eight identified districts were in compliance with child find, eligibility, and evaluation requirements. In these eight districts, the disproportionate representation of racial and ethnic groups in special education was not the result of inappropriate identification.</w:t>
      </w:r>
    </w:p>
    <w:p w14:paraId="3B71A72A" w14:textId="77777777" w:rsidR="00DF1529" w:rsidRPr="00781112" w:rsidRDefault="00DF1529" w:rsidP="00DF1529">
      <w:pPr>
        <w:rPr>
          <w:rFonts w:cs="Arial"/>
          <w:b/>
          <w:color w:val="000000" w:themeColor="text1"/>
          <w:szCs w:val="16"/>
        </w:rPr>
      </w:pPr>
      <w:bookmarkStart w:id="55" w:name="_Toc381956337"/>
      <w:bookmarkStart w:id="56" w:name="_Toc384383347"/>
      <w:bookmarkStart w:id="57"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748068F8" w14:textId="77777777" w:rsidR="002A120C" w:rsidRDefault="002A120C">
      <w:pPr>
        <w:spacing w:before="0" w:after="200" w:line="276" w:lineRule="auto"/>
        <w:rPr>
          <w:b/>
          <w:color w:val="000000" w:themeColor="text1"/>
        </w:rPr>
      </w:pPr>
      <w:r>
        <w:rPr>
          <w:b/>
          <w:color w:val="000000" w:themeColor="text1"/>
        </w:rPr>
        <w:br w:type="page"/>
      </w:r>
    </w:p>
    <w:p w14:paraId="287CA0E8" w14:textId="5747B1E4"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5"/>
      <w:bookmarkEnd w:id="56"/>
      <w:bookmarkEnd w:id="57"/>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8" w:name="_Toc384383348"/>
      <w:bookmarkStart w:id="59"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7FF8F35" w14:textId="77777777" w:rsidR="002A120C" w:rsidRPr="00781112" w:rsidRDefault="002A120C" w:rsidP="00286BDF">
      <w:pPr>
        <w:rPr>
          <w:rFonts w:cs="Arial"/>
          <w:color w:val="000000" w:themeColor="text1"/>
          <w:szCs w:val="16"/>
        </w:rPr>
      </w:pPr>
    </w:p>
    <w:p w14:paraId="307820E6" w14:textId="2418F86F" w:rsidR="00B70FBF" w:rsidRPr="00781112" w:rsidRDefault="009F64D5" w:rsidP="008645AD">
      <w:pPr>
        <w:pStyle w:val="Heading2"/>
      </w:pPr>
      <w:bookmarkStart w:id="60" w:name="_Toc384383349"/>
      <w:bookmarkStart w:id="61" w:name="_Toc392159317"/>
      <w:bookmarkEnd w:id="58"/>
      <w:bookmarkEnd w:id="59"/>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60"/>
      <w:bookmarkEnd w:id="61"/>
    </w:tbl>
    <w:p w14:paraId="1840A66A" w14:textId="77777777" w:rsidR="00BA687C" w:rsidRDefault="00BA687C" w:rsidP="004369B2">
      <w:pPr>
        <w:rPr>
          <w:color w:val="000000" w:themeColor="text1"/>
        </w:rPr>
      </w:pPr>
    </w:p>
    <w:p w14:paraId="10AF89A1" w14:textId="77777777" w:rsidR="002A120C" w:rsidRPr="00781112" w:rsidRDefault="002A120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62" w:name="_Hlk20258880"/>
      <w:r w:rsidRPr="00781112">
        <w:rPr>
          <w:rFonts w:cs="Arial"/>
          <w:color w:val="000000" w:themeColor="text1"/>
          <w:szCs w:val="16"/>
        </w:rPr>
        <w:t>YES</w:t>
      </w:r>
    </w:p>
    <w:bookmarkEnd w:id="62"/>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64</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217</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 has a process in place for reviewing all districts and educational service agencies in the state each year </w:t>
      </w:r>
      <w:proofErr w:type="gramStart"/>
      <w:r w:rsidRPr="00781112">
        <w:rPr>
          <w:rFonts w:cs="Arial"/>
          <w:color w:val="000000" w:themeColor="text1"/>
          <w:szCs w:val="16"/>
        </w:rPr>
        <w:t>with regard to</w:t>
      </w:r>
      <w:proofErr w:type="gramEnd"/>
      <w:r w:rsidRPr="00781112">
        <w:rPr>
          <w:rFonts w:cs="Arial"/>
          <w:color w:val="000000" w:themeColor="text1"/>
          <w:szCs w:val="16"/>
        </w:rPr>
        <w:t xml:space="preserve"> disproportionate representation. The first step of this process includes a data analysis of all districts conducted by the Office of Superintendent of Public Instruction (OSPI). The state utilizes risk ratios or alternate risk ratios (RR) for the purpose of determining whether the district has met the state-defined threshold for disproportionate representation:</w:t>
      </w:r>
      <w:r w:rsidRPr="00781112">
        <w:rPr>
          <w:rFonts w:cs="Arial"/>
          <w:color w:val="000000" w:themeColor="text1"/>
          <w:szCs w:val="16"/>
        </w:rPr>
        <w:br/>
      </w:r>
      <w:r w:rsidRPr="00781112">
        <w:rPr>
          <w:rFonts w:cs="Arial"/>
          <w:color w:val="000000" w:themeColor="text1"/>
          <w:szCs w:val="16"/>
        </w:rPr>
        <w:br/>
        <w:t>Over-representation: RR = 2.0 or greater for three consecutive years in the same race/ethnicity group, with a minimum cell size (numerator) of 10 and a minimum "n" size (denominator) of 20.</w:t>
      </w:r>
      <w:r w:rsidRPr="00781112">
        <w:rPr>
          <w:rFonts w:cs="Arial"/>
          <w:color w:val="000000" w:themeColor="text1"/>
          <w:szCs w:val="16"/>
        </w:rPr>
        <w:br/>
      </w:r>
      <w:r w:rsidRPr="00781112">
        <w:rPr>
          <w:rFonts w:cs="Arial"/>
          <w:color w:val="000000" w:themeColor="text1"/>
          <w:szCs w:val="16"/>
        </w:rPr>
        <w:br/>
        <w:t>The source data used to calculate the RRs for FFY 2021 were the Total Enrollment Report submitted by every district in the state in October 2022, and the November 2022 Federal Special Education Child Count and Least Restrictive Environment (LRE) Report submitted by every district in the state.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Using the criteria established above, the state determined that </w:t>
      </w:r>
      <w:proofErr w:type="gramStart"/>
      <w:r w:rsidRPr="00781112">
        <w:rPr>
          <w:rFonts w:cs="Arial"/>
          <w:color w:val="000000" w:themeColor="text1"/>
          <w:szCs w:val="16"/>
        </w:rPr>
        <w:t>64</w:t>
      </w:r>
      <w:proofErr w:type="gramEnd"/>
      <w:r w:rsidRPr="00781112">
        <w:rPr>
          <w:rFonts w:cs="Arial"/>
          <w:color w:val="000000" w:themeColor="text1"/>
          <w:szCs w:val="16"/>
        </w:rPr>
        <w:t xml:space="preserve"> districts were identified as meeting the data threshold for disproportionate representation under Indicator 10. A total of </w:t>
      </w:r>
      <w:proofErr w:type="gramStart"/>
      <w:r w:rsidRPr="00781112">
        <w:rPr>
          <w:rFonts w:cs="Arial"/>
          <w:color w:val="000000" w:themeColor="text1"/>
          <w:szCs w:val="16"/>
        </w:rPr>
        <w:t>70</w:t>
      </w:r>
      <w:proofErr w:type="gramEnd"/>
      <w:r w:rsidRPr="00781112">
        <w:rPr>
          <w:rFonts w:cs="Arial"/>
          <w:color w:val="000000" w:themeColor="text1"/>
          <w:szCs w:val="16"/>
        </w:rPr>
        <w:t xml:space="preserve"> districts were excluded from the calculation due to not meeting the minimum “n” size requirement.</w:t>
      </w:r>
      <w:r w:rsidRPr="00781112">
        <w:rPr>
          <w:rFonts w:cs="Arial"/>
          <w:color w:val="000000" w:themeColor="text1"/>
          <w:szCs w:val="16"/>
        </w:rPr>
        <w:br/>
      </w:r>
      <w:r w:rsidRPr="00781112">
        <w:rPr>
          <w:rFonts w:cs="Arial"/>
          <w:color w:val="000000" w:themeColor="text1"/>
          <w:szCs w:val="16"/>
        </w:rPr>
        <w:br/>
        <w:t xml:space="preserve">The state analyzed the 64 districts identified through the FFY 2021 data review as having disproportionate representation to determine whether the disproportionate representation was the result of inappropriate identification. The identified districts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complete a self-review as part of the Local Educational Agency (LEA) federal fund application. The state provided feedback and technical assistance to districts and asked for further clarification as needed in this review. </w:t>
      </w:r>
      <w:r w:rsidRPr="00781112">
        <w:rPr>
          <w:rFonts w:cs="Arial"/>
          <w:color w:val="000000" w:themeColor="text1"/>
          <w:szCs w:val="16"/>
        </w:rPr>
        <w:br/>
      </w:r>
      <w:r w:rsidRPr="00781112">
        <w:rPr>
          <w:rFonts w:cs="Arial"/>
          <w:color w:val="000000" w:themeColor="text1"/>
          <w:szCs w:val="16"/>
        </w:rPr>
        <w:br/>
        <w:t xml:space="preserve">As part of the self-review, districts were required to review their policies, procedures, and practices related to child find, referral, </w:t>
      </w:r>
      <w:proofErr w:type="gramStart"/>
      <w:r w:rsidRPr="00781112">
        <w:rPr>
          <w:rFonts w:cs="Arial"/>
          <w:color w:val="000000" w:themeColor="text1"/>
          <w:szCs w:val="16"/>
        </w:rPr>
        <w:t>evaluation</w:t>
      </w:r>
      <w:proofErr w:type="gramEnd"/>
      <w:r w:rsidRPr="00781112">
        <w:rPr>
          <w:rFonts w:cs="Arial"/>
          <w:color w:val="000000" w:themeColor="text1"/>
          <w:szCs w:val="16"/>
        </w:rPr>
        <w:t xml:space="preserve"> and eligibility. The self-review also included an analysis of potential causal factors for the identified disproportionality and a description of the district's plan to address the disproportionality in the upcoming school year. </w:t>
      </w:r>
      <w:r w:rsidRPr="00781112">
        <w:rPr>
          <w:rFonts w:cs="Arial"/>
          <w:color w:val="000000" w:themeColor="text1"/>
          <w:szCs w:val="16"/>
        </w:rPr>
        <w:br/>
      </w:r>
      <w:r w:rsidRPr="00781112">
        <w:rPr>
          <w:rFonts w:cs="Arial"/>
          <w:color w:val="000000" w:themeColor="text1"/>
          <w:szCs w:val="16"/>
        </w:rPr>
        <w:br/>
        <w:t xml:space="preserve">The state examined the results of each district’s self-review of child find, referral, evaluation, and eligibility through the LEA federal fund application, as well as a review of each district’s written special education policies and procedures. In addition, data collections conducted through the general supervisory system </w:t>
      </w:r>
      <w:proofErr w:type="gramStart"/>
      <w:r w:rsidRPr="00781112">
        <w:rPr>
          <w:rFonts w:cs="Arial"/>
          <w:color w:val="000000" w:themeColor="text1"/>
          <w:szCs w:val="16"/>
        </w:rPr>
        <w:t>were analyzed</w:t>
      </w:r>
      <w:proofErr w:type="gramEnd"/>
      <w:r w:rsidRPr="00781112">
        <w:rPr>
          <w:rFonts w:cs="Arial"/>
          <w:color w:val="000000" w:themeColor="text1"/>
          <w:szCs w:val="16"/>
        </w:rPr>
        <w:t xml:space="preserve"> to verify district-reported results. The state also completed a comprehensive student record review within the disproportionate cells across designated districts.</w:t>
      </w:r>
      <w:r w:rsidRPr="00781112">
        <w:rPr>
          <w:rFonts w:cs="Arial"/>
          <w:color w:val="000000" w:themeColor="text1"/>
          <w:szCs w:val="16"/>
        </w:rPr>
        <w:br/>
      </w:r>
      <w:r w:rsidRPr="00781112">
        <w:rPr>
          <w:rFonts w:cs="Arial"/>
          <w:color w:val="000000" w:themeColor="text1"/>
          <w:szCs w:val="16"/>
        </w:rPr>
        <w:br/>
        <w:t xml:space="preserve">As a result of this process, the state found that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64 identified districts were in compliance with child find, eligibility, and evaluation requirements. In these </w:t>
      </w:r>
      <w:proofErr w:type="gramStart"/>
      <w:r w:rsidRPr="00781112">
        <w:rPr>
          <w:rFonts w:cs="Arial"/>
          <w:color w:val="000000" w:themeColor="text1"/>
          <w:szCs w:val="16"/>
        </w:rPr>
        <w:t>64</w:t>
      </w:r>
      <w:proofErr w:type="gramEnd"/>
      <w:r w:rsidRPr="00781112">
        <w:rPr>
          <w:rFonts w:cs="Arial"/>
          <w:color w:val="000000" w:themeColor="text1"/>
          <w:szCs w:val="16"/>
        </w:rPr>
        <w:t xml:space="preserve"> districts, the disproportionate representation of racial and ethnic groups in special education was not the result of inappropriate identification.</w:t>
      </w:r>
    </w:p>
    <w:p w14:paraId="1FCF1BF3" w14:textId="77777777" w:rsidR="00DF1529" w:rsidRPr="00781112" w:rsidRDefault="00DF1529" w:rsidP="00DF1529">
      <w:pPr>
        <w:rPr>
          <w:rFonts w:cs="Arial"/>
          <w:b/>
          <w:color w:val="000000" w:themeColor="text1"/>
          <w:szCs w:val="16"/>
        </w:rPr>
      </w:pPr>
      <w:bookmarkStart w:id="63" w:name="_Toc381956338"/>
      <w:bookmarkStart w:id="64" w:name="_Toc384383352"/>
      <w:bookmarkStart w:id="65"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36C0A5F9" w14:textId="77777777" w:rsidR="002A120C" w:rsidRDefault="002A120C">
      <w:pPr>
        <w:spacing w:before="0" w:after="200" w:line="276" w:lineRule="auto"/>
        <w:rPr>
          <w:b/>
          <w:color w:val="000000" w:themeColor="text1"/>
        </w:rPr>
      </w:pPr>
      <w:r>
        <w:rPr>
          <w:b/>
          <w:color w:val="000000" w:themeColor="text1"/>
        </w:rPr>
        <w:br w:type="page"/>
      </w:r>
    </w:p>
    <w:p w14:paraId="6268B372" w14:textId="7052E24D" w:rsidR="009A755E" w:rsidRPr="00781112" w:rsidRDefault="00450F98" w:rsidP="004369B2">
      <w:pPr>
        <w:rPr>
          <w:color w:val="000000" w:themeColor="text1"/>
        </w:rPr>
      </w:pPr>
      <w:r>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17A7A74" w14:textId="77777777" w:rsidR="002A120C" w:rsidRDefault="002A120C" w:rsidP="004369B2">
      <w:pPr>
        <w:rPr>
          <w:b/>
          <w:color w:val="000000" w:themeColor="text1"/>
        </w:rPr>
      </w:pPr>
    </w:p>
    <w:p w14:paraId="60BB42FC" w14:textId="17AC20F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63"/>
      <w:bookmarkEnd w:id="64"/>
      <w:bookmarkEnd w:id="65"/>
    </w:p>
    <w:p w14:paraId="4F5D642D" w14:textId="77777777" w:rsidR="00E119B0" w:rsidRPr="00781112" w:rsidRDefault="00E119B0" w:rsidP="00A018D4">
      <w:pPr>
        <w:rPr>
          <w:color w:val="000000" w:themeColor="text1"/>
          <w:szCs w:val="20"/>
        </w:rPr>
      </w:pPr>
      <w:bookmarkStart w:id="66" w:name="_Toc384383353"/>
      <w:bookmarkStart w:id="67"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8" w:name="_Toc384383354"/>
      <w:bookmarkStart w:id="69" w:name="_Toc392159322"/>
      <w:bookmarkEnd w:id="66"/>
      <w:bookmarkEnd w:id="67"/>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99.27%</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99.30%</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99.36%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99.37%</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99.72%</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8"/>
    <w:bookmarkEnd w:id="69"/>
    <w:p w14:paraId="4C28F37F" w14:textId="77777777" w:rsidR="002A120C" w:rsidRDefault="002A120C">
      <w:pPr>
        <w:spacing w:before="0" w:after="200" w:line="276" w:lineRule="auto"/>
        <w:rPr>
          <w:b/>
          <w:color w:val="000000" w:themeColor="text1"/>
        </w:rPr>
      </w:pPr>
      <w:r>
        <w:rPr>
          <w:b/>
          <w:color w:val="000000" w:themeColor="text1"/>
        </w:rPr>
        <w:br w:type="page"/>
      </w:r>
    </w:p>
    <w:p w14:paraId="3FAEB3AB" w14:textId="12B8873D"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28,403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28,103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99.72%</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98.94%</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300</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A review of both the range of days beyond the timeline the evaluation was completed and the reason(s) for the delay(s) was conducted.</w:t>
      </w:r>
      <w:r w:rsidRPr="00781112">
        <w:rPr>
          <w:color w:val="000000" w:themeColor="text1"/>
        </w:rPr>
        <w:br/>
      </w:r>
      <w:r w:rsidRPr="00781112">
        <w:rPr>
          <w:color w:val="000000" w:themeColor="text1"/>
        </w:rPr>
        <w:br/>
        <w:t xml:space="preserve">For those 300 children whose evaluations were not completed on time or under federal exception, </w:t>
      </w:r>
      <w:r w:rsidRPr="00781112">
        <w:rPr>
          <w:color w:val="000000" w:themeColor="text1"/>
        </w:rPr>
        <w:br/>
        <w:t>•</w:t>
      </w:r>
      <w:r w:rsidRPr="00781112">
        <w:rPr>
          <w:color w:val="000000" w:themeColor="text1"/>
        </w:rPr>
        <w:tab/>
        <w:t xml:space="preserve">56.33% (169) were late due to district scheduling and/or staffing issues with no agreement to extend; </w:t>
      </w:r>
      <w:r w:rsidRPr="00781112">
        <w:rPr>
          <w:color w:val="000000" w:themeColor="text1"/>
        </w:rPr>
        <w:br/>
        <w:t>•</w:t>
      </w:r>
      <w:r w:rsidRPr="00781112">
        <w:rPr>
          <w:color w:val="000000" w:themeColor="text1"/>
        </w:rPr>
        <w:tab/>
        <w:t xml:space="preserve">19.00% (57) agreement to extend did not meet requirements; </w:t>
      </w:r>
      <w:r w:rsidRPr="00781112">
        <w:rPr>
          <w:color w:val="000000" w:themeColor="text1"/>
        </w:rPr>
        <w:br/>
        <w:t>•</w:t>
      </w:r>
      <w:r w:rsidRPr="00781112">
        <w:rPr>
          <w:color w:val="000000" w:themeColor="text1"/>
        </w:rPr>
        <w:tab/>
        <w:t xml:space="preserve">18.00% (54) were late due to other issues not specified by the district; and </w:t>
      </w:r>
      <w:r w:rsidRPr="00781112">
        <w:rPr>
          <w:color w:val="000000" w:themeColor="text1"/>
        </w:rPr>
        <w:br/>
        <w:t>• 6.67% (20) were due to data/tracking errors.</w:t>
      </w:r>
      <w:r w:rsidRPr="00781112">
        <w:rPr>
          <w:color w:val="000000" w:themeColor="text1"/>
        </w:rPr>
        <w:br/>
      </w:r>
      <w:r w:rsidRPr="00781112">
        <w:rPr>
          <w:color w:val="000000" w:themeColor="text1"/>
        </w:rPr>
        <w:br/>
        <w:t>With regard to the range of days for the 54 students reported above, a total of 67.33% (202) were delayed 15 school days or less and 32.67% (98) were delayed more than 15 school days.</w:t>
      </w:r>
      <w:r w:rsidRPr="00781112">
        <w:rPr>
          <w:color w:val="000000" w:themeColor="text1"/>
        </w:rPr>
        <w:br/>
      </w:r>
      <w:r w:rsidRPr="00781112">
        <w:rPr>
          <w:color w:val="000000" w:themeColor="text1"/>
        </w:rPr>
        <w:br/>
        <w:t xml:space="preserve">Further data analysis addressing the reasons for delay and an examination of the range of days by geographic region and district size groupings within each of the nine regions, was completed and discussed with stakeholders. There were no emerging patterns or trends identified in a specific LEA or region. Universal supports </w:t>
      </w:r>
      <w:proofErr w:type="gramStart"/>
      <w:r w:rsidRPr="00781112">
        <w:rPr>
          <w:color w:val="000000" w:themeColor="text1"/>
        </w:rPr>
        <w:t>are provided</w:t>
      </w:r>
      <w:proofErr w:type="gramEnd"/>
      <w:r w:rsidRPr="00781112">
        <w:rPr>
          <w:color w:val="000000" w:themeColor="text1"/>
        </w:rPr>
        <w:t xml:space="preserve"> for the correction of noncompliance to all LEAs not at 100% compliance through the designated regional professional development system.</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established a timeline within which the evaluation must </w:t>
      </w:r>
      <w:proofErr w:type="gramStart"/>
      <w:r w:rsidRPr="00781112">
        <w:rPr>
          <w:rFonts w:cs="Arial"/>
          <w:color w:val="000000" w:themeColor="text1"/>
          <w:szCs w:val="16"/>
        </w:rPr>
        <w:t>be conducted</w:t>
      </w:r>
      <w:proofErr w:type="gramEnd"/>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 xml:space="preserve">What is the State’s timeline for initial evaluations? If the State-established </w:t>
      </w:r>
      <w:proofErr w:type="gramStart"/>
      <w:r w:rsidRPr="00781112">
        <w:rPr>
          <w:rFonts w:cs="Arial"/>
          <w:b/>
          <w:color w:val="000000" w:themeColor="text1"/>
          <w:szCs w:val="16"/>
        </w:rPr>
        <w:t>timeframe</w:t>
      </w:r>
      <w:proofErr w:type="gramEnd"/>
      <w:r w:rsidRPr="00781112">
        <w:rPr>
          <w:rFonts w:cs="Arial"/>
          <w:b/>
          <w:color w:val="000000" w:themeColor="text1"/>
          <w:szCs w:val="16"/>
        </w:rPr>
        <w:t xml:space="preserv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When the student is to be evaluated to determine eligibility for special education services and the educational needs of the student, the school district shall provide prior written notice to the parent, obtain consent, fully evaluate the student, and arrive at a decision regarding eligibility within: </w:t>
      </w:r>
      <w:r w:rsidRPr="00781112">
        <w:rPr>
          <w:rFonts w:cs="Arial"/>
          <w:color w:val="000000" w:themeColor="text1"/>
          <w:szCs w:val="16"/>
        </w:rPr>
        <w:br/>
        <w:t>(a)</w:t>
      </w:r>
      <w:r w:rsidRPr="00781112">
        <w:rPr>
          <w:rFonts w:cs="Arial"/>
          <w:color w:val="000000" w:themeColor="text1"/>
          <w:szCs w:val="16"/>
        </w:rPr>
        <w:tab/>
        <w:t xml:space="preserve">Thirty-five school days after the date written consent for an evaluation has been provided to the school district by the parent; or </w:t>
      </w:r>
      <w:r w:rsidRPr="00781112">
        <w:rPr>
          <w:rFonts w:cs="Arial"/>
          <w:color w:val="000000" w:themeColor="text1"/>
          <w:szCs w:val="16"/>
        </w:rPr>
        <w:br/>
        <w:t>(b)</w:t>
      </w:r>
      <w:r w:rsidRPr="00781112">
        <w:rPr>
          <w:rFonts w:cs="Arial"/>
          <w:color w:val="000000" w:themeColor="text1"/>
          <w:szCs w:val="16"/>
        </w:rPr>
        <w:tab/>
        <w:t xml:space="preserve">Thirty-five school days after the date the consent of the parent is obtained by agreement through mediation, or the refusal to provide consent is overridden by an administrative law judge following a due process hearing; or </w:t>
      </w:r>
      <w:r w:rsidRPr="00781112">
        <w:rPr>
          <w:rFonts w:cs="Arial"/>
          <w:color w:val="000000" w:themeColor="text1"/>
          <w:szCs w:val="16"/>
        </w:rPr>
        <w:br/>
        <w:t>(c)</w:t>
      </w:r>
      <w:r w:rsidRPr="00781112">
        <w:rPr>
          <w:rFonts w:cs="Arial"/>
          <w:color w:val="000000" w:themeColor="text1"/>
          <w:szCs w:val="16"/>
        </w:rPr>
        <w:tab/>
        <w:t xml:space="preserve">Such other time period as may be agreed to by the parent and documented by the school district, including specifying the reasons for extending the timeline. </w:t>
      </w:r>
      <w:r w:rsidRPr="00781112">
        <w:rPr>
          <w:rFonts w:cs="Arial"/>
          <w:color w:val="000000" w:themeColor="text1"/>
          <w:szCs w:val="16"/>
        </w:rPr>
        <w:br/>
        <w:t>(d)</w:t>
      </w:r>
      <w:r w:rsidRPr="00781112">
        <w:rPr>
          <w:rFonts w:cs="Arial"/>
          <w:color w:val="000000" w:themeColor="text1"/>
          <w:szCs w:val="16"/>
        </w:rPr>
        <w:tab/>
        <w:t xml:space="preserve">Exception. The thirty-five-school-day time frame for evaluation does not apply if: </w:t>
      </w:r>
      <w:r w:rsidRPr="00781112">
        <w:rPr>
          <w:rFonts w:cs="Arial"/>
          <w:color w:val="000000" w:themeColor="text1"/>
          <w:szCs w:val="16"/>
        </w:rPr>
        <w:br/>
        <w:t>(i)</w:t>
      </w:r>
      <w:r w:rsidRPr="00781112">
        <w:rPr>
          <w:rFonts w:cs="Arial"/>
          <w:color w:val="000000" w:themeColor="text1"/>
          <w:szCs w:val="16"/>
        </w:rPr>
        <w:tab/>
        <w:t xml:space="preserve">The parent of a child repeatedly fails or refuses to produce the child for the evaluation; or </w:t>
      </w:r>
      <w:r w:rsidRPr="00781112">
        <w:rPr>
          <w:rFonts w:cs="Arial"/>
          <w:color w:val="000000" w:themeColor="text1"/>
          <w:szCs w:val="16"/>
        </w:rPr>
        <w:br/>
        <w:t>(ii)</w:t>
      </w:r>
      <w:r w:rsidRPr="00781112">
        <w:rPr>
          <w:rFonts w:cs="Arial"/>
          <w:color w:val="000000" w:themeColor="text1"/>
          <w:szCs w:val="16"/>
        </w:rPr>
        <w:tab/>
        <w:t xml:space="preserve">A student enrolls in another school district after the consent is obtained and the evaluation has begun but not yet been completed by the other school district, including a determination of eligibility. </w:t>
      </w:r>
      <w:r w:rsidRPr="00781112">
        <w:rPr>
          <w:rFonts w:cs="Arial"/>
          <w:color w:val="000000" w:themeColor="text1"/>
          <w:szCs w:val="16"/>
        </w:rPr>
        <w:br/>
        <w:t xml:space="preserve">(e) The exception in (d)(ii) of this subsection applies only if the subsequent school district is making sufficient progress to ensure a prompt completion of the evaluation, and the parent and subsequent school district agree to a specific time when the evaluation will </w:t>
      </w:r>
      <w:proofErr w:type="gramStart"/>
      <w:r w:rsidRPr="00781112">
        <w:rPr>
          <w:rFonts w:cs="Arial"/>
          <w:color w:val="000000" w:themeColor="text1"/>
          <w:szCs w:val="16"/>
        </w:rPr>
        <w:t>be completed</w:t>
      </w:r>
      <w:proofErr w:type="gramEnd"/>
      <w:r w:rsidRPr="00781112">
        <w:rPr>
          <w:rFonts w:cs="Arial"/>
          <w:color w:val="000000" w:themeColor="text1"/>
          <w:szCs w:val="16"/>
        </w:rPr>
        <w:t>.</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A statewide data collection process </w:t>
      </w:r>
      <w:proofErr w:type="gramStart"/>
      <w:r w:rsidRPr="00781112">
        <w:rPr>
          <w:rFonts w:cs="Arial"/>
          <w:color w:val="000000" w:themeColor="text1"/>
          <w:szCs w:val="16"/>
        </w:rPr>
        <w:t>was implemented</w:t>
      </w:r>
      <w:proofErr w:type="gramEnd"/>
      <w:r w:rsidRPr="00781112">
        <w:rPr>
          <w:rFonts w:cs="Arial"/>
          <w:color w:val="000000" w:themeColor="text1"/>
          <w:szCs w:val="16"/>
        </w:rPr>
        <w:t xml:space="preserve"> in FFY 2020. All districts continue to report evaluation and eligibility data on all children referred to Individuals with Disabilities Education Act (IDEA) Part B for initial eligibility determination but at the student level using the statewide student database. District staff review and verify each student record submitted for the reporting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This indicator </w:t>
      </w:r>
      <w:proofErr w:type="gramStart"/>
      <w:r w:rsidRPr="00781112">
        <w:rPr>
          <w:rFonts w:cs="Arial"/>
          <w:color w:val="000000" w:themeColor="text1"/>
          <w:szCs w:val="16"/>
        </w:rPr>
        <w:t>is then calculated</w:t>
      </w:r>
      <w:proofErr w:type="gramEnd"/>
      <w:r w:rsidRPr="00781112">
        <w:rPr>
          <w:rFonts w:cs="Arial"/>
          <w:color w:val="000000" w:themeColor="text1"/>
          <w:szCs w:val="16"/>
        </w:rPr>
        <w:t xml:space="preserve"> using the student level data verified by district staff to determine the statewide percentage of on-time initial evaluations. </w:t>
      </w:r>
    </w:p>
    <w:p w14:paraId="4F981BFF" w14:textId="77777777" w:rsidR="00C86164" w:rsidRPr="00781112" w:rsidRDefault="00C86164" w:rsidP="00C86164">
      <w:pPr>
        <w:rPr>
          <w:rFonts w:cs="Arial"/>
          <w:b/>
          <w:color w:val="000000" w:themeColor="text1"/>
          <w:szCs w:val="16"/>
        </w:rPr>
      </w:pPr>
      <w:bookmarkStart w:id="70" w:name="_Toc381956339"/>
      <w:bookmarkStart w:id="71" w:name="_Toc384383357"/>
      <w:bookmarkStart w:id="72"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lastRenderedPageBreak/>
        <w:t>The districts identified root causes of the noncompliance, and reviewed policies, procedures, and/or practices that contributed to the noncompliance. Actions were taken by the district to address the identified root causes and were reported to the Office of Superintendent of Public Instruction (OSPI) through the IDEA Compliance Package.</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of C.F.R. §300.301(c)(1), a review of updated data, conducted by regional Educational Service District (ESD) representatives and validated by OSPI, was completed. Verification activities included on-site visits and/or virtual meetings, staff interviews, data reviews, student record reviews, and/or observations. This review verified 100% compliance;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correctly implementing the specific regulatory requirements found in 34 C.F.R. §300.301(c)(1).</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identified districts corrected and accounted for all individual instances of noncompliance identified in the notification of findings. Special education representatives from the regional ESDs and OSPI verified that the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corrections, as summarized in the IDEA Compliance Package, were made. Verification activities included on-site visits and/or virtual meetings, staff interviews, data reviews, student record reviews, and/or observations. Regional ESD representatives reviewed data to verify that the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found to have completed the evaluation, although late, for every student whose initial evaluation was not timely, unless the child was no longer within the jurisdiction of the district.</w:t>
      </w:r>
      <w:r w:rsidRPr="00781112">
        <w:rPr>
          <w:rFonts w:cs="Arial"/>
          <w:color w:val="000000" w:themeColor="text1"/>
          <w:szCs w:val="16"/>
        </w:rPr>
        <w:br/>
      </w:r>
      <w:r w:rsidRPr="00781112">
        <w:rPr>
          <w:rFonts w:cs="Arial"/>
          <w:color w:val="000000" w:themeColor="text1"/>
          <w:szCs w:val="16"/>
        </w:rPr>
        <w:br/>
        <w:t>All identified noncompliance from FFY 2020 for Indicator 11 was corrected within one year of identification.</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All identified noncompliance from FFY 2020 for Indicator 11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within one year of identification as per OSEP Memo 09-02.</w:t>
      </w:r>
      <w:r w:rsidRPr="00781112">
        <w:rPr>
          <w:rFonts w:cs="Arial"/>
          <w:color w:val="000000" w:themeColor="text1"/>
          <w:szCs w:val="16"/>
        </w:rPr>
        <w:br/>
      </w:r>
      <w:r w:rsidRPr="00781112">
        <w:rPr>
          <w:rFonts w:cs="Arial"/>
          <w:color w:val="000000" w:themeColor="text1"/>
          <w:szCs w:val="16"/>
        </w:rPr>
        <w:br/>
        <w:t>The districts identified root causes of the noncompliance, and reviewed policies, procedures, and/or practices that contributed to the noncompliance. Actions were taken by the district to address the identified root causes and were reported to the Office of Superintendent of Public Instruction (OSPI) through the IDEA Compliance Package.</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of C.F.R. §300.301(c)(1), a review of updated data, conducted by regional Educational Service District (ESD) representatives and validated by OSPI, was completed. Verification activities included on-site visits and/or virtual meetings, staff interviews, data reviews, student record reviews, and/or observations. This review verified 100% compliance;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correctly implementing the specific regulatory requirements found in 34 C.F.R. §300.301(c)(1).</w:t>
      </w:r>
      <w:r w:rsidRPr="00781112">
        <w:rPr>
          <w:rFonts w:cs="Arial"/>
          <w:color w:val="000000" w:themeColor="text1"/>
          <w:szCs w:val="16"/>
        </w:rPr>
        <w:br/>
      </w:r>
      <w:r w:rsidRPr="00781112">
        <w:rPr>
          <w:rFonts w:cs="Arial"/>
          <w:color w:val="000000" w:themeColor="text1"/>
          <w:szCs w:val="16"/>
        </w:rPr>
        <w:br/>
        <w:t xml:space="preserve">The identified districts corrected and accounted for all individual instances of noncompliance identified in the notification of findings. Special education representatives from the regional ESDs and OSPI verified that the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corrections, as summarized in the IDEA Compliance Package, were made. Verification activities included on-site visits and/or virtual meetings, staff interviews, data reviews, student record reviews, and/or observations. Regional ESD representatives reviewed data to verify that the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found to have completed the evaluation, although late, for every student whose initial evaluation was not timely, unless the child was no longer within the jurisdiction of the district.</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70"/>
      <w:bookmarkEnd w:id="71"/>
      <w:bookmarkEnd w:id="72"/>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73" w:name="_Toc384383358"/>
      <w:bookmarkStart w:id="74"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5" w:name="_Toc384383359"/>
      <w:bookmarkStart w:id="76" w:name="_Toc392159327"/>
      <w:bookmarkEnd w:id="73"/>
      <w:bookmarkEnd w:id="74"/>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83.00%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5"/>
          <w:bookmarkEnd w:id="76"/>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98.65%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98.31%</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97.53%</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97.93%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98.43%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3,473</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406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2,594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199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61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2,594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2,807</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98.43%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92.41%</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OSPI staff examined the Indicator B12 results and had discussions with districts and other educational partners (stakeholders) to identify potential reasons for the identified slippage. Below is a description of the contributing factors that </w:t>
      </w:r>
      <w:proofErr w:type="gramStart"/>
      <w:r w:rsidRPr="00781112">
        <w:rPr>
          <w:rFonts w:cs="Arial"/>
          <w:color w:val="000000" w:themeColor="text1"/>
          <w:szCs w:val="16"/>
        </w:rPr>
        <w:t>were identified</w:t>
      </w:r>
      <w:proofErr w:type="gramEnd"/>
      <w:r w:rsidRPr="00781112">
        <w:rPr>
          <w:rFonts w:cs="Arial"/>
          <w:color w:val="000000" w:themeColor="text1"/>
          <w:szCs w:val="16"/>
        </w:rPr>
        <w:t>.</w:t>
      </w:r>
      <w:r w:rsidRPr="00781112">
        <w:rPr>
          <w:rFonts w:cs="Arial"/>
          <w:color w:val="000000" w:themeColor="text1"/>
          <w:szCs w:val="16"/>
        </w:rPr>
        <w:br/>
      </w:r>
      <w:r w:rsidRPr="00781112">
        <w:rPr>
          <w:rFonts w:cs="Arial"/>
          <w:color w:val="000000" w:themeColor="text1"/>
          <w:szCs w:val="16"/>
        </w:rPr>
        <w:br/>
        <w:t xml:space="preserve">The largest barrier for districts appears to be data management systems. First, districts report that the Part C lead agency data management system has not been consistently alerting staff of potentially eligible children, leading to greater difficulties accessing student-level information to support the intent to evaluate, along with difficulties engaging families to gain consent and access the child for the evaluation. In addition, a new data application for collecting the data for this indicator </w:t>
      </w:r>
      <w:proofErr w:type="gramStart"/>
      <w:r w:rsidRPr="00781112">
        <w:rPr>
          <w:rFonts w:cs="Arial"/>
          <w:color w:val="000000" w:themeColor="text1"/>
          <w:szCs w:val="16"/>
        </w:rPr>
        <w:t>was fully implemented</w:t>
      </w:r>
      <w:proofErr w:type="gramEnd"/>
      <w:r w:rsidRPr="00781112">
        <w:rPr>
          <w:rFonts w:cs="Arial"/>
          <w:color w:val="000000" w:themeColor="text1"/>
          <w:szCs w:val="16"/>
        </w:rPr>
        <w:t xml:space="preserve"> starting in FFY 2021. Districts received guidance and training when the new application </w:t>
      </w:r>
      <w:proofErr w:type="gramStart"/>
      <w:r w:rsidRPr="00781112">
        <w:rPr>
          <w:rFonts w:cs="Arial"/>
          <w:color w:val="000000" w:themeColor="text1"/>
          <w:szCs w:val="16"/>
        </w:rPr>
        <w:t>was first launched</w:t>
      </w:r>
      <w:proofErr w:type="gramEnd"/>
      <w:r w:rsidRPr="00781112">
        <w:rPr>
          <w:rFonts w:cs="Arial"/>
          <w:color w:val="000000" w:themeColor="text1"/>
          <w:szCs w:val="16"/>
        </w:rPr>
        <w:t xml:space="preserve"> in FFY 2020, but the newness of the application, in addition to staff turnover and ongoing impacts of the pandemic, may have contributed to confusion. For example, </w:t>
      </w:r>
      <w:proofErr w:type="gramStart"/>
      <w:r w:rsidRPr="00781112">
        <w:rPr>
          <w:rFonts w:cs="Arial"/>
          <w:color w:val="000000" w:themeColor="text1"/>
          <w:szCs w:val="16"/>
        </w:rPr>
        <w:t>100</w:t>
      </w:r>
      <w:proofErr w:type="gramEnd"/>
      <w:r w:rsidRPr="00781112">
        <w:rPr>
          <w:rFonts w:cs="Arial"/>
          <w:color w:val="000000" w:themeColor="text1"/>
          <w:szCs w:val="16"/>
        </w:rPr>
        <w:t xml:space="preserve"> of the transitions that were not completed on time were reported under the reason code "other", with no additional information provided. The OSPI special education data team engaged with districts in multiple rounds of data quality checks, but </w:t>
      </w:r>
      <w:proofErr w:type="gramStart"/>
      <w:r w:rsidRPr="00781112">
        <w:rPr>
          <w:rFonts w:cs="Arial"/>
          <w:color w:val="000000" w:themeColor="text1"/>
          <w:szCs w:val="16"/>
        </w:rPr>
        <w:t>some</w:t>
      </w:r>
      <w:proofErr w:type="gramEnd"/>
      <w:r w:rsidRPr="00781112">
        <w:rPr>
          <w:rFonts w:cs="Arial"/>
          <w:color w:val="000000" w:themeColor="text1"/>
          <w:szCs w:val="16"/>
        </w:rPr>
        <w:t xml:space="preserve"> districts did not respond to multiple requests for additional information to describe the "other" category. OSPI had no information regarding these </w:t>
      </w:r>
      <w:proofErr w:type="gramStart"/>
      <w:r w:rsidRPr="00781112">
        <w:rPr>
          <w:rFonts w:cs="Arial"/>
          <w:color w:val="000000" w:themeColor="text1"/>
          <w:szCs w:val="16"/>
        </w:rPr>
        <w:t>100</w:t>
      </w:r>
      <w:proofErr w:type="gramEnd"/>
      <w:r w:rsidRPr="00781112">
        <w:rPr>
          <w:rFonts w:cs="Arial"/>
          <w:color w:val="000000" w:themeColor="text1"/>
          <w:szCs w:val="16"/>
        </w:rPr>
        <w:t xml:space="preserve"> students to assist in determining that the reason was an allowable exception, and therefore counted the students as late without an allowable exception.</w:t>
      </w:r>
      <w:r w:rsidRPr="00781112">
        <w:rPr>
          <w:rFonts w:cs="Arial"/>
          <w:color w:val="000000" w:themeColor="text1"/>
          <w:szCs w:val="16"/>
        </w:rPr>
        <w:br/>
      </w:r>
      <w:r w:rsidRPr="00781112">
        <w:rPr>
          <w:rFonts w:cs="Arial"/>
          <w:color w:val="000000" w:themeColor="text1"/>
          <w:szCs w:val="16"/>
        </w:rPr>
        <w:br/>
        <w:t xml:space="preserve">Second, in the 2019-20 and 2020-21 data collections for Indicator B12, the state implemented an additional allowable exception related to the COVID pandemic. As of the 2021-22 data collection, this </w:t>
      </w:r>
      <w:proofErr w:type="gramStart"/>
      <w:r w:rsidRPr="00781112">
        <w:rPr>
          <w:rFonts w:cs="Arial"/>
          <w:color w:val="000000" w:themeColor="text1"/>
          <w:szCs w:val="16"/>
        </w:rPr>
        <w:t>was no longer included</w:t>
      </w:r>
      <w:proofErr w:type="gramEnd"/>
      <w:r w:rsidRPr="00781112">
        <w:rPr>
          <w:rFonts w:cs="Arial"/>
          <w:color w:val="000000" w:themeColor="text1"/>
          <w:szCs w:val="16"/>
        </w:rPr>
        <w:t xml:space="preserve"> as an allowable exception. It is possible that some of the late transitions in 2021-22 were the result of the COVID </w:t>
      </w:r>
      <w:proofErr w:type="gramStart"/>
      <w:r w:rsidRPr="00781112">
        <w:rPr>
          <w:rFonts w:cs="Arial"/>
          <w:color w:val="000000" w:themeColor="text1"/>
          <w:szCs w:val="16"/>
        </w:rPr>
        <w:t>pandemic, and</w:t>
      </w:r>
      <w:proofErr w:type="gramEnd"/>
      <w:r w:rsidRPr="00781112">
        <w:rPr>
          <w:rFonts w:cs="Arial"/>
          <w:color w:val="000000" w:themeColor="text1"/>
          <w:szCs w:val="16"/>
        </w:rPr>
        <w:t xml:space="preserve"> were not considered to have an allowable exception. However, as described above, OSPI staff were unable to determine the reason for </w:t>
      </w:r>
      <w:proofErr w:type="gramStart"/>
      <w:r w:rsidRPr="00781112">
        <w:rPr>
          <w:rFonts w:cs="Arial"/>
          <w:color w:val="000000" w:themeColor="text1"/>
          <w:szCs w:val="16"/>
        </w:rPr>
        <w:t>100</w:t>
      </w:r>
      <w:proofErr w:type="gramEnd"/>
      <w:r w:rsidRPr="00781112">
        <w:rPr>
          <w:rFonts w:cs="Arial"/>
          <w:color w:val="000000" w:themeColor="text1"/>
          <w:szCs w:val="16"/>
        </w:rPr>
        <w:t xml:space="preserve"> of the late transitions, even after multiple rounds of data quality checks with LEAs, and therefore are unable to confirm the impact of this factor on the 2021-22 data for this indicator. </w:t>
      </w:r>
      <w:r w:rsidRPr="00781112">
        <w:rPr>
          <w:rFonts w:cs="Arial"/>
          <w:color w:val="000000" w:themeColor="text1"/>
          <w:szCs w:val="16"/>
        </w:rPr>
        <w:br/>
      </w:r>
      <w:r w:rsidRPr="00781112">
        <w:rPr>
          <w:rFonts w:cs="Arial"/>
          <w:color w:val="000000" w:themeColor="text1"/>
          <w:szCs w:val="16"/>
        </w:rPr>
        <w:br/>
        <w:t xml:space="preserve">In response to this slippage, OSPI has revised the reporting instructions to include clearer instructions for identifying the reason for a transition not occurring by the third birthday. These will be in effect for the 2022-23 data collection for Indicator B12. In addition, OSPI special education staff met with all nine regional Educational Service District (ESD) special education directors to share the results of this review of the Indicator B12 data and discuss next steps, including sharing the data and the reporting clarifications during the monthly regional LEA special education director meetings. OSPI has also engaged in ongoing trainings conjunction with the Part C </w:t>
      </w:r>
      <w:proofErr w:type="gramStart"/>
      <w:r w:rsidRPr="00781112">
        <w:rPr>
          <w:rFonts w:cs="Arial"/>
          <w:color w:val="000000" w:themeColor="text1"/>
          <w:szCs w:val="16"/>
        </w:rPr>
        <w:t>lead</w:t>
      </w:r>
      <w:proofErr w:type="gramEnd"/>
      <w:r w:rsidRPr="00781112">
        <w:rPr>
          <w:rFonts w:cs="Arial"/>
          <w:color w:val="000000" w:themeColor="text1"/>
          <w:szCs w:val="16"/>
        </w:rPr>
        <w:t xml:space="preserve"> agency to ensure school districts in Washington state receive, in a timely manner, information on students who are potentially eligible for Part B.</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213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A review of both the range of days beyond the timeline that the evaluation was determined and the IEP developed (if found eligible) and the reason for the delay was completed.</w:t>
      </w:r>
      <w:r w:rsidRPr="00781112">
        <w:rPr>
          <w:bCs/>
          <w:color w:val="000000" w:themeColor="text1"/>
        </w:rPr>
        <w:br/>
      </w:r>
      <w:r w:rsidRPr="00781112">
        <w:rPr>
          <w:bCs/>
          <w:color w:val="000000" w:themeColor="text1"/>
        </w:rPr>
        <w:br/>
        <w:t>For those 213 children whose evaluations were not completed on time or under federal exception:</w:t>
      </w:r>
      <w:r w:rsidRPr="00781112">
        <w:rPr>
          <w:bCs/>
          <w:color w:val="000000" w:themeColor="text1"/>
        </w:rPr>
        <w:br/>
        <w:t>• 46.95% (100) were due to issues for which districts did not provide explanations;</w:t>
      </w:r>
      <w:r w:rsidRPr="00781112">
        <w:rPr>
          <w:bCs/>
          <w:color w:val="000000" w:themeColor="text1"/>
        </w:rPr>
        <w:br/>
        <w:t>• 19.72% (42) were because the student was referred late to IDEA Part B;</w:t>
      </w:r>
      <w:r w:rsidRPr="00781112">
        <w:rPr>
          <w:bCs/>
          <w:color w:val="000000" w:themeColor="text1"/>
        </w:rPr>
        <w:br/>
        <w:t>• 18.78% (40) were due to district scheduling or staffing issues;</w:t>
      </w:r>
      <w:r w:rsidRPr="00781112">
        <w:rPr>
          <w:bCs/>
          <w:color w:val="000000" w:themeColor="text1"/>
        </w:rPr>
        <w:br/>
        <w:t>• 7.51% (16) were due to the family and district agreeing to extend the timeline;</w:t>
      </w:r>
      <w:r w:rsidRPr="00781112">
        <w:rPr>
          <w:bCs/>
          <w:color w:val="000000" w:themeColor="text1"/>
        </w:rPr>
        <w:br/>
        <w:t>• 6.10% (13) were due to the transition meeting not occurring at least 90 days prior to the student's third birthday; and</w:t>
      </w:r>
      <w:r w:rsidRPr="00781112">
        <w:rPr>
          <w:bCs/>
          <w:color w:val="000000" w:themeColor="text1"/>
        </w:rPr>
        <w:br/>
        <w:t>• 0.94% (2) were due to data entry or tracking errors; and</w:t>
      </w:r>
      <w:r w:rsidRPr="00781112">
        <w:rPr>
          <w:bCs/>
          <w:color w:val="000000" w:themeColor="text1"/>
        </w:rPr>
        <w:br/>
      </w:r>
      <w:r w:rsidRPr="00781112">
        <w:rPr>
          <w:bCs/>
          <w:color w:val="000000" w:themeColor="text1"/>
        </w:rPr>
        <w:br/>
        <w:t>With regard to the range of days for the 213 students reported above:</w:t>
      </w:r>
      <w:r w:rsidRPr="00781112">
        <w:rPr>
          <w:bCs/>
          <w:color w:val="000000" w:themeColor="text1"/>
        </w:rPr>
        <w:br/>
        <w:t>• 19.25% (41) were completed 1–15 calendar days beyond the child’s third birthday;</w:t>
      </w:r>
      <w:r w:rsidRPr="00781112">
        <w:rPr>
          <w:bCs/>
          <w:color w:val="000000" w:themeColor="text1"/>
        </w:rPr>
        <w:br/>
        <w:t>• 14.08% (30) were completed 16–29 calendar days beyond the child’s third birthday; and</w:t>
      </w:r>
      <w:r w:rsidRPr="00781112">
        <w:rPr>
          <w:bCs/>
          <w:color w:val="000000" w:themeColor="text1"/>
        </w:rPr>
        <w:br/>
        <w:t>• 66.67% (142) were completed 30 or more calendar days beyond the child's third birthday.</w:t>
      </w:r>
      <w:r w:rsidRPr="00781112">
        <w:rPr>
          <w:bCs/>
          <w:color w:val="000000" w:themeColor="text1"/>
        </w:rPr>
        <w:br/>
      </w:r>
      <w:r w:rsidRPr="00781112">
        <w:rPr>
          <w:bCs/>
          <w:color w:val="000000" w:themeColor="text1"/>
        </w:rPr>
        <w:br/>
        <w:t xml:space="preserve">Further data analysis addressing the reasons for delay and an examination of the range of days by geographic region and district size groupings within each of the nine regions, was completed and discussed with stakeholders. There were no emerging patterns or trends identified with one exception. In addition to the universal supports provided for the correction of noncompliance to all LEAs not at 100% compliance, targeted and/or intensive technical assistance will </w:t>
      </w:r>
      <w:proofErr w:type="gramStart"/>
      <w:r w:rsidRPr="00781112">
        <w:rPr>
          <w:bCs/>
          <w:color w:val="000000" w:themeColor="text1"/>
        </w:rPr>
        <w:t>be provided</w:t>
      </w:r>
      <w:proofErr w:type="gramEnd"/>
      <w:r w:rsidRPr="00781112">
        <w:rPr>
          <w:bCs/>
          <w:color w:val="000000" w:themeColor="text1"/>
        </w:rPr>
        <w:t xml:space="preserve"> to this LEA through the designated regional professional development system.</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7" w:name="_Hlk20318414"/>
      <w:bookmarkEnd w:id="77"/>
    </w:p>
    <w:p w14:paraId="5E057416" w14:textId="77777777" w:rsidR="00A5601C" w:rsidRPr="00781112" w:rsidRDefault="009447A3">
      <w:pPr>
        <w:rPr>
          <w:b/>
          <w:color w:val="000000" w:themeColor="text1"/>
        </w:rPr>
      </w:pPr>
      <w:r w:rsidRPr="00781112">
        <w:rPr>
          <w:b/>
          <w:color w:val="000000" w:themeColor="text1"/>
        </w:rPr>
        <w:lastRenderedPageBreak/>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A statewide data collection process </w:t>
      </w:r>
      <w:proofErr w:type="gramStart"/>
      <w:r w:rsidRPr="00781112">
        <w:rPr>
          <w:rFonts w:cs="Arial"/>
          <w:color w:val="000000" w:themeColor="text1"/>
          <w:szCs w:val="16"/>
        </w:rPr>
        <w:t>was implemented</w:t>
      </w:r>
      <w:proofErr w:type="gramEnd"/>
      <w:r w:rsidRPr="00781112">
        <w:rPr>
          <w:rFonts w:cs="Arial"/>
          <w:color w:val="000000" w:themeColor="text1"/>
          <w:szCs w:val="16"/>
        </w:rPr>
        <w:t xml:space="preserve"> in FFY 2020. All districts continue to report evaluation and eligibility data on all children referred to IDEA Part B for initial eligibility determination but at the student level using the statewide student database. District staff review and verify each student record submitted for the reporting </w:t>
      </w:r>
      <w:proofErr w:type="gramStart"/>
      <w:r w:rsidRPr="00781112">
        <w:rPr>
          <w:rFonts w:cs="Arial"/>
          <w:color w:val="000000" w:themeColor="text1"/>
          <w:szCs w:val="16"/>
        </w:rPr>
        <w:t>time period</w:t>
      </w:r>
      <w:proofErr w:type="gramEnd"/>
      <w:r w:rsidRPr="00781112">
        <w:rPr>
          <w:rFonts w:cs="Arial"/>
          <w:color w:val="000000" w:themeColor="text1"/>
          <w:szCs w:val="16"/>
        </w:rPr>
        <w:t xml:space="preserve">. This indicator </w:t>
      </w:r>
      <w:proofErr w:type="gramStart"/>
      <w:r w:rsidRPr="00781112">
        <w:rPr>
          <w:rFonts w:cs="Arial"/>
          <w:color w:val="000000" w:themeColor="text1"/>
          <w:szCs w:val="16"/>
        </w:rPr>
        <w:t>is then calculated</w:t>
      </w:r>
      <w:proofErr w:type="gramEnd"/>
      <w:r w:rsidRPr="00781112">
        <w:rPr>
          <w:rFonts w:cs="Arial"/>
          <w:color w:val="000000" w:themeColor="text1"/>
          <w:szCs w:val="16"/>
        </w:rPr>
        <w:t xml:space="preserve"> using the student level data verified by district staff to determine the statewide percentage of on-time initial evaluations.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To address concerning data trends observed for Indicator B12 in FFY 2021, OSPI special education staff worked with staff from the Part C </w:t>
      </w:r>
      <w:proofErr w:type="gramStart"/>
      <w:r w:rsidRPr="00781112">
        <w:rPr>
          <w:rFonts w:cs="Arial"/>
          <w:color w:val="000000" w:themeColor="text1"/>
          <w:szCs w:val="16"/>
        </w:rPr>
        <w:t>lead</w:t>
      </w:r>
      <w:proofErr w:type="gramEnd"/>
      <w:r w:rsidRPr="00781112">
        <w:rPr>
          <w:rFonts w:cs="Arial"/>
          <w:color w:val="000000" w:themeColor="text1"/>
          <w:szCs w:val="16"/>
        </w:rPr>
        <w:t xml:space="preserve"> agency to begin revising the existing interagency agreement for Part C to Part B Transition. Priorities include clarifying roles and responsibilities for OSPI, the Part C lead agency, Part C providers, and school districts. This process will </w:t>
      </w:r>
      <w:proofErr w:type="gramStart"/>
      <w:r w:rsidRPr="00781112">
        <w:rPr>
          <w:rFonts w:cs="Arial"/>
          <w:color w:val="000000" w:themeColor="text1"/>
          <w:szCs w:val="16"/>
        </w:rPr>
        <w:t>be completed</w:t>
      </w:r>
      <w:proofErr w:type="gramEnd"/>
      <w:r w:rsidRPr="00781112">
        <w:rPr>
          <w:rFonts w:cs="Arial"/>
          <w:color w:val="000000" w:themeColor="text1"/>
          <w:szCs w:val="16"/>
        </w:rPr>
        <w:t xml:space="preserve"> in FFY 2022.</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districts identified root causes of the noncompliance, and reviewed policies, procedures, and/or practices that contributed to the noncompliance. Actions were taken by the district to address the identified root causes and were reported to OSPI through the IDEA Compliance Package.</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of 34 C.F.R. §300.124(b), a review of updated data, conducted by regional Educational Service District (ESD) representatives and validated by OSPI, was completed. Verification activities included on-site visits and/or virtual meetings, staff interviews, data reviews, student record reviews, and/or observations. This review verified 100% compliance;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w:t>
      </w:r>
      <w:proofErr w:type="gramStart"/>
      <w:r w:rsidRPr="00781112">
        <w:rPr>
          <w:rFonts w:cs="Arial"/>
          <w:color w:val="000000" w:themeColor="text1"/>
          <w:szCs w:val="16"/>
        </w:rPr>
        <w:t>districts were</w:t>
      </w:r>
      <w:proofErr w:type="gramEnd"/>
      <w:r w:rsidRPr="00781112">
        <w:rPr>
          <w:rFonts w:cs="Arial"/>
          <w:color w:val="000000" w:themeColor="text1"/>
          <w:szCs w:val="16"/>
        </w:rPr>
        <w:t xml:space="preserve"> correctly implementing the specific regulatory requirements found in 34 C.F.R. §300.124(b).</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Special education representatives from the regional ESDs and OSPI verified that the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corrections, as summarized in the IDEA Compliance Package, were made. Verification activities included on-site visits and/or virtual meetings, staff interviews, data reviews, student record reviews, and/or observations. Regional ESD representatives reviewed data to verify that the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All 11 districts were found to have completed the evaluation and implemented the IEP (if eligible), although late, for every student whose transition was not timely, unless the child was no longer within the jurisdiction of the district.</w:t>
      </w:r>
      <w:r w:rsidRPr="00781112">
        <w:rPr>
          <w:rFonts w:cs="Arial"/>
          <w:color w:val="000000" w:themeColor="text1"/>
          <w:szCs w:val="16"/>
        </w:rPr>
        <w:br/>
      </w:r>
      <w:r w:rsidRPr="00781112">
        <w:rPr>
          <w:rFonts w:cs="Arial"/>
          <w:color w:val="000000" w:themeColor="text1"/>
          <w:szCs w:val="16"/>
        </w:rPr>
        <w:br/>
        <w:t>All identified noncompliance from FFY 2020 for Indicator 12 was corrected within one year of identification.</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All identified noncompliance from FFY 2020 for Indicator 12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within one year of identification as per OSEP Memo 09-02.</w:t>
      </w:r>
      <w:r w:rsidRPr="00781112">
        <w:rPr>
          <w:rFonts w:cs="Arial"/>
          <w:color w:val="000000" w:themeColor="text1"/>
          <w:szCs w:val="16"/>
        </w:rPr>
        <w:br/>
      </w:r>
      <w:r w:rsidRPr="00781112">
        <w:rPr>
          <w:rFonts w:cs="Arial"/>
          <w:color w:val="000000" w:themeColor="text1"/>
          <w:szCs w:val="16"/>
        </w:rPr>
        <w:br/>
        <w:t>The districts identified root causes of the noncompliance, and reviewed policies, procedures, and/or practices that contributed to the noncompliance. Actions were taken by the district to address the identified root causes and were reported to OSPI through the IDEA Compliance Package.</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of 34 C.F.R. §300.124(b), a review of updated data, conducted by regional Educational Service District (ESD) representatives and validated by OSPI, was completed. Verification activities included on-site visits and/or virtual meetings, staff interviews, data reviews, student record reviews, and/or observations. This review verified 100% compliance;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correctly implementing the specific regulatory requirements found in 34 C.F.R. §300.124(b).</w:t>
      </w:r>
      <w:r w:rsidRPr="00781112">
        <w:rPr>
          <w:rFonts w:cs="Arial"/>
          <w:color w:val="000000" w:themeColor="text1"/>
          <w:szCs w:val="16"/>
        </w:rPr>
        <w:br/>
        <w:t xml:space="preserve">Special education representatives from the regional ESDs and OSPI verified that the 11 districts’ corrections, as summarized in the IDEA Compliance Package, were made. Verification activities included on-site visits and/or virtual meetings, staff interviews, data reviews, student record reviews, and/or observations. Regional ESD representatives reviewed data to verify that the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All </w:t>
      </w:r>
      <w:proofErr w:type="gramStart"/>
      <w:r w:rsidRPr="00781112">
        <w:rPr>
          <w:rFonts w:cs="Arial"/>
          <w:color w:val="000000" w:themeColor="text1"/>
          <w:szCs w:val="16"/>
        </w:rPr>
        <w:t>11</w:t>
      </w:r>
      <w:proofErr w:type="gramEnd"/>
      <w:r w:rsidRPr="00781112">
        <w:rPr>
          <w:rFonts w:cs="Arial"/>
          <w:color w:val="000000" w:themeColor="text1"/>
          <w:szCs w:val="16"/>
        </w:rPr>
        <w:t xml:space="preserve"> districts were found to have completed </w:t>
      </w:r>
      <w:r w:rsidRPr="00781112">
        <w:rPr>
          <w:rFonts w:cs="Arial"/>
          <w:color w:val="000000" w:themeColor="text1"/>
          <w:szCs w:val="16"/>
        </w:rPr>
        <w:lastRenderedPageBreak/>
        <w:t>the evaluation and implemented the IEP (if eligible), although late, for every student whose transition was not timely, unless the child was no longer within the jurisdiction of the district.</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8" w:name="_Toc384383363"/>
      <w:bookmarkStart w:id="79"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80" w:name="_Toc384383364"/>
      <w:bookmarkStart w:id="81" w:name="_Toc392159332"/>
      <w:bookmarkEnd w:id="78"/>
      <w:bookmarkEnd w:id="79"/>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83.70%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95.22%</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95.81%</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96.99%</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97.47%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99.08%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80"/>
    <w:bookmarkEnd w:id="81"/>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1,252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1,277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99.08%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98.04%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OSPI staff examined the Indicator B13 results, both aggregated and disaggregated, and had discussions </w:t>
      </w:r>
      <w:proofErr w:type="gramStart"/>
      <w:r w:rsidRPr="00781112">
        <w:rPr>
          <w:rFonts w:cs="Arial"/>
          <w:color w:val="000000" w:themeColor="text1"/>
          <w:szCs w:val="16"/>
        </w:rPr>
        <w:t>in an attempt to</w:t>
      </w:r>
      <w:proofErr w:type="gramEnd"/>
      <w:r w:rsidRPr="00781112">
        <w:rPr>
          <w:rFonts w:cs="Arial"/>
          <w:color w:val="000000" w:themeColor="text1"/>
          <w:szCs w:val="16"/>
        </w:rPr>
        <w:t xml:space="preserve"> determine reasons for the identified slippage. The number of IEPs of students turning </w:t>
      </w:r>
      <w:proofErr w:type="gramStart"/>
      <w:r w:rsidRPr="00781112">
        <w:rPr>
          <w:rFonts w:cs="Arial"/>
          <w:color w:val="000000" w:themeColor="text1"/>
          <w:szCs w:val="16"/>
        </w:rPr>
        <w:t>16</w:t>
      </w:r>
      <w:proofErr w:type="gramEnd"/>
      <w:r w:rsidRPr="00781112">
        <w:rPr>
          <w:rFonts w:cs="Arial"/>
          <w:color w:val="000000" w:themeColor="text1"/>
          <w:szCs w:val="16"/>
        </w:rPr>
        <w:t xml:space="preserve"> and above in 2021-22 was 15% more than the number of IEPs included in the prior year's data for this indicator. In addition, IEPs reviewed in 2021-22 were more likely than those reviewed in 2020-21 to </w:t>
      </w:r>
      <w:proofErr w:type="gramStart"/>
      <w:r w:rsidRPr="00781112">
        <w:rPr>
          <w:rFonts w:cs="Arial"/>
          <w:color w:val="000000" w:themeColor="text1"/>
          <w:szCs w:val="16"/>
        </w:rPr>
        <w:t>be found</w:t>
      </w:r>
      <w:proofErr w:type="gramEnd"/>
      <w:r w:rsidRPr="00781112">
        <w:rPr>
          <w:rFonts w:cs="Arial"/>
          <w:color w:val="000000" w:themeColor="text1"/>
          <w:szCs w:val="16"/>
        </w:rPr>
        <w:t xml:space="preserve"> non-compliant in the areas of postsecondary goals and course(s) of study. No significant patterns were identified when disaggregating the data by district or region.</w:t>
      </w:r>
      <w:r w:rsidRPr="00781112">
        <w:rPr>
          <w:rFonts w:cs="Arial"/>
          <w:color w:val="000000" w:themeColor="text1"/>
          <w:szCs w:val="16"/>
        </w:rPr>
        <w:br/>
      </w:r>
      <w:r w:rsidRPr="00781112">
        <w:rPr>
          <w:rFonts w:cs="Arial"/>
          <w:color w:val="000000" w:themeColor="text1"/>
          <w:szCs w:val="16"/>
        </w:rPr>
        <w:br/>
        <w:t>To address the slippage, OSPI will continue to collaborate with the Center for Change in Transition Services, a Washington State Needs Project, to collect, develop, and disseminate resources, guidance, and professional development to assist secondary staff, students, and families in creating and implementing effective secondary transition IEPs.  These resources will cover all areas of transition IEP development, including postsecondary goals and course(s) of study, the two areas found to have non-compliance in the 2021-22 data collection.</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These data are collected from the state’s monitoring activities, which include on-site/virtual on-site visits, off-site desk reviews, and files submitted for Safety Net reimbursement.</w:t>
      </w:r>
      <w:r w:rsidRPr="00781112">
        <w:rPr>
          <w:rFonts w:cs="Arial"/>
          <w:color w:val="000000" w:themeColor="text1"/>
          <w:szCs w:val="16"/>
        </w:rPr>
        <w:br/>
      </w:r>
      <w:r w:rsidRPr="00781112">
        <w:rPr>
          <w:rFonts w:cs="Arial"/>
          <w:color w:val="000000" w:themeColor="text1"/>
          <w:szCs w:val="16"/>
        </w:rPr>
        <w:br/>
        <w:t>During the monitoring review, a comprehensive student file review is conducted which includes IEPs of students turning 16 and above to determine whether the elements described below are appropriately documented in the IEP:</w:t>
      </w:r>
      <w:r w:rsidRPr="00781112">
        <w:rPr>
          <w:rFonts w:cs="Arial"/>
          <w:color w:val="000000" w:themeColor="text1"/>
          <w:szCs w:val="16"/>
        </w:rPr>
        <w:br/>
        <w:t>a. Evidence that the measurable post-secondary goal(s) were based on age-appropriate transition assessment(s).</w:t>
      </w:r>
      <w:r w:rsidRPr="00781112">
        <w:rPr>
          <w:rFonts w:cs="Arial"/>
          <w:color w:val="000000" w:themeColor="text1"/>
          <w:szCs w:val="16"/>
        </w:rPr>
        <w:br/>
        <w:t>b. Measurable post-secondary goal(s) that are updated annually and address education, training, employment, and if appropriate, independent living skills.</w:t>
      </w:r>
      <w:r w:rsidRPr="00781112">
        <w:rPr>
          <w:rFonts w:cs="Arial"/>
          <w:color w:val="000000" w:themeColor="text1"/>
          <w:szCs w:val="16"/>
        </w:rPr>
        <w:br/>
        <w:t>c. Transition services that focus on improving academic and functional achievement of the student to facilitate their movement from school to post-school settings.</w:t>
      </w:r>
      <w:r w:rsidRPr="00781112">
        <w:rPr>
          <w:rFonts w:cs="Arial"/>
          <w:color w:val="000000" w:themeColor="text1"/>
          <w:szCs w:val="16"/>
        </w:rPr>
        <w:br/>
        <w:t>d. Course(s) of study needed to assist the student in reaching the identified postsecondary goal(s).</w:t>
      </w:r>
      <w:r w:rsidRPr="00781112">
        <w:rPr>
          <w:rFonts w:cs="Arial"/>
          <w:color w:val="000000" w:themeColor="text1"/>
          <w:szCs w:val="16"/>
        </w:rPr>
        <w:br/>
        <w:t>e. Annual IEP goal(s) that will reasonably enable the student to meet the identified post-secondary goal(s).</w:t>
      </w:r>
      <w:r w:rsidRPr="00781112">
        <w:rPr>
          <w:rFonts w:cs="Arial"/>
          <w:color w:val="000000" w:themeColor="text1"/>
          <w:szCs w:val="16"/>
        </w:rPr>
        <w:br/>
        <w:t>f. Evidence that the student was invited to the IEP Team meeting where transition services are to be discussed.</w:t>
      </w:r>
      <w:r w:rsidRPr="00781112">
        <w:rPr>
          <w:rFonts w:cs="Arial"/>
          <w:color w:val="000000" w:themeColor="text1"/>
          <w:szCs w:val="16"/>
        </w:rPr>
        <w:br/>
        <w:t xml:space="preserve">g. For transition services that are likely to </w:t>
      </w:r>
      <w:proofErr w:type="gramStart"/>
      <w:r w:rsidRPr="00781112">
        <w:rPr>
          <w:rFonts w:cs="Arial"/>
          <w:color w:val="000000" w:themeColor="text1"/>
          <w:szCs w:val="16"/>
        </w:rPr>
        <w:t>be provided</w:t>
      </w:r>
      <w:proofErr w:type="gramEnd"/>
      <w:r w:rsidRPr="00781112">
        <w:rPr>
          <w:rFonts w:cs="Arial"/>
          <w:color w:val="000000" w:themeColor="text1"/>
          <w:szCs w:val="16"/>
        </w:rPr>
        <w:t xml:space="preserve"> or paid for by other agencies, evidence that, with parent consent, representatives of the agency(ies) were invited to the IEP meeting.</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82"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state reported 99.08% compliance in FFY 2020. Eight districts were determined to be noncompliant with the requirements of 34 Code of Federal Regulations (C.F.R.) §300.320(b) and 300.321(b). The districts were notified in writing of the identified noncompliance and were required to correct this noncompliance as soon as possible, but no later than one year from identification.</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a review of updated data, conducted by regional Educational Service District (ESD) representatives and validated by the Office of Superintendent of Public Instruction (OSPI), was completed. Verification activities included on-site visits and/or virtual meetings, staff interviews, data reviews, student record reviews, observations, </w:t>
      </w:r>
      <w:proofErr w:type="gramStart"/>
      <w:r w:rsidRPr="00781112">
        <w:rPr>
          <w:rFonts w:cs="Arial"/>
          <w:color w:val="000000" w:themeColor="text1"/>
          <w:szCs w:val="16"/>
        </w:rPr>
        <w:t>etc.</w:t>
      </w:r>
      <w:proofErr w:type="gramEnd"/>
      <w:r w:rsidRPr="00781112">
        <w:rPr>
          <w:rFonts w:cs="Arial"/>
          <w:color w:val="000000" w:themeColor="text1"/>
          <w:szCs w:val="16"/>
        </w:rPr>
        <w:t xml:space="preserve"> This review verified 100% compliance; the </w:t>
      </w:r>
      <w:proofErr w:type="gramStart"/>
      <w:r w:rsidRPr="00781112">
        <w:rPr>
          <w:rFonts w:cs="Arial"/>
          <w:color w:val="000000" w:themeColor="text1"/>
          <w:szCs w:val="16"/>
        </w:rPr>
        <w:t>8</w:t>
      </w:r>
      <w:proofErr w:type="gramEnd"/>
      <w:r w:rsidRPr="00781112">
        <w:rPr>
          <w:rFonts w:cs="Arial"/>
          <w:color w:val="000000" w:themeColor="text1"/>
          <w:szCs w:val="16"/>
        </w:rPr>
        <w:t xml:space="preserve"> districts were correctly implementing the specific regulatory requirements found in 34 C.F.R. §300.320(b) and 300.321(b).</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The </w:t>
      </w:r>
      <w:proofErr w:type="gramStart"/>
      <w:r w:rsidRPr="00781112">
        <w:rPr>
          <w:rFonts w:cs="Arial"/>
          <w:color w:val="000000" w:themeColor="text1"/>
          <w:szCs w:val="16"/>
        </w:rPr>
        <w:t>8</w:t>
      </w:r>
      <w:proofErr w:type="gramEnd"/>
      <w:r w:rsidRPr="00781112">
        <w:rPr>
          <w:rFonts w:cs="Arial"/>
          <w:color w:val="000000" w:themeColor="text1"/>
          <w:szCs w:val="16"/>
        </w:rPr>
        <w:t xml:space="preserve"> identified districts corrected and accounted for all individual instances of noncompliance identified in the notification of findings. The correction of each individual case of noncompliance was summarized and reported by the district to OSPI through the IDEA Compliance Package.</w:t>
      </w:r>
      <w:r w:rsidRPr="00781112">
        <w:rPr>
          <w:rFonts w:cs="Arial"/>
          <w:color w:val="000000" w:themeColor="text1"/>
          <w:szCs w:val="16"/>
        </w:rPr>
        <w:br/>
      </w:r>
      <w:r w:rsidRPr="00781112">
        <w:rPr>
          <w:rFonts w:cs="Arial"/>
          <w:color w:val="000000" w:themeColor="text1"/>
          <w:szCs w:val="16"/>
        </w:rPr>
        <w:br/>
        <w:t xml:space="preserve">Special education representatives from the regional ESDs and OSPI verified that the </w:t>
      </w:r>
      <w:proofErr w:type="gramStart"/>
      <w:r w:rsidRPr="00781112">
        <w:rPr>
          <w:rFonts w:cs="Arial"/>
          <w:color w:val="000000" w:themeColor="text1"/>
          <w:szCs w:val="16"/>
        </w:rPr>
        <w:t>8</w:t>
      </w:r>
      <w:proofErr w:type="gramEnd"/>
      <w:r w:rsidRPr="00781112">
        <w:rPr>
          <w:rFonts w:cs="Arial"/>
          <w:color w:val="000000" w:themeColor="text1"/>
          <w:szCs w:val="16"/>
        </w:rPr>
        <w:t xml:space="preserve"> districts’ corrections, as summarized in the IDEA Compliance Package, were made. Verification activities included on-site visits and/or virtual meetings, staff interviews, data reviews, student record reviews, observations, </w:t>
      </w:r>
      <w:proofErr w:type="gramStart"/>
      <w:r w:rsidRPr="00781112">
        <w:rPr>
          <w:rFonts w:cs="Arial"/>
          <w:color w:val="000000" w:themeColor="text1"/>
          <w:szCs w:val="16"/>
        </w:rPr>
        <w:t>etc.</w:t>
      </w:r>
      <w:proofErr w:type="gramEnd"/>
      <w:r w:rsidRPr="00781112">
        <w:rPr>
          <w:rFonts w:cs="Arial"/>
          <w:color w:val="000000" w:themeColor="text1"/>
          <w:szCs w:val="16"/>
        </w:rPr>
        <w:t xml:space="preserve"> All </w:t>
      </w:r>
      <w:proofErr w:type="gramStart"/>
      <w:r w:rsidRPr="00781112">
        <w:rPr>
          <w:rFonts w:cs="Arial"/>
          <w:color w:val="000000" w:themeColor="text1"/>
          <w:szCs w:val="16"/>
        </w:rPr>
        <w:t>8</w:t>
      </w:r>
      <w:proofErr w:type="gramEnd"/>
      <w:r w:rsidRPr="00781112">
        <w:rPr>
          <w:rFonts w:cs="Arial"/>
          <w:color w:val="000000" w:themeColor="text1"/>
          <w:szCs w:val="16"/>
        </w:rPr>
        <w:t xml:space="preserve"> districts were found to have corrected each individual case of noncompliance, unless the student was no longer within the jurisdiction of the district.</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lastRenderedPageBreak/>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All identified noncompliance from FFY 2020 for Indicator 13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within one year of identification.</w:t>
      </w:r>
      <w:r w:rsidRPr="00781112">
        <w:rPr>
          <w:rFonts w:cs="Arial"/>
          <w:color w:val="000000" w:themeColor="text1"/>
          <w:szCs w:val="16"/>
        </w:rPr>
        <w:br/>
      </w:r>
      <w:r w:rsidRPr="00781112">
        <w:rPr>
          <w:rFonts w:cs="Arial"/>
          <w:color w:val="000000" w:themeColor="text1"/>
          <w:szCs w:val="16"/>
        </w:rPr>
        <w:br/>
        <w:t>The state reported 99.08% compliance in FFY 2020. Eight districts were determined to be noncompliant with the requirements of 34 Code of Federal Regulations (C.F.R.) §300.320(b) and 300.321(b). The districts were notified in writing of the identified noncompliance and were required to correct this noncompliance as soon as possible, but no later than one year from identification.</w:t>
      </w:r>
      <w:r w:rsidRPr="00781112">
        <w:rPr>
          <w:rFonts w:cs="Arial"/>
          <w:color w:val="000000" w:themeColor="text1"/>
          <w:szCs w:val="16"/>
        </w:rPr>
        <w:br/>
      </w:r>
      <w:r w:rsidRPr="00781112">
        <w:rPr>
          <w:rFonts w:cs="Arial"/>
          <w:color w:val="000000" w:themeColor="text1"/>
          <w:szCs w:val="16"/>
        </w:rPr>
        <w:br/>
        <w:t xml:space="preserve">In order to verify that the districts were correctly implementing the regulatory requirements, a review of updated data, conducted by regional Educational Service District (ESD) representatives and validated by the Office of Superintendent of Public Instruction (OSPI), was completed. Verification activities included on-site visits and/or virtual meetings, staff interviews, data reviews, student record reviews, observations, </w:t>
      </w:r>
      <w:proofErr w:type="gramStart"/>
      <w:r w:rsidRPr="00781112">
        <w:rPr>
          <w:rFonts w:cs="Arial"/>
          <w:color w:val="000000" w:themeColor="text1"/>
          <w:szCs w:val="16"/>
        </w:rPr>
        <w:t>etc.</w:t>
      </w:r>
      <w:proofErr w:type="gramEnd"/>
      <w:r w:rsidRPr="00781112">
        <w:rPr>
          <w:rFonts w:cs="Arial"/>
          <w:color w:val="000000" w:themeColor="text1"/>
          <w:szCs w:val="16"/>
        </w:rPr>
        <w:t xml:space="preserve"> This review verified 100% compliance; the </w:t>
      </w:r>
      <w:proofErr w:type="gramStart"/>
      <w:r w:rsidRPr="00781112">
        <w:rPr>
          <w:rFonts w:cs="Arial"/>
          <w:color w:val="000000" w:themeColor="text1"/>
          <w:szCs w:val="16"/>
        </w:rPr>
        <w:t>8</w:t>
      </w:r>
      <w:proofErr w:type="gramEnd"/>
      <w:r w:rsidRPr="00781112">
        <w:rPr>
          <w:rFonts w:cs="Arial"/>
          <w:color w:val="000000" w:themeColor="text1"/>
          <w:szCs w:val="16"/>
        </w:rPr>
        <w:t xml:space="preserve"> districts were correctly implementing the specific regulatory requirements found in 34 C.F.R. §300.320(b) and 300.321(b).</w:t>
      </w:r>
      <w:r w:rsidRPr="00781112">
        <w:rPr>
          <w:rFonts w:cs="Arial"/>
          <w:color w:val="000000" w:themeColor="text1"/>
          <w:szCs w:val="16"/>
        </w:rPr>
        <w:br/>
      </w:r>
      <w:r w:rsidRPr="00781112">
        <w:rPr>
          <w:rFonts w:cs="Arial"/>
          <w:color w:val="000000" w:themeColor="text1"/>
          <w:szCs w:val="16"/>
        </w:rPr>
        <w:br/>
        <w:t>The 8 identified districts corrected and accounted for all individual instances of noncompliance identified in the notification of findings. The correction of each individual case of noncompliance was summarized and reported by the district to OSPI through the IDEA Compliance Package.</w:t>
      </w:r>
      <w:r w:rsidRPr="00781112">
        <w:rPr>
          <w:rFonts w:cs="Arial"/>
          <w:color w:val="000000" w:themeColor="text1"/>
          <w:szCs w:val="16"/>
        </w:rPr>
        <w:br/>
      </w:r>
      <w:r w:rsidRPr="00781112">
        <w:rPr>
          <w:rFonts w:cs="Arial"/>
          <w:color w:val="000000" w:themeColor="text1"/>
          <w:szCs w:val="16"/>
        </w:rPr>
        <w:br/>
        <w:t xml:space="preserve">Special education representatives from the regional ESDs and OSPI verified that the </w:t>
      </w:r>
      <w:proofErr w:type="gramStart"/>
      <w:r w:rsidRPr="00781112">
        <w:rPr>
          <w:rFonts w:cs="Arial"/>
          <w:color w:val="000000" w:themeColor="text1"/>
          <w:szCs w:val="16"/>
        </w:rPr>
        <w:t>8</w:t>
      </w:r>
      <w:proofErr w:type="gramEnd"/>
      <w:r w:rsidRPr="00781112">
        <w:rPr>
          <w:rFonts w:cs="Arial"/>
          <w:color w:val="000000" w:themeColor="text1"/>
          <w:szCs w:val="16"/>
        </w:rPr>
        <w:t xml:space="preserve"> districts’ corrections, as summarized in the IDEA Compliance Package, were made. Verification activities included on-site visits and/or virtual meetings, staff interviews, data reviews, student record reviews, observations, </w:t>
      </w:r>
      <w:proofErr w:type="gramStart"/>
      <w:r w:rsidRPr="00781112">
        <w:rPr>
          <w:rFonts w:cs="Arial"/>
          <w:color w:val="000000" w:themeColor="text1"/>
          <w:szCs w:val="16"/>
        </w:rPr>
        <w:t>etc.</w:t>
      </w:r>
      <w:proofErr w:type="gramEnd"/>
      <w:r w:rsidRPr="00781112">
        <w:rPr>
          <w:rFonts w:cs="Arial"/>
          <w:color w:val="000000" w:themeColor="text1"/>
          <w:szCs w:val="16"/>
        </w:rPr>
        <w:t xml:space="preserve">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82"/>
    </w:p>
    <w:p w14:paraId="22761492" w14:textId="77777777" w:rsidR="005C50DB" w:rsidRPr="00781112" w:rsidRDefault="005C50DB" w:rsidP="00A018D4">
      <w:pPr>
        <w:rPr>
          <w:szCs w:val="20"/>
        </w:rPr>
      </w:pPr>
      <w:bookmarkStart w:id="83"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4"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4"/>
    <w:p w14:paraId="3FE9961A" w14:textId="1EDBA086" w:rsidR="000301BA" w:rsidRPr="00781112" w:rsidRDefault="00172058" w:rsidP="00123D76">
      <w:pPr>
        <w:pStyle w:val="Heading2"/>
      </w:pPr>
      <w:r w:rsidRPr="00781112">
        <w:t>14 - Indicator Data</w:t>
      </w:r>
    </w:p>
    <w:bookmarkEnd w:id="83"/>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25.90%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26.20%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19.75%</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23.74%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21.79%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21.31%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20.45%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19.50%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16.74%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49.55%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49.75%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49.95%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52.21%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54.00%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52.11%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57.13%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56.08%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56.64%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52.95%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43.91%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67.33%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67.43%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67.53%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65.13%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72.21%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72.19%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74.68%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72.04%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69.93%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20.50%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21.40%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22.40%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23.40%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24.40%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55.40%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57.40%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59.40%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61.40%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63.30%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74.00%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75.50%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77.50%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83.00%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5" w:name="_Toc392159337"/>
    </w:p>
    <w:bookmarkEnd w:id="85"/>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7,938</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6,261</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78.87%</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1,056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1,925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245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1,424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1,056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6,261</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16.74%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20.50%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16.87%</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2,981</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6,261</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43.91%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55.40%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47.61%</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4,650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6,261</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69.93%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78.16%</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78.87%</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Continued analyses of the response rate data are completed by OSPI and the Center for Change in Transition Services (CCTS) for each data collection </w:t>
      </w:r>
      <w:proofErr w:type="gramStart"/>
      <w:r w:rsidRPr="00B551F2">
        <w:t>in order to</w:t>
      </w:r>
      <w:proofErr w:type="gramEnd"/>
      <w:r w:rsidRPr="00B551F2">
        <w:t xml:space="preserve"> identify strategies to increase response rates. </w:t>
      </w:r>
      <w:r w:rsidRPr="00B551F2">
        <w:br/>
      </w:r>
      <w:r w:rsidRPr="00B551F2">
        <w:br/>
        <w:t xml:space="preserve">Continued analyses of the response rate data are completed by OSPI and the Center for Change in Transition Services (CCTS) for each data collection </w:t>
      </w:r>
      <w:proofErr w:type="gramStart"/>
      <w:r w:rsidRPr="00B551F2">
        <w:t>in order to</w:t>
      </w:r>
      <w:proofErr w:type="gramEnd"/>
      <w:r w:rsidRPr="00B551F2">
        <w:t xml:space="preserve"> identify strategies to increase response rates. </w:t>
      </w:r>
      <w:r w:rsidRPr="00B551F2">
        <w:br/>
      </w:r>
      <w:r w:rsidRPr="00B551F2">
        <w:br/>
        <w:t xml:space="preserve">There were 57 (a 50% decrease over prior year) eligible leavers that </w:t>
      </w:r>
      <w:proofErr w:type="gramStart"/>
      <w:r w:rsidRPr="00B551F2">
        <w:t>were not contacted</w:t>
      </w:r>
      <w:proofErr w:type="gramEnd"/>
      <w:r w:rsidRPr="00B551F2">
        <w:t xml:space="preserve"> by school district personnel for the 2022 survey. Surveys for these youth </w:t>
      </w:r>
      <w:proofErr w:type="gramStart"/>
      <w:r w:rsidRPr="00B551F2">
        <w:t>were never started</w:t>
      </w:r>
      <w:proofErr w:type="gramEnd"/>
      <w:r w:rsidRPr="00B551F2">
        <w:t xml:space="preserve">, and they are not included in the total count of non-respondents or as part of the Indicator B-14 calculation. CCTS is continuing to </w:t>
      </w:r>
      <w:proofErr w:type="gramStart"/>
      <w:r w:rsidRPr="00B551F2">
        <w:t>work</w:t>
      </w:r>
      <w:proofErr w:type="gramEnd"/>
      <w:r w:rsidRPr="00B551F2">
        <w:t xml:space="preserve"> with school districts to reduce the number of students who are not contacted for the 2023 survey.</w:t>
      </w:r>
      <w:r w:rsidRPr="00B551F2">
        <w:br/>
      </w:r>
      <w:r w:rsidRPr="00B551F2">
        <w:br/>
        <w:t>CCTS made improvements to the TSF2 data collection platform and 2022 training materials and saw an increase in the representativeness of students that dropped out. All categories are now representative.</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Washington state conducted the Post-School Survey census to collect post-school outcome data from all 2020–2021 school-year leavers one year after they exited high school. Districts utilized administrative records to generate a list of all leavers (who had not re-enrolled in school and were alive at the time of data collection). School district personnel attempted to contact leavers using informal student exit survey information and student records. Surveys </w:t>
      </w:r>
      <w:proofErr w:type="gramStart"/>
      <w:r w:rsidRPr="00B551F2">
        <w:t>were conducted</w:t>
      </w:r>
      <w:proofErr w:type="gramEnd"/>
      <w:r w:rsidRPr="00B551F2">
        <w:t xml:space="preserve"> between June 1, 2022, and November 1, 2022. </w:t>
      </w:r>
      <w:proofErr w:type="gramStart"/>
      <w:r w:rsidRPr="00B551F2">
        <w:t>The majority of</w:t>
      </w:r>
      <w:proofErr w:type="gramEnd"/>
      <w:r w:rsidRPr="00B551F2">
        <w:t xml:space="preserve"> districts recorded at least three attempts to contact each of their leavers during this timeframe and during different times of the day and week. Staff conducting the calls reported any reason for being unable to conduct the survey with each former student or their designated family member (e.g., parent or grandparent). All survey data </w:t>
      </w:r>
      <w:proofErr w:type="gramStart"/>
      <w:r w:rsidRPr="00B551F2">
        <w:t>are recorded</w:t>
      </w:r>
      <w:proofErr w:type="gramEnd"/>
      <w:r w:rsidRPr="00B551F2">
        <w:t xml:space="preserve"> online in the TSF2.</w:t>
      </w:r>
      <w:r w:rsidRPr="00B551F2">
        <w:br/>
      </w:r>
      <w:r w:rsidRPr="00B551F2">
        <w:br/>
        <w:t xml:space="preserve">The overall response rate continues to be high with 78.87% for the 2020–2021 leavers, exceeding the target of 70%. </w:t>
      </w:r>
      <w:r w:rsidRPr="00B551F2">
        <w:br/>
      </w:r>
      <w:r w:rsidRPr="00B551F2">
        <w:br/>
      </w:r>
      <w:r w:rsidRPr="00B551F2">
        <w:lastRenderedPageBreak/>
        <w:t>Non-Respondents</w:t>
      </w:r>
      <w:r w:rsidRPr="00B551F2">
        <w:br/>
        <w:t xml:space="preserve">Although post-school outcome data could not be collected for the 1,617 non-respondents, the demographic information on record indicates that </w:t>
      </w:r>
      <w:proofErr w:type="gramStart"/>
      <w:r w:rsidRPr="00B551F2">
        <w:t>the majority of</w:t>
      </w:r>
      <w:proofErr w:type="gramEnd"/>
      <w:r w:rsidRPr="00B551F2">
        <w:t xml:space="preserve"> these youth are categorized as white (51.89%), male (62.65%), with a specific learning disability (49.72%) or other health impairment (27.77%). For non-respondents, the dropout rate is 21.34% (for respondents, 10.41%).</w:t>
      </w:r>
      <w:r w:rsidRPr="00B551F2">
        <w:br/>
      </w:r>
      <w:r w:rsidRPr="00B551F2">
        <w:br/>
        <w:t xml:space="preserve">The survey response data is not an indicator of outcomes, as districts have various practices for who makes the survey phone calls and when they start. Former students </w:t>
      </w:r>
      <w:proofErr w:type="gramStart"/>
      <w:r w:rsidRPr="00B551F2">
        <w:t>are contacted</w:t>
      </w:r>
      <w:proofErr w:type="gramEnd"/>
      <w:r w:rsidRPr="00B551F2">
        <w:t xml:space="preserve"> at different dates and times throughout a five-month period.</w:t>
      </w:r>
      <w:r w:rsidRPr="00B551F2">
        <w:br/>
      </w:r>
      <w:r w:rsidRPr="00B551F2">
        <w:br/>
        <w:t>Representativeness</w:t>
      </w:r>
      <w:r w:rsidRPr="00B551F2">
        <w:br/>
        <w:t xml:space="preserve">After the census was conducted, a Response Calculator from the National Technical Assistance Center on Transition: The Collaborative (NTACT:C) was used to measure the representativeness of the respondent group. Calculations </w:t>
      </w:r>
      <w:proofErr w:type="gramStart"/>
      <w:r w:rsidRPr="00B551F2">
        <w:t>were made</w:t>
      </w:r>
      <w:proofErr w:type="gramEnd"/>
      <w:r w:rsidRPr="00B551F2">
        <w:t xml:space="preserve"> on the characteristics of disability type, race/ethnicity, gender, English language proficiency, and exit status to determine whether the leavers who responded to the interviews were similar, or different from, the total population of young adults with an IEP who exited school in 2020-21 (see Figure 5). </w:t>
      </w:r>
      <w:r w:rsidRPr="00B551F2">
        <w:br/>
      </w:r>
      <w:r w:rsidRPr="00B551F2">
        <w:br/>
        <w:t xml:space="preserve">According to the NTACT:C Response Calculator, differences between the Respondent Group and the Target Leaver Group of ±3% are important. Negative differences indicate an under-representativeness of the group and positive differences indicate over-representativeness. In the Response Calculator, a red highlight </w:t>
      </w:r>
      <w:proofErr w:type="gramStart"/>
      <w:r w:rsidRPr="00B551F2">
        <w:t>is used</w:t>
      </w:r>
      <w:proofErr w:type="gramEnd"/>
      <w:r w:rsidRPr="00B551F2">
        <w:t xml:space="preserve"> to indicate a difference exceeding the ±3% interval. </w:t>
      </w:r>
      <w:r w:rsidRPr="00B551F2">
        <w:br/>
      </w:r>
      <w:r w:rsidRPr="00B551F2">
        <w:br/>
        <w:t>The NTACT:C Response Calculator includes eight categories of respondents for measuring representativeness: Specific Learning Disability, Emotional Behavioral Disability, Intellectual Disability, All Other Disabilities, Female, Non-white, English Learner, and Drop-out. Washington state gathered representative data from all groups.</w:t>
      </w:r>
      <w:r w:rsidRPr="00B551F2">
        <w:br/>
      </w:r>
      <w:r w:rsidRPr="00B551F2">
        <w:br/>
        <w:t>Target Leaver Difference</w:t>
      </w:r>
      <w:r w:rsidRPr="00B551F2">
        <w:br/>
        <w:t>• Specific Learning Disability = -0.31%</w:t>
      </w:r>
      <w:r w:rsidRPr="00B551F2">
        <w:br/>
        <w:t>• Emotional/Behavioral Disability = -0.35%</w:t>
      </w:r>
      <w:r w:rsidRPr="00B551F2">
        <w:br/>
        <w:t>• Intellectual Disability = 0.17%</w:t>
      </w:r>
      <w:r w:rsidRPr="00B551F2">
        <w:br/>
        <w:t>• All Other Disabilities = 0.50%</w:t>
      </w:r>
      <w:r w:rsidRPr="00B551F2">
        <w:br/>
        <w:t>• Female = -0.06%</w:t>
      </w:r>
      <w:r w:rsidRPr="00B551F2">
        <w:br/>
        <w:t>• Non-white Race/Ethnicity = -0.36%</w:t>
      </w:r>
      <w:r w:rsidRPr="00B551F2">
        <w:br/>
        <w:t>• Limited English Proficiency = 0.07%</w:t>
      </w:r>
      <w:r w:rsidRPr="00B551F2">
        <w:br/>
        <w:t>• Dropped out = -2.36%</w:t>
      </w:r>
      <w:r w:rsidRPr="00B551F2">
        <w:br/>
      </w:r>
      <w:r w:rsidRPr="00B551F2">
        <w:br/>
        <w:t>Selection Bias</w:t>
      </w:r>
      <w:r w:rsidRPr="00B551F2">
        <w:br/>
        <w:t xml:space="preserve">As in previous years, post-school outcome data collection shows representativeness in areas of disability, gender, and ethnicity. Based on data collected since FFY 2013, this is the </w:t>
      </w:r>
      <w:proofErr w:type="gramStart"/>
      <w:r w:rsidRPr="00B551F2">
        <w:t>first time</w:t>
      </w:r>
      <w:proofErr w:type="gramEnd"/>
      <w:r w:rsidRPr="00B551F2">
        <w:t xml:space="preserve"> data </w:t>
      </w:r>
      <w:proofErr w:type="gramStart"/>
      <w:r w:rsidRPr="00B551F2">
        <w:t>were</w:t>
      </w:r>
      <w:proofErr w:type="gramEnd"/>
      <w:r w:rsidRPr="00B551F2">
        <w:t xml:space="preserve"> also representative of students who dropped out. Representativeness among these former students increased by 1.74 percentage points from FFY 2020 to FFY 2021 (-4.10 to -2.36). </w:t>
      </w:r>
      <w:r w:rsidRPr="00B551F2">
        <w:br/>
      </w:r>
      <w:r w:rsidRPr="00B551F2">
        <w:br/>
        <w:t xml:space="preserve">The increase in representativeness among students who drop out is </w:t>
      </w:r>
      <w:proofErr w:type="gramStart"/>
      <w:r w:rsidRPr="00B551F2">
        <w:t>likely due</w:t>
      </w:r>
      <w:proofErr w:type="gramEnd"/>
      <w:r w:rsidRPr="00B551F2">
        <w:t xml:space="preserve"> to updates in the TSF2 data collection platform related to deleting leavers from the system. Based on informal observations, CCTS was concerned that students who drop out were </w:t>
      </w:r>
      <w:proofErr w:type="gramStart"/>
      <w:r w:rsidRPr="00B551F2">
        <w:t>being deleted</w:t>
      </w:r>
      <w:proofErr w:type="gramEnd"/>
      <w:r w:rsidRPr="00B551F2">
        <w:t xml:space="preserve"> from the system, rather than contacted for the survey, but did not have a mechanism to track that information. With updates to the TSF2 platform for the FFY 2021 survey, TSF2 users must now provide a reason when deleting leavers from the system (</w:t>
      </w:r>
      <w:proofErr w:type="gramStart"/>
      <w:r w:rsidRPr="00B551F2">
        <w:t>e.g.</w:t>
      </w:r>
      <w:proofErr w:type="gramEnd"/>
      <w:r w:rsidRPr="00B551F2">
        <w:t xml:space="preserve"> student returned to school and is no longer considered a leaver). CCTS reviewed the deleted leaver records and </w:t>
      </w:r>
      <w:proofErr w:type="gramStart"/>
      <w:r w:rsidRPr="00B551F2">
        <w:t>followed-up</w:t>
      </w:r>
      <w:proofErr w:type="gramEnd"/>
      <w:r w:rsidRPr="00B551F2">
        <w:t xml:space="preserve"> with TSF2 users for further information as needed. There were </w:t>
      </w:r>
      <w:proofErr w:type="gramStart"/>
      <w:r w:rsidRPr="00B551F2">
        <w:t>28</w:t>
      </w:r>
      <w:proofErr w:type="gramEnd"/>
      <w:r w:rsidRPr="00B551F2">
        <w:t xml:space="preserve"> leavers who dropped out, were deleted from the TSF2 due to user error, then added back to the system. If those </w:t>
      </w:r>
      <w:proofErr w:type="gramStart"/>
      <w:r w:rsidRPr="00B551F2">
        <w:t>28</w:t>
      </w:r>
      <w:proofErr w:type="gramEnd"/>
      <w:r w:rsidRPr="00B551F2">
        <w:t xml:space="preserve"> leavers were permanently deleted for the FFY 2021 survey, students who dropped out would be underrepresented in the data.</w:t>
      </w:r>
      <w:r w:rsidRPr="00B551F2">
        <w:br/>
      </w:r>
      <w:r w:rsidRPr="00B551F2">
        <w:br/>
        <w:t>CCTS continues to make improvements to the TSF2 data collection platform and training materials in hopes that representativeness will continue to increase among the most difficult to reach students.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Post-school outcome data collection continues to show representativeness in areas of disability, gender, and ethnicity. There was a significant increase in representativeness among students who dropped out from 2019–20 (-4.10%) to 2020–21 (-2.36%). These youth continue to be the least represented in the current response group. There were no groups +/- the 3% category. All groups were representative.</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Washington uses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6" w:name="_Toc382082390"/>
      <w:bookmarkStart w:id="8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 impact of the COVID-19 pandemic on K-12 schools, postsecondary education, employment, and community began in Washington state in March 2020. Schools closed across the state, moving to virtual instruction with various degrees of knowledge and expertise. Businesses, particularly those in the service industry, moved to online services or closed (temporarily or permanently). </w:t>
      </w:r>
      <w:r w:rsidRPr="00781112">
        <w:rPr>
          <w:rFonts w:cs="Arial"/>
          <w:color w:val="000000" w:themeColor="text1"/>
          <w:szCs w:val="16"/>
        </w:rPr>
        <w:br/>
      </w:r>
      <w:r w:rsidRPr="00781112">
        <w:rPr>
          <w:rFonts w:cs="Arial"/>
          <w:color w:val="000000" w:themeColor="text1"/>
          <w:szCs w:val="16"/>
        </w:rPr>
        <w:br/>
        <w:t>Although there is not rigorous research to draw correlation between the effects of the pandemic on Washington state’s post-school outcomes, statewide engagement decreased by 4.75 percentage points from FFY 2018 to FFY 2020 (74.68% to 69.93%). In FFY 2020, the rates of Competitive Employment and Higher Education decreased, and the rate of Other Employment increased.</w:t>
      </w:r>
      <w:r w:rsidRPr="00781112">
        <w:rPr>
          <w:rFonts w:cs="Arial"/>
          <w:color w:val="000000" w:themeColor="text1"/>
          <w:szCs w:val="16"/>
        </w:rPr>
        <w:br/>
      </w:r>
      <w:r w:rsidRPr="00781112">
        <w:rPr>
          <w:rFonts w:cs="Arial"/>
          <w:color w:val="000000" w:themeColor="text1"/>
          <w:szCs w:val="16"/>
        </w:rPr>
        <w:br/>
        <w:t xml:space="preserve">Despite concerns about the impact the pandemic might have on the survey response rate, statewide there was </w:t>
      </w:r>
      <w:proofErr w:type="gramStart"/>
      <w:r w:rsidRPr="00781112">
        <w:rPr>
          <w:rFonts w:cs="Arial"/>
          <w:color w:val="000000" w:themeColor="text1"/>
          <w:szCs w:val="16"/>
        </w:rPr>
        <w:t>a small increase</w:t>
      </w:r>
      <w:proofErr w:type="gramEnd"/>
      <w:r w:rsidRPr="00781112">
        <w:rPr>
          <w:rFonts w:cs="Arial"/>
          <w:color w:val="000000" w:themeColor="text1"/>
          <w:szCs w:val="16"/>
        </w:rPr>
        <w:t xml:space="preserve"> in the percentage of former students who were contacted and responded to the survey. FFY 2020 response rate was 78.16, up by 1.07 percentage points from FFY 2019. This was the highest response rate in Washington state since FFY 2017. </w:t>
      </w:r>
      <w:r w:rsidRPr="00781112">
        <w:rPr>
          <w:rFonts w:cs="Arial"/>
          <w:color w:val="000000" w:themeColor="text1"/>
          <w:szCs w:val="16"/>
        </w:rPr>
        <w:br/>
      </w:r>
      <w:r w:rsidRPr="00781112">
        <w:rPr>
          <w:rFonts w:cs="Arial"/>
          <w:color w:val="000000" w:themeColor="text1"/>
          <w:szCs w:val="16"/>
        </w:rPr>
        <w:br/>
        <w:t xml:space="preserve">For the FFY 2021 survey, engagement rates increased to levels that align more closely with rates prior to the start of the pandemic. From FFY 2020 to FFY 2021, Any Engagement increased by 4.34 percentage points, with a notable increase in Competitive Employment. The survey response rate increased by 0.71 percentage points and is the highest </w:t>
      </w:r>
      <w:proofErr w:type="gramStart"/>
      <w:r w:rsidRPr="00781112">
        <w:rPr>
          <w:rFonts w:cs="Arial"/>
          <w:color w:val="000000" w:themeColor="text1"/>
          <w:szCs w:val="16"/>
        </w:rPr>
        <w:t>it’s</w:t>
      </w:r>
      <w:proofErr w:type="gramEnd"/>
      <w:r w:rsidRPr="00781112">
        <w:rPr>
          <w:rFonts w:cs="Arial"/>
          <w:color w:val="000000" w:themeColor="text1"/>
          <w:szCs w:val="16"/>
        </w:rPr>
        <w:t xml:space="preserve"> been since FFY 2016.</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As in previous years, post-school outcome data collection shows representativeness in areas of disability, gender, and ethnicity. Based on data collected since FFY 2013, this is the first-time data </w:t>
      </w:r>
      <w:proofErr w:type="gramStart"/>
      <w:r w:rsidRPr="00781112">
        <w:rPr>
          <w:rFonts w:cs="Arial"/>
          <w:color w:val="000000" w:themeColor="text1"/>
          <w:szCs w:val="16"/>
        </w:rPr>
        <w:t>were</w:t>
      </w:r>
      <w:proofErr w:type="gramEnd"/>
      <w:r w:rsidRPr="00781112">
        <w:rPr>
          <w:rFonts w:cs="Arial"/>
          <w:color w:val="000000" w:themeColor="text1"/>
          <w:szCs w:val="16"/>
        </w:rPr>
        <w:t xml:space="preserve"> also representative of students who dropped out. As reported previously, representativeness among these former students increased by 1.74 percentage points from FFY 2020 to FFY 2021 (-4.10 to -2.36).</w:t>
      </w:r>
      <w:r w:rsidRPr="00781112">
        <w:rPr>
          <w:rFonts w:cs="Arial"/>
          <w:color w:val="000000" w:themeColor="text1"/>
          <w:szCs w:val="16"/>
        </w:rPr>
        <w:br/>
      </w:r>
      <w:r w:rsidRPr="00781112">
        <w:rPr>
          <w:rFonts w:cs="Arial"/>
          <w:color w:val="000000" w:themeColor="text1"/>
          <w:szCs w:val="16"/>
        </w:rPr>
        <w:br/>
        <w:t xml:space="preserve">The increase in representativeness among students who dropped out was likely due to updates in the post-school data collection platform related to deleting leavers from the system. Informal observations revealed that students who dropped out were </w:t>
      </w:r>
      <w:proofErr w:type="gramStart"/>
      <w:r w:rsidRPr="00781112">
        <w:rPr>
          <w:rFonts w:cs="Arial"/>
          <w:color w:val="000000" w:themeColor="text1"/>
          <w:szCs w:val="16"/>
        </w:rPr>
        <w:t>being deleted</w:t>
      </w:r>
      <w:proofErr w:type="gramEnd"/>
      <w:r w:rsidRPr="00781112">
        <w:rPr>
          <w:rFonts w:cs="Arial"/>
          <w:color w:val="000000" w:themeColor="text1"/>
          <w:szCs w:val="16"/>
        </w:rPr>
        <w:t xml:space="preserve"> from the system, rather than contacted for the survey, and there was previously no mechanism to track that information. With updates to the data collection platform for the FFY 2021 survey, users were required to provide a reason when deleting leavers from the system (</w:t>
      </w:r>
      <w:proofErr w:type="gramStart"/>
      <w:r w:rsidRPr="00781112">
        <w:rPr>
          <w:rFonts w:cs="Arial"/>
          <w:color w:val="000000" w:themeColor="text1"/>
          <w:szCs w:val="16"/>
        </w:rPr>
        <w:t>e.g.</w:t>
      </w:r>
      <w:proofErr w:type="gramEnd"/>
      <w:r w:rsidRPr="00781112">
        <w:rPr>
          <w:rFonts w:cs="Arial"/>
          <w:color w:val="000000" w:themeColor="text1"/>
          <w:szCs w:val="16"/>
        </w:rPr>
        <w:t xml:space="preserve"> student returned to school and is no longer considered a leaver). Deleted leaver records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and </w:t>
      </w:r>
      <w:proofErr w:type="gramStart"/>
      <w:r w:rsidRPr="00781112">
        <w:rPr>
          <w:rFonts w:cs="Arial"/>
          <w:color w:val="000000" w:themeColor="text1"/>
          <w:szCs w:val="16"/>
        </w:rPr>
        <w:t>followed-up</w:t>
      </w:r>
      <w:proofErr w:type="gramEnd"/>
      <w:r w:rsidRPr="00781112">
        <w:rPr>
          <w:rFonts w:cs="Arial"/>
          <w:color w:val="000000" w:themeColor="text1"/>
          <w:szCs w:val="16"/>
        </w:rPr>
        <w:t xml:space="preserve"> on for further information as needed. Washington state continues to make improvements to the data collection platform and training materials in hopes that representativeness will continue to increase among the most difficult to reach students.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6"/>
      <w:bookmarkEnd w:id="87"/>
    </w:p>
    <w:p w14:paraId="7EA31497" w14:textId="77777777" w:rsidR="005B0B58" w:rsidRPr="00781112" w:rsidRDefault="005B0B58" w:rsidP="00A018D4">
      <w:pPr>
        <w:rPr>
          <w:color w:val="000000" w:themeColor="text1"/>
          <w:szCs w:val="20"/>
        </w:rPr>
      </w:pPr>
      <w:bookmarkStart w:id="88" w:name="_Toc381786822"/>
      <w:bookmarkStart w:id="89" w:name="_Toc382731911"/>
      <w:bookmarkStart w:id="90" w:name="_Toc382731912"/>
      <w:bookmarkStart w:id="91" w:name="_Toc392159340"/>
      <w:bookmarkEnd w:id="88"/>
      <w:bookmarkEnd w:id="8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90"/>
    <w:bookmarkEnd w:id="9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95</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25</w:t>
            </w:r>
          </w:p>
        </w:tc>
      </w:tr>
    </w:tbl>
    <w:p w14:paraId="162CEFB3" w14:textId="55A4ED3A" w:rsidR="004A33CD" w:rsidRPr="00781112" w:rsidRDefault="00E31E29">
      <w:pPr>
        <w:rPr>
          <w:b/>
          <w:color w:val="000000" w:themeColor="text1"/>
        </w:rPr>
      </w:pPr>
      <w:bookmarkStart w:id="92" w:name="_Toc382731913"/>
      <w:bookmarkStart w:id="93"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 xml:space="preserve">was </w:t>
      </w:r>
      <w:r w:rsidRPr="00781112">
        <w:rPr>
          <w:rFonts w:cs="Arial"/>
          <w:color w:val="000000" w:themeColor="text1"/>
          <w:szCs w:val="16"/>
        </w:rPr>
        <w:lastRenderedPageBreak/>
        <w:t>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43B1695A" w14:textId="2970A905" w:rsidR="000A2C83" w:rsidRPr="00781112" w:rsidRDefault="000A2C83" w:rsidP="000A2C83">
      <w:pPr>
        <w:rPr>
          <w:rFonts w:cs="Arial"/>
          <w:color w:val="000000" w:themeColor="text1"/>
          <w:szCs w:val="16"/>
        </w:rPr>
      </w:pPr>
    </w:p>
    <w:bookmarkEnd w:id="92"/>
    <w:bookmarkEnd w:id="9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2013</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27.66%</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26.25%</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26.50%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26.75%</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27.69%</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30.77%</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32.14%</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38.89%</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27.14%</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26.58%</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28.63%</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29.57%</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30.51%</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31.46%</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32.40%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25</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95</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26.58%</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28.63%</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26.32%</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lastRenderedPageBreak/>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93C7E" w:rsidP="001F692C">
      <w:pPr>
        <w:rPr>
          <w:rFonts w:cs="Arial"/>
          <w:color w:val="000000" w:themeColor="text1"/>
          <w:szCs w:val="16"/>
        </w:rPr>
      </w:pP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4" w:name="_Toc382731916"/>
      <w:bookmarkStart w:id="9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4"/>
    <w:bookmarkEnd w:id="9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29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Special Education State Design Team (SDT):</w:t>
      </w:r>
      <w:r w:rsidRPr="00781112">
        <w:rPr>
          <w:rFonts w:cs="Arial"/>
          <w:color w:val="000000" w:themeColor="text1"/>
          <w:szCs w:val="16"/>
        </w:rPr>
        <w:br/>
      </w:r>
      <w:r w:rsidRPr="00781112">
        <w:rPr>
          <w:rFonts w:cs="Arial"/>
          <w:color w:val="000000" w:themeColor="text1"/>
          <w:szCs w:val="16"/>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rFonts w:cs="Arial"/>
          <w:color w:val="000000" w:themeColor="text1"/>
          <w:szCs w:val="16"/>
        </w:rPr>
        <w:t>13</w:t>
      </w:r>
      <w:proofErr w:type="gramEnd"/>
      <w:r w:rsidRPr="00781112">
        <w:rPr>
          <w:rFonts w:cs="Arial"/>
          <w:color w:val="000000" w:themeColor="text1"/>
          <w:szCs w:val="16"/>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rFonts w:cs="Arial"/>
          <w:color w:val="000000" w:themeColor="text1"/>
          <w:szCs w:val="16"/>
        </w:rPr>
        <w:br/>
      </w:r>
      <w:r w:rsidRPr="00781112">
        <w:rPr>
          <w:rFonts w:cs="Arial"/>
          <w:color w:val="000000" w:themeColor="text1"/>
          <w:szCs w:val="16"/>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rFonts w:cs="Arial"/>
          <w:color w:val="000000" w:themeColor="text1"/>
          <w:szCs w:val="16"/>
        </w:rPr>
        <w:t>12</w:t>
      </w:r>
      <w:proofErr w:type="gramEnd"/>
      <w:r w:rsidRPr="00781112">
        <w:rPr>
          <w:rFonts w:cs="Arial"/>
          <w:color w:val="000000" w:themeColor="text1"/>
          <w:szCs w:val="16"/>
        </w:rPr>
        <w:t xml:space="preserve"> are students, 30 are individuals with disabilities, and 141 are parents or family members of an individual with a disability.</w:t>
      </w:r>
      <w:r w:rsidRPr="00781112">
        <w:rPr>
          <w:rFonts w:cs="Arial"/>
          <w:color w:val="000000" w:themeColor="text1"/>
          <w:szCs w:val="16"/>
        </w:rPr>
        <w:br/>
      </w:r>
      <w:r w:rsidRPr="00781112">
        <w:rPr>
          <w:rFonts w:cs="Arial"/>
          <w:color w:val="000000" w:themeColor="text1"/>
          <w:szCs w:val="16"/>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rFonts w:cs="Arial"/>
          <w:color w:val="000000" w:themeColor="text1"/>
          <w:szCs w:val="16"/>
        </w:rPr>
        <w:br/>
      </w:r>
      <w:r w:rsidRPr="00781112">
        <w:rPr>
          <w:rFonts w:cs="Arial"/>
          <w:color w:val="000000" w:themeColor="text1"/>
          <w:szCs w:val="16"/>
        </w:rPr>
        <w:br/>
        <w:t xml:space="preserve">Five of the seven focus groups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indicator analyses and target-setting activities:</w:t>
      </w:r>
      <w:r w:rsidRPr="00781112">
        <w:rPr>
          <w:rFonts w:cs="Arial"/>
          <w:color w:val="000000" w:themeColor="text1"/>
          <w:szCs w:val="16"/>
        </w:rPr>
        <w:br/>
        <w:t>1. Early Childhood [Indicators B-6, B-7, B-12, and B-17 (SSIP)]</w:t>
      </w:r>
      <w:r w:rsidRPr="00781112">
        <w:rPr>
          <w:rFonts w:cs="Arial"/>
          <w:color w:val="000000" w:themeColor="text1"/>
          <w:szCs w:val="16"/>
        </w:rPr>
        <w:br/>
      </w:r>
      <w:proofErr w:type="gramStart"/>
      <w:r w:rsidRPr="00781112">
        <w:rPr>
          <w:rFonts w:cs="Arial"/>
          <w:color w:val="000000" w:themeColor="text1"/>
          <w:szCs w:val="16"/>
        </w:rPr>
        <w:t>2</w:t>
      </w:r>
      <w:proofErr w:type="gramEnd"/>
      <w:r w:rsidRPr="00781112">
        <w:rPr>
          <w:rFonts w:cs="Arial"/>
          <w:color w:val="000000" w:themeColor="text1"/>
          <w:szCs w:val="16"/>
        </w:rPr>
        <w:t>. Secondary Transition (Indicators B-1, B-2, B-13, and B-14)</w:t>
      </w:r>
      <w:r w:rsidRPr="00781112">
        <w:rPr>
          <w:rFonts w:cs="Arial"/>
          <w:color w:val="000000" w:themeColor="text1"/>
          <w:szCs w:val="16"/>
        </w:rPr>
        <w:br/>
      </w:r>
      <w:proofErr w:type="gramStart"/>
      <w:r w:rsidRPr="00781112">
        <w:rPr>
          <w:rFonts w:cs="Arial"/>
          <w:color w:val="000000" w:themeColor="text1"/>
          <w:szCs w:val="16"/>
        </w:rPr>
        <w:t>3</w:t>
      </w:r>
      <w:proofErr w:type="gramEnd"/>
      <w:r w:rsidRPr="00781112">
        <w:rPr>
          <w:rFonts w:cs="Arial"/>
          <w:color w:val="000000" w:themeColor="text1"/>
          <w:szCs w:val="16"/>
        </w:rPr>
        <w:t>. Inclusionary Practices and Student Outcomes (B-3 and B-5)</w:t>
      </w:r>
      <w:r w:rsidRPr="00781112">
        <w:rPr>
          <w:rFonts w:cs="Arial"/>
          <w:color w:val="000000" w:themeColor="text1"/>
          <w:szCs w:val="16"/>
        </w:rPr>
        <w:br/>
      </w:r>
      <w:proofErr w:type="gramStart"/>
      <w:r w:rsidRPr="00781112">
        <w:rPr>
          <w:rFonts w:cs="Arial"/>
          <w:color w:val="000000" w:themeColor="text1"/>
          <w:szCs w:val="16"/>
        </w:rPr>
        <w:t>4</w:t>
      </w:r>
      <w:proofErr w:type="gramEnd"/>
      <w:r w:rsidRPr="00781112">
        <w:rPr>
          <w:rFonts w:cs="Arial"/>
          <w:color w:val="000000" w:themeColor="text1"/>
          <w:szCs w:val="16"/>
        </w:rPr>
        <w:t>. Parent Engagement (B-8)</w:t>
      </w:r>
      <w:r w:rsidRPr="00781112">
        <w:rPr>
          <w:rFonts w:cs="Arial"/>
          <w:color w:val="000000" w:themeColor="text1"/>
          <w:szCs w:val="16"/>
        </w:rPr>
        <w:br/>
      </w:r>
      <w:proofErr w:type="gramStart"/>
      <w:r w:rsidRPr="00781112">
        <w:rPr>
          <w:rFonts w:cs="Arial"/>
          <w:color w:val="000000" w:themeColor="text1"/>
          <w:szCs w:val="16"/>
        </w:rPr>
        <w:t>5</w:t>
      </w:r>
      <w:proofErr w:type="gramEnd"/>
      <w:r w:rsidRPr="00781112">
        <w:rPr>
          <w:rFonts w:cs="Arial"/>
          <w:color w:val="000000" w:themeColor="text1"/>
          <w:szCs w:val="16"/>
        </w:rPr>
        <w:t>. Disproportionality and Significant Discrepancy (B-4, B-9, and B-10)</w:t>
      </w:r>
      <w:r w:rsidRPr="00781112">
        <w:rPr>
          <w:rFonts w:cs="Arial"/>
          <w:color w:val="000000" w:themeColor="text1"/>
          <w:szCs w:val="16"/>
        </w:rPr>
        <w:br/>
        <w:t>*The work of two of the seven focus groups, Monitoring &amp; Educational Benefit and Exploring a Statewide IEP, did not include target-setting and is, therefore, not included in this description of partner input on the SPP indicators.</w:t>
      </w:r>
      <w:r w:rsidRPr="00781112">
        <w:rPr>
          <w:rFonts w:cs="Arial"/>
          <w:color w:val="000000" w:themeColor="text1"/>
          <w:szCs w:val="16"/>
        </w:rPr>
        <w:br/>
      </w:r>
      <w:r w:rsidRPr="00781112">
        <w:rPr>
          <w:rFonts w:cs="Arial"/>
          <w:color w:val="000000" w:themeColor="text1"/>
          <w:szCs w:val="16"/>
        </w:rPr>
        <w:lastRenderedPageBreak/>
        <w:br/>
        <w:t xml:space="preserve">The full SDT kickoff meeting was held via Zoom on September 14, 2021, in collaboration with NCSI staff. Diversity, equity, and inclusion </w:t>
      </w:r>
      <w:proofErr w:type="gramStart"/>
      <w:r w:rsidRPr="00781112">
        <w:rPr>
          <w:rFonts w:cs="Arial"/>
          <w:color w:val="000000" w:themeColor="text1"/>
          <w:szCs w:val="16"/>
        </w:rPr>
        <w:t>was emphasized</w:t>
      </w:r>
      <w:proofErr w:type="gramEnd"/>
      <w:r w:rsidRPr="00781112">
        <w:rPr>
          <w:rFonts w:cs="Arial"/>
          <w:color w:val="000000" w:themeColor="text1"/>
          <w:szCs w:val="16"/>
        </w:rPr>
        <w:t xml:space="preserve"> as the foundation for the work of the SDT and all the focus groups. The individual focus groups, facilitated by OSPI staff, met in October through December 2021 to analyze indicator </w:t>
      </w:r>
      <w:proofErr w:type="gramStart"/>
      <w:r w:rsidRPr="00781112">
        <w:rPr>
          <w:rFonts w:cs="Arial"/>
          <w:color w:val="000000" w:themeColor="text1"/>
          <w:szCs w:val="16"/>
        </w:rPr>
        <w:t>data</w:t>
      </w:r>
      <w:proofErr w:type="gramEnd"/>
      <w:r w:rsidRPr="00781112">
        <w:rPr>
          <w:rFonts w:cs="Arial"/>
          <w:color w:val="000000" w:themeColor="text1"/>
          <w:szCs w:val="16"/>
        </w:rPr>
        <w:t xml:space="preserve"> and collaboratively develop recommendations for indicator targets. The full SDT </w:t>
      </w:r>
      <w:proofErr w:type="gramStart"/>
      <w:r w:rsidRPr="00781112">
        <w:rPr>
          <w:rFonts w:cs="Arial"/>
          <w:color w:val="000000" w:themeColor="text1"/>
          <w:szCs w:val="16"/>
        </w:rPr>
        <w:t>was brought</w:t>
      </w:r>
      <w:proofErr w:type="gramEnd"/>
      <w:r w:rsidRPr="00781112">
        <w:rPr>
          <w:rFonts w:cs="Arial"/>
          <w:color w:val="000000" w:themeColor="text1"/>
          <w:szCs w:val="16"/>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rFonts w:cs="Arial"/>
          <w:color w:val="000000" w:themeColor="text1"/>
          <w:szCs w:val="16"/>
        </w:rPr>
        <w:t>were maintained</w:t>
      </w:r>
      <w:proofErr w:type="gramEnd"/>
      <w:r w:rsidRPr="00781112">
        <w:rPr>
          <w:rFonts w:cs="Arial"/>
          <w:color w:val="000000" w:themeColor="text1"/>
          <w:szCs w:val="16"/>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rFonts w:cs="Arial"/>
          <w:color w:val="000000" w:themeColor="text1"/>
          <w:szCs w:val="16"/>
        </w:rPr>
        <w:t>were posted</w:t>
      </w:r>
      <w:proofErr w:type="gramEnd"/>
      <w:r w:rsidRPr="00781112">
        <w:rPr>
          <w:rFonts w:cs="Arial"/>
          <w:color w:val="000000" w:themeColor="text1"/>
          <w:szCs w:val="16"/>
        </w:rPr>
        <w:t xml:space="preserve"> publicly on OSPI’s Special Education Family Engagement and Guidance webpage (https://www.k12.wa.us/student-success/special-education/family-engagement-and-guidance).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w:t>
      </w:r>
      <w:r w:rsidRPr="00781112">
        <w:rPr>
          <w:rFonts w:cs="Arial"/>
          <w:color w:val="000000" w:themeColor="text1"/>
          <w:szCs w:val="16"/>
        </w:rPr>
        <w:br/>
      </w:r>
      <w:r w:rsidRPr="00781112">
        <w:rPr>
          <w:rFonts w:cs="Arial"/>
          <w:color w:val="000000" w:themeColor="text1"/>
          <w:szCs w:val="16"/>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rFonts w:cs="Arial"/>
          <w:color w:val="000000" w:themeColor="text1"/>
          <w:szCs w:val="16"/>
        </w:rPr>
        <w:br/>
      </w:r>
      <w:r w:rsidRPr="00781112">
        <w:rPr>
          <w:rFonts w:cs="Arial"/>
          <w:color w:val="000000" w:themeColor="text1"/>
          <w:szCs w:val="16"/>
        </w:rPr>
        <w:br/>
        <w:t xml:space="preserve">Although there was no SDT focus group for Indicators B-15 and B-16, dispute resolution data </w:t>
      </w:r>
      <w:proofErr w:type="gramStart"/>
      <w:r w:rsidRPr="00781112">
        <w:rPr>
          <w:rFonts w:cs="Arial"/>
          <w:color w:val="000000" w:themeColor="text1"/>
          <w:szCs w:val="16"/>
        </w:rPr>
        <w:t>are shared</w:t>
      </w:r>
      <w:proofErr w:type="gramEnd"/>
      <w:r w:rsidRPr="00781112">
        <w:rPr>
          <w:rFonts w:cs="Arial"/>
          <w:color w:val="000000" w:themeColor="text1"/>
          <w:szCs w:val="16"/>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rFonts w:cs="Arial"/>
          <w:color w:val="000000" w:themeColor="text1"/>
          <w:szCs w:val="16"/>
        </w:rPr>
        <w:t>are posted</w:t>
      </w:r>
      <w:proofErr w:type="gramEnd"/>
      <w:r w:rsidRPr="00781112">
        <w:rPr>
          <w:rFonts w:cs="Arial"/>
          <w:color w:val="000000" w:themeColor="text1"/>
          <w:szCs w:val="16"/>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rFonts w:cs="Arial"/>
          <w:color w:val="000000" w:themeColor="text1"/>
          <w:szCs w:val="16"/>
        </w:rPr>
        <w:br/>
      </w:r>
      <w:r w:rsidRPr="00781112">
        <w:rPr>
          <w:rFonts w:cs="Arial"/>
          <w:color w:val="000000" w:themeColor="text1"/>
          <w:szCs w:val="16"/>
        </w:rPr>
        <w:br/>
        <w:t>State Systemic Improvement Plan (SSIP) State Design Team:</w:t>
      </w:r>
      <w:r w:rsidRPr="00781112">
        <w:rPr>
          <w:rFonts w:cs="Arial"/>
          <w:color w:val="000000" w:themeColor="text1"/>
          <w:szCs w:val="16"/>
        </w:rPr>
        <w:br/>
      </w:r>
      <w:r w:rsidRPr="00781112">
        <w:rPr>
          <w:rFonts w:cs="Arial"/>
          <w:color w:val="000000" w:themeColor="text1"/>
          <w:szCs w:val="16"/>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rFonts w:cs="Arial"/>
          <w:color w:val="000000" w:themeColor="text1"/>
          <w:szCs w:val="16"/>
        </w:rPr>
        <w:br/>
      </w:r>
      <w:r w:rsidRPr="00781112">
        <w:rPr>
          <w:rFonts w:cs="Arial"/>
          <w:color w:val="000000" w:themeColor="text1"/>
          <w:szCs w:val="16"/>
        </w:rPr>
        <w:br/>
        <w:t>Family and Community Engagement with Statewide Technical Assistance Partners:</w:t>
      </w:r>
      <w:r w:rsidRPr="00781112">
        <w:rPr>
          <w:rFonts w:cs="Arial"/>
          <w:color w:val="000000" w:themeColor="text1"/>
          <w:szCs w:val="16"/>
        </w:rPr>
        <w:br/>
      </w:r>
      <w:r w:rsidRPr="00781112">
        <w:rPr>
          <w:rFonts w:cs="Arial"/>
          <w:color w:val="000000" w:themeColor="text1"/>
          <w:szCs w:val="16"/>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rFonts w:cs="Arial"/>
          <w:color w:val="000000" w:themeColor="text1"/>
          <w:szCs w:val="16"/>
        </w:rPr>
        <w:t>300</w:t>
      </w:r>
      <w:proofErr w:type="gramEnd"/>
      <w:r w:rsidRPr="00781112">
        <w:rPr>
          <w:rFonts w:cs="Arial"/>
          <w:color w:val="000000" w:themeColor="text1"/>
          <w:szCs w:val="16"/>
        </w:rPr>
        <w:t xml:space="preserve"> family and community members, along with an additional 140 student participants.</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78.00%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75.30%-85.30%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75.40% - 85.40%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75.50% - 85.50%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75.60%-85.60%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82.40%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88.89%</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95.59%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81.40%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81.08%</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83.40%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84.40%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85.40%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86.40%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87.40%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29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81.08%</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83.40%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65.52%</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lastRenderedPageBreak/>
        <w:t xml:space="preserve">OSPI staff and mediation partners reviewed the Indicator 16 data and had discussions </w:t>
      </w:r>
      <w:proofErr w:type="gramStart"/>
      <w:r w:rsidRPr="00781112">
        <w:rPr>
          <w:rFonts w:cs="Arial"/>
          <w:color w:val="000000" w:themeColor="text1"/>
          <w:szCs w:val="16"/>
        </w:rPr>
        <w:t>in an attempt to</w:t>
      </w:r>
      <w:proofErr w:type="gramEnd"/>
      <w:r w:rsidRPr="00781112">
        <w:rPr>
          <w:rFonts w:cs="Arial"/>
          <w:color w:val="000000" w:themeColor="text1"/>
          <w:szCs w:val="16"/>
        </w:rPr>
        <w:t xml:space="preserve"> determine reasons for the identified slippage. </w:t>
      </w:r>
      <w:proofErr w:type="gramStart"/>
      <w:r w:rsidRPr="00781112">
        <w:rPr>
          <w:rFonts w:cs="Arial"/>
          <w:color w:val="000000" w:themeColor="text1"/>
          <w:szCs w:val="16"/>
        </w:rPr>
        <w:t>Following</w:t>
      </w:r>
      <w:proofErr w:type="gramEnd"/>
      <w:r w:rsidRPr="00781112">
        <w:rPr>
          <w:rFonts w:cs="Arial"/>
          <w:color w:val="000000" w:themeColor="text1"/>
          <w:szCs w:val="16"/>
        </w:rPr>
        <w:t xml:space="preserve"> is a description of the potential contributing factors. First, upon review of the data, the state's rates of mediation resulting in agreement were higher in 2020 than 2021, 2020 reflecting the largest impact of the COVID-19 pandemic with school facility shutdowns and a transition to remote learning.</w:t>
      </w:r>
      <w:r w:rsidRPr="00781112">
        <w:rPr>
          <w:rFonts w:cs="Arial"/>
          <w:color w:val="000000" w:themeColor="text1"/>
          <w:szCs w:val="16"/>
        </w:rPr>
        <w:br/>
      </w:r>
      <w:r w:rsidRPr="00781112">
        <w:rPr>
          <w:rFonts w:cs="Arial"/>
          <w:color w:val="000000" w:themeColor="text1"/>
          <w:szCs w:val="16"/>
        </w:rPr>
        <w:br/>
        <w:t>Review of the FFY 2021 data for the state's performance for Indicator B16 also confirmed anecdotal data shared across educational partners (stakeholders), reflecting a shift away from trends observed in 2019-20 and 2020-21 regarding family expectations. As communities adjusted to the ongoing reality and impact of the pandemic, expectations from families and community members rose related to provision of services, including compensatory education (or recovery services). In other words, public perception shifted away from a feeling of "we are all in this together" to a mindset that additional delays and shortages were having an outsized impact on students with disabilities.</w:t>
      </w:r>
      <w:r w:rsidRPr="00781112">
        <w:rPr>
          <w:rFonts w:cs="Arial"/>
          <w:color w:val="000000" w:themeColor="text1"/>
          <w:szCs w:val="16"/>
        </w:rPr>
        <w:br/>
      </w:r>
      <w:r w:rsidRPr="00781112">
        <w:rPr>
          <w:rFonts w:cs="Arial"/>
          <w:color w:val="000000" w:themeColor="text1"/>
          <w:szCs w:val="16"/>
        </w:rPr>
        <w:br/>
        <w:t>Finally, in reflecting with mediation partners, the mediators report a sense that many broader cultural factors are impacting mediation from national trends toward polarization, to ever increasing fatigue with government mandates and limited access to their expectations of daily normal life. Mediators report a sense that increasingly participants entered mediation unprepared to mediate or not entering mediation in "good faith" due to heightened levels of stress, frustration, anxiety, and hostility; participants bringing issues that are not necessarily negotiable such as government mask mandates; and participants entering a mediation with decisions already made and an unwillingness to compromise. While difficult to pinpoint an exact of single cause, OSPI believes that all of these factors have influenced a climate in which participants in mediation are less willing to compromise and agree, elements necessary to reaching a written mediation agreement.</w:t>
      </w:r>
      <w:r w:rsidRPr="00781112">
        <w:rPr>
          <w:rFonts w:cs="Arial"/>
          <w:color w:val="000000" w:themeColor="text1"/>
          <w:szCs w:val="16"/>
        </w:rPr>
        <w:br/>
      </w:r>
      <w:r w:rsidRPr="00781112">
        <w:rPr>
          <w:rFonts w:cs="Arial"/>
          <w:color w:val="000000" w:themeColor="text1"/>
          <w:szCs w:val="16"/>
        </w:rPr>
        <w:br/>
        <w:t xml:space="preserve"> As a result of the COVID-19 pandemic, there initially existed a stronger sense of togetherness, partnership, and flexibility, a "we are all in this together" mind-set, that contributed to higher rates of mediations resulting in written mediation agreements during those years. Second, in reflecting with mediation partners, the mediators report a sense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broader cultural factors are impacting mediation from national trends toward polarization, to ever increasing fatigue with government mandates and limited access to their expectations of daily normal life. Mediators report a sense that increasingly participants entered mediation unprepared to mediate or not entering mediation in "good faith" due to heightened levels of stress, frustration, anxiety, and hostility; participants bringing issues that are not necessarily negotiable such as government mask mandates; and participants entering a mediation with decisions already made and an unwillingness to compromise. While difficult to pinpoint an exact of single cause, OSPI believes that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these factors have influenced a climate in which participants in mediation are less willing to compromise and agree, elements necessary to reaching a written mediation agreement.</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In response to concerns raised by partners regarding equitable access to dispute resolution including mediation, OSPI special education staff began in FFY 2020 to partner with family-focused </w:t>
      </w:r>
      <w:proofErr w:type="gramStart"/>
      <w:r w:rsidRPr="00781112">
        <w:rPr>
          <w:rFonts w:cs="Arial"/>
          <w:color w:val="000000" w:themeColor="text1"/>
          <w:szCs w:val="16"/>
        </w:rPr>
        <w:t>community based</w:t>
      </w:r>
      <w:proofErr w:type="gramEnd"/>
      <w:r w:rsidRPr="00781112">
        <w:rPr>
          <w:rFonts w:cs="Arial"/>
          <w:color w:val="000000" w:themeColor="text1"/>
          <w:szCs w:val="16"/>
        </w:rPr>
        <w:t xml:space="preserve"> organizations to explore family navigator supports embedded within LEAs and ESDs. Priorities identified for family partners included knowledge of IDEA, language access and accessibility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access to district-sponsored professional development and training alonside LEA staff. This planning phase continued in FFY 2021 and will </w:t>
      </w:r>
      <w:proofErr w:type="gramStart"/>
      <w:r w:rsidRPr="00781112">
        <w:rPr>
          <w:rFonts w:cs="Arial"/>
          <w:color w:val="000000" w:themeColor="text1"/>
          <w:szCs w:val="16"/>
        </w:rPr>
        <w:t>be implemented</w:t>
      </w:r>
      <w:proofErr w:type="gramEnd"/>
      <w:r w:rsidRPr="00781112">
        <w:rPr>
          <w:rFonts w:cs="Arial"/>
          <w:color w:val="000000" w:themeColor="text1"/>
          <w:szCs w:val="16"/>
        </w:rPr>
        <w:t xml:space="preserve"> as a pilot starting in FFY 2022.</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Washington’s SiMR </w:t>
      </w:r>
      <w:proofErr w:type="gramStart"/>
      <w:r w:rsidRPr="00781112">
        <w:rPr>
          <w:color w:val="000000" w:themeColor="text1"/>
        </w:rPr>
        <w:t>is designed</w:t>
      </w:r>
      <w:proofErr w:type="gramEnd"/>
      <w:r w:rsidRPr="00781112">
        <w:rPr>
          <w:color w:val="000000" w:themeColor="text1"/>
        </w:rPr>
        <w:t xml:space="preserve"> to increase the social emotional learning (SEL) performance rates of students with disabilities entering Kindergarten programs. The method of data collection for the SiMR is the Washington Kindergarten Inventory of Developing Skills (WaKIDS) entrance assessment that </w:t>
      </w:r>
      <w:proofErr w:type="gramStart"/>
      <w:r w:rsidRPr="00781112">
        <w:rPr>
          <w:color w:val="000000" w:themeColor="text1"/>
        </w:rPr>
        <w:t>is administered</w:t>
      </w:r>
      <w:proofErr w:type="gramEnd"/>
      <w:r w:rsidRPr="00781112">
        <w:rPr>
          <w:color w:val="000000" w:themeColor="text1"/>
        </w:rPr>
        <w:t xml:space="preserve"> to all kindergarteners in the fall of each school year. The observational assessment tool used to collect the data is GOLD® by Teaching Strategies® (TSG) which evaluates six domain areas including cognition, literacy, language, physical development, SEL, and mathematics</w:t>
      </w:r>
      <w:proofErr w:type="gramStart"/>
      <w:r w:rsidRPr="00781112">
        <w:rPr>
          <w:color w:val="000000" w:themeColor="text1"/>
        </w:rPr>
        <w:t xml:space="preserve">.  </w:t>
      </w:r>
      <w:proofErr w:type="gramEnd"/>
    </w:p>
    <w:p w14:paraId="43CABCA3" w14:textId="77777777" w:rsidR="00AE1972" w:rsidRPr="00781112" w:rsidRDefault="00AE1972" w:rsidP="00AE1972">
      <w:pPr>
        <w:rPr>
          <w:b/>
          <w:bCs/>
        </w:rPr>
      </w:pPr>
      <w:bookmarkStart w:id="96" w:name="_Hlk85195358"/>
      <w:r w:rsidRPr="00781112">
        <w:rPr>
          <w:b/>
          <w:bCs/>
        </w:rPr>
        <w:t>Has the SiMR changed since the last SSIP submission? (yes/no)</w:t>
      </w:r>
    </w:p>
    <w:p w14:paraId="53B392AE" w14:textId="5D60E4A2" w:rsidR="00AE1972" w:rsidRDefault="00AE1972" w:rsidP="00AE1972">
      <w:r w:rsidRPr="00781112">
        <w:t>NO</w:t>
      </w:r>
    </w:p>
    <w:bookmarkEnd w:id="9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Washington (WA)’s SiMR is designed to increase the social emotional learning (SEL) performance rates of entering kindergartners with disabilities in nine Educational Service District (ESD) regions (112, 114, 123, 121, 101, 171, 105, 189, and 113), which represents nearly 100% of all preschoolers with Individualized Education Programs (IEPs) statewide. This is an expansion of the project work first reported in the 2020 submission, which included five ESDs and represented 63% of all preschoolers with IEPs statewide. All local school districts recruited into the SSIP Implementation Project are contractors or subcontractors with the Department of Children, Youth, and Families (DCYF) Early Childhood Education and Assistance Program (ECEAP), a State-funded preschool program; Head Start, a federally-funded preschool program; or a locally-funded community preschool program, which in most cases is also a licensed child care facility that enrolls children between 3 and 5 years of age with and without disabilities who have met specific enrollment criteria. To assess and monitor existing supports for children with disabilities within our Indigenous communities and to identify inequities that might exist within our current systems of support, intentional recruitment of Tribal ECEAP and Head Start programs </w:t>
      </w:r>
      <w:proofErr w:type="gramStart"/>
      <w:r w:rsidRPr="00781112">
        <w:rPr>
          <w:color w:val="000000" w:themeColor="text1"/>
        </w:rPr>
        <w:t>was maintained</w:t>
      </w:r>
      <w:proofErr w:type="gramEnd"/>
      <w:r w:rsidRPr="00781112">
        <w:rPr>
          <w:color w:val="000000" w:themeColor="text1"/>
        </w:rPr>
        <w:t xml:space="preserve"> within the expansion of the 2021 SSIP Implementation process.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https://www.k12.wa.us/sites/default/files/public/specialed/earlychildhood/pubdocs/WA-SSIP-2021-2022-Theory-of-Action.pdf</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2019</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49.00%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51.75%</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53.25%</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54.75%</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56.25%</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57.75%</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xml:space="preserve"># SWD with Skills expected of </w:t>
            </w:r>
            <w:proofErr w:type="gramStart"/>
            <w:r w:rsidRPr="00781112">
              <w:rPr>
                <w:b/>
                <w:bCs/>
                <w:color w:val="000000" w:themeColor="text1"/>
                <w:szCs w:val="16"/>
              </w:rPr>
              <w:t>5 year olds</w:t>
            </w:r>
            <w:proofErr w:type="gramEnd"/>
            <w:r w:rsidRPr="00781112">
              <w:rPr>
                <w:b/>
                <w:bCs/>
                <w:color w:val="000000" w:themeColor="text1"/>
                <w:szCs w:val="16"/>
              </w:rPr>
              <w:t xml:space="preserve"> entering kindergarten (SEL Domain) </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xml:space="preserve"># SWD Tested in the SEL Domain </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lastRenderedPageBreak/>
              <w:t>2,074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4,294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50.71%</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51.75%</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48.30%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Local school districts and early learning state agencies representing state and federal PreK, Developmental PreK, Part C, and Kindergarten, continue to see significant enrollment declines across the early learning landscape for the 2021 school year. </w:t>
      </w:r>
      <w:r w:rsidRPr="00781112">
        <w:rPr>
          <w:color w:val="000000" w:themeColor="text1"/>
        </w:rPr>
        <w:br/>
      </w:r>
      <w:r w:rsidRPr="00781112">
        <w:rPr>
          <w:color w:val="000000" w:themeColor="text1"/>
        </w:rPr>
        <w:br/>
        <w:t xml:space="preserve"> Notably, the number of students reported on the Kindergarten Readiness Report Card who participated in WaKIDS 2021 state assessment </w:t>
      </w:r>
      <w:proofErr w:type="gramStart"/>
      <w:r w:rsidRPr="00781112">
        <w:rPr>
          <w:color w:val="000000" w:themeColor="text1"/>
        </w:rPr>
        <w:t>was found</w:t>
      </w:r>
      <w:proofErr w:type="gramEnd"/>
      <w:r w:rsidRPr="00781112">
        <w:rPr>
          <w:color w:val="000000" w:themeColor="text1"/>
        </w:rPr>
        <w:t xml:space="preserve"> to be 5,412 less than the 2019 total children statewide, dropping from 79,326 to 73,914 total children. It is hypothesized that the decline in enrollment was, in part, due to the impacts of the pandemic, families’ hesitance to place young children back into existing structures due to lack of access of coordinated care (established child care located beyond school boundaries), fears of COVID exposure, and shifts in school routines due to staff shortages. As </w:t>
      </w:r>
      <w:proofErr w:type="gramStart"/>
      <w:r w:rsidRPr="00781112">
        <w:rPr>
          <w:color w:val="000000" w:themeColor="text1"/>
        </w:rPr>
        <w:t>was expected</w:t>
      </w:r>
      <w:proofErr w:type="gramEnd"/>
      <w:r w:rsidRPr="00781112">
        <w:rPr>
          <w:color w:val="000000" w:themeColor="text1"/>
        </w:rPr>
        <w:t xml:space="preserve">, this decline in enrollment, paired with the expansion of the SSIP Implementation cohort, resulted in slippage from the previous reporting year. </w:t>
      </w:r>
      <w:r w:rsidRPr="00781112">
        <w:rPr>
          <w:color w:val="000000" w:themeColor="text1"/>
        </w:rPr>
        <w:br/>
      </w:r>
      <w:r w:rsidRPr="00781112">
        <w:rPr>
          <w:color w:val="000000" w:themeColor="text1"/>
        </w:rPr>
        <w:br/>
        <w:t xml:space="preserve"> According to the Annual Federal Child Count and Least Restrictive Environment (LRE) Data, for the 2019 school year, 18,256 children between the ages of 3 and 5 years </w:t>
      </w:r>
      <w:proofErr w:type="gramStart"/>
      <w:r w:rsidRPr="00781112">
        <w:rPr>
          <w:color w:val="000000" w:themeColor="text1"/>
        </w:rPr>
        <w:t>were reported</w:t>
      </w:r>
      <w:proofErr w:type="gramEnd"/>
      <w:r w:rsidRPr="00781112">
        <w:rPr>
          <w:color w:val="000000" w:themeColor="text1"/>
        </w:rPr>
        <w:t xml:space="preserve"> to have an IEP in WA state. Over the course of the next two school years, the number of children found eligible for IDEA, Part B, and enrolled in an PreK program declined to 10,150 in 2020, and 9,565 in 2021. From 2019 to 2021, this is a decline in total PreK student enrollment of 8,691 or 47%. </w:t>
      </w:r>
      <w:r w:rsidRPr="00781112">
        <w:rPr>
          <w:color w:val="000000" w:themeColor="text1"/>
        </w:rPr>
        <w:br/>
      </w:r>
      <w:r w:rsidRPr="00781112">
        <w:rPr>
          <w:color w:val="000000" w:themeColor="text1"/>
        </w:rPr>
        <w:br/>
        <w:t xml:space="preserve"> Additionally, district staff reported significant social emotional impacts on young children due to the inability to assess structured learning environments in the 2020–21 school year. This barrier to access </w:t>
      </w:r>
      <w:proofErr w:type="gramStart"/>
      <w:r w:rsidRPr="00781112">
        <w:rPr>
          <w:color w:val="000000" w:themeColor="text1"/>
        </w:rPr>
        <w:t>was further compounded</w:t>
      </w:r>
      <w:proofErr w:type="gramEnd"/>
      <w:r w:rsidRPr="00781112">
        <w:rPr>
          <w:color w:val="000000" w:themeColor="text1"/>
        </w:rPr>
        <w:t xml:space="preserve"> by guidance issued from the Washington state Department of Health and Centers for Disease Control (CDC) which resulted in: </w:t>
      </w:r>
      <w:r w:rsidRPr="00781112">
        <w:rPr>
          <w:color w:val="000000" w:themeColor="text1"/>
        </w:rPr>
        <w:br/>
      </w:r>
      <w:r w:rsidRPr="00781112">
        <w:rPr>
          <w:color w:val="000000" w:themeColor="text1"/>
        </w:rPr>
        <w:br/>
        <w:t xml:space="preserve">Class size reductions within early childhood programs which limited or removed access to inclusive learning environments for children with disabilities. </w:t>
      </w:r>
      <w:r w:rsidRPr="00781112">
        <w:rPr>
          <w:color w:val="000000" w:themeColor="text1"/>
        </w:rPr>
        <w:br/>
      </w:r>
      <w:r w:rsidRPr="00781112">
        <w:rPr>
          <w:color w:val="000000" w:themeColor="text1"/>
        </w:rPr>
        <w:br/>
        <w:t xml:space="preserve">Early childhood classrooms </w:t>
      </w:r>
      <w:proofErr w:type="gramStart"/>
      <w:r w:rsidRPr="00781112">
        <w:rPr>
          <w:color w:val="000000" w:themeColor="text1"/>
        </w:rPr>
        <w:t>being reduced</w:t>
      </w:r>
      <w:proofErr w:type="gramEnd"/>
      <w:r w:rsidRPr="00781112">
        <w:rPr>
          <w:color w:val="000000" w:themeColor="text1"/>
        </w:rPr>
        <w:t xml:space="preserve"> or closed in districts to accommodate elementary school efforts to meet current health guidance, which reduced or removed opportunities for young children to access high-quality learning environments. </w:t>
      </w:r>
      <w:r w:rsidRPr="00781112">
        <w:rPr>
          <w:color w:val="000000" w:themeColor="text1"/>
        </w:rPr>
        <w:br/>
      </w:r>
      <w:r w:rsidRPr="00781112">
        <w:rPr>
          <w:color w:val="000000" w:themeColor="text1"/>
        </w:rPr>
        <w:br/>
        <w:t xml:space="preserve">Staff attrition within early childhood settings (state and federal preschool programs, </w:t>
      </w:r>
      <w:proofErr w:type="gramStart"/>
      <w:r w:rsidRPr="00781112">
        <w:rPr>
          <w:color w:val="000000" w:themeColor="text1"/>
        </w:rPr>
        <w:t>child care</w:t>
      </w:r>
      <w:proofErr w:type="gramEnd"/>
      <w:r w:rsidRPr="00781112">
        <w:rPr>
          <w:color w:val="000000" w:themeColor="text1"/>
        </w:rPr>
        <w:t xml:space="preserve">, developmental PreK programs, and Transitional and traditional Kindergarten settings). </w:t>
      </w:r>
      <w:r w:rsidRPr="00781112">
        <w:rPr>
          <w:color w:val="000000" w:themeColor="text1"/>
        </w:rPr>
        <w:br/>
      </w:r>
      <w:r w:rsidRPr="00781112">
        <w:rPr>
          <w:color w:val="000000" w:themeColor="text1"/>
        </w:rPr>
        <w:br/>
        <w:t xml:space="preserve">In </w:t>
      </w:r>
      <w:proofErr w:type="gramStart"/>
      <w:r w:rsidRPr="00781112">
        <w:rPr>
          <w:color w:val="000000" w:themeColor="text1"/>
        </w:rPr>
        <w:t>some</w:t>
      </w:r>
      <w:proofErr w:type="gramEnd"/>
      <w:r w:rsidRPr="00781112">
        <w:rPr>
          <w:color w:val="000000" w:themeColor="text1"/>
        </w:rPr>
        <w:t xml:space="preserve"> instances, programs reported that teachers were hired later in the school year and, as a result, missed the training window to implement the WaKIDS assessment, resulting in a lower n count.</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 xml:space="preserve">WaKIDS Fall Kindergarten Entry Assessment SEL Domain </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Each fall, from late August to October 31st, Kindergarten teachers, support staff, and Special Education teachers who provide specialized instruction to kindergarten students, </w:t>
      </w:r>
      <w:proofErr w:type="gramStart"/>
      <w:r w:rsidRPr="00781112">
        <w:rPr>
          <w:color w:val="000000" w:themeColor="text1"/>
        </w:rPr>
        <w:t>observe</w:t>
      </w:r>
      <w:proofErr w:type="gramEnd"/>
      <w:r w:rsidRPr="00781112">
        <w:rPr>
          <w:color w:val="000000" w:themeColor="text1"/>
        </w:rPr>
        <w:t xml:space="preserve"> and conduct formative and summative assessments based on children’s everyday activities. These include their interactions with peers, their ability to successfully navigate their learning environment, and their ability to access adults facilitating their learning experiences to meet their personal and academic needs. </w:t>
      </w:r>
      <w:r w:rsidRPr="00781112">
        <w:rPr>
          <w:color w:val="000000" w:themeColor="text1"/>
        </w:rPr>
        <w:br/>
      </w:r>
      <w:r w:rsidRPr="00781112">
        <w:rPr>
          <w:color w:val="000000" w:themeColor="text1"/>
        </w:rPr>
        <w:br/>
        <w:t xml:space="preserve">Once data </w:t>
      </w:r>
      <w:proofErr w:type="gramStart"/>
      <w:r w:rsidRPr="00781112">
        <w:rPr>
          <w:color w:val="000000" w:themeColor="text1"/>
        </w:rPr>
        <w:t>is collected</w:t>
      </w:r>
      <w:proofErr w:type="gramEnd"/>
      <w:r w:rsidRPr="00781112">
        <w:rPr>
          <w:color w:val="000000" w:themeColor="text1"/>
        </w:rPr>
        <w:t xml:space="preserve">, teachers then enter student ratings into the Teaching Strategies GOLD® platform by the due date. OSPI data analysts process the data and provide each district with a scorefile that indicates kindergarten readiness for each child based on widely held expectations for 5-year-olds. The term widely held expectations describes the range of knowledge, skills, and abilities that children of a particular age or class/grade typically demonstrate over a year of life (birth through age 3) or from the beginning to the end of a program year (PreK 3, PreK 4, kindergarten, first grade, second grade, third grade). </w:t>
      </w:r>
      <w:r w:rsidRPr="00781112">
        <w:rPr>
          <w:color w:val="000000" w:themeColor="text1"/>
        </w:rPr>
        <w:br/>
      </w:r>
      <w:r w:rsidRPr="00781112">
        <w:rPr>
          <w:color w:val="000000" w:themeColor="text1"/>
        </w:rPr>
        <w:br/>
        <w:t xml:space="preserve">The data </w:t>
      </w:r>
      <w:proofErr w:type="gramStart"/>
      <w:r w:rsidRPr="00781112">
        <w:rPr>
          <w:color w:val="000000" w:themeColor="text1"/>
        </w:rPr>
        <w:t>are then shared</w:t>
      </w:r>
      <w:proofErr w:type="gramEnd"/>
      <w:r w:rsidRPr="00781112">
        <w:rPr>
          <w:color w:val="000000" w:themeColor="text1"/>
        </w:rPr>
        <w:t xml:space="preserve"> with the OSPI Special Education Division by the OSPI Assessment Office, and are further disaggregated by race/ethnicity, gender, student program and characteristics (English language learner (ELL), low income, homeless, students with disabilities). Data </w:t>
      </w:r>
      <w:proofErr w:type="gramStart"/>
      <w:r w:rsidRPr="00781112">
        <w:rPr>
          <w:color w:val="000000" w:themeColor="text1"/>
        </w:rPr>
        <w:t>are shared</w:t>
      </w:r>
      <w:proofErr w:type="gramEnd"/>
      <w:r w:rsidRPr="00781112">
        <w:rPr>
          <w:color w:val="000000" w:themeColor="text1"/>
        </w:rPr>
        <w:t xml:space="preserve"> annually via the WA state Report Card, and for purposes of this project, are further disaggregated for SSIP region and participating local districts. The data collected </w:t>
      </w:r>
      <w:proofErr w:type="gramStart"/>
      <w:r w:rsidRPr="00781112">
        <w:rPr>
          <w:color w:val="000000" w:themeColor="text1"/>
        </w:rPr>
        <w:t>are then shared</w:t>
      </w:r>
      <w:proofErr w:type="gramEnd"/>
      <w:r w:rsidRPr="00781112">
        <w:rPr>
          <w:color w:val="000000" w:themeColor="text1"/>
        </w:rPr>
        <w:t xml:space="preserve"> by early childhood special education (ECSE) Implementation Specialists for deeper analysis of student and program level outcomes to the participating SSIP Implementation program wide leadership team (PWLT) members. By creating this data review process, the SSIP State Leads (SLs) have ensured a mechanism for the development of data literacy nurtured at the local, regional, and state levels. </w:t>
      </w:r>
      <w:r w:rsidRPr="00781112">
        <w:rPr>
          <w:color w:val="000000" w:themeColor="text1"/>
        </w:rPr>
        <w:br/>
      </w:r>
      <w:r w:rsidRPr="00781112">
        <w:rPr>
          <w:color w:val="000000" w:themeColor="text1"/>
        </w:rPr>
        <w:br/>
        <w:t xml:space="preserve">It is the intention of the SSIP SLs that the regional and local districts will align findings of the WaKIDS Fall Kindergarten Entry Assessment (KEA) with other local data, including but not limited to B6 Preschool (PreK) Environments data, B7 PreK Outcomes data, and other data metrics highlighted throughout this report and within the SSIP Evaluation Plan. Data findings elevated at the state, regional, and local levels </w:t>
      </w:r>
      <w:proofErr w:type="gramStart"/>
      <w:r w:rsidRPr="00781112">
        <w:rPr>
          <w:color w:val="000000" w:themeColor="text1"/>
        </w:rPr>
        <w:t>are then leveraged</w:t>
      </w:r>
      <w:proofErr w:type="gramEnd"/>
      <w:r w:rsidRPr="00781112">
        <w:rPr>
          <w:color w:val="000000" w:themeColor="text1"/>
        </w:rPr>
        <w:t xml:space="preserve"> for deeper reflection and inevitably create greater collaboration opportunities with community, tribal, and other essential cross sector partners strengthen the implementation process and to further efforts made to create system change utilizing implementation science.</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In addition to the SiMR, SSIP leadership identified additional assessment measures to reflect input from state, regional, and local school district?partners. These prescribed assessment measures include: </w:t>
      </w:r>
      <w:r w:rsidRPr="00781112">
        <w:rPr>
          <w:color w:val="000000" w:themeColor="text1"/>
        </w:rPr>
        <w:br/>
      </w:r>
      <w:r w:rsidRPr="00781112">
        <w:rPr>
          <w:color w:val="000000" w:themeColor="text1"/>
        </w:rPr>
        <w:br/>
        <w:t>(1) The State Infrastructure Leadership Capacity Assessment adapted from the Early Childhood Technical Assistance Center (ECTA). This assessment, completed by individual State Design Team (SDT) members annually at the start of each calendar year, evaluates the impact of the state infrastructure related to collaboration, motivation and guidance, vision, and direction. This assessment includes SDT demographic data collection including gender, race, ethnicity, and dual language speaker SDT information</w:t>
      </w:r>
      <w:proofErr w:type="gramStart"/>
      <w:r w:rsidRPr="00781112">
        <w:rPr>
          <w:color w:val="000000" w:themeColor="text1"/>
        </w:rPr>
        <w:t xml:space="preserve">.  </w:t>
      </w:r>
      <w:proofErr w:type="gramEnd"/>
      <w:r w:rsidRPr="00781112">
        <w:rPr>
          <w:color w:val="000000" w:themeColor="text1"/>
        </w:rPr>
        <w:t xml:space="preserve">  </w:t>
      </w:r>
      <w:r w:rsidRPr="00781112">
        <w:rPr>
          <w:color w:val="000000" w:themeColor="text1"/>
        </w:rPr>
        <w:br/>
      </w:r>
      <w:r w:rsidRPr="00781112">
        <w:rPr>
          <w:color w:val="000000" w:themeColor="text1"/>
        </w:rPr>
        <w:br/>
        <w:t>(2) The State Leadership Team Benchmark of Quality (SLT BoQ). This assessment, completed by the SDT annually at the start of each calendar year, is employed by the cross-agency leadership to assess progress and plan future actions to advance Pyramid Model evidence-based practices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r>
      <w:r w:rsidRPr="00781112">
        <w:rPr>
          <w:color w:val="000000" w:themeColor="text1"/>
        </w:rPr>
        <w:lastRenderedPageBreak/>
        <w:t xml:space="preserve">(3) The Teaching Pyramid Observation Tool (TPOT). This assessment tool evaluates and reinforces high-quality practices that support children’s social-emotional development and behavior. TPOT assessments </w:t>
      </w:r>
      <w:proofErr w:type="gramStart"/>
      <w:r w:rsidRPr="00781112">
        <w:rPr>
          <w:color w:val="000000" w:themeColor="text1"/>
        </w:rPr>
        <w:t>are conducted</w:t>
      </w:r>
      <w:proofErr w:type="gramEnd"/>
      <w:r w:rsidRPr="00781112">
        <w:rPr>
          <w:color w:val="000000" w:themeColor="text1"/>
        </w:rPr>
        <w:t xml:space="preserve"> two times annually across program sites implementing Pyramid Model practices to measure progress and fidelity. </w:t>
      </w:r>
      <w:r w:rsidRPr="00781112">
        <w:rPr>
          <w:color w:val="000000" w:themeColor="text1"/>
        </w:rPr>
        <w:br/>
      </w:r>
      <w:r w:rsidRPr="00781112">
        <w:rPr>
          <w:color w:val="000000" w:themeColor="text1"/>
        </w:rPr>
        <w:br/>
        <w:t xml:space="preserve">(4) The Local District Preschool Inclusion Self-Assessment (LDPISA). This self-assessment tool evaluates partnerships among schools, early care, and education providers to promote the inclusion of young children with disabilities. Programs </w:t>
      </w:r>
      <w:proofErr w:type="gramStart"/>
      <w:r w:rsidRPr="00781112">
        <w:rPr>
          <w:color w:val="000000" w:themeColor="text1"/>
        </w:rPr>
        <w:t>are required</w:t>
      </w:r>
      <w:proofErr w:type="gramEnd"/>
      <w:r w:rsidRPr="00781112">
        <w:rPr>
          <w:color w:val="000000" w:themeColor="text1"/>
        </w:rPr>
        <w:t xml:space="preserve"> to conduct an initial assessment to collect </w:t>
      </w:r>
      <w:proofErr w:type="gramStart"/>
      <w:r w:rsidRPr="00781112">
        <w:rPr>
          <w:color w:val="000000" w:themeColor="text1"/>
        </w:rPr>
        <w:t>a baseline</w:t>
      </w:r>
      <w:proofErr w:type="gramEnd"/>
      <w:r w:rsidRPr="00781112">
        <w:rPr>
          <w:color w:val="000000" w:themeColor="text1"/>
        </w:rPr>
        <w:t xml:space="preserve"> data within eight weeks of the start of the current school year and to then engage planning activities based upon the stage of implementation they are found to be in. Districts are asked to revisit the LDPISA at the end of each school year to assess progress and to support strategic planning for the year to come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(5) The Early Childhood Program Wide PBS Benchmark of Quality (EC BoQ). This tool evaluates program progress towards implementing the Pyramid Model Program-Wide. This instrument </w:t>
      </w:r>
      <w:proofErr w:type="gramStart"/>
      <w:r w:rsidRPr="00781112">
        <w:rPr>
          <w:color w:val="000000" w:themeColor="text1"/>
        </w:rPr>
        <w:t>is administered</w:t>
      </w:r>
      <w:proofErr w:type="gramEnd"/>
      <w:r w:rsidRPr="00781112">
        <w:rPr>
          <w:color w:val="000000" w:themeColor="text1"/>
        </w:rPr>
        <w:t xml:space="preserve"> two times annually across program sites implementing Pyramid Model and engaged in Stage 3, Implementation, initial to full, activities. The assessment timeline will mirror that of the LDPISA described above. </w:t>
      </w:r>
      <w:r w:rsidRPr="00781112">
        <w:rPr>
          <w:color w:val="000000" w:themeColor="text1"/>
        </w:rPr>
        <w:br/>
      </w:r>
      <w:r w:rsidRPr="00781112">
        <w:rPr>
          <w:color w:val="000000" w:themeColor="text1"/>
        </w:rPr>
        <w:br/>
        <w:t xml:space="preserve">(6) The Behavior Incident Report System (BIRS). This monthly data system collects and analyzes behavior incidents in programs to inform data-based decision-making with additional analysis related to </w:t>
      </w:r>
      <w:proofErr w:type="gramStart"/>
      <w:r w:rsidRPr="00781112">
        <w:rPr>
          <w:color w:val="000000" w:themeColor="text1"/>
        </w:rPr>
        <w:t>possible equity</w:t>
      </w:r>
      <w:proofErr w:type="gramEnd"/>
      <w:r w:rsidRPr="00781112">
        <w:rPr>
          <w:color w:val="000000" w:themeColor="text1"/>
        </w:rPr>
        <w:t xml:space="preserve"> issues by calculating disproportionality. District teams are asked to ensure critical data is submitted by mid-December and mid-June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(7) The Parent Survey Instrument: Schools Efforts to Partner with Parent Scale: This nationally normed evaluation instrument </w:t>
      </w:r>
      <w:proofErr w:type="gramStart"/>
      <w:r w:rsidRPr="00781112">
        <w:rPr>
          <w:color w:val="000000" w:themeColor="text1"/>
        </w:rPr>
        <w:t>was administered</w:t>
      </w:r>
      <w:proofErr w:type="gramEnd"/>
      <w:r w:rsidRPr="00781112">
        <w:rPr>
          <w:color w:val="000000" w:themeColor="text1"/>
        </w:rPr>
        <w:t xml:space="preserve"> in correlation to the parent engagement strand of the theory of action annually across all participating programs. This data provides valuable information about the extent of parental involvement within the context of Indicator B-8 on the State Performance Plan. These results indicate the extent to which parents believe that school districts have facilitated their involvement in their child’s education as a means of improving student outcomes. The Parent Survey has historically been shared to families of children with IEPs in the SSIP Implementation programs in the spring of each implementation cycle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(8) The Participant Survey Instrument. This post-training survey collects data related to quality, relevance, usefulness of professional development activities, and measures knowledge gained </w:t>
      </w:r>
      <w:proofErr w:type="gramStart"/>
      <w:r w:rsidRPr="00781112">
        <w:rPr>
          <w:color w:val="000000" w:themeColor="text1"/>
        </w:rPr>
        <w:t>directly related</w:t>
      </w:r>
      <w:proofErr w:type="gramEnd"/>
      <w:r w:rsidRPr="00781112">
        <w:rPr>
          <w:color w:val="000000" w:themeColor="text1"/>
        </w:rPr>
        <w:t xml:space="preserve"> to technical assistance provisions. This tool is shared with training participants following the completion of each training found within the WAPM training sequence, as well as program, practitioner, and Implementation Specialist Coaching calls</w:t>
      </w:r>
      <w:proofErr w:type="gramStart"/>
      <w:r w:rsidRPr="00781112">
        <w:rPr>
          <w:color w:val="000000" w:themeColor="text1"/>
        </w:rPr>
        <w:t xml:space="preserve">.  </w:t>
      </w:r>
      <w:proofErr w:type="gramEnd"/>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(1) A reduction in student enrollment continued to impact the data pool sample. Data may also have </w:t>
      </w:r>
      <w:proofErr w:type="gramStart"/>
      <w:r w:rsidRPr="00781112">
        <w:rPr>
          <w:color w:val="000000" w:themeColor="text1"/>
        </w:rPr>
        <w:t>been impacted</w:t>
      </w:r>
      <w:proofErr w:type="gramEnd"/>
      <w:r w:rsidRPr="00781112">
        <w:rPr>
          <w:color w:val="000000" w:themeColor="text1"/>
        </w:rPr>
        <w:t xml:space="preserve"> by teachers leaving the workforce, impacting the program’s ability to conduct the assessment. In </w:t>
      </w:r>
      <w:proofErr w:type="gramStart"/>
      <w:r w:rsidRPr="00781112">
        <w:rPr>
          <w:color w:val="000000" w:themeColor="text1"/>
        </w:rPr>
        <w:t>some</w:t>
      </w:r>
      <w:proofErr w:type="gramEnd"/>
      <w:r w:rsidRPr="00781112">
        <w:rPr>
          <w:color w:val="000000" w:themeColor="text1"/>
        </w:rPr>
        <w:t xml:space="preserve"> instances, as was reported in the 2020 SSIP report, programs reported that teachers were hired later in the school year and, as a result, missed the training window to implement the assessment, resulting in a lower count. As was shared above, it is hypothesized that families’ hesitancy to place young children back into existing structures due to lack of access to coordinated care (established </w:t>
      </w:r>
      <w:proofErr w:type="gramStart"/>
      <w:r w:rsidRPr="00781112">
        <w:rPr>
          <w:color w:val="000000" w:themeColor="text1"/>
        </w:rPr>
        <w:t>child care</w:t>
      </w:r>
      <w:proofErr w:type="gramEnd"/>
      <w:r w:rsidRPr="00781112">
        <w:rPr>
          <w:color w:val="000000" w:themeColor="text1"/>
        </w:rPr>
        <w:t xml:space="preserve"> located beyond school boundaries), fears of COVID exposure, and shifts in school routines due to staff shortages also played a factor in declined enrollment. As </w:t>
      </w:r>
      <w:proofErr w:type="gramStart"/>
      <w:r w:rsidRPr="00781112">
        <w:rPr>
          <w:color w:val="000000" w:themeColor="text1"/>
        </w:rPr>
        <w:t>was expected</w:t>
      </w:r>
      <w:proofErr w:type="gramEnd"/>
      <w:r w:rsidRPr="00781112">
        <w:rPr>
          <w:color w:val="000000" w:themeColor="text1"/>
        </w:rPr>
        <w:t>, this decline in enrollment, paired with the expansion of the SSIP Implementation cohort, resulted in slippage from the previous reporting year. Notably, the number of kindergarten students reported on the Kindergarten Readiness Report Card who participated in WaKIDS 2021 state assessment was found to be 5,412 less than the 2019 total of children statewide, dropping from 79,326 to 73,914 total children</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(2) The first confirmed COVID-19 case in the United States </w:t>
      </w:r>
      <w:proofErr w:type="gramStart"/>
      <w:r w:rsidRPr="00781112">
        <w:rPr>
          <w:color w:val="000000" w:themeColor="text1"/>
        </w:rPr>
        <w:t>was identified</w:t>
      </w:r>
      <w:proofErr w:type="gramEnd"/>
      <w:r w:rsidRPr="00781112">
        <w:rPr>
          <w:color w:val="000000" w:themeColor="text1"/>
        </w:rPr>
        <w:t xml:space="preserve"> on January 21, 2020, in Washington state. To ensure adherence to the Health Insurance Portability and Accountability Act (HIPAA) of 1996, which guarantees protection of individual protected health information, restrictions </w:t>
      </w:r>
      <w:proofErr w:type="gramStart"/>
      <w:r w:rsidRPr="00781112">
        <w:rPr>
          <w:color w:val="000000" w:themeColor="text1"/>
        </w:rPr>
        <w:t>were established</w:t>
      </w:r>
      <w:proofErr w:type="gramEnd"/>
      <w:r w:rsidRPr="00781112">
        <w:rPr>
          <w:color w:val="000000" w:themeColor="text1"/>
        </w:rPr>
        <w:t xml:space="preserve"> to ensure the health and safety of staff and student were established in the 2020 school year and extended into the spring of 2021. Beginning in the fall of 2021, school districts resumed in-person school sessions with limited restrictions, though it was reported that SSIP Implementation local districts continued to require additional time to conduct baseline and progress monitoring program level self-assessments, as well as to convene staff to engage in professional learning and in-person technical assistance and coaching opportunities. It was reported by SSIP regional leads (RLs) that efforts were made to facilitate observations and program wide leadership team (PWLT) meetings via video recording, zoom conferencing, and later in person sessions as COVID restrictions were waived towards the closing of the 2021 school year</w:t>
      </w:r>
      <w:proofErr w:type="gramStart"/>
      <w:r w:rsidRPr="00781112">
        <w:rPr>
          <w:color w:val="000000" w:themeColor="text1"/>
        </w:rPr>
        <w:t xml:space="preserve">.  </w:t>
      </w:r>
      <w:proofErr w:type="gramEnd"/>
      <w:r w:rsidRPr="00781112">
        <w:rPr>
          <w:color w:val="000000" w:themeColor="text1"/>
        </w:rPr>
        <w:t xml:space="preserve"> </w:t>
      </w:r>
      <w:r w:rsidRPr="00781112">
        <w:rPr>
          <w:color w:val="000000" w:themeColor="text1"/>
        </w:rPr>
        <w:br/>
      </w:r>
      <w:r w:rsidRPr="00781112">
        <w:rPr>
          <w:color w:val="000000" w:themeColor="text1"/>
        </w:rPr>
        <w:br/>
        <w:t xml:space="preserve">(3) Following the first school facility closure on March 12, 2020, the state detailed data collection mitigation strategies in the Reopening Washington Schools 2020: Special Education Guide aligned to health and safety guidelines from the WA Department of Health (DOH) and the Department of Labor &amp; Industries (L&amp;I). Along with the OSPI Provisions of Services to Children with Disabilities in Early Childhood Programs During a School Facility Closure document, detailed ongoing communication and clear expectations around documentation and data collection processes </w:t>
      </w:r>
      <w:proofErr w:type="gramStart"/>
      <w:r w:rsidRPr="00781112">
        <w:rPr>
          <w:color w:val="000000" w:themeColor="text1"/>
        </w:rPr>
        <w:t>were provided</w:t>
      </w:r>
      <w:proofErr w:type="gramEnd"/>
      <w:r w:rsidRPr="00781112">
        <w:rPr>
          <w:color w:val="000000" w:themeColor="text1"/>
        </w:rPr>
        <w:t xml:space="preserve"> by the SSIP state leads (SLs) to the SSIP RLs. This guidance detailed ongoing technical assistance and support related to data collection processes, along with documentation related to assessment, observation, and referral methodology. Data quality concerns have </w:t>
      </w:r>
      <w:proofErr w:type="gramStart"/>
      <w:r w:rsidRPr="00781112">
        <w:rPr>
          <w:color w:val="000000" w:themeColor="text1"/>
        </w:rPr>
        <w:t>been regularly addressed</w:t>
      </w:r>
      <w:proofErr w:type="gramEnd"/>
      <w:r w:rsidRPr="00781112">
        <w:rPr>
          <w:color w:val="000000" w:themeColor="text1"/>
        </w:rPr>
        <w:t xml:space="preserve"> during SSIP Regional ECSE Implementation Specialist monthly calls, which include SSIP RLs SSIP state leads, DCYF ECEAP leadership, and national technical assistance partners. The SDT and RL discussion centered around identifying alternative implementation processes to further enhance data collection measures and teaming strategies by providing technical assistance and ongoing coaching calls related to data input, collection, and analysis. Activities included completing focused observations and debrief cycles; engaging in inter-rater reliability activities to ensure data reliability and fidelity in practice; and developing a cascading coaching structure to support fidelity in both implementation and data analysis processes (e.g., implementation specialists, program coaches, and practitioner coaches)</w:t>
      </w:r>
      <w:proofErr w:type="gramStart"/>
      <w:r w:rsidRPr="00781112">
        <w:rPr>
          <w:color w:val="000000" w:themeColor="text1"/>
        </w:rPr>
        <w:t xml:space="preserve">.  </w:t>
      </w:r>
      <w:proofErr w:type="gramEnd"/>
      <w:r w:rsidRPr="00781112">
        <w:rPr>
          <w:color w:val="000000" w:themeColor="text1"/>
        </w:rPr>
        <w:t xml:space="preserve">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https://www.k12.wa.us/sites/default/files/public/specialed/earlychildhood/pubdocs/WA-SSIP-2021-2022-Evaluation-Plan.pdf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lastRenderedPageBreak/>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Prioritization of the improvement strategies continue to be identified with the support of the SDT with direct input from the SSIP Regional Leads and National Technical Assistance State Leads representing the IDEA Data Center (IDC) and the National Center for Systemic Improvement (NCSI), including cross-divisional and cross-sector partners (CP, families, DCYF, ECEAP, Head Start, ESIT, parent advocates, Higher education reps, and local districts). </w:t>
      </w:r>
      <w:r w:rsidRPr="00781112">
        <w:rPr>
          <w:color w:val="000000" w:themeColor="text1"/>
        </w:rPr>
        <w:br/>
      </w:r>
      <w:r w:rsidRPr="00781112">
        <w:rPr>
          <w:color w:val="000000" w:themeColor="text1"/>
        </w:rPr>
        <w:br/>
        <w:t>Identified infrastructure improvement strategies include family and community partner engagement strategies, synchronous and asynchronous facilitated training, coaching, and efforts dedicated to sustainability and scale-up practices. The strategies focus on promoting state, regional, and local school district efforts to improve current communication and engagement strategies, with intentional efforts made to expand the framework to include community partners and families throughout the implementation process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(1) Family and community partner engagement strategies continue to focus on increasing access to inclusive EL setting and expanding the continuum of alternative placement options. The SSIP SLs have also taken care to introduce the frameworks of implementation science over the course of the project cycle. Implementation science is an essential component of the project work, laying out the necessary steps, stage-by-stage, to meet full implementation of evidence-based practices and sustainability of the program shifts made within regional and local programs. To further build sustainability of efforts, the SSIP SLs have established cross-divisional, collaborative opportunities funded by ESSER III Funds. This is based upon the identified problem of practice; lack of access to inclusive, high-quality early childhood learning experiences with integrated SEL infrastructures for children with disabilities contributes to opportunity gaps in social emotional development as these students enter kindergarten</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(2) Deployment of synchronous and asynchronous facilitated training to support MTSS/WAPM knowledge increase related to inclusionary, race/equity, and trauma informed practices along with intentional data use to inform decision making remains a critical strategy within this reporting cycle. With the Early Learning Regional Coordinators, the SSIP Regional Leads and Washington Pyramid Model (WAPM) Implementation Specialists have collaborated with local school districts to achieve positive student outcomes with the deployment of inclusionary practices within school districts utilizing the Stages of Implementation. Associated activities continue to strengthen the capacity of early childhood programs to support the alignment of developmental preschool programs within local school districts with Inclusive Transitional Kindergarten Champions by building proficiency among coaches, specialists, and educators in the methods of Multi-Tiered System of Supports (MTSS) and the utilization of other evidence-based practices. School districts continue to engage in strategic partnership with the Educational Service Districts (ESDs) Regional Implementation Specialists to develop a system of progress monitoring, service, and supports, while continuing to prioritize data literacy to elevate collaborative teaming and data-informed decision making. Continued collaboration with SSIP Regional Leads to create and disseminate training opportunities relating to IDEA performance indicators (B6, B7) has supported the intermediate and long-term outcomes, resulting in an increase in children in general early childhood placements. Not only has the recruitment to early childhood special education (ECSE) initiatives increased year to year, but the data is supporting this finding as well. In the winter of 2021, Special Education SDT proposed that the B6 baseline and corresponding targets for B6a and B6b increase year to year with the duration of the implementation cycle by 1.5%. Upon release of the 2021 Federal Least Restrictive Environment (LRE) and Child Count Data, B6a data improved from 21% to 25.7% (4.7% increase) and B6b data decreased from 53.3% to 49.4% (3.9% decrease). These preliminary data illustrate the impacts of the SSIP Regional Leads’ efforts to facilitate intensive technical assistance, coaching (systems level and instructional), and professional development within identified regular early childhood programs (RECPs) to support IDEA performance indicators for programs participating at the implementation sites. </w:t>
      </w:r>
      <w:r w:rsidRPr="00781112">
        <w:rPr>
          <w:color w:val="000000" w:themeColor="text1"/>
        </w:rPr>
        <w:br/>
      </w:r>
      <w:r w:rsidRPr="00781112">
        <w:rPr>
          <w:color w:val="000000" w:themeColor="text1"/>
        </w:rPr>
        <w:br/>
        <w:t xml:space="preserve">(3) The statewide WAPM Implementation Specialists Training and Coaching Network in partnership with the University of Washington Haring Center, and in collaboration with DCYF, is a critical component in advancing the SSIP project work and the broader efforts of Early Learning advocates statewide to great inclusive high-quality learning experiences for children across Washington’s complex mixed delivery system. School district and DCYF ECEAP preschool staff, under the direction of Program and Practitioner Coaches, continue to implement the essential social-emotional frameworks needed to ensure all students have access to high-quality learning environments with the establishment of pilot projects amongst licensed care facilities overseeing children 0–3 years of age. </w:t>
      </w:r>
      <w:r w:rsidRPr="00781112">
        <w:rPr>
          <w:color w:val="000000" w:themeColor="text1"/>
        </w:rPr>
        <w:br/>
      </w:r>
      <w:r w:rsidRPr="00781112">
        <w:rPr>
          <w:color w:val="000000" w:themeColor="text1"/>
        </w:rPr>
        <w:br/>
        <w:t xml:space="preserve">(4) Ongoing focus on sustainability and scale-up practices to support knowledge of systems change and leadership practices, aligning initiatives with internal and cross-sector partners and regional and local scale up and scale out efforts remains a top priority for the SSIP SL and Regional Leads (RLs). The engagement of SSIP (RLs) from three times per year to monthly meetings with IDC/NCSI TA, reinforced intentional collaboration to increase understanding of evaluation tools (logic model, evaluation plan, and theory of action), stages of implementation science, and defining roles and responsibilities of regional and local districts. The SDT hypothesizes that employing this infrastructure strategy to integrate aligned EBPs within agency cross-sector EL programs, 0–5 years, will result in increased knowledge of fidelity criteria and systems infrastructure, as well as increased knowledge of systems change and leadership practices. Though slippage has </w:t>
      </w:r>
      <w:proofErr w:type="gramStart"/>
      <w:r w:rsidRPr="00781112">
        <w:rPr>
          <w:color w:val="000000" w:themeColor="text1"/>
        </w:rPr>
        <w:t>been reported</w:t>
      </w:r>
      <w:proofErr w:type="gramEnd"/>
      <w:r w:rsidRPr="00781112">
        <w:rPr>
          <w:color w:val="000000" w:themeColor="text1"/>
        </w:rPr>
        <w:t xml:space="preserve"> for the SSIP SiMR, the SSIP State Leads have observed significant changes within the early learning landscape for the 2021–22 school year that support this hypothesis. Through the data collected by the SSIP implementation sites, the SSIP Leads have created a strong narrative outlining how, when data is used with intention, educational systems can be positively impacted and children farthest from opportunity can be elevated and offered access to learning environments never seen before and children farthest from opportunity can be intentionally provided access to richer learning environments.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short term and intermediate outcomes achieved for each infrastructure improvement strategies to further support system changes in support of the achievement of the SiMR include: </w:t>
      </w:r>
      <w:r w:rsidRPr="00781112">
        <w:rPr>
          <w:color w:val="000000" w:themeColor="text1"/>
        </w:rPr>
        <w:br/>
      </w:r>
      <w:r w:rsidRPr="00781112">
        <w:rPr>
          <w:color w:val="000000" w:themeColor="text1"/>
        </w:rPr>
        <w:br/>
        <w:t xml:space="preserve">(1) Ongoing focus on family and community partner engagement strategies, including agency cross-sector representation of State Work Groups, Washington Pyramid Model (WAPM) training and coaching materials for families, community partners, and programs, along with established family representation on Program-Wide Leadership Teams (PWLTs). Within this reporting cycle, these efforts continue to ensure an aligned message reflects the strong working relationships built and sustained between leaders within the Special Education division at OSPI. Data indicates 43% (3% increase) of PWLTs have secured family and community representation for decision-making and leadership development activities. Note that the total N size for participating programs has increased from 9 to 23, further reinforcing sustainability in systems improvement efforts and actualizing scale up practices. The SSIP SDT convened in January 2023 to conduct the State BoQ assessment. Preliminary findings of the critical element “Leadership Team” </w:t>
      </w:r>
      <w:proofErr w:type="gramStart"/>
      <w:r w:rsidRPr="00781112">
        <w:rPr>
          <w:color w:val="000000" w:themeColor="text1"/>
        </w:rPr>
        <w:t>were discussed</w:t>
      </w:r>
      <w:proofErr w:type="gramEnd"/>
      <w:r w:rsidRPr="00781112">
        <w:rPr>
          <w:color w:val="000000" w:themeColor="text1"/>
        </w:rPr>
        <w:t xml:space="preserve"> and resulted in a request to reassess the process to which the assessment is facilitated with the intent of ensuring equitable engagement of all partners. The SSIP SLs will modify the self-assessment process to increase the engagement opportunities of SDT members and will use the findings </w:t>
      </w:r>
      <w:r w:rsidRPr="00781112">
        <w:rPr>
          <w:color w:val="000000" w:themeColor="text1"/>
        </w:rPr>
        <w:lastRenderedPageBreak/>
        <w:t xml:space="preserve">to drive action planning for the upcoming SSIP cycle. </w:t>
      </w:r>
      <w:r w:rsidRPr="00781112">
        <w:rPr>
          <w:color w:val="000000" w:themeColor="text1"/>
        </w:rPr>
        <w:br/>
      </w:r>
      <w:r w:rsidRPr="00781112">
        <w:rPr>
          <w:color w:val="000000" w:themeColor="text1"/>
        </w:rPr>
        <w:br/>
        <w:t xml:space="preserve">(2) Employing facilitated synchronous and asynchronous training, including MTSS/WAPM training to increase trauma-informed practices has resulted in the increased knowledge of inclusionary, race and equity, and trauma-informed practices. During this reporting cycle, </w:t>
      </w:r>
      <w:proofErr w:type="gramStart"/>
      <w:r w:rsidRPr="00781112">
        <w:rPr>
          <w:color w:val="000000" w:themeColor="text1"/>
        </w:rPr>
        <w:t>53</w:t>
      </w:r>
      <w:proofErr w:type="gramEnd"/>
      <w:r w:rsidRPr="00781112">
        <w:rPr>
          <w:color w:val="000000" w:themeColor="text1"/>
        </w:rPr>
        <w:t xml:space="preserve"> individual participants completed 20 hours of asynchronous training focused on data-based decision making and evidence based coaching practices, yielding a total of 84 asynchronous training completions. Approximately 268 participants have completed state and regional synchronous training, yielding a total of 13,320 minutes. Additionally, deploying a certification process for implementation specialists to disseminate non-proprietary training yielded a total of </w:t>
      </w:r>
      <w:proofErr w:type="gramStart"/>
      <w:r w:rsidRPr="00781112">
        <w:rPr>
          <w:color w:val="000000" w:themeColor="text1"/>
        </w:rPr>
        <w:t>8</w:t>
      </w:r>
      <w:proofErr w:type="gramEnd"/>
      <w:r w:rsidRPr="00781112">
        <w:rPr>
          <w:color w:val="000000" w:themeColor="text1"/>
        </w:rPr>
        <w:t xml:space="preserve"> supplemental regional training offerings totaling 8,640 cumulative minutes. During this reporting cycle, 321 individual participants met fidelity in the prescribed training sequence, yielding a total of 76,920 professional development and training minutes recorded. Biannual training, monthly coaching, and ongoing technical assistance are in place to promote fidelity in implementation and best practice as it relates to EBPs for program coaches supporting all </w:t>
      </w:r>
      <w:proofErr w:type="gramStart"/>
      <w:r w:rsidRPr="00781112">
        <w:rPr>
          <w:color w:val="000000" w:themeColor="text1"/>
        </w:rPr>
        <w:t>23</w:t>
      </w:r>
      <w:proofErr w:type="gramEnd"/>
      <w:r w:rsidRPr="00781112">
        <w:rPr>
          <w:color w:val="000000" w:themeColor="text1"/>
        </w:rPr>
        <w:t xml:space="preserve"> participating programs. </w:t>
      </w:r>
      <w:r w:rsidRPr="00781112">
        <w:rPr>
          <w:color w:val="000000" w:themeColor="text1"/>
        </w:rPr>
        <w:br/>
      </w:r>
      <w:r w:rsidRPr="00781112">
        <w:rPr>
          <w:color w:val="000000" w:themeColor="text1"/>
        </w:rPr>
        <w:br/>
        <w:t xml:space="preserve">Increased training opportunities related to IDEA performance indicators (B6 and B7) continue to support regional alignment of technical assistance provisions, creating opportunities for agency cross-regional collaboration across SSIP programs while leveraging current initiatives to help ensure successful execution, implementation, and continuous quality standard improvements within the SSIP. Employing this framework has bolstered accountability and monitoring of practice, as recorded through ongoing bi-monthly ECSE check-ins and current technical assistance modules (in development) related to Indicator 7. This infrastructure strategy informs current governance policy and practice, resulting in ongoing action planning to promote cross-agency work expanding access to general early childhood programs for young children/students with disabilities to expand access to students with disabilities across EL programs (as reflected in the DCYF Saturation Study, RFAs, and QRIS). </w:t>
      </w:r>
      <w:r w:rsidRPr="00781112">
        <w:rPr>
          <w:color w:val="000000" w:themeColor="text1"/>
        </w:rPr>
        <w:br/>
      </w:r>
      <w:r w:rsidRPr="00781112">
        <w:rPr>
          <w:color w:val="000000" w:themeColor="text1"/>
        </w:rPr>
        <w:br/>
        <w:t xml:space="preserve">(3) Focusing on coaching activities, including the continued utilization of evidence-based practices to support increased knowledge of fidelity criteria and systems infrastructure, increased knowledge of trauma-informed practices, increased knowledge of race and equity practices, and increased family and community provider engagement within local EL programs. Evidence-based practices include the deployment of a certification process for implementation specialists to serve both as coaches and trainers for the selection and implementation of specific evidence-based practices (EBPs). Note that all 9 Educational Service Districts have an identified implementation specialist in which 77% of the participating implementation specialists have completed the WAPM implementation specialist certification process. ? </w:t>
      </w:r>
      <w:r w:rsidRPr="00781112">
        <w:rPr>
          <w:color w:val="000000" w:themeColor="text1"/>
        </w:rPr>
        <w:br/>
      </w:r>
      <w:r w:rsidRPr="00781112">
        <w:rPr>
          <w:color w:val="000000" w:themeColor="text1"/>
        </w:rPr>
        <w:br/>
        <w:t xml:space="preserve">Employing a statewide network of coaches has resulted in a 33.3% increase (extensive) with a 66.70% moderate increase in overall practices knowledge gained collected via survey data. By providing varying dimensions related to the statewide network, the SSIP SDT </w:t>
      </w:r>
      <w:proofErr w:type="gramStart"/>
      <w:r w:rsidRPr="00781112">
        <w:rPr>
          <w:color w:val="000000" w:themeColor="text1"/>
        </w:rPr>
        <w:t>is better equipped</w:t>
      </w:r>
      <w:proofErr w:type="gramEnd"/>
      <w:r w:rsidRPr="00781112">
        <w:rPr>
          <w:color w:val="000000" w:themeColor="text1"/>
        </w:rPr>
        <w:t xml:space="preserve"> to provide both programmatic, fiscal, and governance recommendations to support future implementation. Preliminary data indicates 70% (a 30% increase) of participating programs having met fidelity per the prescribed training sequence. The SSIP RLs remain dedicated to the project work and embrace the benefits of actively engaging practitioners and leaders, including family partnerships and community partners (e.g., parent advocates, family voice listening group participants, PWLT family members, </w:t>
      </w:r>
      <w:proofErr w:type="gramStart"/>
      <w:r w:rsidRPr="00781112">
        <w:rPr>
          <w:color w:val="000000" w:themeColor="text1"/>
        </w:rPr>
        <w:t>etc.</w:t>
      </w:r>
      <w:proofErr w:type="gramEnd"/>
      <w:r w:rsidRPr="00781112">
        <w:rPr>
          <w:color w:val="000000" w:themeColor="text1"/>
        </w:rPr>
        <w:t xml:space="preserve">). In the current SSIP implementation cycle period, SSIP RLs participated in </w:t>
      </w:r>
      <w:proofErr w:type="gramStart"/>
      <w:r w:rsidRPr="00781112">
        <w:rPr>
          <w:color w:val="000000" w:themeColor="text1"/>
        </w:rPr>
        <w:t>15</w:t>
      </w:r>
      <w:proofErr w:type="gramEnd"/>
      <w:r w:rsidRPr="00781112">
        <w:rPr>
          <w:color w:val="000000" w:themeColor="text1"/>
        </w:rPr>
        <w:t xml:space="preserve"> monthly core convenings, launched April 26, 2021, and extended through to November 28, 2022. RLs continue to employ the principles of implementation science to develop criteria related to quality standards in practice. </w:t>
      </w:r>
      <w:r w:rsidRPr="00781112">
        <w:rPr>
          <w:color w:val="000000" w:themeColor="text1"/>
        </w:rPr>
        <w:br/>
      </w:r>
      <w:r w:rsidRPr="00781112">
        <w:rPr>
          <w:color w:val="000000" w:themeColor="text1"/>
        </w:rPr>
        <w:br/>
        <w:t xml:space="preserve">(4) Centering sustainability and scale-up considerations, including documentation of alignment and collaboration within SSIP implementation and cross-sector work that integrates a comprehensive database, scale-up plan protocol, criteria for fidelity, and ongoing action planning. Implementation of this strategy has increased knowledge of fidelity criteria and systems infrastructure, along with knowledge of systems change and leadership practices. The scaling up of partnerships with external early learning content experts to support the integration and collaboration of new landmark initiatives with SSIP activities has been of particular benefit. With the ongoing utilization of tools such as the SSIP Evaluation Plan, Theory of Action, and Logic Model, the SSIP State Leads have successfully navigated both regional and local school district partners to leverage the frameworks of implementation science within their current infrastructures to identify the necessary steps, to meet full implementation of evidence-based practice across sites. Employing implementation science to guide practice resulted in 100% program self-identification across all </w:t>
      </w:r>
      <w:proofErr w:type="gramStart"/>
      <w:r w:rsidRPr="00781112">
        <w:rPr>
          <w:color w:val="000000" w:themeColor="text1"/>
        </w:rPr>
        <w:t>23</w:t>
      </w:r>
      <w:proofErr w:type="gramEnd"/>
      <w:r w:rsidRPr="00781112">
        <w:rPr>
          <w:color w:val="000000" w:themeColor="text1"/>
        </w:rPr>
        <w:t xml:space="preserve"> participating programs and alignment to the stages of implementation science of which 9 programs are engaging in initial and/or full implementation practices. During this reporting cycle, each implementation site developed a leadership team action plan to promote fidelity in practice aligned with the stages of implementation science with data markers to monitor progress and </w:t>
      </w:r>
      <w:proofErr w:type="gramStart"/>
      <w:r w:rsidRPr="00781112">
        <w:rPr>
          <w:color w:val="000000" w:themeColor="text1"/>
        </w:rPr>
        <w:t>recalibrate</w:t>
      </w:r>
      <w:proofErr w:type="gramEnd"/>
      <w:r w:rsidRPr="00781112">
        <w:rPr>
          <w:color w:val="000000" w:themeColor="text1"/>
        </w:rPr>
        <w:t xml:space="preserve"> as necessary. Note that in the prior reporting cycle, 22% of participating programs identified a comprehensive leadership team action plan. The implementation of this improvement strategy is imperative in supporting system sustainability necessary to achieving the SiMR, along with establishing and promoting intentional alignment of project practice related to accountability and monitoring. </w:t>
      </w:r>
      <w:r w:rsidRPr="00781112">
        <w:rPr>
          <w:color w:val="000000" w:themeColor="text1"/>
        </w:rPr>
        <w:br/>
      </w:r>
      <w:r w:rsidRPr="00781112">
        <w:rPr>
          <w:color w:val="000000" w:themeColor="text1"/>
        </w:rPr>
        <w:br/>
        <w:t xml:space="preserve">With these continued measures in place, improvement in the performance rates in social-emotional development among students with and without disabilities </w:t>
      </w:r>
      <w:proofErr w:type="gramStart"/>
      <w:r w:rsidRPr="00781112">
        <w:rPr>
          <w:color w:val="000000" w:themeColor="text1"/>
        </w:rPr>
        <w:t>is expected</w:t>
      </w:r>
      <w:proofErr w:type="gramEnd"/>
      <w:r w:rsidRPr="00781112">
        <w:rPr>
          <w:color w:val="000000" w:themeColor="text1"/>
        </w:rPr>
        <w:t>. Targeted improvements to the system infrastructure, intentional scale-up, and sustainability in practice will yield knowledge of both system change and leadership practice(s) as measured through EBPs.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 xml:space="preserve">The 2021 SSIP infrastructure improvement strategies will continue to focus on: </w:t>
      </w:r>
      <w:r w:rsidRPr="00781112">
        <w:rPr>
          <w:color w:val="000000" w:themeColor="text1"/>
        </w:rPr>
        <w:br/>
      </w:r>
      <w:r w:rsidRPr="00781112">
        <w:rPr>
          <w:color w:val="000000" w:themeColor="text1"/>
        </w:rPr>
        <w:br/>
        <w:t xml:space="preserve">(1) Increased family and community partner engagement strategies will continue to promote knowledge of regional and local early learning systems, including the continuum of LRE placements. As a result, intermediate outcomes to support both sustainability of improvement efforts and scale-up through strategic and intentional collaboration to enhance technical assistance provisions and fidelity in implementation to better meet the needs of community partners has become evident. It continues to be the hypothesis of the SSIP SDT, State Special Education Advisory Council (SEAC), and ECSE Coordination team that with intensive technical assistance in the area of social-emotional development, along with system-level coaching in MTSS infrastructure development for program staff in integrated early learning environments, there will be an increase in family/community partnerships across all participating SSIP sites, yielding, a 40% gain from baseline (100% PWLT parent/community representation as the terminal goal).  </w:t>
      </w:r>
      <w:r w:rsidRPr="00781112">
        <w:rPr>
          <w:color w:val="000000" w:themeColor="text1"/>
        </w:rPr>
        <w:br/>
      </w:r>
      <w:r w:rsidRPr="00781112">
        <w:rPr>
          <w:color w:val="000000" w:themeColor="text1"/>
        </w:rPr>
        <w:br/>
        <w:t xml:space="preserve">(2) The SSIP SLs will continue to employ both asynchronous and synchronous facilitated training within targeted timelines specifically meant to target educational practitioners’ access to professional learning related to trauma-informed practice, race and equity practices, and inclusionary practices to support ongoing quality standards. It remains the hypothesis of the SSIP SLs that ongoing facilitated training, completed to fidelity per the prescribed sequence, will yield fidelity in practice application directly correlated with TPOT and LDPISA raw scores, resulting in 80% of programs meeting fidelity in the subsequent reporting cycle (13% of participating programs have met the fidelity criterion detailed above within this SSIP reporting period). By increasing training opportunities related to IDEA performance indicators, via intensive data analyses, accountability and monitoring, and broad community partner input, the SSIP SLs expect to see an increase in access to inclusive settings, improved academic settings, and a decrease in reported suspensions and expulsion rates of children, 3–5 years and beyond. </w:t>
      </w:r>
      <w:r w:rsidRPr="00781112">
        <w:rPr>
          <w:color w:val="000000" w:themeColor="text1"/>
        </w:rPr>
        <w:br/>
      </w:r>
      <w:r w:rsidRPr="00781112">
        <w:rPr>
          <w:color w:val="000000" w:themeColor="text1"/>
        </w:rPr>
        <w:lastRenderedPageBreak/>
        <w:br/>
        <w:t xml:space="preserve">(3) Ongoing investment in maintaining and enhancing the WAPM coaching, and training network is hypothesized to continue to support the effectiveness of SEL intensive technical assistance, and professional development associated with the implementation of inclusionary practices and the early learning MTSS framework, WAPM, to expand the continuum of placement options for children with IEPs within their local communities’ early learning programs. Multiple early childhood initiatives (e.g., Washington Pyramid Model, Learning Experiences–An alternative Program for Preschoolers and Parents (LEAP), Preschool Inclusion Champions Network, and the University of Washington-Haring Center Demonstration Sites) led by the OSPI Special Education division are directly aligned to the SSIP and prioritize the intersection of social-emotional development and embedded inclusionary practices in early childhood programs for all students, paired with intensive technical assistance and systems level coaching for preschool staff in integrated early learning environments. Data indicates that in employing the statewide network of coaches, an increase in inclusionary practice knowledge gained across the three tiers of coaching (e.g., implementation specialist, program coach, and practitioner coach) will </w:t>
      </w:r>
      <w:proofErr w:type="gramStart"/>
      <w:r w:rsidRPr="00781112">
        <w:rPr>
          <w:color w:val="000000" w:themeColor="text1"/>
        </w:rPr>
        <w:t>likely continue</w:t>
      </w:r>
      <w:proofErr w:type="gramEnd"/>
      <w:r w:rsidRPr="00781112">
        <w:rPr>
          <w:color w:val="000000" w:themeColor="text1"/>
        </w:rPr>
        <w:t xml:space="preserve">. Coaching knowledge gain will continue to </w:t>
      </w:r>
      <w:proofErr w:type="gramStart"/>
      <w:r w:rsidRPr="00781112">
        <w:rPr>
          <w:color w:val="000000" w:themeColor="text1"/>
        </w:rPr>
        <w:t>be collected</w:t>
      </w:r>
      <w:proofErr w:type="gramEnd"/>
      <w:r w:rsidRPr="00781112">
        <w:rPr>
          <w:color w:val="000000" w:themeColor="text1"/>
        </w:rPr>
        <w:t xml:space="preserve"> and analyzed in subsequent reports to inform best practice. Intentional engagement with SSIP RLs in coordinating, disseminating, and employing EBP has resulted in increased rates of response (as evidenced via participant survey response rate, training attendance, and data submission) examples include: </w:t>
      </w:r>
      <w:r w:rsidRPr="00781112">
        <w:rPr>
          <w:color w:val="000000" w:themeColor="text1"/>
        </w:rPr>
        <w:br/>
      </w:r>
      <w:r w:rsidRPr="00781112">
        <w:rPr>
          <w:color w:val="000000" w:themeColor="text1"/>
        </w:rPr>
        <w:br/>
        <w:t xml:space="preserve">Scaling up the current WAPM Training and Coaching Network with support of University of Denver, PELE Center, to establish a Regional Learning Experiences -An alternative Program for Preschoolers and Parents?(LEAP) Coaching Network.  </w:t>
      </w:r>
      <w:r w:rsidRPr="00781112">
        <w:rPr>
          <w:color w:val="000000" w:themeColor="text1"/>
        </w:rPr>
        <w:br/>
      </w:r>
      <w:r w:rsidRPr="00781112">
        <w:rPr>
          <w:color w:val="000000" w:themeColor="text1"/>
        </w:rPr>
        <w:br/>
        <w:t xml:space="preserve">Establishing a funding source for ECSE Implementation Specialists that have met fidelity within the WAPM training and coaching sequence) to collaborate with Regional Implementation Coordinators in the training, coaching, and technical assistance efforts to scale out multi-tiered systems of support (MTSS), P–21. </w:t>
      </w:r>
      <w:r w:rsidRPr="00781112">
        <w:rPr>
          <w:color w:val="000000" w:themeColor="text1"/>
        </w:rPr>
        <w:br/>
      </w:r>
      <w:r w:rsidRPr="00781112">
        <w:rPr>
          <w:color w:val="000000" w:themeColor="text1"/>
        </w:rPr>
        <w:br/>
        <w:t xml:space="preserve">(4) Intentional alignment with implementation science to support the phases of implementation, including sustainability and scale-up, have resulted in data-informed decision making related to the selection of EBPs. By utilizing these tools, local districts are increasing knowledge of systems change and leadership practices, which in turn is offering vital information from RLs and local districts relating to areas of strength and need. The SSIP SLs continue to expect maintained progress of 100% program identification in alignment with the phases of implementation science as the project continues to progress. The SSIP SLs continue to center on strategies for involving multiple divisions within OSPI to maximize the allocation of resources across multiple funding streams to support procedures and policies. The SLT BoQ informs current efforts to scale-up and sustain evidence-based practices, requiring intentional co-creation and collaboration with community partners. Examples related to intentional alignment of systems to promote scale-up and sustainability practices include: </w:t>
      </w:r>
      <w:r w:rsidRPr="00781112">
        <w:rPr>
          <w:color w:val="000000" w:themeColor="text1"/>
        </w:rPr>
        <w:br/>
      </w:r>
      <w:r w:rsidRPr="00781112">
        <w:rPr>
          <w:color w:val="000000" w:themeColor="text1"/>
        </w:rPr>
        <w:br/>
        <w:t>The deployment of a March 2022 contract with Pyramid Model Consortium (PMC), to access licenses to the Pyramid Model Implementation Database (PIDS). The acquisition of this license ensured that the SSIP SLs have a vetted data submission platform for all local districts engaging in inclusionary practice and MTSS project work. This also ensured that the SSIP state data manager had a streamlined tool for data submission and later data analysis. With this database in place, the SSIP SLs expect a continuous increase in data submissions across all eight prescribed data sources in the subsequent reporting period (note that there is an 87% data submission response reported in this period from the prior reporting period in which 67% of programs submitted data yielding, a 20% response rate increase)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Continued efforts on sustaining the ECSE Inclusion Champions cohort, a title designated to local school districts and program leads, who continue to demonstrate progress per their program-identified stage of implementation as demonstrated by their submitted action plan and qualitative and quantitative data sourcing (e.g., LDPISA, TPOT, EC BoQ, Coaching Log(s), BIRs).  </w:t>
      </w:r>
      <w:r w:rsidRPr="00781112">
        <w:rPr>
          <w:color w:val="000000" w:themeColor="text1"/>
        </w:rPr>
        <w:br/>
      </w:r>
      <w:r w:rsidRPr="00781112">
        <w:rPr>
          <w:color w:val="000000" w:themeColor="text1"/>
        </w:rPr>
        <w:br/>
        <w:t>Expansion of the PreK Inclusion Champions Network to include Inclusive Transitional Kindergarten grantees, bringing together school district leadership across Washington state that are committed to expanding the continuum of placement options for all children through the implementation of inclusionary practices and MTSS frameworks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Expansion of partnership with DCYF ECEAP to integrate WAPM training and coaching practices into their existing coaching framework known as Early Achievers, which serves children ages 0–5 years enrolled in state and federal PreK programs, as well as licensed childcare.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selected evidence-based practices (EBPs) implemented by the state in the reporting period include: </w:t>
      </w:r>
      <w:r w:rsidRPr="00781112">
        <w:rPr>
          <w:color w:val="000000" w:themeColor="text1"/>
        </w:rPr>
        <w:br/>
      </w:r>
      <w:r w:rsidRPr="00781112">
        <w:rPr>
          <w:color w:val="000000" w:themeColor="text1"/>
        </w:rPr>
        <w:br/>
        <w:t xml:space="preserve">(1) Washington Pyramid Model (WAPM)  </w:t>
      </w:r>
      <w:r w:rsidRPr="00781112">
        <w:rPr>
          <w:color w:val="000000" w:themeColor="text1"/>
        </w:rPr>
        <w:br/>
      </w:r>
      <w:r w:rsidRPr="00781112">
        <w:rPr>
          <w:color w:val="000000" w:themeColor="text1"/>
        </w:rPr>
        <w:br/>
        <w:t xml:space="preserve">(2) Learning Experiences and Alternative Program (LEAP) Replication </w:t>
      </w:r>
      <w:r w:rsidRPr="00781112">
        <w:rPr>
          <w:color w:val="000000" w:themeColor="text1"/>
        </w:rPr>
        <w:br/>
      </w:r>
      <w:r w:rsidRPr="00781112">
        <w:rPr>
          <w:color w:val="000000" w:themeColor="text1"/>
        </w:rPr>
        <w:br/>
        <w:t xml:space="preserve">(3) Multi-Tiered System of Supports (MTSS) </w:t>
      </w:r>
      <w:r w:rsidRPr="00781112">
        <w:rPr>
          <w:color w:val="000000" w:themeColor="text1"/>
        </w:rPr>
        <w:br/>
      </w:r>
      <w:r w:rsidRPr="00781112">
        <w:rPr>
          <w:color w:val="000000" w:themeColor="text1"/>
        </w:rPr>
        <w:br/>
        <w:t xml:space="preserve">(4) Implementation Science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The state deployed EBPs to increase capacity to support regional and local educational systems and to positively impact the SiMR findings. These practices include the implementation of WAPM, MTSS, LEAP, and Implementation Science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(1) The SSIP SLs continue to intentionally implement the Pyramid Model, a national innovation for equitable multi-level systems of support in participating SSIP programs, across Washington state’s complex mixed delivery system. This framework </w:t>
      </w:r>
      <w:proofErr w:type="gramStart"/>
      <w:r w:rsidRPr="00781112">
        <w:rPr>
          <w:color w:val="000000" w:themeColor="text1"/>
        </w:rPr>
        <w:t>is tailored</w:t>
      </w:r>
      <w:proofErr w:type="gramEnd"/>
      <w:r w:rsidRPr="00781112">
        <w:rPr>
          <w:color w:val="000000" w:themeColor="text1"/>
        </w:rPr>
        <w:t xml:space="preserve"> to meet state-specific needs, promote inclusionary practices, and enhance social and emotional competence in infants, toddlers, and young children. The application of this framework in Washington is WAPM. The WAPM vision </w:t>
      </w:r>
      <w:proofErr w:type="gramStart"/>
      <w:r w:rsidRPr="00781112">
        <w:rPr>
          <w:color w:val="000000" w:themeColor="text1"/>
        </w:rPr>
        <w:t>is aligned</w:t>
      </w:r>
      <w:proofErr w:type="gramEnd"/>
      <w:r w:rsidRPr="00781112">
        <w:rPr>
          <w:color w:val="000000" w:themeColor="text1"/>
        </w:rPr>
        <w:t xml:space="preserve"> with the commitment to increase opportunities for all children to receive high-quality, early learning services in integrated and inclusive environments. WAPM is not a curriculum package, but a collection of programs and evidence-based classroom practices, selected by experts in early childhood research, to support optimal development and prevent challenging behaviors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(2) The LEAP Preschool Model reflects both a behavioral and developmentally appropriate approach for teaching children with and without disabilities within an inclusive early childhood environment. In LEAP Preschool Models, typically developing peers </w:t>
      </w:r>
      <w:proofErr w:type="gramStart"/>
      <w:r w:rsidRPr="00781112">
        <w:rPr>
          <w:color w:val="000000" w:themeColor="text1"/>
        </w:rPr>
        <w:t>are trained</w:t>
      </w:r>
      <w:proofErr w:type="gramEnd"/>
      <w:r w:rsidRPr="00781112">
        <w:rPr>
          <w:color w:val="000000" w:themeColor="text1"/>
        </w:rPr>
        <w:t xml:space="preserve"> how to communicate and engage in reciprocal social relationships with their classroom peers with autism spectrum disorder (ASD). The LEAP PreK Model also uses an integrated curriculum approach (i.e., designing learning experiences that promote children’s skill development across multiple domains) to provide opportunities related to all areas of development (e.g., social/emotional, language, adaptive behavior, cognitive, and physical). OSPI has contracted with the </w:t>
      </w:r>
      <w:r w:rsidRPr="00781112">
        <w:rPr>
          <w:color w:val="000000" w:themeColor="text1"/>
        </w:rPr>
        <w:lastRenderedPageBreak/>
        <w:t xml:space="preserve">University of Denver to implement LEAP PreK Models across Washington state and is currently being implemented in </w:t>
      </w:r>
      <w:proofErr w:type="gramStart"/>
      <w:r w:rsidRPr="00781112">
        <w:rPr>
          <w:color w:val="000000" w:themeColor="text1"/>
        </w:rPr>
        <w:t>4/9</w:t>
      </w:r>
      <w:proofErr w:type="gramEnd"/>
      <w:r w:rsidRPr="00781112">
        <w:rPr>
          <w:color w:val="000000" w:themeColor="text1"/>
        </w:rPr>
        <w:t xml:space="preserve"> ESD regions. </w:t>
      </w:r>
      <w:r w:rsidRPr="00781112">
        <w:rPr>
          <w:color w:val="000000" w:themeColor="text1"/>
        </w:rPr>
        <w:br/>
      </w:r>
      <w:r w:rsidRPr="00781112">
        <w:rPr>
          <w:color w:val="000000" w:themeColor="text1"/>
        </w:rPr>
        <w:br/>
        <w:t xml:space="preserve"> (3) A MTSS is a framework for enhancing the adoption and implementation of a continuum of evidence-based practices through data-based decision making to achieve important outcomes for every student. The MTSS framework builds on a public health approach that is preventative and focuses on organizing the efforts of adults within systems to be more efficient and effective. MTSS helps to ensure students benefit from nurturing environments and equitable access to universal instruction and supports that are culturally and linguistically responsive, universally designed, and differentiated to meet their unique needs. MTSS integration involves coordination of tiered delivery systems, including Academic Response to Intervention (RTI), Positive Behavioral Interventions and Supports (PBIS), Washington Pyramid Model (WAPM), and Social and Emotional Learning (SEL)</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(4) The state continues to employ implementation science to build organizational commitment, capacity, and systems so that children, families, and communities' benefit from implementation practices and improved outcomes </w:t>
      </w:r>
      <w:proofErr w:type="gramStart"/>
      <w:r w:rsidRPr="00781112">
        <w:rPr>
          <w:color w:val="000000" w:themeColor="text1"/>
        </w:rPr>
        <w:t>are sustained</w:t>
      </w:r>
      <w:proofErr w:type="gramEnd"/>
      <w:r w:rsidRPr="00781112">
        <w:rPr>
          <w:color w:val="000000" w:themeColor="text1"/>
        </w:rPr>
        <w:t>. The Early Childhood Technical Assistance Center (ECTA) identified five implementation stages to describe the implementation process: Exploration, Installation, Initial Implementation, Full Implementation, and Expansion and Scale-Up. Implementation stages identify specific activities, outcomes, and unique challenges associated with the implementation process. These stages help in the planning, communication, resource allocation, and evaluation of SSIP implementation.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7"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7"/>
    <w:p w14:paraId="3E043DB7" w14:textId="7C3B2CD4" w:rsidR="00AE1972" w:rsidRPr="00781112" w:rsidRDefault="00AE1972" w:rsidP="00AE1972">
      <w:pPr>
        <w:rPr>
          <w:b/>
          <w:bCs/>
        </w:rPr>
      </w:pPr>
      <w:r w:rsidRPr="00781112">
        <w:rPr>
          <w:color w:val="000000" w:themeColor="text1"/>
        </w:rPr>
        <w:t>The impact related to each EBP (i.e., WAPM, MTSS, Implementation Science, LEAP) includes improvements to the systems comprising the state infrastructure via the employment of family and community partner engagement strategies, synchronous and asynchronous facilitated training and coaching, data-based decision making, and sustainability and scale-up activities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Data sources informing EBPs impact include the Local District Preschool Inclusion Self-Assessment (LDPISA), Teaching Pyramid Observation Tool (TPOT) and Early Childhood Program Wide PBS Benchmark of Quality (EC-BoQ). These sources continue to highlight program/district policies and practices for targeted increase and ongoing action planning to better inform current program/district practice and areas for improvement (e.g., family participation and monitoring and data-based decision-making). Through data aggregated over the last three years of implementation, continuous implementation of WAPM has supported Washington state in efforts to increase high-quality, integrated, and inclusive early learning settings for young children. The utilization of data-based decision-making and comprehensive training and coaching based on said data, are the heart of WAPM fidelity in practice. In this reporting period alone, the increase in response rate across all eight prescribed metrics resulted in a significant increase in data submission in 87% of participating SSIP programs. SSIP SLs continue to provide professional development and technical assistance opportunities around data-based decision-making by offering six optional data office hours to all participating programs during the statewide deployment of the Pyramid Model Implementation Database (PIDS) system. WAPM employs ongoing practice-based coaching and fidelity of implementation by execution, implementation, and continuous monitoring as featured in the Teaching Pyramid Observation Tool (TPOT) and Behavior Incident Report System (BIRS). These instruments directly assess fidelity and impact provider practices, parents/caregiver outcomes, and child outcomes. Furthermore, they guide the training and coaching network to assess, examine and provide ongoing practice-based coaching support to participating programs based on direct observation data collected during PWLT convenings and direct classroom observations. Ongoing analysis and data collection processes (as featured in the bi-annual EC-BoQ self-assessment) are intended to impact the SiMR by changing program/district policies directly related to staff buy-in (1.2/2), leadership team development (1.4/2), family and community engagement (0.9/2), and integration of data-based decision-making (0.9/2). Data indicate that WAPM implementation continues to impact teacher/provider practices specifically related to trauma-informed practices, race and equity, and inclusion as recorded through knowledge gain survey data and direct observation data collected via the Teaching Pyramid Observation Tool (TPOT. The SSIP SDT hypothesizes that ongoing family/caregiver outcomes, feedback, and concern will continue to </w:t>
      </w:r>
      <w:proofErr w:type="gramStart"/>
      <w:r w:rsidRPr="00781112">
        <w:rPr>
          <w:color w:val="000000" w:themeColor="text1"/>
        </w:rPr>
        <w:t>be recorded</w:t>
      </w:r>
      <w:proofErr w:type="gramEnd"/>
      <w:r w:rsidRPr="00781112">
        <w:rPr>
          <w:color w:val="000000" w:themeColor="text1"/>
        </w:rPr>
        <w:t xml:space="preserve"> and addressed during monthly leadership team meetings and collected via parent/family survey data. The SSIP SDT have worked to begin identifying areas for statewide improvement (e.g., family/community partnership, alignment of professional development opportunities across a mixed delivery system) and engage in bimonthly action planning to address low-score indicators as collected via the State level Benchmark of Quality instrument for increase</w:t>
      </w:r>
      <w:proofErr w:type="gramStart"/>
      <w:r w:rsidRPr="00781112">
        <w:rPr>
          <w:color w:val="000000" w:themeColor="text1"/>
        </w:rPr>
        <w:t xml:space="preserve">.  </w:t>
      </w:r>
      <w:proofErr w:type="gramEnd"/>
      <w:r w:rsidRPr="00781112">
        <w:rPr>
          <w:color w:val="000000" w:themeColor="text1"/>
        </w:rPr>
        <w:t xml:space="preserve">  </w:t>
      </w:r>
      <w:r w:rsidRPr="00781112">
        <w:rPr>
          <w:color w:val="000000" w:themeColor="text1"/>
        </w:rPr>
        <w:br/>
      </w:r>
      <w:r w:rsidRPr="00781112">
        <w:rPr>
          <w:color w:val="000000" w:themeColor="text1"/>
        </w:rPr>
        <w:br/>
        <w:t xml:space="preserve">The SSIP SLs have identified and developed the WAPM Training and Coaching Network, designating the existing SSIP RLs to support WAPM and ECSE practices across their respective regions. Each SSIP RL has completed an intensive training and coaching sequence to support local districts in their efforts to assess current system infrastructure to deploy a rigorous action plan aiding in implementation of the frameworks of WAPM to ensure equitable access to children with disabilities across their districts continuum of placement options. SSIP RLs have begun to collaborate and partner with Regional MTSS Implementation Coordinator (RIC) expert in efforts to expand MTSS scale out from K–12 to P–12 across systems convening on two separate occasions during this reporting cycle alone. </w:t>
      </w:r>
      <w:r w:rsidRPr="00781112">
        <w:rPr>
          <w:color w:val="000000" w:themeColor="text1"/>
        </w:rPr>
        <w:br/>
      </w:r>
      <w:r w:rsidRPr="00781112">
        <w:rPr>
          <w:color w:val="000000" w:themeColor="text1"/>
        </w:rPr>
        <w:br/>
        <w:t xml:space="preserve">To note, the essential components of MTSS are interrelated, and as the intensity of student need increases, each of the components also increases with intensity. Washington state MTSS implementation includes seven critical components: Team Driven Shared Leadership, Data-Based Decision-Making, Family, Student, and Community Engagement, Continuum of Supports, Evidence-Based Practices, Cascading District and School Systems, and Implementation Stages. MTSS implementation and alignment </w:t>
      </w:r>
      <w:proofErr w:type="gramStart"/>
      <w:r w:rsidRPr="00781112">
        <w:rPr>
          <w:color w:val="000000" w:themeColor="text1"/>
        </w:rPr>
        <w:t>are intended</w:t>
      </w:r>
      <w:proofErr w:type="gramEnd"/>
      <w:r w:rsidRPr="00781112">
        <w:rPr>
          <w:color w:val="000000" w:themeColor="text1"/>
        </w:rPr>
        <w:t xml:space="preserve"> to impact the SiMR by changing program/district policies through analysis using tools such as the District Capacity Assessment (DCA) and Schoolwide PBIS Tiered Fidelity Inventory. MTSS continues to emphasize student voice in decisions about their education and provide opportunities for choice and designing supports that fit individual strengths and needs. Implementation of MTSS requires engaging community partners in leadership team development, decision-making, and analysis. The SSIP SLs understand that partnerships with families and community members are essential to successful employment of these EBPs. </w:t>
      </w:r>
      <w:r w:rsidRPr="00781112">
        <w:rPr>
          <w:color w:val="000000" w:themeColor="text1"/>
        </w:rPr>
        <w:br/>
      </w:r>
      <w:r w:rsidRPr="00781112">
        <w:rPr>
          <w:color w:val="000000" w:themeColor="text1"/>
        </w:rPr>
        <w:br/>
        <w:t xml:space="preserve">The SSIP SLs continue to hypothesize that, by building continued statewide capacity to scale up, sustaining implementation practices through the application of implementation science will significantly impact the SiMR by changing program/district policies, procedures, and practices. ECTA affirms that the adoption of practices can work to support the state’s great capacity for change. With an intentional focus on specific steps and associated activities per each stage, the SSIP SLs understand that each program requires individualized support to meet fidelity of implementation to impact the SiMR. Integrating WAPM, MTSS, and Implementation Science provide the SSIP SDT opportunities to assess and revisit program progress based on data to inform decision-making and make individualized program recommendations aligned with relevant data.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state evaluated the outcomes of each improvement strategy through various data collection instruments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Indicator B7A (1) targets an increase in positive social emotional skills as measured by individual rate of growth?with a proposed future target of 89.2% across a six-year period.?Indicator B7A (2), targeting an increase in positive social emotional skills, as measured within age expectations yielded 40.69% in 2021–22 with a proposed future target of 43.9% in 2025–26. </w:t>
      </w:r>
      <w:r w:rsidRPr="00781112">
        <w:rPr>
          <w:color w:val="000000" w:themeColor="text1"/>
        </w:rPr>
        <w:br/>
      </w:r>
      <w:r w:rsidRPr="00781112">
        <w:rPr>
          <w:color w:val="000000" w:themeColor="text1"/>
        </w:rPr>
        <w:br/>
      </w:r>
      <w:r w:rsidRPr="00781112">
        <w:rPr>
          <w:color w:val="000000" w:themeColor="text1"/>
        </w:rPr>
        <w:lastRenderedPageBreak/>
        <w:t xml:space="preserve">In 2021, 9,565 children ages 3 to 5 </w:t>
      </w:r>
      <w:proofErr w:type="gramStart"/>
      <w:r w:rsidRPr="00781112">
        <w:rPr>
          <w:color w:val="000000" w:themeColor="text1"/>
        </w:rPr>
        <w:t>were reported</w:t>
      </w:r>
      <w:proofErr w:type="gramEnd"/>
      <w:r w:rsidRPr="00781112">
        <w:rPr>
          <w:color w:val="000000" w:themeColor="text1"/>
        </w:rPr>
        <w:t xml:space="preserve"> to have an IEP in the state of Washington. Of those identified, 25.7% of these children had access to a regular early childhood program (RECP)(B6a) while 49.4% of these children </w:t>
      </w:r>
      <w:proofErr w:type="gramStart"/>
      <w:r w:rsidRPr="00781112">
        <w:rPr>
          <w:color w:val="000000" w:themeColor="text1"/>
        </w:rPr>
        <w:t>were reported</w:t>
      </w:r>
      <w:proofErr w:type="gramEnd"/>
      <w:r w:rsidRPr="00781112">
        <w:rPr>
          <w:color w:val="000000" w:themeColor="text1"/>
        </w:rPr>
        <w:t xml:space="preserve"> to be enrolled in either a separate class or program (B6b). It was determined that 24.3% of the children reported were either enrolled in a RECP with services provided elsewhere or received specially designed instruction via a service provider location. When compared to the performance indicator B6 data for 2020, there is a positive increase of 4.7% for B6a (from 21%) and decrease of 4.1% (from 53.5%) for B6b. There was also a reported increase of the number of children in a RECP with services provided elsewhere or via service provider location in 2020 from 12.5%. </w:t>
      </w:r>
      <w:r w:rsidRPr="00781112">
        <w:rPr>
          <w:color w:val="000000" w:themeColor="text1"/>
        </w:rPr>
        <w:br/>
      </w:r>
      <w:r w:rsidRPr="00781112">
        <w:rPr>
          <w:color w:val="000000" w:themeColor="text1"/>
        </w:rPr>
        <w:br/>
        <w:t xml:space="preserve">Analysis of the State Infrastructure Leadership Capacity Assessment indicates stable maintenance across all three domain areas. Acquisition in the leadership area of collaboration yielded a mean score of 3.42. A mean score of 3.42 in motivation and guidance and 3.42 in vision and direction </w:t>
      </w:r>
      <w:proofErr w:type="gramStart"/>
      <w:r w:rsidRPr="00781112">
        <w:rPr>
          <w:color w:val="000000" w:themeColor="text1"/>
        </w:rPr>
        <w:t>were recorded</w:t>
      </w:r>
      <w:proofErr w:type="gramEnd"/>
      <w:r w:rsidRPr="00781112">
        <w:rPr>
          <w:color w:val="000000" w:themeColor="text1"/>
        </w:rPr>
        <w:t xml:space="preserve">. A demographic analysis of the SDT indicates that 86% identify as female, 6% identify as male, and 6% as prefer not to report. Additionally, 86% identify as not Hispanic or Latino of any race, 6% identify as Hispanic or Latino of any race and 6% prefer not to report. </w:t>
      </w:r>
      <w:proofErr w:type="gramStart"/>
      <w:r w:rsidRPr="00781112">
        <w:rPr>
          <w:color w:val="000000" w:themeColor="text1"/>
        </w:rPr>
        <w:t>6%</w:t>
      </w:r>
      <w:proofErr w:type="gramEnd"/>
      <w:r w:rsidRPr="00781112">
        <w:rPr>
          <w:color w:val="000000" w:themeColor="text1"/>
        </w:rPr>
        <w:t xml:space="preserve"> of SDT members indicated Yes to Dual Language Speaker Status (DLL), 73% indicated No, 13% indicated Other and 6% preferred not to report.  </w:t>
      </w:r>
      <w:r w:rsidRPr="00781112">
        <w:rPr>
          <w:color w:val="000000" w:themeColor="text1"/>
        </w:rPr>
        <w:br/>
      </w:r>
      <w:r w:rsidRPr="00781112">
        <w:rPr>
          <w:color w:val="000000" w:themeColor="text1"/>
        </w:rPr>
        <w:br/>
        <w:t xml:space="preserve"> Preliminary discussion regarding the SLT BoQ </w:t>
      </w:r>
      <w:proofErr w:type="gramStart"/>
      <w:r w:rsidRPr="00781112">
        <w:rPr>
          <w:color w:val="000000" w:themeColor="text1"/>
        </w:rPr>
        <w:t>was initiated</w:t>
      </w:r>
      <w:proofErr w:type="gramEnd"/>
      <w:r w:rsidRPr="00781112">
        <w:rPr>
          <w:color w:val="000000" w:themeColor="text1"/>
        </w:rPr>
        <w:t xml:space="preserve"> in January of 2023. Preliminary findings related to the first critical element “Leadership Team” </w:t>
      </w:r>
      <w:proofErr w:type="gramStart"/>
      <w:r w:rsidRPr="00781112">
        <w:rPr>
          <w:color w:val="000000" w:themeColor="text1"/>
        </w:rPr>
        <w:t>were discussed</w:t>
      </w:r>
      <w:proofErr w:type="gramEnd"/>
      <w:r w:rsidRPr="00781112">
        <w:rPr>
          <w:color w:val="000000" w:themeColor="text1"/>
        </w:rPr>
        <w:t xml:space="preserve"> </w:t>
      </w:r>
      <w:proofErr w:type="gramStart"/>
      <w:r w:rsidRPr="00781112">
        <w:rPr>
          <w:color w:val="000000" w:themeColor="text1"/>
        </w:rPr>
        <w:t>andthe</w:t>
      </w:r>
      <w:proofErr w:type="gramEnd"/>
      <w:r w:rsidRPr="00781112">
        <w:rPr>
          <w:color w:val="000000" w:themeColor="text1"/>
        </w:rPr>
        <w:t xml:space="preserve"> SSIP SDT requested the SSIP SLs develop a modified scoring procedure to meet the needs of the community spanning across a six-month time sample. The SSIP SDT anticipate reporting on this metric in future reports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The Local District Preschool Inclusion Self-Assessment (LDPISA) yielded a 65% instrument response rate, indicating an average of 40% of indicators “in place” with an average 40% of indicators “in process but not in place,”16% of indicators planned but not implemented, and 6% “not in place." Statewide analysis indicates developing formal collaborations with community partners (2.82/4) and enhancing professional development (2.94/4) as areas for future growth. Reviewing and modifying resource allocation (3.23/4) and adhering to legal provisions of support and services in inclusive settings with Individualized Education Programs (3.55/4) have been identified as statewide implementation strengths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The Teaching Pyramid Observation Tool (TPOT) yielded a 35% response rate, in which </w:t>
      </w:r>
      <w:proofErr w:type="gramStart"/>
      <w:r w:rsidRPr="00781112">
        <w:rPr>
          <w:color w:val="000000" w:themeColor="text1"/>
        </w:rPr>
        <w:t>44</w:t>
      </w:r>
      <w:proofErr w:type="gramEnd"/>
      <w:r w:rsidRPr="00781112">
        <w:rPr>
          <w:color w:val="000000" w:themeColor="text1"/>
        </w:rPr>
        <w:t xml:space="preserve"> cumulative TPOT observations were completed. An analysis of the data indicates 76% of key practices </w:t>
      </w:r>
      <w:proofErr w:type="gramStart"/>
      <w:r w:rsidRPr="00781112">
        <w:rPr>
          <w:color w:val="000000" w:themeColor="text1"/>
        </w:rPr>
        <w:t>were observed</w:t>
      </w:r>
      <w:proofErr w:type="gramEnd"/>
      <w:r w:rsidRPr="00781112">
        <w:rPr>
          <w:color w:val="000000" w:themeColor="text1"/>
        </w:rPr>
        <w:t xml:space="preserve"> including indicators related to teacher engagement in supportive conversations with children, collaborative teaming, teaching behavior expectations and connecting with families. A cumulative </w:t>
      </w:r>
      <w:proofErr w:type="gramStart"/>
      <w:r w:rsidRPr="00781112">
        <w:rPr>
          <w:color w:val="000000" w:themeColor="text1"/>
        </w:rPr>
        <w:t>51</w:t>
      </w:r>
      <w:proofErr w:type="gramEnd"/>
      <w:r w:rsidRPr="00781112">
        <w:rPr>
          <w:color w:val="000000" w:themeColor="text1"/>
        </w:rPr>
        <w:t xml:space="preserve"> red flags (RFs) were recorded with the primary red flag attributed to classroom transitions. Analysis indicates a decreasing trend in red flags recorded. An increasing trend in supporting interventions for children with persistent challenging behavior and stable implementation in supporting family use of the Pyramid Model Practices was reported</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The Early Childhood Program Wide Positive Behavior Support Benchmark of Quality (EC BoQ) yielded a 74% instrument response rate. </w:t>
      </w:r>
      <w:proofErr w:type="gramStart"/>
      <w:r w:rsidRPr="00781112">
        <w:rPr>
          <w:color w:val="000000" w:themeColor="text1"/>
        </w:rPr>
        <w:t>38%</w:t>
      </w:r>
      <w:proofErr w:type="gramEnd"/>
      <w:r w:rsidRPr="00781112">
        <w:rPr>
          <w:color w:val="000000" w:themeColor="text1"/>
        </w:rPr>
        <w:t xml:space="preserve"> of indicators were reported to be "in place," 40% were "emerging and/or needed improvement," and 22% were "not in place." A statewide analysis of the data aggregated across the implementation cycle indicates monitoring implementation and outcomes (16% in place) and staff buy-in (36% in place) as areas for future growth. Analysis indicates that procedures for responding to challenging behavior (92% in place/ partial) and establishing leadership team (84% in place/ partial) critical elements have </w:t>
      </w:r>
      <w:proofErr w:type="gramStart"/>
      <w:r w:rsidRPr="00781112">
        <w:rPr>
          <w:color w:val="000000" w:themeColor="text1"/>
        </w:rPr>
        <w:t>been implemented</w:t>
      </w:r>
      <w:proofErr w:type="gramEnd"/>
      <w:r w:rsidRPr="00781112">
        <w:rPr>
          <w:color w:val="000000" w:themeColor="text1"/>
        </w:rPr>
        <w:t xml:space="preserve"> with the highest percentage of fidelity. </w:t>
      </w:r>
      <w:r w:rsidRPr="00781112">
        <w:rPr>
          <w:color w:val="000000" w:themeColor="text1"/>
        </w:rPr>
        <w:br/>
      </w:r>
      <w:r w:rsidRPr="00781112">
        <w:rPr>
          <w:color w:val="000000" w:themeColor="text1"/>
        </w:rPr>
        <w:br/>
        <w:t xml:space="preserve"> The Behavior Incident Report System (BIRS) (26% response rate) indicates a variable decreasing trend. Respondents report 2% in-school suspensions. Of those in-school suspensions (ISS)reported, </w:t>
      </w:r>
      <w:proofErr w:type="gramStart"/>
      <w:r w:rsidRPr="00781112">
        <w:rPr>
          <w:color w:val="000000" w:themeColor="text1"/>
        </w:rPr>
        <w:t>21</w:t>
      </w:r>
      <w:proofErr w:type="gramEnd"/>
      <w:r w:rsidRPr="00781112">
        <w:rPr>
          <w:color w:val="000000" w:themeColor="text1"/>
        </w:rPr>
        <w:t xml:space="preserve"> reported ISS instances in which 13 instances were identified for children enrolled as General Education and 3 instances for children enrolled as having an IEP. When analyzing the frequency of ISS for both children both with and without an IEP by race, the risk ratio for children who identify as Black is 3.04. Children who identify as Asian have a 1.93 risk ratio, and children who identify as White have a 1.14 risk ratio (all other risk ratios yielded a score of 0). 0.002% </w:t>
      </w:r>
      <w:proofErr w:type="gramStart"/>
      <w:r w:rsidRPr="00781112">
        <w:rPr>
          <w:color w:val="000000" w:themeColor="text1"/>
        </w:rPr>
        <w:t>out</w:t>
      </w:r>
      <w:proofErr w:type="gramEnd"/>
      <w:r w:rsidRPr="00781112">
        <w:rPr>
          <w:color w:val="000000" w:themeColor="text1"/>
        </w:rPr>
        <w:t xml:space="preserve">-of-school suspensions </w:t>
      </w:r>
      <w:proofErr w:type="gramStart"/>
      <w:r w:rsidRPr="00781112">
        <w:rPr>
          <w:color w:val="000000" w:themeColor="text1"/>
        </w:rPr>
        <w:t>were reported</w:t>
      </w:r>
      <w:proofErr w:type="gramEnd"/>
      <w:r w:rsidRPr="00781112">
        <w:rPr>
          <w:color w:val="000000" w:themeColor="text1"/>
        </w:rPr>
        <w:t xml:space="preserve"> in which all students were classified as White. In this reporting cycle there were 0% documented dismissals. 38.5% of children with BIRS </w:t>
      </w:r>
      <w:proofErr w:type="gramStart"/>
      <w:r w:rsidRPr="00781112">
        <w:rPr>
          <w:color w:val="000000" w:themeColor="text1"/>
        </w:rPr>
        <w:t>were classified</w:t>
      </w:r>
      <w:proofErr w:type="gramEnd"/>
      <w:r w:rsidRPr="00781112">
        <w:rPr>
          <w:color w:val="000000" w:themeColor="text1"/>
        </w:rPr>
        <w:t xml:space="preserve"> as children with IEPs and 61.5% of BIRs were classified as children without an IEP. The percentage of BIRS attributed to dual language learners (DLL) is 15.7% and 84.3% for non-DLL children. Data indicates the following percentages of children with BIRs who belong to a student group: Asian (0%), American Indian (1.6%), Alaskan Native (0%), Black or African American (3.6%), Latino or Hispanic (15.3%), Native Hawaiian, (0%), Two or more races (2.2%), Pacific Islander (0%), White (86%), Other (0%), and Prefer not to report (0%). Data indicates that 14.3% of BIRS </w:t>
      </w:r>
      <w:proofErr w:type="gramStart"/>
      <w:r w:rsidRPr="00781112">
        <w:rPr>
          <w:color w:val="000000" w:themeColor="text1"/>
        </w:rPr>
        <w:t>were attributed</w:t>
      </w:r>
      <w:proofErr w:type="gramEnd"/>
      <w:r w:rsidRPr="00781112">
        <w:rPr>
          <w:color w:val="000000" w:themeColor="text1"/>
        </w:rPr>
        <w:t xml:space="preserve"> to children who identify as Hispanic or Latino of any race, 85.7% to children identified as Not Hispanic or Latino of any race, and 0% of children who identify as Other. Data indicate 14.6% of children with a BIR identify as female, 0% identify as Gender Nonconforming/Transgender, 85.4% identify as male, 0% identify as non-binary, and 0% identify as Other. Note that the data report includes 732 children in total with a total 121 BIRS reported</w:t>
      </w:r>
      <w:proofErr w:type="gramStart"/>
      <w:r w:rsidRPr="00781112">
        <w:rPr>
          <w:color w:val="000000" w:themeColor="text1"/>
        </w:rPr>
        <w:t xml:space="preserve">.  </w:t>
      </w:r>
      <w:proofErr w:type="gramEnd"/>
      <w:r w:rsidRPr="00781112">
        <w:rPr>
          <w:color w:val="000000" w:themeColor="text1"/>
        </w:rPr>
        <w:t xml:space="preserve"> </w:t>
      </w:r>
      <w:r w:rsidRPr="00781112">
        <w:rPr>
          <w:color w:val="000000" w:themeColor="text1"/>
        </w:rPr>
        <w:br/>
      </w:r>
      <w:r w:rsidRPr="00781112">
        <w:rPr>
          <w:color w:val="000000" w:themeColor="text1"/>
        </w:rPr>
        <w:br/>
        <w:t xml:space="preserve"> Analysis of program and practitioner coach activity logs indicates a cumulative 19,069 minutes (increase of 10,450 minutes) of coaching to support the development of leadership teams, practitioner coaches, behavior specialists, and establish relationships with family and community partners. Program coach data indicates 16% of coaching activities </w:t>
      </w:r>
      <w:proofErr w:type="gramStart"/>
      <w:r w:rsidRPr="00781112">
        <w:rPr>
          <w:color w:val="000000" w:themeColor="text1"/>
        </w:rPr>
        <w:t>are targeted</w:t>
      </w:r>
      <w:proofErr w:type="gramEnd"/>
      <w:r w:rsidRPr="00781112">
        <w:rPr>
          <w:color w:val="000000" w:themeColor="text1"/>
        </w:rPr>
        <w:t xml:space="preserve"> at assisting with meeting processes, 16% spent reviewing fidelity tools, 16% allocated to leadership team development and 16% focused on developing practitioner coach activities. </w:t>
      </w:r>
      <w:proofErr w:type="gramStart"/>
      <w:r w:rsidRPr="00781112">
        <w:rPr>
          <w:color w:val="000000" w:themeColor="text1"/>
        </w:rPr>
        <w:t>61%</w:t>
      </w:r>
      <w:proofErr w:type="gramEnd"/>
      <w:r w:rsidRPr="00781112">
        <w:rPr>
          <w:color w:val="000000" w:themeColor="text1"/>
        </w:rPr>
        <w:t xml:space="preserve"> of coaching activities were reported to occur in face-to-face meetings and 39% via virtual modalities. Data indicates 166 coaching cycles have </w:t>
      </w:r>
      <w:proofErr w:type="gramStart"/>
      <w:r w:rsidRPr="00781112">
        <w:rPr>
          <w:color w:val="000000" w:themeColor="text1"/>
        </w:rPr>
        <w:t>been completed</w:t>
      </w:r>
      <w:proofErr w:type="gramEnd"/>
      <w:r w:rsidRPr="00781112">
        <w:rPr>
          <w:color w:val="000000" w:themeColor="text1"/>
        </w:rPr>
        <w:t>, yielding an average of 115 minutes per cycle. Within those recorded cycles, coaches report 10% were allocated to developing and setting goals/action plans, whereas reflective conversations and problem-solving discussions both during the observation period and post-observational meetings accounted for 38%</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The Parent Survey Instrument: School Efforts to Partner with Parents Scale results indicate that 41.7% of the parent respondents believe that schools have facilitated their involvement in their child’s education. This report yielded a 10.2% response rate (12 responses/118 total). The total sample of parents surveyed included parents of students identified as Hispanic (33%), American Indian/Alaska Native (0%), Asian (20%), Black (0%), Pacific Islander (0%), Two or More Races (17%), and White (12%).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To further enhance the work established within the current SSIP cycle, additional progress monitoring data collection continues to better assess current gains related to short-term outcomes, capturing knowledge gain related to inclusionary practice, race and equity practices, trauma-informed practices, system change and leadership practices, and fidelity criteria and systems infrastructure. The SSIP SDT are in the </w:t>
      </w:r>
      <w:proofErr w:type="gramStart"/>
      <w:r w:rsidRPr="00781112">
        <w:rPr>
          <w:color w:val="000000" w:themeColor="text1"/>
        </w:rPr>
        <w:t>early stages</w:t>
      </w:r>
      <w:proofErr w:type="gramEnd"/>
      <w:r w:rsidRPr="00781112">
        <w:rPr>
          <w:color w:val="000000" w:themeColor="text1"/>
        </w:rPr>
        <w:t xml:space="preserve"> of SEL implementation and note that practitioner changes in knowledge are expected to accelerate programs towards fidelity in implementation (note 13% of participating programs have met fidelity in implementation in scoring 80% or higher across two or more TPOT administrations and LDPISA) and ultimately to achieving the SIMR. The SSIP SDT will continue to analyze the Parent Survey Instrument: School Efforts to Partner with Parents Scale in subsequent reporting cycles to assess gains in family engagement as evidenced by participant response and PWLT demographic data. </w:t>
      </w:r>
      <w:r w:rsidRPr="00781112">
        <w:rPr>
          <w:color w:val="000000" w:themeColor="text1"/>
        </w:rPr>
        <w:br/>
      </w:r>
      <w:r w:rsidRPr="00781112">
        <w:rPr>
          <w:color w:val="000000" w:themeColor="text1"/>
        </w:rPr>
        <w:br/>
        <w:t xml:space="preserve"> This process has </w:t>
      </w:r>
      <w:proofErr w:type="gramStart"/>
      <w:r w:rsidRPr="00781112">
        <w:rPr>
          <w:color w:val="000000" w:themeColor="text1"/>
        </w:rPr>
        <w:t>been supported</w:t>
      </w:r>
      <w:proofErr w:type="gramEnd"/>
      <w:r w:rsidRPr="00781112">
        <w:rPr>
          <w:color w:val="000000" w:themeColor="text1"/>
        </w:rPr>
        <w:t xml:space="preserve"> by the SSIP SDT, which represents a variety of partners across agencies representing children and families between the ages of 0–5 years. Collected through WAPM training and coaching participant survey to assess knowledge gain in five critical areas: Inclusionary Practice, Race and Equity, Trauma Informed Practice, Systems Infrastructure and Fidelity Criteria, and Systems Change and Leadership Practice. Participants reported knowledge gain using a scaling criterion (none, limited, moderate, extensive). Knowledge gain related to inclusionary practices </w:t>
      </w:r>
      <w:r w:rsidRPr="00781112">
        <w:rPr>
          <w:color w:val="000000" w:themeColor="text1"/>
        </w:rPr>
        <w:lastRenderedPageBreak/>
        <w:t>yielded 50% in the moderate category and 50% in the limited category. Knowledge increase related to race and equity practices, yielding 100% in the limited category. Similarly, knowledge increase in the trauma informed practice criteria yielded 100% in the limited category. Notably, knowledge gain in systems infrastructure and fidelity criteria increased over this reporting period with 50% reporting limited increase and 50% reporting moderate increases in this domain. Systems change and leadership practice reported a 50% moderate knowledge increase and 50% extensive knowledge increase. Continued efforts to sustain moderate to extensive knowledge increase across all five domains are in place and are expected to stabilize with increased partner engagement at the local level, regional WAPM certification of SSIP leads, and with the expansion of regional training opportunities across the early learning landscape.</w:t>
      </w:r>
      <w:r w:rsidRPr="00781112">
        <w:rPr>
          <w:color w:val="000000" w:themeColor="text1"/>
        </w:rPr>
        <w:br/>
      </w:r>
      <w:r w:rsidRPr="00781112">
        <w:rPr>
          <w:color w:val="000000" w:themeColor="text1"/>
        </w:rPr>
        <w:br/>
        <w:t xml:space="preserve">The SSIP SLs continue to expand efforts to support educational practitioners with updated technical assistance, professional learning, and coaching that will improve data quality in the long term. In utilizing the Teaching Pyramid Observation Tool, SLs identified a statewide average score of 6.36 (significant increase) in the Communicating with Families (COM1-8) and a statewide average score of 0.525 in Supporting Family Use of the Pyramid Model Practices (INF1-7) as documented across </w:t>
      </w:r>
      <w:proofErr w:type="gramStart"/>
      <w:r w:rsidRPr="00781112">
        <w:rPr>
          <w:color w:val="000000" w:themeColor="text1"/>
        </w:rPr>
        <w:t>44</w:t>
      </w:r>
      <w:proofErr w:type="gramEnd"/>
      <w:r w:rsidRPr="00781112">
        <w:rPr>
          <w:color w:val="000000" w:themeColor="text1"/>
        </w:rPr>
        <w:t xml:space="preserve"> separate direct observations during this reporting cycle.</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Utilizing the SSIP Logic Model as a guide, the SSIP SLs have implemented the strategies, outputs and desired outcomes identified within this plan to move the needle on SSIP</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With the use of EBPs throughout the implementation process, the SSIP SLs with the support of RLs, community partners and families, have successfully met the identified short term goals: increased numbers of children in general early childhood placements, increased family and community provider engagement within local early learning (EL) programs, increased knowledge of inclusionary practices for Tier 1 and Tier 2 of WAPM, race and equity practices, and trauma informed practices, increased knowledge of fidelity criteria and systems infrastructure, and increased knowledge of systems change and leadership practices.  Through efforts made to promote data literacy across all levels of engagement (state, regional, local), the SSIP SLs have identified key next steps to further enhance the SSIP implementation process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Based upon Community Partner (CP) feedback, the SSIP SLs reviewed, revised the current ECSE PreK Inclusion Champion grant application and associated activities to ensure that they </w:t>
      </w:r>
      <w:proofErr w:type="gramStart"/>
      <w:r w:rsidRPr="00781112">
        <w:rPr>
          <w:color w:val="000000" w:themeColor="text1"/>
        </w:rPr>
        <w:t>were aligned</w:t>
      </w:r>
      <w:proofErr w:type="gramEnd"/>
      <w:r w:rsidRPr="00781112">
        <w:rPr>
          <w:color w:val="000000" w:themeColor="text1"/>
        </w:rPr>
        <w:t xml:space="preserve"> with the outcomes identified within the SSIP theory of action and logic model. With the prioritization of intensive technical assistance, coordinated professional learning, instructional and systems-level coaching, as well as intentional engagement of both families and community partners, the updated grant and activities will ensure that the SSIP RLs work directly with local districts to prioritize the intersection of social emotional development, embedded inclusionary practices, and MTSS frameworks in early childhood programs by engaging in the activities associated with the Stages of Implementation; Exploration and Planning, Installation, Implementation; initial to full, and scale up. With these efforts, local districts will expand their continuum of alternative placement options, creating greater access to high-quality early-learning and elementary programs. Examples of activities include but </w:t>
      </w:r>
      <w:proofErr w:type="gramStart"/>
      <w:r w:rsidRPr="00781112">
        <w:rPr>
          <w:color w:val="000000" w:themeColor="text1"/>
        </w:rPr>
        <w:t>are not limited</w:t>
      </w:r>
      <w:proofErr w:type="gramEnd"/>
      <w:r w:rsidRPr="00781112">
        <w:rPr>
          <w:color w:val="000000" w:themeColor="text1"/>
        </w:rPr>
        <w:t xml:space="preserve"> to:  </w:t>
      </w:r>
      <w:r w:rsidRPr="00781112">
        <w:rPr>
          <w:color w:val="000000" w:themeColor="text1"/>
        </w:rPr>
        <w:br/>
      </w:r>
      <w:r w:rsidRPr="00781112">
        <w:rPr>
          <w:color w:val="000000" w:themeColor="text1"/>
        </w:rPr>
        <w:br/>
        <w:t xml:space="preserve">Stage 1–2 (Exploration and Planning, Installation) </w:t>
      </w:r>
      <w:r w:rsidRPr="00781112">
        <w:rPr>
          <w:color w:val="000000" w:themeColor="text1"/>
        </w:rPr>
        <w:br/>
      </w:r>
      <w:r w:rsidRPr="00781112">
        <w:rPr>
          <w:color w:val="000000" w:themeColor="text1"/>
        </w:rPr>
        <w:br/>
        <w:t xml:space="preserve">Within six weeks of the current school year's initiation, establish a program-wide leadership team (PWLT) that includes a family representative and at least one community-based early care and education provider. </w:t>
      </w:r>
      <w:r w:rsidRPr="00781112">
        <w:rPr>
          <w:color w:val="000000" w:themeColor="text1"/>
        </w:rPr>
        <w:br/>
      </w:r>
      <w:r w:rsidRPr="00781112">
        <w:rPr>
          <w:color w:val="000000" w:themeColor="text1"/>
        </w:rPr>
        <w:br/>
        <w:t xml:space="preserve">With the PWLT, collect baseline and ongoing progress monitoring data using evidence-based practices and standardized metrics including the Local District PreK Inclusion Self-Assessment (LDPISA), and Early Childhood Benchmark of Quality (ECBoQ). Review with district team no less than twice per year to assess progress for up to three years. </w:t>
      </w:r>
      <w:r w:rsidRPr="00781112">
        <w:rPr>
          <w:color w:val="000000" w:themeColor="text1"/>
        </w:rPr>
        <w:br/>
      </w:r>
      <w:r w:rsidRPr="00781112">
        <w:rPr>
          <w:color w:val="000000" w:themeColor="text1"/>
        </w:rPr>
        <w:br/>
        <w:t xml:space="preserve">Analyze and create a baseline state of inclusion within each district program utilizing indicator B6 and B7 data. </w:t>
      </w:r>
      <w:r w:rsidRPr="00781112">
        <w:rPr>
          <w:color w:val="000000" w:themeColor="text1"/>
        </w:rPr>
        <w:br/>
      </w:r>
      <w:r w:rsidRPr="00781112">
        <w:rPr>
          <w:color w:val="000000" w:themeColor="text1"/>
        </w:rPr>
        <w:br/>
        <w:t xml:space="preserve">With the PWLT, create action plans prioritizing engagement to families and Community Partners within local district’s ECSE initiatives, and to further support the efforts of the SSIP RL and local districts as they move closer to decreasing the achievement gap between children with and without disabilities in the social emotional domain and increasing access to inclusive early learning environments, the SSIP SLs have taken steps to collaborate with cross sector partners at DCYF ECEAP to increase integrated programming opportunities for local districts contracting or subcontracting with DCYF for ECEAP slots and associated funding.  </w:t>
      </w:r>
      <w:r w:rsidRPr="00781112">
        <w:rPr>
          <w:color w:val="000000" w:themeColor="text1"/>
        </w:rPr>
        <w:br/>
      </w:r>
      <w:r w:rsidRPr="00781112">
        <w:rPr>
          <w:color w:val="000000" w:themeColor="text1"/>
        </w:rPr>
        <w:br/>
        <w:t>ECEAP provides child-centered, individualized preschool education and health coordination services on a foundation of strengths-based family support. Under WAC 110-425-0080, A child is eligible for enrollment in ECEAP if the child is at least three years old by August 31st of the school year, is not age-eligible for kindergarten, and is either: (1) From a family with income at or below one hundred ten percent of the federal poverty level (FPL); (2) Qualified by a school district for special education services under RCW 28A.155.020. All children on a school district individualized education program (IEP) meet this requirement; or (3) From a family with income that exceeds one hundred ten percent federal poverty level and is impacted by specific risk factors incorporated into the department's prioritization system described in WAC 110-425-0085 (4) which includes preference for enrollment of children from families with the lowest income, children in foster care, or children from families with multiple needs. No more than ten percent of slots statewide are enrolled with children eligible under this provision</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At the close of 2022–23, ECEAP Request for Applications (RFAs) for ECEAP Services, </w:t>
      </w:r>
      <w:proofErr w:type="gramStart"/>
      <w:r w:rsidRPr="00781112">
        <w:rPr>
          <w:color w:val="000000" w:themeColor="text1"/>
        </w:rPr>
        <w:t>17</w:t>
      </w:r>
      <w:proofErr w:type="gramEnd"/>
      <w:r w:rsidRPr="00781112">
        <w:rPr>
          <w:color w:val="000000" w:themeColor="text1"/>
        </w:rPr>
        <w:t xml:space="preserve"> applicants applied for 1,331 ECEAP slots across the state, which was 581 more than was projected within ECEAP Expansion efforts to expand for the current school year. DCYF expects to be able to award most of the slots requested </w:t>
      </w:r>
      <w:proofErr w:type="gramStart"/>
      <w:r w:rsidRPr="00781112">
        <w:rPr>
          <w:color w:val="000000" w:themeColor="text1"/>
        </w:rPr>
        <w:t>as a result of</w:t>
      </w:r>
      <w:proofErr w:type="gramEnd"/>
      <w:r w:rsidRPr="00781112">
        <w:rPr>
          <w:color w:val="000000" w:themeColor="text1"/>
        </w:rPr>
        <w:t xml:space="preserve"> funding that was recaptured from some returned part day slots and additional investment from the legislature in the 2022 Legislative Session. Within the next calendar year, 3,233 additional slots will be available, with 9,699 slots awarded by the start of the 2026–27 school year. Based upon the 2021–22 ECEAP &amp; HEAD START SATURATION STUDY, districts that have been identified as having a higher B6a LRE percentage and who are operating an integrated ECEAP/DD PreK program will receive prioritization for upcoming ECEAP Expansion slot awards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To expand WAPM across the complex mixed delivery system found in WA state, the SSIP SLs have combined efforts with DCYF Professional Development leads to create a complimentary training and coaching tract for practitioners working within state and federal preschool programs, licensed </w:t>
      </w:r>
      <w:proofErr w:type="gramStart"/>
      <w:r w:rsidRPr="00781112">
        <w:rPr>
          <w:color w:val="000000" w:themeColor="text1"/>
        </w:rPr>
        <w:t>child care</w:t>
      </w:r>
      <w:proofErr w:type="gramEnd"/>
      <w:r w:rsidRPr="00781112">
        <w:rPr>
          <w:color w:val="000000" w:themeColor="text1"/>
        </w:rPr>
        <w:t xml:space="preserve">, and with partners at Child Care Aware (CCA) of WA.  </w:t>
      </w:r>
      <w:r w:rsidRPr="00781112">
        <w:rPr>
          <w:color w:val="000000" w:themeColor="text1"/>
        </w:rPr>
        <w:br/>
      </w:r>
      <w:r w:rsidRPr="00781112">
        <w:rPr>
          <w:color w:val="000000" w:themeColor="text1"/>
        </w:rPr>
        <w:br/>
        <w:t xml:space="preserve">Over the next year, the SSIP SLs expect to see ongoing program and facility recruitment with a continued focus on regional onboarding and professional development offerings (to date, 1 Training of Trainer offering has </w:t>
      </w:r>
      <w:proofErr w:type="gramStart"/>
      <w:r w:rsidRPr="00781112">
        <w:rPr>
          <w:color w:val="000000" w:themeColor="text1"/>
        </w:rPr>
        <w:t>been coordinated</w:t>
      </w:r>
      <w:proofErr w:type="gramEnd"/>
      <w:r w:rsidRPr="00781112">
        <w:rPr>
          <w:color w:val="000000" w:themeColor="text1"/>
        </w:rPr>
        <w:t xml:space="preserve"> in this reporting cycle). DCYF leads continue to engage in site onboarding practices utilizing the EC-BoQ to identify instructional practices and training needs with an anticipated TPOT and Teaching Pyramid Infant-Toddler Observation Scale (TPITOS) launch in March 2023. Future DCYF efforts will continue to focus on program alignment, ongoing coaching visits with an intentional focus on Mental Health Consultation and community leadership development in alignment with the stages of implementation. To </w:t>
      </w:r>
      <w:r w:rsidRPr="00781112">
        <w:rPr>
          <w:color w:val="000000" w:themeColor="text1"/>
        </w:rPr>
        <w:lastRenderedPageBreak/>
        <w:t>further enhance the current WAPM training and coaching Network, the SSIP SLs will be working in collaboration with the University of Denver-PELE Center and SSIP RLs, to establish a LEAP Coaching Network that that will span the state of Washington and ensure sustainability of implementation efforts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 In partnership with the Center for the Improvement of Student Learning (CISL), the SSIP SLs have secured funds that allow the SSIP RLs to begin the process of initial exploration and planning with the MTSS K–12 Regional Implementation Coordinators (RICs). Over the next implementation cycle, we expect that this community of partners will engage in regional collaboration opportunities (within this reporting cycle </w:t>
      </w:r>
      <w:proofErr w:type="gramStart"/>
      <w:r w:rsidRPr="00781112">
        <w:rPr>
          <w:color w:val="000000" w:themeColor="text1"/>
        </w:rPr>
        <w:t>2</w:t>
      </w:r>
      <w:proofErr w:type="gramEnd"/>
      <w:r w:rsidRPr="00781112">
        <w:rPr>
          <w:color w:val="000000" w:themeColor="text1"/>
        </w:rPr>
        <w:t xml:space="preserve"> have occurred with 3 additional connections forecasted) to support project alignment and sustainability. Additional efforts are underway to develop a comparative analysis tool (e.g., crosswalk) for programs utilizing the EC-BOQ to support comprehensive leadership team development to better support sustainability and scale up practices. Future progress will be reported in subsequent reporting cycles</w:t>
      </w:r>
      <w:proofErr w:type="gramStart"/>
      <w:r w:rsidRPr="00781112">
        <w:rPr>
          <w:color w:val="000000" w:themeColor="text1"/>
        </w:rPr>
        <w:t xml:space="preserve">.  </w:t>
      </w:r>
      <w:proofErr w:type="gramEnd"/>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 xml:space="preserve">The testimony of the ECSE Inclusion Champions, which include the SSIP Implementation programs, paired with submitted data, show that the current model of the SSIP is effective in offering districts the opportunity to assess current practices, create viable improvement strategies, and increase access to high-quality learning environments for all children when provided with intensive professional learning and technical assistance related to inclusion, inclusionary practices, and social emotional learning. Local districts that paired this technical assistance with system level and instructional coaching found greater buy-in from program staff, community partners, and families, as well as positive outcomes for children engaged integrated learning environments. </w:t>
      </w:r>
      <w:r w:rsidRPr="00781112">
        <w:br/>
      </w:r>
      <w:r w:rsidRPr="00781112">
        <w:br/>
        <w:t xml:space="preserve"> Local districts shared that: </w:t>
      </w:r>
      <w:r w:rsidRPr="00781112">
        <w:br/>
        <w:t xml:space="preserve">“The project gave staff the ability to best support students across settings and to align their practices as of their PLC efforts... The use of aligned materials increased the amount of success our students experienced as they transitioned from our special education program into our Inclusive classrooms... this supported us in having 100% of our 4-year-old students included with their same aged peers for </w:t>
      </w:r>
      <w:proofErr w:type="gramStart"/>
      <w:r w:rsidRPr="00781112">
        <w:t>the majority of</w:t>
      </w:r>
      <w:proofErr w:type="gramEnd"/>
      <w:r w:rsidRPr="00781112">
        <w:t xml:space="preserve"> their school day.” </w:t>
      </w:r>
      <w:r w:rsidRPr="00781112">
        <w:br/>
      </w:r>
      <w:r w:rsidRPr="00781112">
        <w:br/>
        <w:t xml:space="preserve">“It was a building year. There are </w:t>
      </w:r>
      <w:proofErr w:type="gramStart"/>
      <w:r w:rsidRPr="00781112">
        <w:t>LOTS of</w:t>
      </w:r>
      <w:proofErr w:type="gramEnd"/>
      <w:r w:rsidRPr="00781112">
        <w:t xml:space="preserve"> discussions about the direction and planning or the center regarding inclusive practices. Solidifying “where we’ve been, where are, and where are we going” was key to planning and having common mission” </w:t>
      </w:r>
      <w:r w:rsidRPr="00781112">
        <w:br/>
      </w:r>
      <w:r w:rsidRPr="00781112">
        <w:br/>
        <w:t xml:space="preserve">“Our action plan helped us to being the connection with local daycare and we even visited one, opening the door for communication. This is an area that we need to continue to grow and build. ECEAP went through a big transition with new </w:t>
      </w:r>
      <w:proofErr w:type="gramStart"/>
      <w:r w:rsidRPr="00781112">
        <w:t>staff</w:t>
      </w:r>
      <w:proofErr w:type="gramEnd"/>
      <w:r w:rsidRPr="00781112">
        <w:t xml:space="preserve"> and we now feel like we can start to build relationships with them.” </w:t>
      </w:r>
      <w:r w:rsidRPr="00781112">
        <w:br/>
      </w:r>
      <w:r w:rsidRPr="00781112">
        <w:br/>
        <w:t xml:space="preserve">“We are thrilled to say that the opportunities provided by this grant and (with) the support of the ESD, we are on target to meet that goal~ Our Inclusion Committee and our entire staff should be commended for their willingness to engage in deep conversations, be open to new learning and try new strategies to support students... (we) are on our way to making our vision a reality.” </w:t>
      </w:r>
      <w:r w:rsidRPr="00781112">
        <w:br/>
      </w:r>
      <w:r w:rsidRPr="00781112">
        <w:br/>
        <w:t xml:space="preserve">State data trends indicate an increase in response data across all tools prescribed by the SSIP SLs. An increase in the utilization of the Teaching Pyramid Observation Tools (TPOTs) were conducted via direct observation methods, yielded a 35% (a 5% increase from prior reporting period) response rate across </w:t>
      </w:r>
      <w:proofErr w:type="gramStart"/>
      <w:r w:rsidRPr="00781112">
        <w:t>23</w:t>
      </w:r>
      <w:proofErr w:type="gramEnd"/>
      <w:r w:rsidRPr="00781112">
        <w:t xml:space="preserve"> participating programs. The Behavior Incident Reporting System (BIRS) yielded a statewide response rate of 26% (a 6% increase from </w:t>
      </w:r>
      <w:proofErr w:type="gramStart"/>
      <w:r w:rsidRPr="00781112">
        <w:t>prior</w:t>
      </w:r>
      <w:proofErr w:type="gramEnd"/>
      <w:r w:rsidRPr="00781112">
        <w:t xml:space="preserve"> reporting period). Accordingly, the SSIP SLs continued to identify ongoing coaching and training opportunities as a critical element to ensure fidelity in assessment and analysis in subsequent reporting cycles. In addition to direct observation methods, programs </w:t>
      </w:r>
      <w:proofErr w:type="gramStart"/>
      <w:r w:rsidRPr="00781112">
        <w:t>were directed</w:t>
      </w:r>
      <w:proofErr w:type="gramEnd"/>
      <w:r w:rsidRPr="00781112">
        <w:t xml:space="preserve"> to complete either the Local District Preschool Inclusion Self-Assessment tool, yielding a 65% instrument response rate (15% increase from prior reporting period), and/or the EC-BoQ, yielding a 74% instrument response rate (24% increase from prior reporting period). Note that 52% (12% increase from prior reporting period) of participating programs conducted both self-assessment instruments. The SSIP SLs hypothesize that the recent deployment of the Pyramid Model Implementation Database (PIDS) system has supported the increase in statewide data submission. As such, the SSIP SLs expect an increase in data analysis and monitoring practices as recorded in the EC-BoQ Monitoring Implementation and Outcomes domain in the subsequent reporting period.</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Special Education State Design Team (SDT):</w:t>
      </w:r>
      <w:r w:rsidRPr="00781112">
        <w:rPr>
          <w:color w:val="000000" w:themeColor="text1"/>
        </w:rPr>
        <w:br/>
      </w:r>
      <w:r w:rsidRPr="00781112">
        <w:rPr>
          <w:color w:val="000000" w:themeColor="text1"/>
        </w:rPr>
        <w:br/>
        <w:t xml:space="preserve">For Indicators B-1 through B-14 and B-17, OSPI issued an invitation in April 2021 for individuals who were interested in joining a Special Education State Design Team (SDT). Individuals were directed to complete an invitation survey (https://survey.alchemer.com/s3/6323118/Invitation-to-Serve-2021–22-Special-Education-State-Design-Team) that was translated into the </w:t>
      </w:r>
      <w:proofErr w:type="gramStart"/>
      <w:r w:rsidRPr="00781112">
        <w:rPr>
          <w:color w:val="000000" w:themeColor="text1"/>
        </w:rPr>
        <w:t>13</w:t>
      </w:r>
      <w:proofErr w:type="gramEnd"/>
      <w:r w:rsidRPr="00781112">
        <w:rPr>
          <w:color w:val="000000" w:themeColor="text1"/>
        </w:rPr>
        <w:t xml:space="preserve"> most commonly spoken languages in Washington state. The survey identified the individual’s contact information, age group(s) representing, county/school district representing, race/ethnicity (optional), role/position, focus area(s) of interest, and any accommodations or language access considerations needed. The invitation was disseminated statewide through multiple methods, including but not limited to GovDelivery communications, OSPI’s Special Education Monthly Updates, ESD meetings, Spanish and English radio and newspaper advertisements, and collaboration with statewide professional organizations, including diverse community-based organizations (CBOs) and the state Parent Training and Information (PTI) Centers.</w:t>
      </w:r>
      <w:r w:rsidRPr="00781112">
        <w:rPr>
          <w:color w:val="000000" w:themeColor="text1"/>
        </w:rPr>
        <w:br/>
      </w:r>
      <w:r w:rsidRPr="00781112">
        <w:rPr>
          <w:color w:val="000000" w:themeColor="text1"/>
        </w:rPr>
        <w:br/>
        <w:t xml:space="preserve">As of the date of this report, the SDT includes 27 OSPI cross-divisional staff, 23 ESD representatives from all nine regions, 15 representatives from other state agencies, 291 external participants, and representatives of the NCSI. Of the total 356 SDT members, </w:t>
      </w:r>
      <w:proofErr w:type="gramStart"/>
      <w:r w:rsidRPr="00781112">
        <w:rPr>
          <w:color w:val="000000" w:themeColor="text1"/>
        </w:rPr>
        <w:t>12</w:t>
      </w:r>
      <w:proofErr w:type="gramEnd"/>
      <w:r w:rsidRPr="00781112">
        <w:rPr>
          <w:color w:val="000000" w:themeColor="text1"/>
        </w:rPr>
        <w:t xml:space="preserve"> are students, 30 are individuals with disabilities, and 141 are parents or family members of an individual with a disability.</w:t>
      </w:r>
      <w:r w:rsidRPr="00781112">
        <w:rPr>
          <w:color w:val="000000" w:themeColor="text1"/>
        </w:rPr>
        <w:br/>
      </w:r>
      <w:r w:rsidRPr="00781112">
        <w:rPr>
          <w:color w:val="000000" w:themeColor="text1"/>
        </w:rPr>
        <w:br/>
        <w:t>Participants were assigned to one of seven focus groups based on their identified areas of interest and role. Each of the groups contained 45–55 participants with a representative mix of race/ethnicity, geographic location, background, and role. The demographics of each focus group was carefully monitored by the Special Education Program Improvement Coordinator to ensure maximum representativeness of each group given the pool of applicants.</w:t>
      </w:r>
      <w:r w:rsidRPr="00781112">
        <w:rPr>
          <w:color w:val="000000" w:themeColor="text1"/>
        </w:rPr>
        <w:br/>
      </w:r>
      <w:r w:rsidRPr="00781112">
        <w:rPr>
          <w:color w:val="000000" w:themeColor="text1"/>
        </w:rPr>
        <w:br/>
        <w:t xml:space="preserve">Five of the seven focus groups </w:t>
      </w:r>
      <w:proofErr w:type="gramStart"/>
      <w:r w:rsidRPr="00781112">
        <w:rPr>
          <w:color w:val="000000" w:themeColor="text1"/>
        </w:rPr>
        <w:t>were involved in</w:t>
      </w:r>
      <w:proofErr w:type="gramEnd"/>
      <w:r w:rsidRPr="00781112">
        <w:rPr>
          <w:color w:val="000000" w:themeColor="text1"/>
        </w:rPr>
        <w:t xml:space="preserve"> indicator analyses and target-setting activities:</w:t>
      </w:r>
      <w:r w:rsidRPr="00781112">
        <w:rPr>
          <w:color w:val="000000" w:themeColor="text1"/>
        </w:rPr>
        <w:br/>
        <w:t>1. Early Childhood [Indicators B-6, B-7, B-12, and B-17 (SSIP)]</w:t>
      </w:r>
      <w:r w:rsidRPr="00781112">
        <w:rPr>
          <w:color w:val="000000" w:themeColor="text1"/>
        </w:rPr>
        <w:br/>
      </w:r>
      <w:proofErr w:type="gramStart"/>
      <w:r w:rsidRPr="00781112">
        <w:rPr>
          <w:color w:val="000000" w:themeColor="text1"/>
        </w:rPr>
        <w:lastRenderedPageBreak/>
        <w:t>2</w:t>
      </w:r>
      <w:proofErr w:type="gramEnd"/>
      <w:r w:rsidRPr="00781112">
        <w:rPr>
          <w:color w:val="000000" w:themeColor="text1"/>
        </w:rPr>
        <w:t>. Secondary Transition (Indicators B-1, B-2, B-13, and B-14)</w:t>
      </w:r>
      <w:r w:rsidRPr="00781112">
        <w:rPr>
          <w:color w:val="000000" w:themeColor="text1"/>
        </w:rPr>
        <w:br/>
      </w:r>
      <w:proofErr w:type="gramStart"/>
      <w:r w:rsidRPr="00781112">
        <w:rPr>
          <w:color w:val="000000" w:themeColor="text1"/>
        </w:rPr>
        <w:t>3</w:t>
      </w:r>
      <w:proofErr w:type="gramEnd"/>
      <w:r w:rsidRPr="00781112">
        <w:rPr>
          <w:color w:val="000000" w:themeColor="text1"/>
        </w:rPr>
        <w:t>. Inclusionary Practices and Student Outcomes (B-3 and B-5)</w:t>
      </w:r>
      <w:r w:rsidRPr="00781112">
        <w:rPr>
          <w:color w:val="000000" w:themeColor="text1"/>
        </w:rPr>
        <w:br/>
      </w:r>
      <w:proofErr w:type="gramStart"/>
      <w:r w:rsidRPr="00781112">
        <w:rPr>
          <w:color w:val="000000" w:themeColor="text1"/>
        </w:rPr>
        <w:t>4</w:t>
      </w:r>
      <w:proofErr w:type="gramEnd"/>
      <w:r w:rsidRPr="00781112">
        <w:rPr>
          <w:color w:val="000000" w:themeColor="text1"/>
        </w:rPr>
        <w:t>. Parent Engagement (B-8)</w:t>
      </w:r>
      <w:r w:rsidRPr="00781112">
        <w:rPr>
          <w:color w:val="000000" w:themeColor="text1"/>
        </w:rPr>
        <w:br/>
      </w:r>
      <w:proofErr w:type="gramStart"/>
      <w:r w:rsidRPr="00781112">
        <w:rPr>
          <w:color w:val="000000" w:themeColor="text1"/>
        </w:rPr>
        <w:t>5</w:t>
      </w:r>
      <w:proofErr w:type="gramEnd"/>
      <w:r w:rsidRPr="00781112">
        <w:rPr>
          <w:color w:val="000000" w:themeColor="text1"/>
        </w:rPr>
        <w:t>. Disproportionality and Significant Discrepancy (B-4, B-9, and B-10)</w:t>
      </w:r>
      <w:r w:rsidRPr="00781112">
        <w:rPr>
          <w:color w:val="000000" w:themeColor="text1"/>
        </w:rPr>
        <w:br/>
        <w:t>*The work of two of the seven focus groups, Monitoring &amp; Educational Benefit and Exploring a Statewide IEP, did not include target-setting and is, therefore, not included in this description of partner input on the SPP indicators.</w:t>
      </w:r>
      <w:r w:rsidRPr="00781112">
        <w:rPr>
          <w:color w:val="000000" w:themeColor="text1"/>
        </w:rPr>
        <w:br/>
      </w:r>
      <w:r w:rsidRPr="00781112">
        <w:rPr>
          <w:color w:val="000000" w:themeColor="text1"/>
        </w:rPr>
        <w:br/>
        <w:t xml:space="preserve">The full SDT kickoff meeting was held via Zoom on September 14, 2021, in collaboration with NCSI staff. Diversity, equity, and inclusion </w:t>
      </w:r>
      <w:proofErr w:type="gramStart"/>
      <w:r w:rsidRPr="00781112">
        <w:rPr>
          <w:color w:val="000000" w:themeColor="text1"/>
        </w:rPr>
        <w:t>was emphasized</w:t>
      </w:r>
      <w:proofErr w:type="gramEnd"/>
      <w:r w:rsidRPr="00781112">
        <w:rPr>
          <w:color w:val="000000" w:themeColor="text1"/>
        </w:rPr>
        <w:t xml:space="preserve"> as the foundation for the work of the SDT and all the focus groups. The individual focus groups, facilitated by OSPI staff, met in October through December 2021 to analyze indicator </w:t>
      </w:r>
      <w:proofErr w:type="gramStart"/>
      <w:r w:rsidRPr="00781112">
        <w:rPr>
          <w:color w:val="000000" w:themeColor="text1"/>
        </w:rPr>
        <w:t>data</w:t>
      </w:r>
      <w:proofErr w:type="gramEnd"/>
      <w:r w:rsidRPr="00781112">
        <w:rPr>
          <w:color w:val="000000" w:themeColor="text1"/>
        </w:rPr>
        <w:t xml:space="preserve"> and collaboratively develop recommendations for indicator targets. The full SDT </w:t>
      </w:r>
      <w:proofErr w:type="gramStart"/>
      <w:r w:rsidRPr="00781112">
        <w:rPr>
          <w:color w:val="000000" w:themeColor="text1"/>
        </w:rPr>
        <w:t>was brought</w:t>
      </w:r>
      <w:proofErr w:type="gramEnd"/>
      <w:r w:rsidRPr="00781112">
        <w:rPr>
          <w:color w:val="000000" w:themeColor="text1"/>
        </w:rPr>
        <w:t xml:space="preserve"> together for a second virtual meeting on January 11, 2022, to review the work of the focus groups and the recommended targets, prior to presenting the targets to the state Special Education Advisory Council (SEAC) for review and approval on January 20, 2022. All focus group materials, including slide decks, indicator guides, discussion protocols, participant guidelines, meeting recordings/transcripts, and participant input </w:t>
      </w:r>
      <w:proofErr w:type="gramStart"/>
      <w:r w:rsidRPr="00781112">
        <w:rPr>
          <w:color w:val="000000" w:themeColor="text1"/>
        </w:rPr>
        <w:t>were maintained</w:t>
      </w:r>
      <w:proofErr w:type="gramEnd"/>
      <w:r w:rsidRPr="00781112">
        <w:rPr>
          <w:color w:val="000000" w:themeColor="text1"/>
        </w:rPr>
        <w:t xml:space="preserve"> in a shared Google Docs folder (https://drive.google.com/drive/u/0/folders/15Oq1HOpS7OyB49zMCQa-hV1I23gErdud) for all participants to access. Additional opportunities to provide input included a parking lot document, homework assignments, and email. Updates on the work of the SDT and focus groups </w:t>
      </w:r>
      <w:proofErr w:type="gramStart"/>
      <w:r w:rsidRPr="00781112">
        <w:rPr>
          <w:color w:val="000000" w:themeColor="text1"/>
        </w:rPr>
        <w:t>were posted</w:t>
      </w:r>
      <w:proofErr w:type="gramEnd"/>
      <w:r w:rsidRPr="00781112">
        <w:rPr>
          <w:color w:val="000000" w:themeColor="text1"/>
        </w:rPr>
        <w:t xml:space="preserve"> publicly on OSPI’s Special Education Family Engagement and Guidance webpage (https://www.k12.wa.us/student-success/special-education/family-engagement-and-guidance). Summaries of SEAC meetings and decisions </w:t>
      </w:r>
      <w:proofErr w:type="gramStart"/>
      <w:r w:rsidRPr="00781112">
        <w:rPr>
          <w:color w:val="000000" w:themeColor="text1"/>
        </w:rPr>
        <w:t>are posted</w:t>
      </w:r>
      <w:proofErr w:type="gramEnd"/>
      <w:r w:rsidRPr="00781112">
        <w:rPr>
          <w:color w:val="000000" w:themeColor="text1"/>
        </w:rPr>
        <w:t xml:space="preserve"> on OSPI’s SEAC webpage (https://www.k12.wa.us/about-ospi/workgroups-committees/currently-meeting-workgroups/special-education-advisory-council-seac).</w:t>
      </w:r>
      <w:r w:rsidRPr="00781112">
        <w:rPr>
          <w:color w:val="000000" w:themeColor="text1"/>
        </w:rPr>
        <w:br/>
      </w:r>
      <w:r w:rsidRPr="00781112">
        <w:rPr>
          <w:color w:val="000000" w:themeColor="text1"/>
        </w:rPr>
        <w:br/>
        <w:t xml:space="preserve">During the 2022-23 school year, the SDT will continue to meet to discuss and provide feedback on indicator data, participate in conversations around emerging issues and priorities, and receive updates on the equity audit implementation. </w:t>
      </w:r>
      <w:r w:rsidRPr="00781112">
        <w:rPr>
          <w:color w:val="000000" w:themeColor="text1"/>
        </w:rPr>
        <w:br/>
      </w:r>
      <w:r w:rsidRPr="00781112">
        <w:rPr>
          <w:color w:val="000000" w:themeColor="text1"/>
        </w:rPr>
        <w:br/>
        <w:t xml:space="preserve">Although there was no SDT focus group for Indicators B-15 and B-16, dispute resolution data </w:t>
      </w:r>
      <w:proofErr w:type="gramStart"/>
      <w:r w:rsidRPr="00781112">
        <w:rPr>
          <w:color w:val="000000" w:themeColor="text1"/>
        </w:rPr>
        <w:t>are shared</w:t>
      </w:r>
      <w:proofErr w:type="gramEnd"/>
      <w:r w:rsidRPr="00781112">
        <w:rPr>
          <w:color w:val="000000" w:themeColor="text1"/>
        </w:rPr>
        <w:t xml:space="preserve"> with stakeholders at least semi-annually, during SEAC meetings, as well as through presentations to special education and district administrators, families, advocates, and communities, and posted on the OSPI website. For these two indicators, the SEAC reviewed the applicable data and proposed targets on January 20, 2022. Summaries of SEAC meetings and decisions </w:t>
      </w:r>
      <w:proofErr w:type="gramStart"/>
      <w:r w:rsidRPr="00781112">
        <w:rPr>
          <w:color w:val="000000" w:themeColor="text1"/>
        </w:rPr>
        <w:t>are posted</w:t>
      </w:r>
      <w:proofErr w:type="gramEnd"/>
      <w:r w:rsidRPr="00781112">
        <w:rPr>
          <w:color w:val="000000" w:themeColor="text1"/>
        </w:rPr>
        <w:t xml:space="preserve"> on OSPI’s SEAC webpage (https://www.k12.wa.us/about-ospi/workgroups-committees/currently-meeting-workgroups/special-education-advisory-council-seac). The SDT met again in May 2022 to review and discuss OSEP’s clarification window feedback and OSPI’s response to the feedback.</w:t>
      </w:r>
      <w:r w:rsidRPr="00781112">
        <w:rPr>
          <w:color w:val="000000" w:themeColor="text1"/>
        </w:rPr>
        <w:br/>
      </w:r>
      <w:r w:rsidRPr="00781112">
        <w:rPr>
          <w:color w:val="000000" w:themeColor="text1"/>
        </w:rPr>
        <w:br/>
        <w:t>State Systemic Improvement Plan (SSIP) State Design Team:</w:t>
      </w:r>
      <w:r w:rsidRPr="00781112">
        <w:rPr>
          <w:color w:val="000000" w:themeColor="text1"/>
        </w:rPr>
        <w:br/>
      </w:r>
      <w:r w:rsidRPr="00781112">
        <w:rPr>
          <w:color w:val="000000" w:themeColor="text1"/>
        </w:rPr>
        <w:br/>
        <w:t>The SSIP Evaluation Plan lays out the long term, intermediate, and short-term outcomes to meet the SiMR over the course of the five-year implementation cycle. The Evaluation Plan also identifies the associated targets and performance indicators, who is responsible for each action step, the frequency of actions taken, and data collection tools used. Opportunities to engage CPs have varied in an effort to be responsive to the needs at the state, regional, and local levels, offering monthly network meetings (PIC Network), bi-weekly OSPI ECSE updates on hot topics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w:t>
      </w:r>
      <w:r w:rsidRPr="00781112">
        <w:rPr>
          <w:color w:val="000000" w:themeColor="text1"/>
        </w:rPr>
        <w:br/>
      </w:r>
      <w:r w:rsidRPr="00781112">
        <w:rPr>
          <w:color w:val="000000" w:themeColor="text1"/>
        </w:rPr>
        <w:br/>
        <w:t>Family and Community Engagement with Statewide Technical Assistance Partners:</w:t>
      </w:r>
      <w:r w:rsidRPr="00781112">
        <w:rPr>
          <w:color w:val="000000" w:themeColor="text1"/>
        </w:rPr>
        <w:br/>
      </w:r>
      <w:r w:rsidRPr="00781112">
        <w:rPr>
          <w:color w:val="000000" w:themeColor="text1"/>
        </w:rPr>
        <w:br/>
        <w:t xml:space="preserve">In addition to SEAC, SDT, and SSIP activities that were explicit to family and community input into special education oversight, activities, targets, and outcomes, IPP priorities for 2021-2022 focused on centering racial equity and intersectionality, engaging families as decision-makers and co-designers, and including student voice with opportunities for self-advocacy. All 12 IPP Professional Development Cadre partners engaged in outreach efforts to families and community members and collected and reported data on family and community engagement. During FFY 2021, IPP Cadre partners engaged over </w:t>
      </w:r>
      <w:proofErr w:type="gramStart"/>
      <w:r w:rsidRPr="00781112">
        <w:rPr>
          <w:color w:val="000000" w:themeColor="text1"/>
        </w:rPr>
        <w:t>300</w:t>
      </w:r>
      <w:proofErr w:type="gramEnd"/>
      <w:r w:rsidRPr="00781112">
        <w:rPr>
          <w:color w:val="000000" w:themeColor="text1"/>
        </w:rPr>
        <w:t xml:space="preserve"> family and community members, along with an additional 140 student participants.</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An immediate point of clarification for reviewers will be that after extensive conversations with early childhood community partners, the WA SSIP SLs will not be using the term “stakeholder” within this report, or within companion tools within the SSIP, to respectfully honor relationships with tribal partners within advisory committees who represent their individual Sovereign Nations (29 federally recognized within WA state). This action </w:t>
      </w:r>
      <w:proofErr w:type="gramStart"/>
      <w:r w:rsidRPr="00781112">
        <w:rPr>
          <w:rFonts w:cs="Arial"/>
          <w:b w:val="0"/>
          <w:color w:val="000000" w:themeColor="text1"/>
          <w:szCs w:val="16"/>
        </w:rPr>
        <w:t>was taken</w:t>
      </w:r>
      <w:proofErr w:type="gramEnd"/>
      <w:r w:rsidRPr="00781112">
        <w:rPr>
          <w:rFonts w:cs="Arial"/>
          <w:b w:val="0"/>
          <w:color w:val="000000" w:themeColor="text1"/>
          <w:szCs w:val="16"/>
        </w:rPr>
        <w:t xml:space="preserve"> at the request of the SSIP SDT and for this reason, the term stakeholder will be struck from all communications and references. By striking this term, we are putting into practice our commitment to assess our systems and interrupt institutional racism and racist practices, ensuring that we are meeting the OSPI Equity statement to …  actively dismantle systemic barriers, replacing them with policies and practices that ensure all students have access to the instruction and support they need to succeed in our schools. OSPI understands that language and advocacy are fluid, and it is our intent to continue these conversations as they apply to the impacts of language used to describe community partners (CPs) in additional contexts, including future iterations of the SPP/APR.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Essential partners enlisted to improve the overall quality of early childhood programming in WAs state has increased significantly in the past year due to intentional alignment with internal and external cross-sector strategic planning. Representatives identified within each partner group (state, regional, local district, families, and community partners) below were actively engaged throughout the project work with special consideration made to ensure equitable representation and opportunities for co-creation at each level of implementation. As shared earlier in this report, the SDT captures a wide variety of partners, including practitioners and leaders from our State Parent Advocacy groups, State and Federal PreK programs, Part C State Agency representatives, Higher Education, ESDs, local districts, tribes, and Child Care Aware of WA. </w:t>
      </w:r>
      <w:r w:rsidRPr="00781112">
        <w:rPr>
          <w:color w:val="000000" w:themeColor="text1"/>
        </w:rPr>
        <w:br/>
      </w:r>
      <w:r w:rsidRPr="00781112">
        <w:rPr>
          <w:color w:val="000000" w:themeColor="text1"/>
        </w:rPr>
        <w:br/>
        <w:t>Using the SSIP Logic Model as a guide, the SSIP SLs were able to make meaningful progress towards meeting identified outcomes in the 2021 school year. To support the expansion of inclusive EL settings, and to expand access to WAPM training and coaching, DCYF ECEAP and Head Start took remarkable measures to change recruitment methods and communications related to inclusion and least restrictive environment. Annually, DCYF prepares the ECEAP and Head Start Saturation Study to analyze access to Washington’s ECEAP and Head Start programs serving 3-and 4-year-olds. This study estimates the number of eligible children living within each school district boundary and calculates the percentage currently served. This Saturation Study is part of the information DCYF uses to determine appropriate locations for ECEAP slots. Current or potential ECEAP contractors may also use this study to inform decisions to apply for ECEAP slots or move existing ECEAP slots to communities with high needs. To encourage the expansion of integrated programs and inclusive settings, the 2021–22 ECEAP &amp; HEAD START SATURATION STUDY, published November 9, 2022, shared with potential ECEAP contractors the definition of least restrictive environment (LRE</w:t>
      </w:r>
      <w:proofErr w:type="gramStart"/>
      <w:r w:rsidRPr="00781112">
        <w:rPr>
          <w:color w:val="000000" w:themeColor="text1"/>
        </w:rPr>
        <w:t>)</w:t>
      </w:r>
      <w:proofErr w:type="gramEnd"/>
      <w:r w:rsidRPr="00781112">
        <w:rPr>
          <w:color w:val="000000" w:themeColor="text1"/>
        </w:rPr>
        <w:t xml:space="preserve"> and included the B6 PreK Environments data, disaggregated by ELL status, race/ethnicity, and age. Shifting the focus of priority groups to include local districts with the lowest B6a data increases opportunities for districts to access additional funding and integrated programming. This will be the first time </w:t>
      </w:r>
      <w:proofErr w:type="gramStart"/>
      <w:r w:rsidRPr="00781112">
        <w:rPr>
          <w:color w:val="000000" w:themeColor="text1"/>
        </w:rPr>
        <w:t>many</w:t>
      </w:r>
      <w:proofErr w:type="gramEnd"/>
      <w:r w:rsidRPr="00781112">
        <w:rPr>
          <w:color w:val="000000" w:themeColor="text1"/>
        </w:rPr>
        <w:t xml:space="preserve"> local districts will be placed in the position to access ECEAP funding, and braiding funds that allow districts and community ECEAP programs to work collaboratively to better serve children with disabilities across learning environments. </w:t>
      </w:r>
      <w:r w:rsidRPr="00781112">
        <w:rPr>
          <w:color w:val="000000" w:themeColor="text1"/>
        </w:rPr>
        <w:br/>
      </w:r>
      <w:r w:rsidRPr="00781112">
        <w:rPr>
          <w:color w:val="000000" w:themeColor="text1"/>
        </w:rPr>
        <w:lastRenderedPageBreak/>
        <w:br/>
        <w:t xml:space="preserve">Other essential partners that have supported statewide efforts to increase access to inclusive EL settings and the expansion of local districts’ continuum of alternative placement options includes the WA state ECSE Coordination Team, the Special Education Advisory Council (SEAC), The PreK and Transitional Kindergarten (TK) Inclusion Champions Network, the Association of Educational Service Districts (AESD) Special Education Directors, and OSPI’s Division of Early Learning, Center for the Improvement of Student Learning (CISL), UW IPP PreK Demo Sites, and Office of Native Education (ONE). Each community represents an essential partner of the SSIP implementation process that has </w:t>
      </w:r>
      <w:proofErr w:type="gramStart"/>
      <w:r w:rsidRPr="00781112">
        <w:rPr>
          <w:color w:val="000000" w:themeColor="text1"/>
        </w:rPr>
        <w:t>been developed</w:t>
      </w:r>
      <w:proofErr w:type="gramEnd"/>
      <w:r w:rsidRPr="00781112">
        <w:rPr>
          <w:color w:val="000000" w:themeColor="text1"/>
        </w:rPr>
        <w:t xml:space="preserve"> to scaffold the learning of regional ESDs, local districts, community partners, and families, as they navigate the Stages of Implementation Science, MTSS implementation, and other identified EBPs. </w:t>
      </w:r>
      <w:r w:rsidRPr="00781112">
        <w:rPr>
          <w:color w:val="000000" w:themeColor="text1"/>
        </w:rPr>
        <w:br/>
      </w:r>
      <w:r w:rsidRPr="00781112">
        <w:rPr>
          <w:color w:val="000000" w:themeColor="text1"/>
        </w:rPr>
        <w:br/>
        <w:t xml:space="preserve">To increase family and CP engagement at the local level, OSPI has leveraged Federal Special Education 619 activity funds to incentive local districts to hold permanent positions for families and CPs on their Program Wide Leadership Teams (PWLTs) and to include them in all relevant training and technical assistance opportunities related to the implementation of WAPM, inclusionary practices, race/equity, and/or the impacts of trauma. Project outcomes cited by district partners engaged in the WA state PreK Inclusion Champions (PICs) Initiatives, a grant intended to support local districts as they work to increase the continuum of alternative placement options and to increase student access to high-quality early learning with strategic utilization of EBPs, included: </w:t>
      </w:r>
      <w:r w:rsidRPr="00781112">
        <w:rPr>
          <w:color w:val="000000" w:themeColor="text1"/>
        </w:rPr>
        <w:br/>
      </w:r>
      <w:r w:rsidRPr="00781112">
        <w:rPr>
          <w:color w:val="000000" w:themeColor="text1"/>
        </w:rPr>
        <w:br/>
        <w:t xml:space="preserve">“... Public School and our community partners continued our partnership to improve our program and capacity to serve preschool students with disabilities in inclusive preschool settings. (the) ECSE Coordinator and ECSE teaching staff </w:t>
      </w:r>
      <w:proofErr w:type="gramStart"/>
      <w:r w:rsidRPr="00781112">
        <w:rPr>
          <w:color w:val="000000" w:themeColor="text1"/>
        </w:rPr>
        <w:t>worked collaboratively</w:t>
      </w:r>
      <w:proofErr w:type="gramEnd"/>
      <w:r w:rsidRPr="00781112">
        <w:rPr>
          <w:color w:val="000000" w:themeColor="text1"/>
        </w:rPr>
        <w:t xml:space="preserve"> with community preschool staff and administrators during monthly collaboration and coaching sessions to implement the practices identified in the research to action plan.” </w:t>
      </w:r>
      <w:r w:rsidRPr="00781112">
        <w:rPr>
          <w:color w:val="000000" w:themeColor="text1"/>
        </w:rPr>
        <w:br/>
      </w:r>
      <w:r w:rsidRPr="00781112">
        <w:rPr>
          <w:color w:val="000000" w:themeColor="text1"/>
        </w:rPr>
        <w:br/>
        <w:t xml:space="preserve">“(the) early childhood program has been able to expand the number of placement options in general education settings within the district for preschool children with disabilities being served on an IEP from 26% to 43% for the 2021–22 school year.” </w:t>
      </w:r>
      <w:r w:rsidRPr="00781112">
        <w:rPr>
          <w:color w:val="000000" w:themeColor="text1"/>
        </w:rPr>
        <w:br/>
      </w:r>
      <w:r w:rsidRPr="00781112">
        <w:rPr>
          <w:color w:val="000000" w:themeColor="text1"/>
        </w:rPr>
        <w:br/>
        <w:t xml:space="preserve">The WA state ECSE Coordination Team continues to be an essential partner group, with intentional efforts made to assess current technical assistance and professional learning and </w:t>
      </w:r>
      <w:proofErr w:type="gramStart"/>
      <w:r w:rsidRPr="00781112">
        <w:rPr>
          <w:color w:val="000000" w:themeColor="text1"/>
        </w:rPr>
        <w:t>modify</w:t>
      </w:r>
      <w:proofErr w:type="gramEnd"/>
      <w:r w:rsidRPr="00781112">
        <w:rPr>
          <w:color w:val="000000" w:themeColor="text1"/>
        </w:rPr>
        <w:t xml:space="preserve"> as necessary. With the support of national technical assistance partners from ECTA, IDC, and DaSy, the WA state ECSE Coordination Team has been responsive to the needs of the practitioners in the field of early learning and ECSE by developing technical assistance materials supporting federal indicators: B6, B7, B11, and B12. Partners within this group have also met criteria to be identified as WAPM Implementation Specialists and SSIP Regional Leads and, in turn, have become the </w:t>
      </w:r>
      <w:proofErr w:type="gramStart"/>
      <w:r w:rsidRPr="00781112">
        <w:rPr>
          <w:color w:val="000000" w:themeColor="text1"/>
        </w:rPr>
        <w:t>master</w:t>
      </w:r>
      <w:proofErr w:type="gramEnd"/>
      <w:r w:rsidRPr="00781112">
        <w:rPr>
          <w:color w:val="000000" w:themeColor="text1"/>
        </w:rPr>
        <w:t xml:space="preserve"> trainers and coaches within their regions, ensuring that all training and technical assistance is aligned across regions, regardless of geographic location and local district size. This shift in engagement has empowered the ECSE Coordination Team to become the leaders of MTSS and WAPM implementation within their agencies, which, in turn, has ensured the successful integration of each framework within agency cross-sector and cross-divisional project work. </w:t>
      </w:r>
      <w:r w:rsidRPr="00781112">
        <w:rPr>
          <w:color w:val="000000" w:themeColor="text1"/>
        </w:rPr>
        <w:br/>
      </w:r>
      <w:r w:rsidRPr="00781112">
        <w:rPr>
          <w:color w:val="000000" w:themeColor="text1"/>
        </w:rPr>
        <w:br/>
        <w:t xml:space="preserve">Sustainability and scale-up efforts continue to be a priority for the SSIP SLs as they partner with SSIP RLs and local districts to build skills in the utilization of implementation science and work to align initiatives across agencies. As the work to expand WAPM, MTSS, and the implementation of inclusionary practices continues, it is paramount that districts take explicit efforts to understand the implications of personal biases of staff and the lived experiences of the children and families they serve. To truly engage in practices that create systems of support and infrastructure improvement, local districts must first examine their current practices to build understanding of the implications of disproportionate representation within their educational systems by race and equity and/or specific disability category (performance indicator B9 and B10). Referral for special education is a result of well-intended adult responses to student needs. Disproportionality is a measure of the impact of those adult decisions on the lived experiences of students, particularly students of color. It is critical that partners across education understand that these decisions can cause harm when actions do not address the root causes of student need and are not culturally affirming. </w:t>
      </w:r>
      <w:r w:rsidRPr="00781112">
        <w:rPr>
          <w:color w:val="000000" w:themeColor="text1"/>
        </w:rPr>
        <w:br/>
      </w:r>
      <w:r w:rsidRPr="00781112">
        <w:rPr>
          <w:color w:val="000000" w:themeColor="text1"/>
        </w:rPr>
        <w:br/>
        <w:t>Equally essential is the need for local district staff to have a strong understanding of the communities they serve, the potential trauma experienced over the course of the pandemic on both children and families, and the impacts of intergenerational trauma on Black, Indigenous, and other persons of color. To better serve the SSIP Implementation districts, the SSIP SLs have continued efforts to collaborate with experts in the field who are successfully making positive changes for children and families farthest from opportunity.</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With the engagement of CPs, local districts, SSIP RLs, and families, the SSIP SLs continue to take significant steps to move the implementation of inclusion, inclusionary practices, and MTSS in early childhood programs across the complex mixed delivery systems for children, 0–5 years. Each advisory group has been actively engaged in collective influence, identifying issues, solving problems, and taking action to ensure all students have access to high-quality early learning environments across Washington state. Opportunities to engage have varied to be responsive to the needs of CPs at the state, regional, and local levels, offering monthly network meetings, bi-weekly OSPI ECSE updates on hot topics, editing and writing sessions for upcoming guidance, access to statewide advisories, including the Coordinated Recruitment and Enrollment (CRE), and Integrated Early Childhood Programming in partnership with DCYF.  </w:t>
      </w:r>
      <w:r w:rsidRPr="00781112">
        <w:rPr>
          <w:color w:val="000000" w:themeColor="text1"/>
        </w:rPr>
        <w:br/>
      </w:r>
      <w:r w:rsidRPr="00781112">
        <w:rPr>
          <w:color w:val="000000" w:themeColor="text1"/>
        </w:rPr>
        <w:br/>
        <w:t xml:space="preserve">Accordingly, an analysis of identified CP concerns </w:t>
      </w:r>
      <w:proofErr w:type="gramStart"/>
      <w:r w:rsidRPr="00781112">
        <w:rPr>
          <w:color w:val="000000" w:themeColor="text1"/>
        </w:rPr>
        <w:t>include</w:t>
      </w:r>
      <w:proofErr w:type="gramEnd"/>
      <w:r w:rsidRPr="00781112">
        <w:rPr>
          <w:color w:val="000000" w:themeColor="text1"/>
        </w:rPr>
        <w:t xml:space="preserve"> the following:  </w:t>
      </w:r>
      <w:r w:rsidRPr="00781112">
        <w:rPr>
          <w:color w:val="000000" w:themeColor="text1"/>
        </w:rPr>
        <w:br/>
        <w:t xml:space="preserve">Equitable considerations for Tribal children, including children with disabilities, children impacted by intergenerational trauma, including Black children, and practitioners living within these communities.   </w:t>
      </w:r>
      <w:r w:rsidRPr="00781112">
        <w:rPr>
          <w:color w:val="000000" w:themeColor="text1"/>
        </w:rPr>
        <w:br/>
      </w:r>
      <w:r w:rsidRPr="00781112">
        <w:rPr>
          <w:color w:val="000000" w:themeColor="text1"/>
        </w:rPr>
        <w:br/>
        <w:t>Leveraging existing data sources to avoid the weaponization of data, especially when considering the most marginalized community members</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Within this reporting cycle, the SSIP SDT and SLs have worked to address these critical concerns with the following actions: </w:t>
      </w:r>
      <w:r w:rsidRPr="00781112">
        <w:rPr>
          <w:color w:val="000000" w:themeColor="text1"/>
        </w:rPr>
        <w:br/>
        <w:t xml:space="preserve">The SSIP SDT and SLs executed a contract in November 2021 with Swan Innovations to review existing technical assistance training materials and plan dialogue with tribal early learning programs to adapt materials for use in tribal early learning programs, State Compact Schools, and Bureau of Indian Education (BIE) Schools in Washington state. Swan Innovations offers unique and transformational experiences for Indigenous communities, and those who serve them, by providing innovative training and creative health and wellness content aligned with Indigenous values and worldview. Following the content review and analysis conducted by Swan Innovations consultants Dr. Martina Whelshula, PhD., and Cree Whelshula, a written summary of collected feedback and recommended revisions </w:t>
      </w:r>
      <w:proofErr w:type="gramStart"/>
      <w:r w:rsidRPr="00781112">
        <w:rPr>
          <w:color w:val="000000" w:themeColor="text1"/>
        </w:rPr>
        <w:t>was developed</w:t>
      </w:r>
      <w:proofErr w:type="gramEnd"/>
      <w:r w:rsidRPr="00781112">
        <w:rPr>
          <w:color w:val="000000" w:themeColor="text1"/>
        </w:rPr>
        <w:t xml:space="preserve">. This written summary and feedback included adaptations from tribal consultation related to WAPM Coaching and Training materials. This planned review included cross-cultural training recommendations and a close-in examination of WAPM practices through an Indigenous epistemological lens to determine what elements can be adapted to Native American tribal early childhood programs. One key recommendation from this examination is that adaptations of the professional development materials will vary depending on whether the training is for Native American educators or non-Native educators. Recommendations related to trauma-informed care, culturally responsive relationships, supportive environments, social-emotional learning, rules and expectations, reflective practice, and training and coaching have </w:t>
      </w:r>
      <w:proofErr w:type="gramStart"/>
      <w:r w:rsidRPr="00781112">
        <w:rPr>
          <w:color w:val="000000" w:themeColor="text1"/>
        </w:rPr>
        <w:t>been embedded</w:t>
      </w:r>
      <w:proofErr w:type="gramEnd"/>
      <w:r w:rsidRPr="00781112">
        <w:rPr>
          <w:color w:val="000000" w:themeColor="text1"/>
        </w:rPr>
        <w:t xml:space="preserve"> within the WAPM professional development framework within the Module 1 and Module 2 offering and will continue with subsequent </w:t>
      </w:r>
      <w:r w:rsidRPr="00781112">
        <w:rPr>
          <w:color w:val="000000" w:themeColor="text1"/>
        </w:rPr>
        <w:lastRenderedPageBreak/>
        <w:t>offerings. Current efforts are underway to develop an additional professional development opportunity for participating programs that supports a deeper understanding of cultural bias and how individuals who come from western European cultures (which includes mainstream American culture) may mistake their own cultural values, beliefs, and paradigms as universal behavior and values. The SSIP SLs intend to report on progress related to this CP concern in the subsequent reporting cycle</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To promote alignment in practice and technical assistance across a mixed delivery system, the SSIP SDT and SLs developed a content review process to provide community partners with opportunities to provide feedback related to content development and materials. Through content review meetings, SSIP SDT noted the imminent need to center on family/community voice, trauma-informed practice, inclusionary practice, and race and equity in all aspects of the implementation framework, cascading logic model, and theory of action. Accordingly, the state has employed an ongoing content review process to review all technical assistance content to further advance/promote family and community voice, trauma-informed practice, race and equity, and inclusionary practice for future training and coaching opportunities focused on data analysis and literacy. The SSIP SDT regularly participates in technical assistance offerings and provides ongoing feedback as part of the content review and bi-monthly convening process. Within this reporting cycle, OSPI has partnered with the National Center for Systemic Improvement (NCSI), a federally funded technical assistance center, to co-design a systemic equity review. The systemic equity review’s priorities include centering students with disabilities, partner voice, racial equity, and inclusionary practices. It has </w:t>
      </w:r>
      <w:proofErr w:type="gramStart"/>
      <w:r w:rsidRPr="00781112">
        <w:rPr>
          <w:color w:val="000000" w:themeColor="text1"/>
        </w:rPr>
        <w:t>been hypothesized</w:t>
      </w:r>
      <w:proofErr w:type="gramEnd"/>
      <w:r w:rsidRPr="00781112">
        <w:rPr>
          <w:color w:val="000000" w:themeColor="text1"/>
        </w:rPr>
        <w:t xml:space="preserve"> that data yielded from the systemic equity review will better inform current beliefs, processes, and practices as it relates to the SiMR. Additionally, the SSIP SLs expect that this analysis of the state’s current systems through multiple data sources is essential to better inform future changes across Washington state related to data impact and systems development that avoids the weaponization of data. Future efforts are underway to create SSIP SDT professional development opportunities that explore the three pillars of culturally responsive data literacy (culturally responsive pedagogy, data-decision making, and equitable instruction) in subsequent SSIP SDT workgroups and/or bi-monthly convenings facilitated by Dr. Alexandria Harvey, NCSI Senior Program Associate. The SSIP SLs intend to report on progress in the subsequent reporting cycle</w:t>
      </w:r>
      <w:proofErr w:type="gramStart"/>
      <w:r w:rsidRPr="00781112">
        <w:rPr>
          <w:color w:val="000000" w:themeColor="text1"/>
        </w:rPr>
        <w:t xml:space="preserve">.  </w:t>
      </w:r>
      <w:proofErr w:type="gramEnd"/>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A legislative mandate </w:t>
      </w:r>
      <w:proofErr w:type="gramStart"/>
      <w:r w:rsidRPr="00781112">
        <w:rPr>
          <w:color w:val="000000" w:themeColor="text1"/>
        </w:rPr>
        <w:t>was made</w:t>
      </w:r>
      <w:proofErr w:type="gramEnd"/>
      <w:r w:rsidRPr="00781112">
        <w:rPr>
          <w:color w:val="000000" w:themeColor="text1"/>
        </w:rPr>
        <w:t xml:space="preserve"> in the 2021 legislative session based upon the Governor’s request for a technical report of agency actions and legislative recommendations for programs regulated by the state or government-to-government responsibilities that must be met for children aged 3–5. As changes in PreK services affect enrollment in birth–3 and school-age care, impacts on these other programs are vital to alignment work. </w:t>
      </w:r>
      <w:r w:rsidRPr="00781112">
        <w:rPr>
          <w:color w:val="000000" w:themeColor="text1"/>
        </w:rPr>
        <w:br/>
      </w:r>
      <w:r w:rsidRPr="00781112">
        <w:rPr>
          <w:color w:val="000000" w:themeColor="text1"/>
        </w:rPr>
        <w:br/>
        <w:t xml:space="preserve">Decades of rigorous research show that high-quality early learning inclusive of children with disabilities in a least restrictive environment contributes to a child's lifelong ability to learn and relate to others. WA state has a diverse mixed delivery system of public and private early learning and preschool programs to build upon. However, there are wide variations in resources and quality. Information about available places to enroll is spread out, so families have </w:t>
      </w:r>
      <w:proofErr w:type="gramStart"/>
      <w:r w:rsidRPr="00781112">
        <w:rPr>
          <w:color w:val="000000" w:themeColor="text1"/>
        </w:rPr>
        <w:t>a difficult time</w:t>
      </w:r>
      <w:proofErr w:type="gramEnd"/>
      <w:r w:rsidRPr="00781112">
        <w:rPr>
          <w:color w:val="000000" w:themeColor="text1"/>
        </w:rPr>
        <w:t xml:space="preserve"> finding and accessing services. There are dramatic shortages in </w:t>
      </w:r>
      <w:proofErr w:type="gramStart"/>
      <w:r w:rsidRPr="00781112">
        <w:rPr>
          <w:color w:val="000000" w:themeColor="text1"/>
        </w:rPr>
        <w:t>some</w:t>
      </w:r>
      <w:proofErr w:type="gramEnd"/>
      <w:r w:rsidRPr="00781112">
        <w:rPr>
          <w:color w:val="000000" w:themeColor="text1"/>
        </w:rPr>
        <w:t xml:space="preserve"> communities and competitive pressures in others. That is why the Governor and Legislature have asked the DCYF and OSPI to align services for children ages 3 to 5, so families get what they need – when and where they need it. DCYF and OSPI formed a core team to drive coordination and planning of coordinated recruitment and enrollment practices across the state’s mixed delivery system. A statewide cross-agency workgroup was created to advise these efforts, with workgroup members representing school district and community-based early learning programs, advocacy groups, community colleges, and other regional and state organizations, all of whom will support and maintain their advisory role under this initiative, and a supplemental statewide advisory, the Coordinated Recruitment and Enrollment (CRE) Committee. DCYF and OSPI are recommending funding be provided within the 2022 legislative session to go towards state, local, and regional coordinated </w:t>
      </w:r>
      <w:proofErr w:type="gramStart"/>
      <w:r w:rsidRPr="00781112">
        <w:rPr>
          <w:color w:val="000000" w:themeColor="text1"/>
        </w:rPr>
        <w:t>recruitment</w:t>
      </w:r>
      <w:proofErr w:type="gramEnd"/>
      <w:r w:rsidRPr="00781112">
        <w:rPr>
          <w:color w:val="000000" w:themeColor="text1"/>
        </w:rPr>
        <w:t xml:space="preserve"> and enrollment (CRE) pilots that improve family navigation and access to the best choice for their child by addressing projected gaps in services. It </w:t>
      </w:r>
      <w:proofErr w:type="gramStart"/>
      <w:r w:rsidRPr="00781112">
        <w:rPr>
          <w:color w:val="000000" w:themeColor="text1"/>
        </w:rPr>
        <w:t>is also suggested</w:t>
      </w:r>
      <w:proofErr w:type="gramEnd"/>
      <w:r w:rsidRPr="00781112">
        <w:rPr>
          <w:color w:val="000000" w:themeColor="text1"/>
        </w:rPr>
        <w:t xml:space="preserve"> that funding be secured to develop a CRE communication toolbox that can be adapted to individual community needs. Both agencies plan to further expand opportunities to engage, gather, and implement community-based feedback and human-centered design principles moving forward. This will include, but </w:t>
      </w:r>
      <w:proofErr w:type="gramStart"/>
      <w:r w:rsidRPr="00781112">
        <w:rPr>
          <w:color w:val="000000" w:themeColor="text1"/>
        </w:rPr>
        <w:t>is not limited</w:t>
      </w:r>
      <w:proofErr w:type="gramEnd"/>
      <w:r w:rsidRPr="00781112">
        <w:rPr>
          <w:color w:val="000000" w:themeColor="text1"/>
        </w:rPr>
        <w:t xml:space="preserve"> to, the expanding ECEAP pathways work, future OSPI inclusion work, and the integrated programs pilot work that is anticipated to start in the fall of 2022. </w:t>
      </w:r>
      <w:r w:rsidRPr="00781112">
        <w:rPr>
          <w:color w:val="000000" w:themeColor="text1"/>
        </w:rPr>
        <w:br/>
      </w:r>
      <w:r w:rsidRPr="00781112">
        <w:rPr>
          <w:color w:val="000000" w:themeColor="text1"/>
        </w:rPr>
        <w:br/>
        <w:t xml:space="preserve"> DCYF and OSPI are committed to building an aligned inclusive early learning system. This can offer families better choices of services when and where they </w:t>
      </w:r>
      <w:proofErr w:type="gramStart"/>
      <w:r w:rsidRPr="00781112">
        <w:rPr>
          <w:color w:val="000000" w:themeColor="text1"/>
        </w:rPr>
        <w:t>are needed</w:t>
      </w:r>
      <w:proofErr w:type="gramEnd"/>
      <w:r w:rsidRPr="00781112">
        <w:rPr>
          <w:color w:val="000000" w:themeColor="text1"/>
        </w:rPr>
        <w:t xml:space="preserve">. This can also improve child development and learning up to high school and beyond to higher education and employment. As described in the report, DCYF and OSPI have listened carefully and learned from tribes, families, and providers about what it will take to improve services and reduce the barriers and disincentives necessary to realizing our goal of a highly integrated and inclusive PreK system. As state agencies, DCYF and OSPI have examined their policies and procedures and worked together to identify key actions that they are taking within their existing authorities and those that will require legislative action. Addressing </w:t>
      </w:r>
      <w:proofErr w:type="gramStart"/>
      <w:r w:rsidRPr="00781112">
        <w:rPr>
          <w:color w:val="000000" w:themeColor="text1"/>
        </w:rPr>
        <w:t>some of</w:t>
      </w:r>
      <w:proofErr w:type="gramEnd"/>
      <w:r w:rsidRPr="00781112">
        <w:rPr>
          <w:color w:val="000000" w:themeColor="text1"/>
        </w:rPr>
        <w:t xml:space="preserve"> the biggest challenges will require legislative action and funding. These range from enacting ways to support timely renovation of small provider/family home </w:t>
      </w:r>
      <w:proofErr w:type="gramStart"/>
      <w:r w:rsidRPr="00781112">
        <w:rPr>
          <w:color w:val="000000" w:themeColor="text1"/>
        </w:rPr>
        <w:t>child care</w:t>
      </w:r>
      <w:proofErr w:type="gramEnd"/>
      <w:r w:rsidRPr="00781112">
        <w:rPr>
          <w:color w:val="000000" w:themeColor="text1"/>
        </w:rPr>
        <w:t xml:space="preserve"> provider facilities to support small providers in making renovations needed to accommodate children with disabilities, to increasing access to high-quality preschool by increasing ECEAP slot rates. Taken together, these actions will help our state advance our goals of equitably serving PreK-aged children and their families. To further align the practices of the SSIP Implementation project across local district and community-based settings, the SSIP SLs, in partnership with DCYF ECEAP and Head Start, have developed an additional level of engagement, convening the state leaders overseeing policy and procedure of the local districts engaged in the project work. A core advisory committee has </w:t>
      </w:r>
      <w:proofErr w:type="gramStart"/>
      <w:r w:rsidRPr="00781112">
        <w:rPr>
          <w:color w:val="000000" w:themeColor="text1"/>
        </w:rPr>
        <w:t>been developed</w:t>
      </w:r>
      <w:proofErr w:type="gramEnd"/>
      <w:r w:rsidRPr="00781112">
        <w:rPr>
          <w:color w:val="000000" w:themeColor="text1"/>
        </w:rPr>
        <w:t xml:space="preserve"> to support ongoing planning and policy and practice alignment necessary to support identified SiMR outcomes, including cross-agency policy and procedures necessary to expand access to students with disabilities across EL programs. As was anticipated and shared earlier in this report, data sourcing and alignment were reflected in the DCYF saturation study, Request for Application (RFA), and it is expected over the course of the SSIP implementation cycle to later to be reflected in both the Quality Rating and Improvement System (QRIS) and Early Learning Management System (ELMS).   </w:t>
      </w:r>
      <w:r w:rsidRPr="00781112">
        <w:rPr>
          <w:color w:val="000000" w:themeColor="text1"/>
        </w:rPr>
        <w:br/>
      </w:r>
      <w:r w:rsidRPr="00781112">
        <w:rPr>
          <w:color w:val="000000" w:themeColor="text1"/>
        </w:rPr>
        <w:br/>
        <w:t xml:space="preserve">Similarly, recognizing the integration and alignment of inclusionary practices and MTSS infrastructures into our PreK–3 systems is critical to student outcomes. OSPI’s ECSE and Early Learning divisions have joined forces to prioritize the integration of WAPM, race/equity, inclusionary practices, and trauma-informed practices within Transitional Kindergarten (TK) programs. Intentional alignment between TK and WAPM has strengthened the quality of instructional practices. Ongoing, deliberate, and intentional coordinated collaboration meetings (bi-weekly meetings with state leads, monthly with TK Leads) support the partnerships necessary to provide increased access to regular early childhood programs (RECPs), with the development of Regional Implementation Teams (RITs), bringing together EL Coordinators, ECSE Coordinators, DCYF ECEAP and Head Start CPs, and families, to elevate an innovative and collaborative partnership. An added benefit to this collaboration has been the expansion of the PreK Inclusion Network. For the 2021–22 school year, TK program leads </w:t>
      </w:r>
      <w:proofErr w:type="gramStart"/>
      <w:r w:rsidRPr="00781112">
        <w:rPr>
          <w:color w:val="000000" w:themeColor="text1"/>
        </w:rPr>
        <w:t>were invited</w:t>
      </w:r>
      <w:proofErr w:type="gramEnd"/>
      <w:r w:rsidRPr="00781112">
        <w:rPr>
          <w:color w:val="000000" w:themeColor="text1"/>
        </w:rPr>
        <w:t xml:space="preserve"> into this network to engage in conversations that bridge PreK to TK and Kindergarten (K), allowing for peers to inspire peers. With the expansion of this network, and the extensive efforts made by the SSIP RLs to recruit and sustain partners within this work, monthly engagement has expanded from </w:t>
      </w:r>
      <w:proofErr w:type="gramStart"/>
      <w:r w:rsidRPr="00781112">
        <w:rPr>
          <w:color w:val="000000" w:themeColor="text1"/>
        </w:rPr>
        <w:t>30</w:t>
      </w:r>
      <w:proofErr w:type="gramEnd"/>
      <w:r w:rsidRPr="00781112">
        <w:rPr>
          <w:color w:val="000000" w:themeColor="text1"/>
        </w:rPr>
        <w:t xml:space="preserve"> district leaders engaged to over 90 district leaders engaged (33.3% increase). Washington continues to embrace the opportunity to reimagine a stronger, more aligned early learning and education system that prioritizes quality, inclusion, and family choice. High-quality early learning programs promote children’s development, learning, health, and safety. </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The SSIP Evaluation Plan lays out the long term, intermediate, and short-term outcomes to meet the SiMR over the course of the five-year implementation cycle. This Plan also identifies the associated targets and performance indicators, who is responsible for each action step, the frequency </w:t>
      </w:r>
      <w:r w:rsidRPr="00781112">
        <w:rPr>
          <w:color w:val="000000" w:themeColor="text1"/>
        </w:rPr>
        <w:lastRenderedPageBreak/>
        <w:t xml:space="preserve">of actions taken, and data collection tools used. Opportunities to engage CPs have varied in an effort to be responsive to the needs at the state, regional, and local levels, offering monthly network meetings (PIC Network), bi-weekly OSPI ECSE updates (ECSE Coordination Team meetings), editing and writing sessions for upcoming guidance (ESIT and EHDDI), access to statewide advisories, including the ECSE Focus Group, Coordinated Recruitment and Enrollment (CRE), and Integrated Early Childhood Programming in partnership with DCYF, as well as the Office Hours for LEA Special Education Directors. </w:t>
      </w:r>
      <w:r w:rsidRPr="00781112">
        <w:rPr>
          <w:color w:val="000000" w:themeColor="text1"/>
        </w:rPr>
        <w:br/>
      </w:r>
      <w:r w:rsidRPr="00781112">
        <w:rPr>
          <w:color w:val="000000" w:themeColor="text1"/>
        </w:rPr>
        <w:br/>
        <w:t xml:space="preserve">To meet the long-term outcomes, SSIP SL participated in the development of a technical report that </w:t>
      </w:r>
      <w:proofErr w:type="gramStart"/>
      <w:r w:rsidRPr="00781112">
        <w:rPr>
          <w:color w:val="000000" w:themeColor="text1"/>
        </w:rPr>
        <w:t>was written</w:t>
      </w:r>
      <w:proofErr w:type="gramEnd"/>
      <w:r w:rsidRPr="00781112">
        <w:rPr>
          <w:color w:val="000000" w:themeColor="text1"/>
        </w:rPr>
        <w:t xml:space="preserve"> with OSPI and DCYF early learning leadership regarding ways to improve access to high-quality PreK experiences for children ages 3-5 years. The report includes recommendations DCYF and OSPI suggest for legislative action in the 2023 session, as well as actions DCYF and OSPI are taking individually and jointly to programs they administer. It also includes actions and recommendations developed through government-to-government partnerships with sovereign tribal nations. While the mixed-delivery system includes </w:t>
      </w:r>
      <w:proofErr w:type="gramStart"/>
      <w:r w:rsidRPr="00781112">
        <w:rPr>
          <w:color w:val="000000" w:themeColor="text1"/>
        </w:rPr>
        <w:t>many</w:t>
      </w:r>
      <w:proofErr w:type="gramEnd"/>
      <w:r w:rsidRPr="00781112">
        <w:rPr>
          <w:color w:val="000000" w:themeColor="text1"/>
        </w:rPr>
        <w:t xml:space="preserve"> components such as private programs and what happens in PreK-aged programs may impact 0-3 serving programs, this report is focused on attending to the elements outlined in the proviso as directed by the Legislature. </w:t>
      </w:r>
      <w:r w:rsidRPr="00781112">
        <w:rPr>
          <w:color w:val="000000" w:themeColor="text1"/>
        </w:rPr>
        <w:br/>
      </w:r>
      <w:r w:rsidRPr="00781112">
        <w:rPr>
          <w:color w:val="000000" w:themeColor="text1"/>
        </w:rPr>
        <w:br/>
        <w:t xml:space="preserve">Both the value and challenge of our complex system of early care and education are evident in the legislative charges noted in the provisos that DCYF and OSPI identify and take actions and make further recommendations that can align and integrate: </w:t>
      </w:r>
      <w:r w:rsidRPr="00781112">
        <w:rPr>
          <w:color w:val="000000" w:themeColor="text1"/>
        </w:rPr>
        <w:br/>
        <w:t xml:space="preserve">• Capital needs </w:t>
      </w:r>
      <w:r w:rsidRPr="00781112">
        <w:rPr>
          <w:color w:val="000000" w:themeColor="text1"/>
        </w:rPr>
        <w:br/>
        <w:t xml:space="preserve">• Data collection and data sharing </w:t>
      </w:r>
      <w:r w:rsidRPr="00781112">
        <w:rPr>
          <w:color w:val="000000" w:themeColor="text1"/>
        </w:rPr>
        <w:br/>
        <w:t xml:space="preserve">• Fiscal modeling and funding </w:t>
      </w:r>
      <w:r w:rsidRPr="00781112">
        <w:rPr>
          <w:color w:val="000000" w:themeColor="text1"/>
        </w:rPr>
        <w:br/>
        <w:t xml:space="preserve">• Statutory and rule changes and the funding needed to achieve administrative efficiencies </w:t>
      </w:r>
      <w:r w:rsidRPr="00781112">
        <w:rPr>
          <w:color w:val="000000" w:themeColor="text1"/>
        </w:rPr>
        <w:br/>
      </w:r>
      <w:r w:rsidRPr="00781112">
        <w:rPr>
          <w:color w:val="000000" w:themeColor="text1"/>
        </w:rPr>
        <w:br/>
        <w:t xml:space="preserve">Work is underway. The agencies are beginning work on a DCYF and OSPI MOU that codifies the ongoing joint and individual work that OSPI and DCYF will undertake to align and integrate services for preschool-aged children. The state agencies are working together to create a shared definition of quality so that we have a clear and unified understanding about the programmatic experiences that will best promote children's learning and development. DCYF is making careful plans for ECEAP expansion and bolstering the </w:t>
      </w:r>
      <w:proofErr w:type="gramStart"/>
      <w:r w:rsidRPr="00781112">
        <w:rPr>
          <w:color w:val="000000" w:themeColor="text1"/>
        </w:rPr>
        <w:t>child care</w:t>
      </w:r>
      <w:proofErr w:type="gramEnd"/>
      <w:r w:rsidRPr="00781112">
        <w:rPr>
          <w:color w:val="000000" w:themeColor="text1"/>
        </w:rPr>
        <w:t xml:space="preserve"> market. OSPI is engaging in rulemaking to clarify the requirements for school districts implementing TK, building on the Five Pillars of TK. </w:t>
      </w:r>
      <w:r w:rsidRPr="00781112">
        <w:rPr>
          <w:color w:val="000000" w:themeColor="text1"/>
        </w:rPr>
        <w:br/>
      </w:r>
      <w:r w:rsidRPr="00781112">
        <w:rPr>
          <w:color w:val="000000" w:themeColor="text1"/>
        </w:rPr>
        <w:br/>
        <w:t xml:space="preserve">To meet the intermediate outcomes and to further strengthen existing infrastructures that increase and sustain SEL and academic skills as measured in the SiMR, the SSIP SL, in partnership with the OSPI Early Learning Division, within the strategic goals outlined within WA state’s PreK Development Grant (PDG), launched the WAPM 0–5 Transition and Beyond project work in December 2021 OSPI’s Special Education and Early Learning, with external partners, partners have drafted a manual on transition practices for children exiting ESIT Birth to 3 (Part C) and entering a Least Restrictive Environment (LRE) (Part B). This manual is set for joint agency publication in the winter of 2023. The manual highlights the vision that all children and families benefit from a family-centered, statewide framework that supports coordinated, effective, equitable, culturally, and linguistically responsive transitions from early intervention to preschool special education services and/or the Early Childhood Education and Assistance Program (ECEAP), Head Start, and other high-quality early childhood settings. The development of this manual has integrated rigorous content review sessions from Washington’s Department of Health, the Department for Children, Youth, and Families, Washington State School for the Blind, Partnership for Action, Voices for Empowerment, PDG family listening session partners, Open Doors for Multi-Cultural Families, The Early Hearing-Loss Detection, Diagnosis, and Intervention Program, Washington Sensory Disabilities Services and Washington State Hands and Voices. </w:t>
      </w:r>
      <w:r w:rsidRPr="00781112">
        <w:rPr>
          <w:color w:val="000000" w:themeColor="text1"/>
        </w:rPr>
        <w:br/>
      </w:r>
      <w:r w:rsidRPr="00781112">
        <w:rPr>
          <w:color w:val="000000" w:themeColor="text1"/>
        </w:rPr>
        <w:br/>
        <w:t xml:space="preserve"> A steady increase in participation of regional and local partners with the ECSE Inclusion Initiatives is evident as the SSIP SLs continue to examine and engage in comparative analysis between the SSIP data pool (23 participating programs) and the larger body of ECSE initiative work (127 participating programs). Approximately 80% of participating PIC and ITK champions engaged in baseline assessment practices. In this reporting cycle, </w:t>
      </w:r>
      <w:proofErr w:type="gramStart"/>
      <w:r w:rsidRPr="00781112">
        <w:rPr>
          <w:color w:val="000000" w:themeColor="text1"/>
        </w:rPr>
        <w:t>62</w:t>
      </w:r>
      <w:proofErr w:type="gramEnd"/>
      <w:r w:rsidRPr="00781112">
        <w:rPr>
          <w:color w:val="000000" w:themeColor="text1"/>
        </w:rPr>
        <w:t xml:space="preserve"> new programs have participated in the PIC or ITK project work, further highlighting expansion efforts across Washington’s mixed delivery system to center on inclusionary practices. These efforts directly correspond to the SSIP Theory of Action which works to strengthen infrastructures for effective implementation of education innovations, increase knowledge of fidelity criteria and systems infrastructure, and increase family and community provider knowledge of regional and local EL systems directly impacting the SiMR. </w:t>
      </w:r>
      <w:r w:rsidRPr="00781112">
        <w:rPr>
          <w:color w:val="000000" w:themeColor="text1"/>
        </w:rPr>
        <w:br/>
      </w:r>
      <w:r w:rsidRPr="00781112">
        <w:rPr>
          <w:color w:val="000000" w:themeColor="text1"/>
        </w:rPr>
        <w:br/>
        <w:t xml:space="preserve">To meet the short-term outcomes outlined in the SSIP Evaluation Plan, and with the support of OSPI’s Early Learning Division, a contract </w:t>
      </w:r>
      <w:proofErr w:type="gramStart"/>
      <w:r w:rsidRPr="00781112">
        <w:rPr>
          <w:color w:val="000000" w:themeColor="text1"/>
        </w:rPr>
        <w:t>was executed</w:t>
      </w:r>
      <w:proofErr w:type="gramEnd"/>
      <w:r w:rsidRPr="00781112">
        <w:rPr>
          <w:color w:val="000000" w:themeColor="text1"/>
        </w:rPr>
        <w:t xml:space="preserve"> with Swan Innovations in November 2021. To date, this contract has included dialogue with tribal early learning programs to adapt WAPM materials and associated training materials for use in tribal early learning programs, State Compact Schools, and Bureau of Indian Education (BIE) Schools in Washington state. Swan Innovations submitted a final review of WAPMs that has </w:t>
      </w:r>
      <w:proofErr w:type="gramStart"/>
      <w:r w:rsidRPr="00781112">
        <w:rPr>
          <w:color w:val="000000" w:themeColor="text1"/>
        </w:rPr>
        <w:t>been embedded</w:t>
      </w:r>
      <w:proofErr w:type="gramEnd"/>
      <w:r w:rsidRPr="00781112">
        <w:rPr>
          <w:color w:val="000000" w:themeColor="text1"/>
        </w:rPr>
        <w:t xml:space="preserve"> in the WAPM Coaching and Training content (November 2022). Future efforts are underway to develop an additional professional development opportunity that supports a deeper understanding of cultural bias as it relates to WAPM implementation with an anticipated launch date of June 2023. Proposed data collection measures to identify the effectiveness of this project work include the knowledge gain survey assessment metric related to the short-term and intermediate outcomes as featured in the SSIP Evaluation Plan (knowledge gain related to inclusionary practices, race/equity practices and trauma-informed practices). </w:t>
      </w:r>
      <w:r w:rsidRPr="00781112">
        <w:rPr>
          <w:color w:val="000000" w:themeColor="text1"/>
        </w:rPr>
        <w:br/>
      </w:r>
      <w:r w:rsidRPr="00781112">
        <w:rPr>
          <w:color w:val="000000" w:themeColor="text1"/>
        </w:rPr>
        <w:br/>
        <w:t xml:space="preserve">With the expansion of MTSS implementation in WA state , the SSIP SLs expanded their current partnership with representatives from WA MTSS to include Regional Implementation Coordinators (RICs), to support the outcomes predicted within the SSIP Logic Model, Evaluation Plan, and Theory of Action. Leveraging the existing efforts of the SSIP RLs and SSIP Implementation project sites, the goal of this collaboration includes supporting the implementation of MTSS, P-12, through intentional alignment of professional development, technical assistance, and coaching (instructional and systems level). A workgroup comprised of SSIP RLs and RICs has identified the following objectives and anticipates completions of the first two objectives no later than April 2023, with long-term objectives set for completion within the subsequent reporting cycle: </w:t>
      </w:r>
      <w:r w:rsidRPr="00781112">
        <w:rPr>
          <w:color w:val="000000" w:themeColor="text1"/>
        </w:rPr>
        <w:br/>
      </w:r>
      <w:r w:rsidRPr="00781112">
        <w:rPr>
          <w:color w:val="000000" w:themeColor="text1"/>
        </w:rPr>
        <w:br/>
        <w:t xml:space="preserve">Identify shared professional development opportunities highlighting the similarities and differences in WAPM and MTSS. </w:t>
      </w:r>
      <w:r w:rsidRPr="00781112">
        <w:rPr>
          <w:color w:val="000000" w:themeColor="text1"/>
        </w:rPr>
        <w:br/>
      </w:r>
      <w:r w:rsidRPr="00781112">
        <w:rPr>
          <w:color w:val="000000" w:themeColor="text1"/>
        </w:rPr>
        <w:br/>
        <w:t xml:space="preserve">Create a crosswalk of training requirements and </w:t>
      </w:r>
      <w:proofErr w:type="gramStart"/>
      <w:r w:rsidRPr="00781112">
        <w:rPr>
          <w:color w:val="000000" w:themeColor="text1"/>
        </w:rPr>
        <w:t>instrument</w:t>
      </w:r>
      <w:proofErr w:type="gramEnd"/>
      <w:r w:rsidRPr="00781112">
        <w:rPr>
          <w:color w:val="000000" w:themeColor="text1"/>
        </w:rPr>
        <w:t xml:space="preserve"> for programs to reduce duplication and align cascading systems and implementation sequence. </w:t>
      </w:r>
      <w:r w:rsidRPr="00781112">
        <w:rPr>
          <w:color w:val="000000" w:themeColor="text1"/>
        </w:rPr>
        <w:br/>
      </w:r>
      <w:r w:rsidRPr="00781112">
        <w:rPr>
          <w:color w:val="000000" w:themeColor="text1"/>
        </w:rPr>
        <w:br/>
        <w:t>The SSIP SDT understands that supporting a child with an IEP is not the sole responsibility of special education staff, but rather is the responsibility of the greater mixed-delivery system in Washington state and efforts to align systems to promote greater outcomes for children, families, and communities’ benefit everyone.</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Within these convenings, CPs, SSIP Implementation Sites, and SSIP RLs have identified that the greater barriers for the success of the SSIP implementation and larger systems-level change in the early learning community falls in the space of equitable funding and systems alignment for early childhood programs. These expressed barriers, shared by local district and SSIP RLs, were categorized into the following three bullets and efforts are underway to systemically address each concern: </w:t>
      </w:r>
      <w:r w:rsidRPr="00781112">
        <w:rPr>
          <w:color w:val="000000" w:themeColor="text1"/>
        </w:rPr>
        <w:br/>
      </w:r>
      <w:r w:rsidRPr="00781112">
        <w:rPr>
          <w:color w:val="000000" w:themeColor="text1"/>
        </w:rPr>
        <w:lastRenderedPageBreak/>
        <w:br/>
        <w:t xml:space="preserve">Intentional connections and leverage of current K–12 practices and initiatives with early childhood to harness district level support and to ensure sustainability to ensure sustainability and scale up included the continued offering of WAPM trainings for early childhood expansion into K–3rd grade; </w:t>
      </w:r>
      <w:r w:rsidRPr="00781112">
        <w:rPr>
          <w:color w:val="000000" w:themeColor="text1"/>
        </w:rPr>
        <w:br/>
      </w:r>
      <w:r w:rsidRPr="00781112">
        <w:rPr>
          <w:color w:val="000000" w:themeColor="text1"/>
        </w:rPr>
        <w:br/>
        <w:t xml:space="preserve">Continued emphasis on Washington state’s public school system as an inclusive 3–21 system, not K–12. (Spec ED strategic plan); </w:t>
      </w:r>
      <w:r w:rsidRPr="00781112">
        <w:rPr>
          <w:color w:val="000000" w:themeColor="text1"/>
        </w:rPr>
        <w:br/>
      </w:r>
      <w:r w:rsidRPr="00781112">
        <w:rPr>
          <w:color w:val="000000" w:themeColor="text1"/>
        </w:rPr>
        <w:br/>
        <w:t xml:space="preserve">Access to equitable funding to support the alignment for early childhood programs. </w:t>
      </w:r>
      <w:r w:rsidRPr="00781112">
        <w:rPr>
          <w:color w:val="000000" w:themeColor="text1"/>
        </w:rPr>
        <w:br/>
      </w:r>
      <w:r w:rsidRPr="00781112">
        <w:rPr>
          <w:color w:val="000000" w:themeColor="text1"/>
        </w:rPr>
        <w:br/>
        <w:t xml:space="preserve">Current efforts to address these concerns include the following: </w:t>
      </w:r>
      <w:r w:rsidRPr="00781112">
        <w:rPr>
          <w:color w:val="000000" w:themeColor="text1"/>
        </w:rPr>
        <w:br/>
      </w:r>
      <w:r w:rsidRPr="00781112">
        <w:rPr>
          <w:color w:val="000000" w:themeColor="text1"/>
        </w:rPr>
        <w:br/>
        <w:t xml:space="preserve">As cited in Section C of this report, the expansion of MTSS through WAPM welcome partners representing Washington MTSS to support in the development of the SSIP Logic Model, Evaluation Plan, and Theory of Action to further enhance alignment. The goals of this project include leveraging current K–12 practices to harness district level support to ensure sustainability. As a key strategy notated in the SSIP Logic Model, alignment to WA ECSE initiatives and cross sector partners is essential to sustainability and scale-up practices. The SSIP SLs understand that these efforts are actualized when systems </w:t>
      </w:r>
      <w:proofErr w:type="gramStart"/>
      <w:r w:rsidRPr="00781112">
        <w:rPr>
          <w:color w:val="000000" w:themeColor="text1"/>
        </w:rPr>
        <w:t>to support</w:t>
      </w:r>
      <w:proofErr w:type="gramEnd"/>
      <w:r w:rsidRPr="00781112">
        <w:rPr>
          <w:color w:val="000000" w:themeColor="text1"/>
        </w:rPr>
        <w:t xml:space="preserve"> improvement (infrastructure) and developed with the use of fidelity metrics and data-based decision making</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OSPI supports and empowers students, educators, families, and communities through equitable access to high-quality curriculum, instruction, and support. OSPI’s shared focus is supporting all of Washington’s learners by providing coordinated, data-driven resources and support to school districts and programs. OSPI is committed to providing equitable access to strong foundations. OSPI’s strategic goals are deliberately aspirational, and leaders understand that progress will require continued, effective collaboration and advocacy with CPs. OSPI has identified their first strategic goal to focus on increasing student access to and participation in high-quality early learning and elementary by amplifying and building on inclusive, asset-based policies and practices. Initial objectives for this goal include providing universal access to PreK, New K–3 literacy focus, and universal access to dual language learning by elementary. Activities to support this practice include the utilization of implementation science to increase knowledge of systems change and leadership practices as cited in the SSIP Logic Model: Sustainability and Scale-Up</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Funding that school districts for special education services receive </w:t>
      </w:r>
      <w:proofErr w:type="gramStart"/>
      <w:r w:rsidRPr="00781112">
        <w:rPr>
          <w:color w:val="000000" w:themeColor="text1"/>
        </w:rPr>
        <w:t>is not well aligned</w:t>
      </w:r>
      <w:proofErr w:type="gramEnd"/>
      <w:r w:rsidRPr="00781112">
        <w:rPr>
          <w:color w:val="000000" w:themeColor="text1"/>
        </w:rPr>
        <w:t xml:space="preserve"> with their expenditures, leaving some districts to rely on local levies to supplement their special education programs. School districts have a legal obligation to serve all students with disabilities in Washington, regardless of the cost of services. OSPI has requested that the legislature remove the 13.5% cap on state special education funding and increase the special education tiered multiplier to fully cover the cost of special education services and sustain the state’s investment in inclusionary practices. Providing full funding for special education will provide districts and schools across the state access to the resources they need to reimagine the ways they are providing special education services, including job-embedded professional development around inclusive practices for early childhood programs. </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8"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Dr. Tania May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tania.may@k12.wa.us</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2532459541</w:t>
      </w:r>
    </w:p>
    <w:bookmarkEnd w:id="98"/>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5:00:29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DC115CE" w14:textId="14B61054" w:rsidR="00F306B7" w:rsidRPr="00F306B7" w:rsidRDefault="00F306B7" w:rsidP="00F306B7">
      <w:pPr>
        <w:rPr>
          <w:b/>
          <w:bCs/>
          <w:sz w:val="20"/>
          <w:szCs w:val="28"/>
        </w:rPr>
      </w:pPr>
      <w:r w:rsidRPr="00F306B7">
        <w:rPr>
          <w:b/>
          <w:bCs/>
          <w:sz w:val="20"/>
          <w:szCs w:val="28"/>
        </w:rPr>
        <w:t>Washington</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13"/>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85.42%</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17</w:t>
            </w:r>
          </w:p>
        </w:tc>
        <w:tc>
          <w:tcPr>
            <w:tcW w:w="1218" w:type="pct"/>
          </w:tcPr>
          <w:p w14:paraId="0E3866D0" w14:textId="74D5D84B" w:rsidR="00E1330D" w:rsidRPr="00210AC6" w:rsidRDefault="00E1330D" w:rsidP="00E1330D">
            <w:pPr>
              <w:rPr>
                <w:rFonts w:cs="Arial"/>
                <w:szCs w:val="16"/>
              </w:rPr>
            </w:pPr>
            <w:r w:rsidRPr="00210AC6">
              <w:rPr>
                <w:rFonts w:cs="Arial"/>
                <w:szCs w:val="16"/>
              </w:rPr>
              <w:t>70.83%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86%</w:t>
            </w:r>
          </w:p>
        </w:tc>
        <w:tc>
          <w:tcPr>
            <w:tcW w:w="833" w:type="pct"/>
          </w:tcPr>
          <w:p w14:paraId="50F87295" w14:textId="3E5BE83B" w:rsidR="00AC185D" w:rsidRPr="00210AC6" w:rsidRDefault="00AC185D" w:rsidP="00AC185D">
            <w:pPr>
              <w:rPr>
                <w:rFonts w:cs="Arial"/>
                <w:szCs w:val="16"/>
              </w:rPr>
            </w:pPr>
            <w:r w:rsidRPr="00210AC6">
              <w:rPr>
                <w:rFonts w:cs="Arial"/>
                <w:szCs w:val="16"/>
              </w:rPr>
              <w:t>1</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82%</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32%</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89%</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31%</w:t>
            </w:r>
          </w:p>
        </w:tc>
        <w:tc>
          <w:tcPr>
            <w:tcW w:w="833" w:type="pct"/>
          </w:tcPr>
          <w:p w14:paraId="2EA39B53" w14:textId="06051205" w:rsidR="00AC185D" w:rsidRPr="00210AC6" w:rsidRDefault="00AC185D" w:rsidP="00AC185D">
            <w:pPr>
              <w:rPr>
                <w:rFonts w:cs="Arial"/>
                <w:szCs w:val="16"/>
              </w:rPr>
            </w:pPr>
            <w:r w:rsidRPr="00210AC6">
              <w:rPr>
                <w:rFonts w:cs="Arial"/>
                <w:szCs w:val="16"/>
              </w:rPr>
              <w:t>2</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89%</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85%</w:t>
            </w:r>
          </w:p>
        </w:tc>
        <w:tc>
          <w:tcPr>
            <w:tcW w:w="833" w:type="pct"/>
          </w:tcPr>
          <w:p w14:paraId="7840B150" w14:textId="6A0FC50C" w:rsidR="0019671E" w:rsidRPr="00210AC6" w:rsidRDefault="0019671E" w:rsidP="0019671E">
            <w:pPr>
              <w:rPr>
                <w:rFonts w:cs="Arial"/>
                <w:szCs w:val="16"/>
              </w:rPr>
            </w:pPr>
            <w:r w:rsidRPr="00210AC6">
              <w:rPr>
                <w:rFonts w:cs="Arial"/>
                <w:szCs w:val="16"/>
              </w:rPr>
              <w:t>1</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81%</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87%</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24%</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24</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76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1</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14"/>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98.94%</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92.41%</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98.04%</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97.62%</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4749AF2F" w14:textId="77777777" w:rsidR="00F306B7" w:rsidRPr="00F306B7" w:rsidRDefault="00F306B7" w:rsidP="00F306B7">
      <w:pPr>
        <w:rPr>
          <w:b/>
          <w:bCs/>
          <w:sz w:val="20"/>
          <w:szCs w:val="28"/>
        </w:rPr>
      </w:pPr>
      <w:r w:rsidRPr="00F306B7">
        <w:rPr>
          <w:b/>
          <w:bCs/>
          <w:sz w:val="20"/>
          <w:szCs w:val="28"/>
        </w:rPr>
        <w:t>Washington</w:t>
      </w:r>
    </w:p>
    <w:p w14:paraId="3913CA6E" w14:textId="77777777" w:rsidR="00F306B7" w:rsidRPr="00F306B7" w:rsidRDefault="00F306B7" w:rsidP="00F306B7"/>
    <w:p w14:paraId="27E7D5D5" w14:textId="314242AE" w:rsidR="00110BB6" w:rsidRDefault="00110BB6" w:rsidP="00110BB6">
      <w:pPr>
        <w:jc w:val="center"/>
      </w:pPr>
      <w:r>
        <w:t>FFY 2021 APR</w:t>
      </w:r>
      <w:r w:rsidR="00A47134">
        <w:rPr>
          <w:rStyle w:val="FootnoteReference"/>
        </w:rPr>
        <w:footnoteReference w:id="15"/>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16"/>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0</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2</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20</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24.76</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24.76</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50.76</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0.9762</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97.62</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22F54AC2" w14:textId="77777777" w:rsidR="00A56A00" w:rsidRDefault="00A56A00">
      <w:pPr>
        <w:spacing w:before="0" w:after="200" w:line="276" w:lineRule="auto"/>
      </w:pPr>
    </w:p>
    <w:p w14:paraId="10BA59E7" w14:textId="0F53B2F9" w:rsidR="0058254D" w:rsidRDefault="00F306B7">
      <w:pPr>
        <w:spacing w:before="0" w:after="200" w:line="276" w:lineRule="auto"/>
      </w:pPr>
      <w:r>
        <w:object w:dxaOrig="1540" w:dyaOrig="997" w14:anchorId="6D281B40">
          <v:shape id="_x0000_i1026" type="#_x0000_t75" alt="WA-B-DR-2021-22" style="width:77.25pt;height:49.5pt" o:ole="">
            <v:imagedata r:id="rId12" o:title=""/>
          </v:shape>
          <o:OLEObject Type="Embed" ProgID="Acrobat.Document.DC" ShapeID="_x0000_i1026" DrawAspect="Icon" ObjectID="_1752378666"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C82248E" w:rsidR="00D84A0A" w:rsidRPr="00D733C3" w:rsidRDefault="00CC6A41">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9" w:name="Introduction"/>
      <w:bookmarkStart w:id="100" w:name="_Hlk124349373"/>
      <w:bookmarkEnd w:id="3"/>
      <w:bookmarkEnd w:id="99"/>
      <w:bookmarkEnd w:id="100"/>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CC6A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6B70E36" w14:textId="0725D206" w:rsidR="00F306B7" w:rsidRPr="00221C30" w:rsidRDefault="00F306B7" w:rsidP="00F306B7">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w:t>
      </w:r>
      <w:r w:rsidRPr="00221C30">
        <w:rPr>
          <w:rFonts w:cs="Arial"/>
          <w:szCs w:val="16"/>
        </w:rPr>
        <w:t xml:space="preserve"> a different data source to report data under this indicator.</w:t>
      </w:r>
      <w:bookmarkEnd w:id="5"/>
    </w:p>
  </w:footnote>
  <w:footnote w:id="3">
    <w:p w14:paraId="613BF192" w14:textId="545C22BE" w:rsidR="00221C30" w:rsidRPr="00221C30" w:rsidRDefault="00221C30">
      <w:pPr>
        <w:pStyle w:val="FootnoteText"/>
        <w:rPr>
          <w:sz w:val="16"/>
          <w:szCs w:val="16"/>
        </w:rPr>
      </w:pPr>
      <w:r w:rsidRPr="00221C30">
        <w:rPr>
          <w:rStyle w:val="FootnoteReference"/>
          <w:sz w:val="16"/>
          <w:szCs w:val="16"/>
        </w:rPr>
        <w:footnoteRef/>
      </w:r>
      <w:r w:rsidRPr="00221C30">
        <w:rPr>
          <w:sz w:val="16"/>
          <w:szCs w:val="16"/>
        </w:rPr>
        <w:t xml:space="preserve"> </w:t>
      </w:r>
      <w:r w:rsidRPr="00221C30">
        <w:rPr>
          <w:rFonts w:cs="Arial"/>
          <w:sz w:val="16"/>
          <w:szCs w:val="16"/>
        </w:rPr>
        <w:t>Percentage blurred due to privacy protection.</w:t>
      </w:r>
    </w:p>
  </w:footnote>
  <w:footnote w:id="4">
    <w:p w14:paraId="6F1FDCDB" w14:textId="53CCCDDE" w:rsidR="00221C30" w:rsidRDefault="00221C30">
      <w:pPr>
        <w:pStyle w:val="FootnoteText"/>
      </w:pPr>
      <w:r w:rsidRPr="00221C30">
        <w:rPr>
          <w:rStyle w:val="FootnoteReference"/>
          <w:sz w:val="16"/>
          <w:szCs w:val="16"/>
        </w:rPr>
        <w:footnoteRef/>
      </w:r>
      <w:r w:rsidRPr="00221C30">
        <w:rPr>
          <w:sz w:val="16"/>
          <w:szCs w:val="16"/>
        </w:rPr>
        <w:t xml:space="preserve"> Data suppressed due to small cell size.</w:t>
      </w:r>
    </w:p>
  </w:footnote>
  <w:footnote w:id="5">
    <w:p w14:paraId="7813AE57" w14:textId="2EA0393E" w:rsidR="00221C30" w:rsidRPr="00221C30" w:rsidRDefault="00221C30">
      <w:pPr>
        <w:pStyle w:val="FootnoteText"/>
        <w:rPr>
          <w:sz w:val="16"/>
          <w:szCs w:val="16"/>
        </w:rPr>
      </w:pPr>
      <w:r w:rsidRPr="00221C30">
        <w:rPr>
          <w:rStyle w:val="FootnoteReference"/>
          <w:sz w:val="16"/>
          <w:szCs w:val="16"/>
        </w:rPr>
        <w:footnoteRef/>
      </w:r>
      <w:r w:rsidRPr="00221C30">
        <w:rPr>
          <w:sz w:val="16"/>
          <w:szCs w:val="16"/>
        </w:rPr>
        <w:t xml:space="preserve"> Data suppressed due to small cell size.</w:t>
      </w:r>
    </w:p>
  </w:footnote>
  <w:footnote w:id="6">
    <w:p w14:paraId="0477B939" w14:textId="20982922" w:rsidR="00F306B7" w:rsidRPr="00AE65F6" w:rsidRDefault="00F306B7" w:rsidP="00F306B7">
      <w:pPr>
        <w:spacing w:after="0"/>
        <w:rPr>
          <w:rFonts w:cs="Arial"/>
          <w:szCs w:val="16"/>
        </w:rPr>
      </w:pPr>
      <w:r>
        <w:rPr>
          <w:rStyle w:val="FootnoteReference"/>
        </w:rPr>
        <w:footnoteRef/>
      </w:r>
      <w:r>
        <w:t xml:space="preserve"> </w:t>
      </w:r>
      <w:r w:rsidRPr="00891632">
        <w:rPr>
          <w:rFonts w:cs="Arial"/>
          <w:szCs w:val="16"/>
        </w:rPr>
        <w:t>Prior to the FFY 2020 submission, the State used</w:t>
      </w:r>
      <w:r w:rsidRPr="00AE65F6">
        <w:rPr>
          <w:rFonts w:cs="Arial"/>
          <w:szCs w:val="16"/>
        </w:rPr>
        <w:t xml:space="preserve"> a different data source to report data under this indicator.</w:t>
      </w:r>
    </w:p>
  </w:footnote>
  <w:footnote w:id="7">
    <w:p w14:paraId="4A26D08A" w14:textId="19D76F24" w:rsidR="00AE65F6" w:rsidRDefault="00AE65F6">
      <w:pPr>
        <w:pStyle w:val="FootnoteText"/>
      </w:pPr>
      <w:r w:rsidRPr="00AE65F6">
        <w:rPr>
          <w:rStyle w:val="FootnoteReference"/>
          <w:sz w:val="16"/>
          <w:szCs w:val="16"/>
        </w:rPr>
        <w:footnoteRef/>
      </w:r>
      <w:r w:rsidRPr="00AE65F6">
        <w:rPr>
          <w:sz w:val="16"/>
          <w:szCs w:val="16"/>
        </w:rPr>
        <w:t xml:space="preserve"> Data suppressed due to small cell size.</w:t>
      </w:r>
    </w:p>
  </w:footnote>
  <w:footnote w:id="8">
    <w:p w14:paraId="68645494" w14:textId="659F66AC" w:rsidR="00AE65F6" w:rsidRDefault="00AE65F6">
      <w:pPr>
        <w:pStyle w:val="FootnoteText"/>
      </w:pPr>
      <w:r w:rsidRPr="00AE65F6">
        <w:rPr>
          <w:rStyle w:val="FootnoteReference"/>
          <w:sz w:val="16"/>
          <w:szCs w:val="16"/>
        </w:rPr>
        <w:footnoteRef/>
      </w:r>
      <w:r w:rsidRPr="00AE65F6">
        <w:rPr>
          <w:sz w:val="16"/>
          <w:szCs w:val="16"/>
        </w:rPr>
        <w:t xml:space="preserve"> Data suppressed due to small cell size.</w:t>
      </w:r>
    </w:p>
  </w:footnote>
  <w:footnote w:id="9">
    <w:p w14:paraId="219D00D7" w14:textId="1EFCCCC6" w:rsidR="0058647B" w:rsidRDefault="0058647B">
      <w:pPr>
        <w:pStyle w:val="FootnoteText"/>
      </w:pPr>
      <w:r w:rsidRPr="0058647B">
        <w:rPr>
          <w:rStyle w:val="FootnoteReference"/>
          <w:sz w:val="16"/>
          <w:szCs w:val="16"/>
        </w:rPr>
        <w:footnoteRef/>
      </w:r>
      <w:r w:rsidRPr="0058647B">
        <w:rPr>
          <w:sz w:val="16"/>
          <w:szCs w:val="16"/>
        </w:rPr>
        <w:t xml:space="preserve"> Data flagged due to questionable data quality.</w:t>
      </w:r>
    </w:p>
  </w:footnote>
  <w:footnote w:id="10">
    <w:p w14:paraId="4E890592" w14:textId="114B192C" w:rsidR="00363A1F" w:rsidRDefault="00363A1F">
      <w:pPr>
        <w:pStyle w:val="FootnoteText"/>
      </w:pPr>
      <w:r>
        <w:rPr>
          <w:rStyle w:val="FootnoteReference"/>
        </w:rPr>
        <w:footnoteRef/>
      </w:r>
      <w:r>
        <w:t xml:space="preserve"> </w:t>
      </w:r>
      <w:r w:rsidRPr="00363A1F">
        <w:rPr>
          <w:sz w:val="16"/>
          <w:szCs w:val="16"/>
        </w:rPr>
        <w:t>Data flagged due to questionable data quality.</w:t>
      </w:r>
    </w:p>
  </w:footnote>
  <w:footnote w:id="11">
    <w:p w14:paraId="5B017F5F" w14:textId="027A32B0" w:rsidR="00C12AC2" w:rsidRDefault="00C12AC2">
      <w:pPr>
        <w:pStyle w:val="FootnoteText"/>
      </w:pPr>
      <w:r w:rsidRPr="00C12AC2">
        <w:rPr>
          <w:rStyle w:val="FootnoteReference"/>
          <w:sz w:val="16"/>
          <w:szCs w:val="16"/>
        </w:rPr>
        <w:footnoteRef/>
      </w:r>
      <w:r w:rsidRPr="00C12AC2">
        <w:rPr>
          <w:sz w:val="16"/>
          <w:szCs w:val="16"/>
        </w:rPr>
        <w:t xml:space="preserve"> Data flagged due to questionable data quality.</w:t>
      </w:r>
    </w:p>
  </w:footnote>
  <w:footnote w:id="12">
    <w:p w14:paraId="38402A8B" w14:textId="0937C21A" w:rsidR="00B73CE6" w:rsidRDefault="00B73CE6">
      <w:pPr>
        <w:pStyle w:val="FootnoteText"/>
      </w:pPr>
      <w:r w:rsidRPr="00B73CE6">
        <w:rPr>
          <w:rStyle w:val="FootnoteReference"/>
          <w:sz w:val="16"/>
          <w:szCs w:val="16"/>
        </w:rPr>
        <w:footnoteRef/>
      </w:r>
      <w:r w:rsidRPr="00B73CE6">
        <w:rPr>
          <w:sz w:val="16"/>
          <w:szCs w:val="16"/>
        </w:rPr>
        <w:t xml:space="preserve"> Data suppressed due to questionable data quality. </w:t>
      </w:r>
    </w:p>
  </w:footnote>
  <w:footnote w:id="13">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14">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15">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16">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CC6A4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C30"/>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086"/>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20C"/>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A1F"/>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286B"/>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47B"/>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24B"/>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0DBC"/>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05B"/>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A00"/>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5F6"/>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3CE6"/>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C2"/>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A41"/>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3E5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6B7"/>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www.w3.org/XML/1998/namespace"/>
    <ds:schemaRef ds:uri="292db1e8-b3d0-4356-8ef3-2a6d7ed77883"/>
    <ds:schemaRef ds:uri="http://schemas.microsoft.com/office/infopath/2007/PartnerControls"/>
    <ds:schemaRef ds:uri="http://purl.org/dc/terms/"/>
    <ds:schemaRef ds:uri="http://purl.org/dc/dcmitype/"/>
    <ds:schemaRef ds:uri="http://purl.org/dc/elements/1.1/"/>
    <ds:schemaRef ds:uri="http://schemas.microsoft.com/office/2006/metadata/properties"/>
    <ds:schemaRef ds:uri="http://schemas.microsoft.com/office/2006/documentManagement/types"/>
    <ds:schemaRef ds:uri="4f36bac4-6705-4a36-974b-7c07450fedf2"/>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3AFA26D-7A04-4269-AA0E-5A3121A4E4A0}"/>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30</TotalTime>
  <Pages>109</Pages>
  <Words>74903</Words>
  <Characters>426948</Characters>
  <Application>Microsoft Office Word</Application>
  <DocSecurity>0</DocSecurity>
  <Lines>3557</Lines>
  <Paragraphs>1001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14</cp:revision>
  <cp:lastPrinted>2014-08-19T16:56:00Z</cp:lastPrinted>
  <dcterms:created xsi:type="dcterms:W3CDTF">2023-06-29T00:10:00Z</dcterms:created>
  <dcterms:modified xsi:type="dcterms:W3CDTF">2023-08-01T12:03:00Z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