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US Virgin Islands</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Virgin Islands Infants and Toddlers Program (VI-ITP), Part C of IDEA, is an early intervention program that serves infants and toddlers with established conditions and developmental delays, birth to three. The ITP serves the districts of St. Thomas/St. John and Water Island, and the district of St. Croix. The ITP offers case management services to assist and enable an infant or toddler with a disability and their family to receive their services and know their rights, coordinates evaluations and assessments, facilitates the development, review, and evaluation of IFSPs, and serve as the single point of contact in assisting parents of infants and toddlers in obtaining access to needed early intervention services. The early intervention services offered by the VI-ITP are free of charge to the family. Technical assistance is provided to the VI-ITP by a team of professionals representing the IDEA Data Center (IDC), the Early Childhood Technical Assistance Center (ECTA Center), the </w:t>
      </w:r>
      <w:proofErr w:type="spellStart"/>
      <w:r w:rsidRPr="00ED172B">
        <w:rPr>
          <w:color w:val="000000" w:themeColor="text1"/>
        </w:rPr>
        <w:t>DaSy</w:t>
      </w:r>
      <w:proofErr w:type="spellEnd"/>
      <w:r w:rsidRPr="00ED172B">
        <w:rPr>
          <w:color w:val="000000" w:themeColor="text1"/>
        </w:rPr>
        <w:t xml:space="preserve"> Center, the Center for IDEA Fiscal Reporting (CIFR) and the National Center for Systemic Improvement (NCSI) who are experienced in IDEA requirements and compliance mandates.</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Virgin Islands Infants and Toddlers Program (ITP) consists of two districts: St Thomas/St John and St Croix. VI ITP has policies and procedures in place to ensure that IDEA requirements are met, and the processes which enable the program to identify and correct non-compliance are implemented. The VI ITP has experienced staff shortages specifically in the St. Croix district since 2018. As a </w:t>
      </w:r>
      <w:proofErr w:type="gramStart"/>
      <w:r w:rsidRPr="00ED172B">
        <w:rPr>
          <w:color w:val="000000" w:themeColor="text1"/>
          <w:szCs w:val="16"/>
        </w:rPr>
        <w:t>result</w:t>
      </w:r>
      <w:proofErr w:type="gramEnd"/>
      <w:r w:rsidRPr="00ED172B">
        <w:rPr>
          <w:color w:val="000000" w:themeColor="text1"/>
          <w:szCs w:val="16"/>
        </w:rPr>
        <w:t xml:space="preserve"> the ITP has had to rely on the two more experienced EI providers to serve as Interim Service Coordinators (ISC). Communication between the Director and the ISCs occurred on a weekly basis to answer any questions they had and assist where needed. Despite the shortage, no child in the VI ITP has not received services as indicated on their IFSP. The VI Infants and Toddlers Program Director notifies the early intervention personnel of any non-compliance areas and meets with all personnel to convey the areas of noncompliance and improvement and any corrections needed. In cases where there was </w:t>
      </w:r>
      <w:proofErr w:type="spellStart"/>
      <w:proofErr w:type="gramStart"/>
      <w:r w:rsidRPr="00ED172B">
        <w:rPr>
          <w:color w:val="000000" w:themeColor="text1"/>
          <w:szCs w:val="16"/>
        </w:rPr>
        <w:t>non compliance</w:t>
      </w:r>
      <w:proofErr w:type="spellEnd"/>
      <w:proofErr w:type="gramEnd"/>
      <w:r w:rsidRPr="00ED172B">
        <w:rPr>
          <w:color w:val="000000" w:themeColor="text1"/>
          <w:szCs w:val="16"/>
        </w:rPr>
        <w:t>, the VI ITP ensured that it was corrected on the child specific level as well as the state level as required by the OSEP 09-02 Memo.</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ITP received technical assistance from the Early Childhood Technical Assistance Center (ECTA Center) and the </w:t>
      </w:r>
      <w:proofErr w:type="spellStart"/>
      <w:r w:rsidRPr="00ED172B">
        <w:rPr>
          <w:color w:val="000000" w:themeColor="text1"/>
          <w:szCs w:val="16"/>
        </w:rPr>
        <w:t>DaSy</w:t>
      </w:r>
      <w:proofErr w:type="spellEnd"/>
      <w:r w:rsidRPr="00ED172B">
        <w:rPr>
          <w:color w:val="000000" w:themeColor="text1"/>
          <w:szCs w:val="16"/>
        </w:rPr>
        <w:t xml:space="preserve"> State </w:t>
      </w:r>
      <w:proofErr w:type="spellStart"/>
      <w:r w:rsidRPr="00ED172B">
        <w:rPr>
          <w:color w:val="000000" w:themeColor="text1"/>
          <w:szCs w:val="16"/>
        </w:rPr>
        <w:t>Liason</w:t>
      </w:r>
      <w:proofErr w:type="spellEnd"/>
      <w:r w:rsidRPr="00ED172B">
        <w:rPr>
          <w:color w:val="000000" w:themeColor="text1"/>
          <w:szCs w:val="16"/>
        </w:rPr>
        <w:t xml:space="preserve">, and the Center for IDEA Fiscal Reporting. There is a standing bi-weekly TA meeting with </w:t>
      </w:r>
      <w:proofErr w:type="spellStart"/>
      <w:r w:rsidRPr="00ED172B">
        <w:rPr>
          <w:color w:val="000000" w:themeColor="text1"/>
          <w:szCs w:val="16"/>
        </w:rPr>
        <w:t>DaSy</w:t>
      </w:r>
      <w:proofErr w:type="spellEnd"/>
      <w:r w:rsidRPr="00ED172B">
        <w:rPr>
          <w:color w:val="000000" w:themeColor="text1"/>
          <w:szCs w:val="16"/>
        </w:rPr>
        <w:t xml:space="preserve">/SRI/ECTA. The </w:t>
      </w:r>
      <w:proofErr w:type="gramStart"/>
      <w:r w:rsidRPr="00ED172B">
        <w:rPr>
          <w:color w:val="000000" w:themeColor="text1"/>
          <w:szCs w:val="16"/>
        </w:rPr>
        <w:t>TA's</w:t>
      </w:r>
      <w:proofErr w:type="gramEnd"/>
      <w:r w:rsidRPr="00ED172B">
        <w:rPr>
          <w:color w:val="000000" w:themeColor="text1"/>
          <w:szCs w:val="16"/>
        </w:rPr>
        <w:t xml:space="preserve"> in these centers are experienced in IDEA requirements and compliance and continues to assist the VI ITP.   </w:t>
      </w:r>
      <w:r w:rsidRPr="00ED172B">
        <w:rPr>
          <w:color w:val="000000" w:themeColor="text1"/>
          <w:szCs w:val="16"/>
        </w:rPr>
        <w:br/>
        <w:t xml:space="preserve">As a result of COVID-19, some initiatives for provider training have been put on hold. There </w:t>
      </w:r>
      <w:proofErr w:type="gramStart"/>
      <w:r w:rsidRPr="00ED172B">
        <w:rPr>
          <w:color w:val="000000" w:themeColor="text1"/>
          <w:szCs w:val="16"/>
        </w:rPr>
        <w:t>is</w:t>
      </w:r>
      <w:proofErr w:type="gramEnd"/>
      <w:r w:rsidRPr="00ED172B">
        <w:rPr>
          <w:color w:val="000000" w:themeColor="text1"/>
          <w:szCs w:val="16"/>
        </w:rPr>
        <w:t xml:space="preserve"> still concerns by some providers. There was input from the TA Centers in developing this APR/SSIP. The TA Centers assisted the ITP in improving the database used to provide the information for all federal reports submitted including this APR. This database continues to be a valuable tool in providing reliable data. Comments from families of children enrolled in the ITP were collected through family survey responses.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ITP staff is committed, experienced, and dedicated to improving infants' and toddlers' lives in the Virgin Islands. Monthly provider meetings are conducted virtually to allow providers to seek assistance regarding any challenging issues and provide the staff an opportunity to share strategies and experiences. The VI ITP has asked the EI staff to consider the possibility of having in-person monthly meetings. Other professional development opportunities include webinars from the ECTA centers and a weekly newsletter from </w:t>
      </w:r>
      <w:proofErr w:type="spellStart"/>
      <w:r w:rsidRPr="00ED172B">
        <w:rPr>
          <w:color w:val="000000" w:themeColor="text1"/>
          <w:szCs w:val="16"/>
        </w:rPr>
        <w:t>himama</w:t>
      </w:r>
      <w:proofErr w:type="spellEnd"/>
      <w:r w:rsidRPr="00ED172B">
        <w:rPr>
          <w:color w:val="000000" w:themeColor="text1"/>
          <w:szCs w:val="16"/>
        </w:rPr>
        <w:t xml:space="preserve"> based in Canada. These newsletters have provided valuable strategies as we continue to experience the impact of COVID-19. Early intervention providers have received information from the Hunt Institute, STEMIE, Learn the Signs Act Early for professional development opportunities. Both St. Thomas and St. Croix districts have part-time staff who work for both Preschool Special Education and the Infants and Toddlers Program. They will benefit from professional development training from both the DOE and the Infants and Toddlers Program once there is less health threat due to COVID-19. There remain continued challenges regarding recruiting and retaining early intervention providers as well as pediatric OT, PT, and S/LP.</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Virgin Islands Infants and Toddlers stakeholders consist of members of the VI Interagency Coordinating Council (VI-ICC), who advises and assist the ITP regarding the provision of early intervention services for children with disabilities from birth to three and other child development agencies. There were meetings held in May 2022, June 2022, and December 2022. The council has a diverse membership, including parents of children with a disability and state agencies involved in the provision of early intervention services, a member responsible for the State Medicare program, the SEA responsible for </w:t>
      </w:r>
      <w:proofErr w:type="gramStart"/>
      <w:r w:rsidRPr="00ED172B">
        <w:rPr>
          <w:color w:val="000000" w:themeColor="text1"/>
          <w:szCs w:val="16"/>
        </w:rPr>
        <w:t>child care</w:t>
      </w:r>
      <w:proofErr w:type="gramEnd"/>
      <w:r w:rsidRPr="00ED172B">
        <w:rPr>
          <w:color w:val="000000" w:themeColor="text1"/>
          <w:szCs w:val="16"/>
        </w:rPr>
        <w:t xml:space="preserve">, and other entities who give the ITP advice in areas of child development, human resources, and child find. Conference calls were held with available stakeholders to discuss the targets and how they will be reached. </w:t>
      </w:r>
      <w:proofErr w:type="gramStart"/>
      <w:r w:rsidRPr="00ED172B">
        <w:rPr>
          <w:color w:val="000000" w:themeColor="text1"/>
          <w:szCs w:val="16"/>
        </w:rPr>
        <w:t>In an effort to</w:t>
      </w:r>
      <w:proofErr w:type="gramEnd"/>
      <w:r w:rsidRPr="00ED172B">
        <w:rPr>
          <w:color w:val="000000" w:themeColor="text1"/>
          <w:szCs w:val="16"/>
        </w:rPr>
        <w:t xml:space="preserve"> increase the child find, one of the SSIP strands, the VI ITP met with VI Partners for Healthy Communities and the Project Launch program. The ITP Director also serves on the Project Launch Young Child Wellness Advisory Council. Beginning in 2022 the VI ITP also presented the findings of the SPP/APR, Exiting, and Child Count reports to the DOH Leadership when required to present the status of the program. Each program within the Department of Health usually presents at least two times per calendar year.</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4</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lastRenderedPageBreak/>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Parent members participated in the VI-ICC meetings where there were discussions about setting new targets.  During the last three years many organizations have not been able to meet or continue to function as a result of the lockdowns, social distancing requirements and just the overall "Covid-19 fatigue".  The Project Launch Program has recently decided to restart hosting Parent Cafes which the VI ITP will participate in.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VI ICC Facebook page is updated with information that would benefit families with infants &amp; toddlers with disabilities and their families. Some modules from the </w:t>
      </w:r>
      <w:proofErr w:type="spellStart"/>
      <w:r w:rsidRPr="00ED172B">
        <w:rPr>
          <w:color w:val="000000" w:themeColor="text1"/>
          <w:szCs w:val="16"/>
        </w:rPr>
        <w:t>DaSy</w:t>
      </w:r>
      <w:proofErr w:type="spellEnd"/>
      <w:r w:rsidRPr="00ED172B">
        <w:rPr>
          <w:color w:val="000000" w:themeColor="text1"/>
          <w:szCs w:val="16"/>
        </w:rPr>
        <w:t xml:space="preserve"> website </w:t>
      </w:r>
      <w:proofErr w:type="gramStart"/>
      <w:r w:rsidRPr="00ED172B">
        <w:rPr>
          <w:color w:val="000000" w:themeColor="text1"/>
          <w:szCs w:val="16"/>
        </w:rPr>
        <w:t>was</w:t>
      </w:r>
      <w:proofErr w:type="gramEnd"/>
      <w:r w:rsidRPr="00ED172B">
        <w:rPr>
          <w:color w:val="000000" w:themeColor="text1"/>
          <w:szCs w:val="16"/>
        </w:rPr>
        <w:t xml:space="preserve"> shared with providers in each district that will assist them with completing their assessments and assisting them with working with the children they are assigned. In February 2022, the Service Coordinator from the St. Thomas/St. John district, seven EI providers between both districts and 4 parents between both districts participated in a </w:t>
      </w:r>
      <w:proofErr w:type="gramStart"/>
      <w:r w:rsidRPr="00ED172B">
        <w:rPr>
          <w:color w:val="000000" w:themeColor="text1"/>
          <w:szCs w:val="16"/>
        </w:rPr>
        <w:t>three week</w:t>
      </w:r>
      <w:proofErr w:type="gramEnd"/>
      <w:r w:rsidRPr="00ED172B">
        <w:rPr>
          <w:color w:val="000000" w:themeColor="text1"/>
          <w:szCs w:val="16"/>
        </w:rPr>
        <w:t xml:space="preserve"> asynchronous training held by the Play Project. Some EI providers participated in the ACT EARLY VI Professional Development Series held by the University of the Virgin Islands School of Education.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Public input is solicited during the public notice of the grant application. The grant applications </w:t>
      </w:r>
      <w:proofErr w:type="gramStart"/>
      <w:r w:rsidRPr="00ED172B">
        <w:rPr>
          <w:color w:val="000000" w:themeColor="text1"/>
          <w:szCs w:val="16"/>
        </w:rPr>
        <w:t>are located in</w:t>
      </w:r>
      <w:proofErr w:type="gramEnd"/>
      <w:r w:rsidRPr="00ED172B">
        <w:rPr>
          <w:color w:val="000000" w:themeColor="text1"/>
          <w:szCs w:val="16"/>
        </w:rPr>
        <w:t xml:space="preserve"> the office on each island and are posted on the Department of Health's (DOH) website. The notice of where you can review the grant application is also posted on the VI ICC Facebook page.</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VI ITP has not </w:t>
      </w:r>
      <w:proofErr w:type="spellStart"/>
      <w:proofErr w:type="gramStart"/>
      <w:r w:rsidRPr="00ED172B">
        <w:rPr>
          <w:color w:val="000000" w:themeColor="text1"/>
          <w:szCs w:val="16"/>
        </w:rPr>
        <w:t>began</w:t>
      </w:r>
      <w:proofErr w:type="spellEnd"/>
      <w:proofErr w:type="gramEnd"/>
      <w:r w:rsidRPr="00ED172B">
        <w:rPr>
          <w:color w:val="000000" w:themeColor="text1"/>
          <w:szCs w:val="16"/>
        </w:rPr>
        <w:t xml:space="preserve"> the process of reviewing and setting new targets. Once this process begins notice will be made available on the DOH website as well as the VI ICC Facebook page.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SPP/APR data and targets was shared in the weekly DOH Director's Team meeting where the VI ITP was asked to present.  The website for the SPP/APR: https://doh.vi.gov/programs/infant-and-toddlers-program</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Virgin Island Department of Health's (VIDH) IDEA Part C FFY 2021 and FFY 2022 grants were subject to both OSEP Specific Conditions as well as Department-wide Specific Conditions.</w:t>
      </w:r>
      <w:r w:rsidRPr="00ED172B">
        <w:rPr>
          <w:color w:val="000000" w:themeColor="text1"/>
        </w:rPr>
        <w:br/>
      </w:r>
      <w:r w:rsidRPr="00ED172B">
        <w:rPr>
          <w:color w:val="000000" w:themeColor="text1"/>
        </w:rPr>
        <w:br/>
        <w:t xml:space="preserve">VI has not publicly reported on the FFY 2019 (July 1, 2019-June 30, 2020), FFY 2018 (July 1, 2018-June 30, 2019), FFY 2017 (July 1, 2017-June 30, 2018), and FFY 2016 (July 1, 2016 - June 30, 2017) performance of each EIS program or provider located in the VI on the targets in VI's performance plan as required by sections 616(b)(2)(C)(ii)(I) and 642 of IDEA.  With its FFY 2021 SPP/APR, VI must provide a Web link demonstrating that VI reported to the public on the performance of each early intervention service program or provider located in the VI on the targets in the SPP/APR for FFY 2019, FFY 2018, FFY 2017 and FFY 2016. In addition, VI must report with its FFY 2021 SPP/APR, how and where VI reported to the public on the FFY 2020 performance of each early intervention service program or provider located in the VI on the targets in the SPP/APR.  </w:t>
      </w:r>
      <w:r w:rsidRPr="00ED172B">
        <w:rPr>
          <w:color w:val="000000" w:themeColor="text1"/>
        </w:rPr>
        <w:br/>
      </w:r>
      <w:r w:rsidRPr="00ED172B">
        <w:rPr>
          <w:color w:val="000000" w:themeColor="text1"/>
        </w:rPr>
        <w:br/>
        <w:t xml:space="preserve">VI's IDEA Part C determination for both 2021 and 2022 is Needs Assistance. In VI's 2022 determination letter, the Department advised VI of available sources of technical assistance, including OSEP-funded technical assistance centers, and required VI to work with appropriate entities. The Department directed VI to determine the results elements and/or compliance indicators, and improvement strategies, on which it will focus its use of available technical assistance, in order to improve its performance.  </w:t>
      </w:r>
      <w:r w:rsidRPr="00ED172B">
        <w:rPr>
          <w:color w:val="000000" w:themeColor="text1"/>
        </w:rPr>
        <w:br/>
      </w:r>
      <w:r w:rsidRPr="00ED172B">
        <w:rPr>
          <w:color w:val="000000" w:themeColor="text1"/>
        </w:rPr>
        <w:br/>
        <w:t xml:space="preserve">VI must report, with its FFY 2021 SPP/APR submission, due February 1, 2023, on: (1) the technical assistance sources from </w:t>
      </w:r>
      <w:proofErr w:type="gramStart"/>
      <w:r w:rsidRPr="00ED172B">
        <w:rPr>
          <w:color w:val="000000" w:themeColor="text1"/>
        </w:rPr>
        <w:t>which  VI</w:t>
      </w:r>
      <w:proofErr w:type="gramEnd"/>
      <w:r w:rsidRPr="00ED172B">
        <w:rPr>
          <w:color w:val="000000" w:themeColor="text1"/>
        </w:rPr>
        <w:t xml:space="preserve"> received assistance; and (2) the actions VI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 xml:space="preserve">The VI ITP has received technical assistance from </w:t>
      </w:r>
      <w:proofErr w:type="spellStart"/>
      <w:r w:rsidRPr="00ED172B">
        <w:rPr>
          <w:color w:val="000000" w:themeColor="text1"/>
        </w:rPr>
        <w:t>DaSy</w:t>
      </w:r>
      <w:proofErr w:type="spellEnd"/>
      <w:r w:rsidRPr="00ED172B">
        <w:rPr>
          <w:color w:val="000000" w:themeColor="text1"/>
        </w:rPr>
        <w:t xml:space="preserve">, ECTA and </w:t>
      </w:r>
      <w:proofErr w:type="spellStart"/>
      <w:r w:rsidRPr="00ED172B">
        <w:rPr>
          <w:color w:val="000000" w:themeColor="text1"/>
        </w:rPr>
        <w:t>CiFR</w:t>
      </w:r>
      <w:proofErr w:type="spellEnd"/>
      <w:r w:rsidRPr="00ED172B">
        <w:rPr>
          <w:color w:val="000000" w:themeColor="text1"/>
        </w:rPr>
        <w:t xml:space="preserve">. Meetings with </w:t>
      </w:r>
      <w:proofErr w:type="spellStart"/>
      <w:r w:rsidRPr="00ED172B">
        <w:rPr>
          <w:color w:val="000000" w:themeColor="text1"/>
        </w:rPr>
        <w:t>DaSy</w:t>
      </w:r>
      <w:proofErr w:type="spellEnd"/>
      <w:r w:rsidRPr="00ED172B">
        <w:rPr>
          <w:color w:val="000000" w:themeColor="text1"/>
        </w:rPr>
        <w:t xml:space="preserve"> and ECTA were initially scheduled monthly until early 2022 when the meetings were increased to twice a month. The ITP Director attends the monthly </w:t>
      </w:r>
      <w:proofErr w:type="spellStart"/>
      <w:r w:rsidRPr="00ED172B">
        <w:rPr>
          <w:color w:val="000000" w:themeColor="text1"/>
        </w:rPr>
        <w:t>CiFR</w:t>
      </w:r>
      <w:proofErr w:type="spellEnd"/>
      <w:r w:rsidRPr="00ED172B">
        <w:rPr>
          <w:color w:val="000000" w:themeColor="text1"/>
        </w:rPr>
        <w:t xml:space="preserve"> meetings virtually and when </w:t>
      </w:r>
      <w:proofErr w:type="gramStart"/>
      <w:r w:rsidRPr="00ED172B">
        <w:rPr>
          <w:color w:val="000000" w:themeColor="text1"/>
        </w:rPr>
        <w:t>necessary</w:t>
      </w:r>
      <w:proofErr w:type="gramEnd"/>
      <w:r w:rsidRPr="00ED172B">
        <w:rPr>
          <w:color w:val="000000" w:themeColor="text1"/>
        </w:rPr>
        <w:t xml:space="preserve"> contacts the TA representative by email.  Attending the 2022 IDIO Conference was beneficial in that there were many processes and procedures from other States that could be implemented in the VI ITP with stakeholder input from the VI ICC.</w:t>
      </w:r>
      <w:r w:rsidRPr="00ED172B">
        <w:rPr>
          <w:color w:val="000000" w:themeColor="text1"/>
        </w:rPr>
        <w:br/>
        <w:t>Stakeholder input, Fiscal, Data/Monitoring</w:t>
      </w:r>
      <w:r w:rsidRPr="00ED172B">
        <w:rPr>
          <w:color w:val="000000" w:themeColor="text1"/>
        </w:rPr>
        <w:br/>
      </w:r>
      <w:proofErr w:type="spellStart"/>
      <w:r w:rsidRPr="00ED172B">
        <w:rPr>
          <w:color w:val="000000" w:themeColor="text1"/>
        </w:rPr>
        <w:t>DaSy</w:t>
      </w:r>
      <w:proofErr w:type="spellEnd"/>
      <w:r w:rsidRPr="00ED172B">
        <w:rPr>
          <w:color w:val="000000" w:themeColor="text1"/>
        </w:rPr>
        <w:t xml:space="preserve"> has presented in the VI ICC meetings to educate the members about IDEA, Part C and how the VI ITP carries out the mandates. The members were also educated on what their roles were in advising and assisting the VI ITP. </w:t>
      </w:r>
      <w:r w:rsidRPr="00ED172B">
        <w:rPr>
          <w:color w:val="000000" w:themeColor="text1"/>
        </w:rPr>
        <w:br/>
        <w:t xml:space="preserve">With the assistance of </w:t>
      </w:r>
      <w:proofErr w:type="spellStart"/>
      <w:r w:rsidRPr="00ED172B">
        <w:rPr>
          <w:color w:val="000000" w:themeColor="text1"/>
        </w:rPr>
        <w:t>DaSy</w:t>
      </w:r>
      <w:proofErr w:type="spellEnd"/>
      <w:r w:rsidRPr="00ED172B">
        <w:rPr>
          <w:color w:val="000000" w:themeColor="text1"/>
        </w:rPr>
        <w:t xml:space="preserve"> and ECTA the VI ITP was able to get major improvements made to the existing Excel spreadsheet that was initially developed by the VI ITP. There were several meetings held with ITP staff in both districts to make sure that the embedded formulas were producing accurate data to be used for OSEP reporting. </w:t>
      </w:r>
      <w:r w:rsidRPr="00ED172B">
        <w:rPr>
          <w:color w:val="000000" w:themeColor="text1"/>
        </w:rPr>
        <w:br/>
        <w:t xml:space="preserve">Discussions with </w:t>
      </w:r>
      <w:proofErr w:type="spellStart"/>
      <w:r w:rsidRPr="00ED172B">
        <w:rPr>
          <w:color w:val="000000" w:themeColor="text1"/>
        </w:rPr>
        <w:t>DaSy</w:t>
      </w:r>
      <w:proofErr w:type="spellEnd"/>
      <w:r w:rsidRPr="00ED172B">
        <w:rPr>
          <w:color w:val="000000" w:themeColor="text1"/>
        </w:rPr>
        <w:t xml:space="preserve"> and ECTA </w:t>
      </w:r>
      <w:proofErr w:type="gramStart"/>
      <w:r w:rsidRPr="00ED172B">
        <w:rPr>
          <w:color w:val="000000" w:themeColor="text1"/>
        </w:rPr>
        <w:t>continue on</w:t>
      </w:r>
      <w:proofErr w:type="gramEnd"/>
      <w:r w:rsidRPr="00ED172B">
        <w:rPr>
          <w:color w:val="000000" w:themeColor="text1"/>
        </w:rPr>
        <w:t xml:space="preserve"> Medicaid and the possibility of incorporating a payment system in the VI ITP. There has been stakeholder engagement in VI ICC meetings and there will be continued discussions to get stakeholder input.</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Virgin Islands lead agency's submission of its SPP/APR as its annual report in lieu of submitting a separate report. OSEP accepts the SICC form, which will not be posted publicly with the VI's SPP/APR documents.</w:t>
      </w:r>
      <w:r w:rsidRPr="00ED172B">
        <w:rPr>
          <w:color w:val="000000" w:themeColor="text1"/>
        </w:rPr>
        <w:br/>
      </w:r>
      <w:r w:rsidRPr="00ED172B">
        <w:rPr>
          <w:color w:val="000000" w:themeColor="text1"/>
        </w:rPr>
        <w:br/>
        <w:t xml:space="preserve">The Virgin Islands' (VI's) determinations for both 2021 and 2022 were Needs Assistance. Pursuant to sections 616(e)(1) and 642 of the IDEA and 34 </w:t>
      </w:r>
      <w:r w:rsidRPr="00ED172B">
        <w:rPr>
          <w:color w:val="000000" w:themeColor="text1"/>
        </w:rPr>
        <w:lastRenderedPageBreak/>
        <w:t xml:space="preserve">C.F.R. § 303.704(a), OSEP's June 22, </w:t>
      </w:r>
      <w:proofErr w:type="gramStart"/>
      <w:r w:rsidRPr="00ED172B">
        <w:rPr>
          <w:color w:val="000000" w:themeColor="text1"/>
        </w:rPr>
        <w:t>2022</w:t>
      </w:r>
      <w:proofErr w:type="gramEnd"/>
      <w:r w:rsidRPr="00ED172B">
        <w:rPr>
          <w:color w:val="000000" w:themeColor="text1"/>
        </w:rPr>
        <w:t xml:space="preserve"> determination letter informed VI that it must report with its FFY 2021 SPP/APR submission, due February 1, 2023, on: (1) the technical assistance sources from which VI received assistance; and (2) the actions VI took as a result of that technical assistance. VI provided the required information.</w:t>
      </w:r>
      <w:r w:rsidRPr="00ED172B">
        <w:rPr>
          <w:color w:val="000000" w:themeColor="text1"/>
        </w:rPr>
        <w:br/>
      </w:r>
      <w:r w:rsidRPr="00ED172B">
        <w:rPr>
          <w:color w:val="000000" w:themeColor="text1"/>
        </w:rPr>
        <w:br/>
        <w:t xml:space="preserve">OSEP's Required Actions to the State's FFY 2020 SPP/APR required the Virgin Islands to provide a Web link demonstrating that VI reported to the public on the performance of each early intervention service program or provider located in the VI on the targets in the SPP/APR for FFY 2019, FFY 2018, FFY 2017 and FFY 2016. VI provided the weblink for FFY 2018 and FFY 2019. The VI reported that early intervention records from FFY 2016 and FFY 2017 were destroyed as a result of flooding in the St. Thomas and St. Croix offices due to the catastrophic hurricanes. </w:t>
      </w:r>
      <w:r w:rsidRPr="00ED172B">
        <w:rPr>
          <w:color w:val="000000" w:themeColor="text1"/>
        </w:rPr>
        <w:br/>
      </w:r>
      <w:r w:rsidRPr="00ED172B">
        <w:rPr>
          <w:color w:val="000000" w:themeColor="text1"/>
        </w:rPr>
        <w:br/>
        <w:t>The VI did not, as required, report mechanisms and timelines for soliciting public input for setting targets, analyzing data, developing improvement strategies, and evaluating progress.</w:t>
      </w:r>
      <w:r w:rsidRPr="00ED172B">
        <w:rPr>
          <w:color w:val="000000" w:themeColor="text1"/>
        </w:rPr>
        <w:br/>
      </w:r>
      <w:r w:rsidRPr="00ED172B">
        <w:rPr>
          <w:color w:val="000000" w:themeColor="text1"/>
        </w:rPr>
        <w:br/>
        <w:t>The VI did not, as required, report on the mechanisms and timelines for making the results of the target setting, data analysis, development of the improvement strategies, and evaluation available to the public.</w:t>
      </w:r>
      <w:r w:rsidRPr="00ED172B">
        <w:rPr>
          <w:color w:val="000000" w:themeColor="text1"/>
        </w:rPr>
        <w:br/>
      </w:r>
      <w:r w:rsidRPr="00ED172B">
        <w:rPr>
          <w:color w:val="000000" w:themeColor="text1"/>
        </w:rPr>
        <w:br/>
        <w:t>OSEP has imposed Specific Conditions on VIDH's IDEA Part C grant award from each year from FFY 2001 through FFY 2022 related to timely payment to ensure the timely provision of services in 34 CFR 303.342(e). The Department imposed Specific Conditions on the IDEA Part C grant award as well. Both of those Specific Conditions are in effect at the time of the Department’s 2023 determination.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The VI must report with its FFY 2022 SPP/APR, how and where the VI reported to the public on the FFY 2021 performance of each early intervention service program or provider located in the VI on the targets in the SPP/APR.</w:t>
      </w:r>
      <w:r w:rsidRPr="00ED172B">
        <w:rPr>
          <w:color w:val="000000" w:themeColor="text1"/>
        </w:rPr>
        <w:br/>
      </w:r>
      <w:r w:rsidRPr="00ED172B">
        <w:rPr>
          <w:color w:val="000000" w:themeColor="text1"/>
        </w:rPr>
        <w:br/>
        <w:t xml:space="preserve">The VI did not report on the mechanisms and timelines for soliciting public input for setting targets, analyzing data, developing improvement strategies, and evaluating progress or the mechanisms and timelines for making the results of the target setting, data analysis, development of the improvement strategies, and evaluation available to the public. In the FFY 2022 SPP/APR, VI must provide the required information. </w:t>
      </w:r>
      <w:r w:rsidRPr="00ED172B">
        <w:rPr>
          <w:color w:val="000000" w:themeColor="text1"/>
        </w:rPr>
        <w:br/>
      </w:r>
      <w:r w:rsidRPr="00ED172B">
        <w:rPr>
          <w:color w:val="000000" w:themeColor="text1"/>
        </w:rPr>
        <w:br/>
        <w:t>The Virgin Islands' (VI's) IDEA Part C determination for both 2022 and 2023 is Needs Assistance. In VI's 2023 determination letter, the Department advised VI of available sources of technical assistance, including OSEP-funded technical assistance centers, and required VI to work with appropriate entities. The Department directed VI to determine the results elements and/or compliance indicators, and improvement strategies, on which it will focus its use of available technical assistance, in order to improve its performance. VI must report, with its FFY 2022 SPP/APR submission, due February 1, 2024, on: (1) the technical assistance sources from which VI received assistance; and (2) the actions VI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100.00%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96.60%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98.70%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99.55%</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95.13%</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99.09%</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207</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220</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99.09%</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99.55%</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12</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In the St. Thomas/St. John district we continue to have delays due to COVID-19; daycare providers and parents were continuing to be reluctant to meet face to face. Some families opted out of virtual services, and some children had medical appointments off island for extended periods of time.</w:t>
      </w:r>
      <w:r w:rsidRPr="00ED172B">
        <w:rPr>
          <w:color w:val="000000" w:themeColor="text1"/>
          <w:szCs w:val="16"/>
        </w:rPr>
        <w:br/>
        <w:t>In the St. Croix district delays were due to families moving without notifying the program, changing cell phone numbers without notifying the program, cancelling or rescheduling appointments and finally restricting services at home or daycare due to COVID.</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Timely criteria for early intervention services occurs between the date of IFSP consent by family and the first day of service which must not exceed 30 days.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The data was collected from the full reporting period, July 1, </w:t>
      </w:r>
      <w:proofErr w:type="gramStart"/>
      <w:r w:rsidRPr="00ED172B">
        <w:rPr>
          <w:color w:val="000000" w:themeColor="text1"/>
        </w:rPr>
        <w:t>2021</w:t>
      </w:r>
      <w:proofErr w:type="gramEnd"/>
      <w:r w:rsidRPr="00ED172B">
        <w:rPr>
          <w:color w:val="000000" w:themeColor="text1"/>
        </w:rPr>
        <w:t xml:space="preserve"> to June 30, 2022. </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This data accurately </w:t>
      </w:r>
      <w:proofErr w:type="gramStart"/>
      <w:r w:rsidRPr="00ED172B">
        <w:rPr>
          <w:color w:val="000000" w:themeColor="text1"/>
        </w:rPr>
        <w:t>reflect</w:t>
      </w:r>
      <w:proofErr w:type="gramEnd"/>
      <w:r w:rsidRPr="00ED172B">
        <w:rPr>
          <w:color w:val="000000" w:themeColor="text1"/>
        </w:rPr>
        <w:t xml:space="preserve"> all children for whom an IFSP was developed from July 1, 2021 to June 30, 2022. The Service Coordinator in each district receives the information/reports from the Providers and enters the information in the database. The database has formulas in place to indicate the upcoming due dates.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A total of two findings of noncompliance were identified in the St. Croix district. The Providers assigned to these cases were concerned about Covid 19, and face to face services, therefore the cases had to be reassigned resulting in developmental services being late. The ITP has verified that the program with noncompliance under this indicator: (1) is correctly implementing the specific regulatory requirements; and (2) has initiated developmental services for each child, although late, unless the child is no longer within the jurisdiction of the EIS program, consistent with OSEP Memorandum 09-02, dated October 17, 2008 (OSEP Memo 09-02). The ITP monitored the St. Croix district, through meetings, review of case files and on-site verification of data. The process included notifying the program of the two findings of non-compliance; and informing them of corrections of noncompliance according to 09-02. The ITP corrective actions </w:t>
      </w:r>
      <w:proofErr w:type="gramStart"/>
      <w:r w:rsidRPr="00ED172B">
        <w:rPr>
          <w:color w:val="000000" w:themeColor="text1"/>
        </w:rPr>
        <w:t>includes</w:t>
      </w:r>
      <w:proofErr w:type="gramEnd"/>
      <w:r w:rsidRPr="00ED172B">
        <w:rPr>
          <w:color w:val="000000" w:themeColor="text1"/>
        </w:rPr>
        <w:t xml:space="preserve"> a program analysis of the root cause for the non-compliance and action steps with responsible programs and dates to correct the identified issues that led to non-compliance. The ITP reviewed subsequent data that was 100% compliant to close each finding of non-compliance. In subsequent reviews of updated data, it was verified that 100% compliance was achieved.</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The ITP verified that the two files not in compliance, were corrected at the child level, by providing developmental services, according to the IFSP. The ITP verified that the specific regulatory requirements were implemented and ensured that the children received the services listed on the IFSP.  The files for the two cases were reviewed and developmental services were provided specific to the IFSP although late.  The ITP issued a finding and implemented a process of monitoring files for compliance on a quarterly basis. The ITP corrected the instances of noncompliance consistent with OSEP memorandum 09-02.  A subsequent review on St. Croix showed that the files were 100% in compliance consistent with the OSEP memo 09-02.</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FFY 2019</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5</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5</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0</w:t>
            </w:r>
          </w:p>
        </w:tc>
      </w:tr>
      <w:tr w:rsidR="00ED172B" w:rsidRPr="00ED172B" w14:paraId="77EEF846" w14:textId="77777777" w:rsidTr="00986B99">
        <w:tc>
          <w:tcPr>
            <w:tcW w:w="899" w:type="pct"/>
            <w:shd w:val="clear" w:color="auto" w:fill="auto"/>
          </w:tcPr>
          <w:p w14:paraId="5220DDBB" w14:textId="617F1338" w:rsidR="002F1A9A" w:rsidRPr="00ED172B" w:rsidRDefault="00860830" w:rsidP="00186420">
            <w:pPr>
              <w:jc w:val="center"/>
              <w:rPr>
                <w:rFonts w:cs="Arial"/>
                <w:color w:val="000000" w:themeColor="text1"/>
                <w:szCs w:val="16"/>
              </w:rPr>
            </w:pPr>
            <w:r w:rsidRPr="00ED172B">
              <w:rPr>
                <w:rFonts w:cs="Arial"/>
                <w:color w:val="000000" w:themeColor="text1"/>
                <w:szCs w:val="16"/>
              </w:rPr>
              <w:t>FFY 2018</w:t>
            </w:r>
          </w:p>
        </w:tc>
        <w:tc>
          <w:tcPr>
            <w:tcW w:w="1399" w:type="pct"/>
            <w:shd w:val="clear" w:color="auto" w:fill="auto"/>
          </w:tcPr>
          <w:p w14:paraId="51E72912" w14:textId="28137C7A"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14:paraId="2C1F8516" w14:textId="6CE00AC5" w:rsidR="002F1A9A" w:rsidRPr="00ED172B" w:rsidRDefault="00860830" w:rsidP="009A3621">
            <w:pPr>
              <w:jc w:val="center"/>
              <w:rPr>
                <w:rFonts w:cs="Arial"/>
                <w:noProof/>
                <w:color w:val="000000" w:themeColor="text1"/>
                <w:szCs w:val="16"/>
              </w:rPr>
            </w:pPr>
            <w:r w:rsidRPr="00ED172B">
              <w:rPr>
                <w:rFonts w:cs="Arial"/>
                <w:color w:val="000000" w:themeColor="text1"/>
                <w:szCs w:val="16"/>
              </w:rPr>
              <w:t>1</w:t>
            </w:r>
          </w:p>
        </w:tc>
        <w:tc>
          <w:tcPr>
            <w:tcW w:w="1307" w:type="pct"/>
            <w:shd w:val="clear" w:color="auto" w:fill="auto"/>
          </w:tcPr>
          <w:p w14:paraId="504165E6" w14:textId="20AD78DF" w:rsidR="002F1A9A" w:rsidRPr="00ED172B" w:rsidRDefault="00860830" w:rsidP="00433DB7">
            <w:pPr>
              <w:jc w:val="center"/>
              <w:rPr>
                <w:rFonts w:cs="Arial"/>
                <w:noProof/>
                <w:color w:val="000000" w:themeColor="text1"/>
                <w:szCs w:val="16"/>
              </w:rPr>
            </w:pPr>
            <w:r w:rsidRPr="00ED172B">
              <w:rPr>
                <w:rFonts w:cs="Arial"/>
                <w:color w:val="000000" w:themeColor="text1"/>
                <w:szCs w:val="16"/>
              </w:rPr>
              <w:t>0</w:t>
            </w: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63DD048C" w14:textId="53B39DE5" w:rsidR="00E50124" w:rsidRPr="00ED172B" w:rsidRDefault="00E50124" w:rsidP="00B83404">
      <w:pPr>
        <w:rPr>
          <w:rFonts w:cs="Arial"/>
          <w:b/>
          <w:bCs/>
          <w:color w:val="000000" w:themeColor="text1"/>
          <w:szCs w:val="16"/>
        </w:rPr>
      </w:pPr>
      <w:r w:rsidRPr="00ED172B">
        <w:rPr>
          <w:rFonts w:cs="Arial"/>
          <w:b/>
          <w:bCs/>
          <w:color w:val="000000" w:themeColor="text1"/>
          <w:szCs w:val="16"/>
        </w:rPr>
        <w:t>FFY 2019</w:t>
      </w:r>
    </w:p>
    <w:p w14:paraId="6D44D6A0" w14:textId="1AED8B4E" w:rsidR="002F1A9A" w:rsidRPr="00ED172B" w:rsidRDefault="002F1A9A" w:rsidP="00B83404">
      <w:pPr>
        <w:rPr>
          <w:color w:val="000000" w:themeColor="text1"/>
        </w:rPr>
      </w:pPr>
      <w:r w:rsidRPr="00ED172B">
        <w:rPr>
          <w:b/>
          <w:color w:val="000000" w:themeColor="text1"/>
        </w:rPr>
        <w:lastRenderedPageBreak/>
        <w:t>Findings of Noncompliance Verified as Corrected</w:t>
      </w:r>
    </w:p>
    <w:p w14:paraId="04EA9CFC" w14:textId="6669E030"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37950F8B" w14:textId="4BB86D47" w:rsidR="002F1A9A" w:rsidRPr="00ED172B" w:rsidRDefault="00860830">
      <w:pPr>
        <w:rPr>
          <w:color w:val="000000" w:themeColor="text1"/>
        </w:rPr>
      </w:pPr>
      <w:r w:rsidRPr="00ED172B">
        <w:rPr>
          <w:color w:val="000000" w:themeColor="text1"/>
        </w:rPr>
        <w:t xml:space="preserve">The ITP has verified that in the St. Thomas/St. John district, each provider with noncompliance under this indicator: (1) is correctly implementing the specific regulatory requirements; and (2) has initiated services for each child, although late, unless the child is no longer within the jurisdiction of the EIS program, consistent with OSEP Memorandum 09-02, dated October 17, 2008 (OSEP Memo 09-02). The ITP monitored each program, through meetings, review of case files and on-site verification of data. The process included notifying each program of any identified findings of non-compliance; and informing them of corrections of noncompliance according to 09-02. The ITP corrective actions </w:t>
      </w:r>
      <w:proofErr w:type="gramStart"/>
      <w:r w:rsidRPr="00ED172B">
        <w:rPr>
          <w:color w:val="000000" w:themeColor="text1"/>
        </w:rPr>
        <w:t>includes</w:t>
      </w:r>
      <w:proofErr w:type="gramEnd"/>
      <w:r w:rsidRPr="00ED172B">
        <w:rPr>
          <w:color w:val="000000" w:themeColor="text1"/>
        </w:rPr>
        <w:t xml:space="preserve"> a program analysis of the root cause for the non-compliance and action steps with responsible programs and dates to correct the identified issues that led to non-compliance. The ITP reviewed subsequent data that was 100% compliant to close each finding of non-compliance. In subsequent reviews of updated data, it was verified that 100% compliance was achieved.</w:t>
      </w:r>
    </w:p>
    <w:p w14:paraId="6C821079" w14:textId="06CA6D74"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54BEEF03" w14:textId="25F18866" w:rsidR="002F1A9A" w:rsidRDefault="00860830">
      <w:pPr>
        <w:rPr>
          <w:color w:val="000000" w:themeColor="text1"/>
        </w:rPr>
      </w:pPr>
      <w:r w:rsidRPr="00ED172B">
        <w:rPr>
          <w:color w:val="000000" w:themeColor="text1"/>
        </w:rPr>
        <w:t xml:space="preserve">As the territory was recovering from the aftermath of the two 2017 hurricanes and the effects of tropical storm Dorian in 2019, the territory was forced into a state of emergency due to COVID 19. Families were displaced after the </w:t>
      </w:r>
      <w:proofErr w:type="gramStart"/>
      <w:r w:rsidRPr="00ED172B">
        <w:rPr>
          <w:color w:val="000000" w:themeColor="text1"/>
        </w:rPr>
        <w:t>hurricanes</w:t>
      </w:r>
      <w:proofErr w:type="gramEnd"/>
      <w:r w:rsidRPr="00ED172B">
        <w:rPr>
          <w:color w:val="000000" w:themeColor="text1"/>
        </w:rPr>
        <w:t xml:space="preserve"> and it was difficult to maintain appointments. Some families opted out of appointments or continually rescheduled. These families were offered new service appointments, although late, as well as early intervention resources. The ITP subsequently followed up with these families where available. During the COVID 19 state of emergency the territory was in lockdown. During this time providers offered virtual </w:t>
      </w:r>
      <w:proofErr w:type="gramStart"/>
      <w:r w:rsidRPr="00ED172B">
        <w:rPr>
          <w:color w:val="000000" w:themeColor="text1"/>
        </w:rPr>
        <w:t>services, and</w:t>
      </w:r>
      <w:proofErr w:type="gramEnd"/>
      <w:r w:rsidRPr="00ED172B">
        <w:rPr>
          <w:color w:val="000000" w:themeColor="text1"/>
        </w:rPr>
        <w:t xml:space="preserve"> provided early intervention resources electronically. The ITP verified that the five files not in compliance, were corrected at the child level, by providing services, although late, unless the child was no longer in the program. The ITP verified that the specific regulatory requirements were implemented consistent with OSEP memo 09-02 and ensured that the children received the services listed on the IFSP. The ITP issued five findings and implemented a process of monitoring files for compliance on a quarterly basis and subsequent reviews showed that the data was 100% compliant. </w:t>
      </w:r>
    </w:p>
    <w:p w14:paraId="00A7E0BB" w14:textId="77777777" w:rsidR="00E50124" w:rsidRPr="00ED172B" w:rsidRDefault="00E50124" w:rsidP="00B83404">
      <w:pPr>
        <w:rPr>
          <w:rFonts w:cs="Arial"/>
          <w:b/>
          <w:bCs/>
          <w:color w:val="000000" w:themeColor="text1"/>
          <w:szCs w:val="16"/>
        </w:rPr>
      </w:pPr>
      <w:r w:rsidRPr="00ED172B">
        <w:rPr>
          <w:rFonts w:cs="Arial"/>
          <w:b/>
          <w:bCs/>
          <w:color w:val="000000" w:themeColor="text1"/>
          <w:szCs w:val="16"/>
        </w:rPr>
        <w:t>FFY 2018</w:t>
      </w:r>
    </w:p>
    <w:p w14:paraId="422F7BE0" w14:textId="186D4BC1" w:rsidR="002F1A9A" w:rsidRPr="00ED172B" w:rsidRDefault="002F1A9A" w:rsidP="00B83404">
      <w:pPr>
        <w:rPr>
          <w:color w:val="000000" w:themeColor="text1"/>
        </w:rPr>
      </w:pPr>
      <w:r w:rsidRPr="00ED172B">
        <w:rPr>
          <w:b/>
          <w:color w:val="000000" w:themeColor="text1"/>
        </w:rPr>
        <w:t>Findings of Noncompliance Verified as Corrected</w:t>
      </w:r>
    </w:p>
    <w:p w14:paraId="32B01E43" w14:textId="1ED5B0B7"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2985BAAC" w14:textId="7A1C57C0" w:rsidR="002F1A9A" w:rsidRPr="00ED172B" w:rsidRDefault="00860830">
      <w:pPr>
        <w:rPr>
          <w:color w:val="000000" w:themeColor="text1"/>
        </w:rPr>
      </w:pPr>
      <w:r w:rsidRPr="00ED172B">
        <w:rPr>
          <w:color w:val="000000" w:themeColor="text1"/>
        </w:rPr>
        <w:t xml:space="preserve">In the St. Thomas/St. John district, the ITP has verified that each provider with noncompliance under this indicator: (1) is correctly implementing the specific regulatory requirements; and (2) has initiated services for each child, although late, unless the child is no longer within the jurisdiction of the EIS program, consistent with OSEP Memorandum 09-02, dated October 17, 2008 (OSEP Memo 09-02). The ITP monitored each program, through meetings, review of case files and on-site verification of data. The process included notifying each program of any identified findings of non-compliance; and informing them of corrections of noncompliance according to 09-02. The ITP corrective actions </w:t>
      </w:r>
      <w:proofErr w:type="gramStart"/>
      <w:r w:rsidRPr="00ED172B">
        <w:rPr>
          <w:color w:val="000000" w:themeColor="text1"/>
        </w:rPr>
        <w:t>includes</w:t>
      </w:r>
      <w:proofErr w:type="gramEnd"/>
      <w:r w:rsidRPr="00ED172B">
        <w:rPr>
          <w:color w:val="000000" w:themeColor="text1"/>
        </w:rPr>
        <w:t xml:space="preserve"> a program analysis of the root cause for the non-compliance and action steps with responsible programs and dates to correct the identified issues that led to non-compliance. The ITP reviewed subsequent data that was 100% compliant to close each finding of non-compliance. In subsequent reviews of updated data, it was verified that 100% compliance was achieved. </w:t>
      </w:r>
    </w:p>
    <w:p w14:paraId="0A571328" w14:textId="06E93174"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4986A1A0" w14:textId="64095B15" w:rsidR="002F1A9A" w:rsidRDefault="00860830">
      <w:pPr>
        <w:rPr>
          <w:color w:val="000000" w:themeColor="text1"/>
        </w:rPr>
      </w:pPr>
      <w:r w:rsidRPr="00ED172B">
        <w:rPr>
          <w:color w:val="000000" w:themeColor="text1"/>
        </w:rPr>
        <w:t>As a result of the hardships of the hurricanes of 2017, the family was contemplating moving out of state but decided not to. The mother re-contacted the ITP to begin services and the ITP began IFSP services although late. The ITP verified that the one file not in compliance, was corrected at the child level, by providing services, according to the IFSP. The ITP verified that the specific regulatory requirements were implemented and ensured that the child received the services listed on the IFSP. The ITP issued a finding and implemented a process of monitoring files for compliance on a quarterly basis. The ITP corrected the instances of noncompliance consistent with OSEP memorandum 09-02.</w:t>
      </w:r>
    </w:p>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VI reported less than 100% compliance for FFY 2020, VI must report on the status of correction of noncompliance identified in FFY 2020 for this indicator. When reporting on the correction of noncompliance, VI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VI must describe the specific actions that were taken to verify the correction. </w:t>
      </w:r>
      <w:r w:rsidRPr="00ED172B">
        <w:rPr>
          <w:color w:val="000000" w:themeColor="text1"/>
        </w:rPr>
        <w:br/>
      </w:r>
      <w:r w:rsidRPr="00ED172B">
        <w:rPr>
          <w:color w:val="000000" w:themeColor="text1"/>
        </w:rPr>
        <w:br/>
        <w:t>If VI did not identify any findings of noncompliance in FFY 2020, although its FFY 2020 data reflect less than 100% compliance, provide an explanation of why VI did not identify any findings of noncompliance in FFY 2020.</w:t>
      </w:r>
      <w:r w:rsidRPr="00ED172B">
        <w:rPr>
          <w:color w:val="000000" w:themeColor="text1"/>
        </w:rPr>
        <w:br/>
      </w:r>
      <w:r w:rsidRPr="00ED172B">
        <w:rPr>
          <w:color w:val="000000" w:themeColor="text1"/>
        </w:rPr>
        <w:br/>
        <w:t>VI must demonstrate, in the FFY 2021 SPP/APR, that the remaining findings identified in FFY 2019 and FFY 2018 were corrected. When reporting on the correction of noncompliance, VI must report, in the FFY 2021 SPP/APR, that it has verified that each EIS program or provider with remaining noncompliance identified in FFY 2018 and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VI must describe the specific actions that were taken to verify the correction.</w:t>
      </w:r>
      <w:r w:rsidRPr="00ED172B">
        <w:rPr>
          <w:color w:val="000000" w:themeColor="text1"/>
        </w:rPr>
        <w:br/>
      </w:r>
      <w:r w:rsidRPr="00ED172B">
        <w:rPr>
          <w:color w:val="000000" w:themeColor="text1"/>
        </w:rPr>
        <w:br/>
        <w:t xml:space="preserve">Reporting on the </w:t>
      </w:r>
      <w:proofErr w:type="gramStart"/>
      <w:r w:rsidRPr="00ED172B">
        <w:rPr>
          <w:color w:val="000000" w:themeColor="text1"/>
        </w:rPr>
        <w:t>third party</w:t>
      </w:r>
      <w:proofErr w:type="gramEnd"/>
      <w:r w:rsidRPr="00ED172B">
        <w:rPr>
          <w:color w:val="000000" w:themeColor="text1"/>
        </w:rPr>
        <w:t xml:space="preserve"> fiduciary payments to ensure timely service provision is part of the VIDH’s FFY 2021 and FFY 2022 IDEA Part C grant award specific conditions. The VIDH timely submitted its February 1, 2022, progress report and </w:t>
      </w:r>
      <w:proofErr w:type="gramStart"/>
      <w:r w:rsidRPr="00ED172B">
        <w:rPr>
          <w:color w:val="000000" w:themeColor="text1"/>
        </w:rPr>
        <w:t>its  May</w:t>
      </w:r>
      <w:proofErr w:type="gramEnd"/>
      <w:r w:rsidRPr="00ED172B">
        <w:rPr>
          <w:color w:val="000000" w:themeColor="text1"/>
        </w:rPr>
        <w:t xml:space="preserve"> 1, 2022, progress report under its FFY 2021 IDEA Part C Specific Conditions. OSEP will respond to the VIDH's IDEA Part C Specific Conditions February 1, and May 1, </w:t>
      </w:r>
      <w:proofErr w:type="gramStart"/>
      <w:r w:rsidRPr="00ED172B">
        <w:rPr>
          <w:color w:val="000000" w:themeColor="text1"/>
        </w:rPr>
        <w:t>2022</w:t>
      </w:r>
      <w:proofErr w:type="gramEnd"/>
      <w:r w:rsidRPr="00ED172B">
        <w:rPr>
          <w:color w:val="000000" w:themeColor="text1"/>
        </w:rPr>
        <w:t xml:space="preserve"> progress reports in its FFY 2022 IDEA Part C grant award letter.</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VI reported less than 100% compliance for FFY 2021, the VI must report on the status of correction of noncompliance identified in FFY 2021 for this indicator. When reporting on the correction of noncompliance, the VI must report, in the FFY 2022 SPP/APR, that it has verified that each EIS program or provider with noncompliance identified in FFY 2021 for this indicator: (1) is correctly implementing the specific regulatory requirements </w:t>
      </w:r>
      <w:r w:rsidRPr="00ED172B">
        <w:rPr>
          <w:color w:val="000000" w:themeColor="text1"/>
        </w:rPr>
        <w:lastRenderedPageBreak/>
        <w:t>(i.e.,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VI must describe the specific actions that were taken to verify the correction.</w:t>
      </w:r>
      <w:r w:rsidRPr="00ED172B">
        <w:rPr>
          <w:color w:val="000000" w:themeColor="text1"/>
        </w:rPr>
        <w:br/>
      </w:r>
      <w:r w:rsidRPr="00ED172B">
        <w:rPr>
          <w:color w:val="000000" w:themeColor="text1"/>
        </w:rPr>
        <w:br/>
        <w:t xml:space="preserve"> If the VI did not identify any findings of noncompliance in FFY 2021, although its FFY 2021 data reflect less than 100% compliance, provide an explanation of why the VI did not identify any findings of noncompliance in FFY 2021.</w:t>
      </w:r>
      <w:r w:rsidRPr="00ED172B">
        <w:rPr>
          <w:color w:val="000000" w:themeColor="text1"/>
        </w:rPr>
        <w:br/>
      </w:r>
      <w:r w:rsidRPr="00ED172B">
        <w:rPr>
          <w:color w:val="000000" w:themeColor="text1"/>
        </w:rPr>
        <w:br/>
        <w:t>Reporting on the third-party fiduciary payments to ensure timely service provision is part of the VI’s FFY 2022 and FFY 2023 IDEA Part C grant award specific conditions. The VI timely submitted its February 1, 2023, progress report and its May 1, 2023, progress report under its FFY 2021 IDEA Part C Specific Conditions. OSEP will respond to the VI's IDEA Part C Specific Conditions February 1, and May 1, 2023, progress reports in its FFY 2023 IDEA Part C grant award letter.</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96.00%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93.18%</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96.08%</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95.19%</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92.38%</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97.00%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97.00%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97.00%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97.00%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97.00%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Virgin Islands Infants and Toddlers stakeholders consist of members of the VI Interagency Coordinating Council (VI-ICC), who advises and assist the ITP regarding the provision of early intervention services for children with disabilities from birth to three and other child development agencies. There were meetings held in May 2022, June 2022, and December 2022. The council has a diverse membership, including parents of children with a disability and state agencies involved in the provision of early intervention services, a member responsible for the State Medicare program, the SEA responsible for </w:t>
      </w:r>
      <w:proofErr w:type="gramStart"/>
      <w:r w:rsidRPr="00ED172B">
        <w:rPr>
          <w:color w:val="000000" w:themeColor="text1"/>
        </w:rPr>
        <w:t>child care</w:t>
      </w:r>
      <w:proofErr w:type="gramEnd"/>
      <w:r w:rsidRPr="00ED172B">
        <w:rPr>
          <w:color w:val="000000" w:themeColor="text1"/>
        </w:rPr>
        <w:t xml:space="preserve">, and other entities who give the ITP advice in areas of child development, human resources, and child find. Conference calls were held with available stakeholders to discuss the targets and how they will be reached. </w:t>
      </w:r>
      <w:proofErr w:type="gramStart"/>
      <w:r w:rsidRPr="00ED172B">
        <w:rPr>
          <w:color w:val="000000" w:themeColor="text1"/>
        </w:rPr>
        <w:t>In an effort to</w:t>
      </w:r>
      <w:proofErr w:type="gramEnd"/>
      <w:r w:rsidRPr="00ED172B">
        <w:rPr>
          <w:color w:val="000000" w:themeColor="text1"/>
        </w:rPr>
        <w:t xml:space="preserve"> increase the child find, one of the SSIP strands, the VI ITP met with VI Partners for Healthy Communities and the Project Launch program. The ITP Director also serves on the Project Launch Young Child Wellness Advisory Council. Beginning in 2022 the VI ITP also presented the findings of the SPP/APR, Exiting, and Child Count reports to the DOH Leadership when required to present the status of the program. Each program within the Department of Health usually presents at least two times per calendar year.</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85</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108</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85</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108</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92.38%</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78.70%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Slippage</w:t>
            </w:r>
          </w:p>
        </w:tc>
      </w:tr>
    </w:tbl>
    <w:p w14:paraId="4E235E16" w14:textId="7260FE05" w:rsidR="003A3693" w:rsidRPr="00ED172B" w:rsidRDefault="003A3693" w:rsidP="003A3693">
      <w:pPr>
        <w:rPr>
          <w:rFonts w:cs="Arial"/>
          <w:b/>
          <w:i/>
          <w:color w:val="000000" w:themeColor="text1"/>
          <w:szCs w:val="16"/>
        </w:rPr>
      </w:pPr>
      <w:r w:rsidRPr="00ED172B">
        <w:rPr>
          <w:rFonts w:cs="Arial"/>
          <w:b/>
          <w:color w:val="000000" w:themeColor="text1"/>
          <w:szCs w:val="16"/>
        </w:rPr>
        <w:t xml:space="preserve">Provide reasons for slippage, if applicable. </w:t>
      </w:r>
    </w:p>
    <w:p w14:paraId="3DDD513A" w14:textId="6764838E" w:rsidR="003A3693" w:rsidRDefault="002F5A9E" w:rsidP="002F5A9E">
      <w:pPr>
        <w:rPr>
          <w:color w:val="000000" w:themeColor="text1"/>
        </w:rPr>
      </w:pPr>
      <w:r w:rsidRPr="00ED172B">
        <w:rPr>
          <w:color w:val="000000" w:themeColor="text1"/>
        </w:rPr>
        <w:t xml:space="preserve">Due to COVID-19, restrictions in some settings are still in place in both districts. As requested by parents, </w:t>
      </w:r>
      <w:proofErr w:type="gramStart"/>
      <w:r w:rsidRPr="00ED172B">
        <w:rPr>
          <w:color w:val="000000" w:themeColor="text1"/>
        </w:rPr>
        <w:t>child care</w:t>
      </w:r>
      <w:proofErr w:type="gramEnd"/>
      <w:r w:rsidRPr="00ED172B">
        <w:rPr>
          <w:color w:val="000000" w:themeColor="text1"/>
        </w:rPr>
        <w:t xml:space="preserve"> providers and early intervention providers, and with parental consent, toddlers received services via virtual interactions or clinical settings where temperature checks and hand sanitizing were required. </w:t>
      </w:r>
    </w:p>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Virgin Islands Infants and Toddlers stakeholders consist of members of the VI Interagency Coordinating Council (VI-ICC), who advises and assist the ITP regarding the provision of early intervention services for children with disabilities from birth to three and other child development agencies. There were meetings held in May 2022, June 2022, and December 2022. The council has a diverse membership, including parents of children with a disability and state agencies involved in the provision of early intervention services, a member responsible for the State Medicare program, the SEA responsible for </w:t>
      </w:r>
      <w:proofErr w:type="gramStart"/>
      <w:r w:rsidRPr="00ED172B">
        <w:rPr>
          <w:color w:val="000000" w:themeColor="text1"/>
        </w:rPr>
        <w:t>child care</w:t>
      </w:r>
      <w:proofErr w:type="gramEnd"/>
      <w:r w:rsidRPr="00ED172B">
        <w:rPr>
          <w:color w:val="000000" w:themeColor="text1"/>
        </w:rPr>
        <w:t xml:space="preserve">, and other entities who give the ITP advice in areas of child development, human resources, and child find. Conference calls were held with available stakeholders to discuss the targets and how they will be reached. </w:t>
      </w:r>
      <w:proofErr w:type="gramStart"/>
      <w:r w:rsidRPr="00ED172B">
        <w:rPr>
          <w:color w:val="000000" w:themeColor="text1"/>
        </w:rPr>
        <w:t>In an effort to</w:t>
      </w:r>
      <w:proofErr w:type="gramEnd"/>
      <w:r w:rsidRPr="00ED172B">
        <w:rPr>
          <w:color w:val="000000" w:themeColor="text1"/>
        </w:rPr>
        <w:t xml:space="preserve"> increase the child find, one of the SSIP strands, the VI ITP met with VI Partners for Healthy Communities and the Project Launch program. The ITP Director also serves on the Project Launch Young Child Wellness Advisory Council. Beginning in 2022 the VI ITP also presented the findings of the SPP/APR, Exiting, and Child Count reports to the DOH Leadership when required to present the status of the program. Each program within the Department of Health usually presents at least two times per calendar year.</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86.50%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86.50%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87.00%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87.00%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87.00%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84.20%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91.30%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87.93%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86.90%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84.91%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84.31%</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52.40%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52.17%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49.18%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62.92%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50.46%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31.37%</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86.50%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86.50%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87.00%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87.00%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87.00%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84.20%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91.30%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91.67%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92.05%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92.59%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88.24%</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42.50%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43.00%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43.50%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43.50%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43.50%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40.50%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41.30%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40.98%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51.69%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52.29%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33.33%</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86.50%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86.50%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87.00%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87.00%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87.00%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83.80%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89.13%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85.88%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85.19%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80.39%</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69.50%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69.00%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36.96%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47.54%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58.43%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46.36%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33.33%</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87.00%</w:t>
            </w:r>
          </w:p>
        </w:tc>
        <w:tc>
          <w:tcPr>
            <w:tcW w:w="918" w:type="pct"/>
          </w:tcPr>
          <w:p w14:paraId="7A62957C" w14:textId="59554121" w:rsidR="009E2382" w:rsidRPr="00ED172B" w:rsidRDefault="009E2382" w:rsidP="002242B8">
            <w:pPr>
              <w:jc w:val="center"/>
              <w:rPr>
                <w:color w:val="000000" w:themeColor="text1"/>
              </w:rPr>
            </w:pPr>
            <w:r>
              <w:rPr>
                <w:color w:val="000000" w:themeColor="text1"/>
              </w:rPr>
              <w:t>87.00%</w:t>
            </w:r>
          </w:p>
        </w:tc>
        <w:tc>
          <w:tcPr>
            <w:tcW w:w="918" w:type="pct"/>
          </w:tcPr>
          <w:p w14:paraId="330DB307" w14:textId="4DD70DCA" w:rsidR="009E2382" w:rsidRPr="00ED172B" w:rsidRDefault="009E2382" w:rsidP="002242B8">
            <w:pPr>
              <w:jc w:val="center"/>
              <w:rPr>
                <w:color w:val="000000" w:themeColor="text1"/>
              </w:rPr>
            </w:pPr>
            <w:r>
              <w:rPr>
                <w:color w:val="000000" w:themeColor="text1"/>
              </w:rPr>
              <w:t>87.00%</w:t>
            </w:r>
          </w:p>
        </w:tc>
        <w:tc>
          <w:tcPr>
            <w:tcW w:w="917" w:type="pct"/>
          </w:tcPr>
          <w:p w14:paraId="1E535134" w14:textId="174673D1" w:rsidR="009E2382" w:rsidRPr="00ED172B" w:rsidRDefault="009E2382" w:rsidP="002242B8">
            <w:pPr>
              <w:jc w:val="center"/>
              <w:rPr>
                <w:color w:val="000000" w:themeColor="text1"/>
              </w:rPr>
            </w:pPr>
            <w:r>
              <w:rPr>
                <w:color w:val="000000" w:themeColor="text1"/>
              </w:rPr>
              <w:t>87.00%</w:t>
            </w:r>
          </w:p>
        </w:tc>
        <w:tc>
          <w:tcPr>
            <w:tcW w:w="916" w:type="pct"/>
          </w:tcPr>
          <w:p w14:paraId="7D5EFC26" w14:textId="3AFE59A1" w:rsidR="009E2382" w:rsidRPr="00ED172B" w:rsidRDefault="009E2382" w:rsidP="002242B8">
            <w:pPr>
              <w:jc w:val="center"/>
              <w:rPr>
                <w:color w:val="000000" w:themeColor="text1"/>
              </w:rPr>
            </w:pPr>
            <w:r>
              <w:rPr>
                <w:color w:val="000000" w:themeColor="text1"/>
              </w:rPr>
              <w:t>87.00%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55.00%</w:t>
            </w:r>
          </w:p>
        </w:tc>
        <w:tc>
          <w:tcPr>
            <w:tcW w:w="918" w:type="pct"/>
          </w:tcPr>
          <w:p w14:paraId="1DD5AC15" w14:textId="552D0AAC" w:rsidR="009E2382" w:rsidRPr="00ED172B" w:rsidRDefault="009E2382" w:rsidP="002242B8">
            <w:pPr>
              <w:jc w:val="center"/>
              <w:rPr>
                <w:color w:val="000000" w:themeColor="text1"/>
              </w:rPr>
            </w:pPr>
            <w:r>
              <w:rPr>
                <w:color w:val="000000" w:themeColor="text1"/>
              </w:rPr>
              <w:t>55.00%</w:t>
            </w:r>
          </w:p>
        </w:tc>
        <w:tc>
          <w:tcPr>
            <w:tcW w:w="918" w:type="pct"/>
          </w:tcPr>
          <w:p w14:paraId="29377148" w14:textId="76F6C6ED" w:rsidR="009E2382" w:rsidRPr="00ED172B" w:rsidRDefault="009E2382" w:rsidP="002242B8">
            <w:pPr>
              <w:jc w:val="center"/>
              <w:rPr>
                <w:color w:val="000000" w:themeColor="text1"/>
              </w:rPr>
            </w:pPr>
            <w:r>
              <w:rPr>
                <w:color w:val="000000" w:themeColor="text1"/>
              </w:rPr>
              <w:t>55.00%</w:t>
            </w:r>
          </w:p>
        </w:tc>
        <w:tc>
          <w:tcPr>
            <w:tcW w:w="917" w:type="pct"/>
          </w:tcPr>
          <w:p w14:paraId="3F8E8EE0" w14:textId="1AB30A36" w:rsidR="009E2382" w:rsidRPr="00ED172B" w:rsidRDefault="009E2382" w:rsidP="002242B8">
            <w:pPr>
              <w:jc w:val="center"/>
              <w:rPr>
                <w:color w:val="000000" w:themeColor="text1"/>
              </w:rPr>
            </w:pPr>
            <w:r>
              <w:rPr>
                <w:color w:val="000000" w:themeColor="text1"/>
              </w:rPr>
              <w:t>55.00%</w:t>
            </w:r>
          </w:p>
        </w:tc>
        <w:tc>
          <w:tcPr>
            <w:tcW w:w="916" w:type="pct"/>
          </w:tcPr>
          <w:p w14:paraId="5B0C0E7A" w14:textId="73E7E860" w:rsidR="009E2382" w:rsidRPr="00ED172B" w:rsidRDefault="009E2382" w:rsidP="002242B8">
            <w:pPr>
              <w:jc w:val="center"/>
              <w:rPr>
                <w:color w:val="000000" w:themeColor="text1"/>
              </w:rPr>
            </w:pPr>
            <w:r>
              <w:rPr>
                <w:color w:val="000000" w:themeColor="text1"/>
              </w:rPr>
              <w:t>55.00%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87.00%</w:t>
            </w:r>
          </w:p>
        </w:tc>
        <w:tc>
          <w:tcPr>
            <w:tcW w:w="918" w:type="pct"/>
          </w:tcPr>
          <w:p w14:paraId="7EDAF97B" w14:textId="4B219601" w:rsidR="009E2382" w:rsidRPr="00ED172B" w:rsidRDefault="009E2382" w:rsidP="002242B8">
            <w:pPr>
              <w:jc w:val="center"/>
              <w:rPr>
                <w:color w:val="000000" w:themeColor="text1"/>
              </w:rPr>
            </w:pPr>
            <w:r>
              <w:rPr>
                <w:color w:val="000000" w:themeColor="text1"/>
              </w:rPr>
              <w:t>87.00%</w:t>
            </w:r>
          </w:p>
        </w:tc>
        <w:tc>
          <w:tcPr>
            <w:tcW w:w="918" w:type="pct"/>
          </w:tcPr>
          <w:p w14:paraId="31A1D7D3" w14:textId="003191E1" w:rsidR="009E2382" w:rsidRPr="00ED172B" w:rsidRDefault="009E2382" w:rsidP="002242B8">
            <w:pPr>
              <w:jc w:val="center"/>
              <w:rPr>
                <w:color w:val="000000" w:themeColor="text1"/>
              </w:rPr>
            </w:pPr>
            <w:r>
              <w:rPr>
                <w:color w:val="000000" w:themeColor="text1"/>
              </w:rPr>
              <w:t>87.00%</w:t>
            </w:r>
          </w:p>
        </w:tc>
        <w:tc>
          <w:tcPr>
            <w:tcW w:w="917" w:type="pct"/>
          </w:tcPr>
          <w:p w14:paraId="493915A7" w14:textId="24756F38" w:rsidR="009E2382" w:rsidRPr="00ED172B" w:rsidRDefault="009E2382" w:rsidP="002242B8">
            <w:pPr>
              <w:jc w:val="center"/>
              <w:rPr>
                <w:color w:val="000000" w:themeColor="text1"/>
              </w:rPr>
            </w:pPr>
            <w:r>
              <w:rPr>
                <w:color w:val="000000" w:themeColor="text1"/>
              </w:rPr>
              <w:t>87.00%</w:t>
            </w:r>
          </w:p>
        </w:tc>
        <w:tc>
          <w:tcPr>
            <w:tcW w:w="916" w:type="pct"/>
          </w:tcPr>
          <w:p w14:paraId="2E008F25" w14:textId="53C173A2" w:rsidR="009E2382" w:rsidRPr="00ED172B" w:rsidRDefault="009E2382" w:rsidP="002242B8">
            <w:pPr>
              <w:jc w:val="center"/>
              <w:rPr>
                <w:color w:val="000000" w:themeColor="text1"/>
              </w:rPr>
            </w:pPr>
            <w:r>
              <w:rPr>
                <w:color w:val="000000" w:themeColor="text1"/>
              </w:rPr>
              <w:t>87.00%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43.50%</w:t>
            </w:r>
          </w:p>
        </w:tc>
        <w:tc>
          <w:tcPr>
            <w:tcW w:w="918" w:type="pct"/>
          </w:tcPr>
          <w:p w14:paraId="5980DE18" w14:textId="10CD7859" w:rsidR="009E2382" w:rsidRPr="00ED172B" w:rsidRDefault="009E2382" w:rsidP="002242B8">
            <w:pPr>
              <w:jc w:val="center"/>
              <w:rPr>
                <w:color w:val="000000" w:themeColor="text1"/>
              </w:rPr>
            </w:pPr>
            <w:r>
              <w:rPr>
                <w:color w:val="000000" w:themeColor="text1"/>
              </w:rPr>
              <w:t>43.50%</w:t>
            </w:r>
          </w:p>
        </w:tc>
        <w:tc>
          <w:tcPr>
            <w:tcW w:w="918" w:type="pct"/>
          </w:tcPr>
          <w:p w14:paraId="3FD51CD4" w14:textId="4E5875CE" w:rsidR="009E2382" w:rsidRPr="00ED172B" w:rsidRDefault="009E2382" w:rsidP="002242B8">
            <w:pPr>
              <w:jc w:val="center"/>
              <w:rPr>
                <w:color w:val="000000" w:themeColor="text1"/>
              </w:rPr>
            </w:pPr>
            <w:r>
              <w:rPr>
                <w:color w:val="000000" w:themeColor="text1"/>
              </w:rPr>
              <w:t>43.50%</w:t>
            </w:r>
          </w:p>
        </w:tc>
        <w:tc>
          <w:tcPr>
            <w:tcW w:w="917" w:type="pct"/>
          </w:tcPr>
          <w:p w14:paraId="3A7274FD" w14:textId="38B9FCB4" w:rsidR="009E2382" w:rsidRPr="00ED172B" w:rsidRDefault="009E2382" w:rsidP="002242B8">
            <w:pPr>
              <w:jc w:val="center"/>
              <w:rPr>
                <w:color w:val="000000" w:themeColor="text1"/>
              </w:rPr>
            </w:pPr>
            <w:r>
              <w:rPr>
                <w:color w:val="000000" w:themeColor="text1"/>
              </w:rPr>
              <w:t>43.50%</w:t>
            </w:r>
          </w:p>
        </w:tc>
        <w:tc>
          <w:tcPr>
            <w:tcW w:w="916" w:type="pct"/>
          </w:tcPr>
          <w:p w14:paraId="53FEE354" w14:textId="77777777" w:rsidR="009E2382" w:rsidRPr="00ED172B" w:rsidRDefault="009E2382" w:rsidP="002242B8">
            <w:pPr>
              <w:jc w:val="center"/>
              <w:rPr>
                <w:color w:val="000000" w:themeColor="text1"/>
              </w:rPr>
            </w:pPr>
            <w:r>
              <w:rPr>
                <w:color w:val="000000" w:themeColor="text1"/>
              </w:rPr>
              <w:t>43.50%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87.00%</w:t>
            </w:r>
          </w:p>
        </w:tc>
        <w:tc>
          <w:tcPr>
            <w:tcW w:w="918" w:type="pct"/>
          </w:tcPr>
          <w:p w14:paraId="3564984B" w14:textId="08842718" w:rsidR="009E2382" w:rsidRPr="00ED172B" w:rsidRDefault="009E2382" w:rsidP="0012497F">
            <w:pPr>
              <w:jc w:val="center"/>
              <w:rPr>
                <w:color w:val="000000" w:themeColor="text1"/>
              </w:rPr>
            </w:pPr>
            <w:r>
              <w:rPr>
                <w:color w:val="000000" w:themeColor="text1"/>
              </w:rPr>
              <w:t>87.00%</w:t>
            </w:r>
          </w:p>
        </w:tc>
        <w:tc>
          <w:tcPr>
            <w:tcW w:w="918" w:type="pct"/>
          </w:tcPr>
          <w:p w14:paraId="6F334EB5" w14:textId="748BD28E" w:rsidR="009E2382" w:rsidRPr="00ED172B" w:rsidRDefault="009E2382" w:rsidP="0012497F">
            <w:pPr>
              <w:jc w:val="center"/>
              <w:rPr>
                <w:color w:val="000000" w:themeColor="text1"/>
              </w:rPr>
            </w:pPr>
            <w:r>
              <w:rPr>
                <w:color w:val="000000" w:themeColor="text1"/>
              </w:rPr>
              <w:t>87.00%</w:t>
            </w:r>
          </w:p>
        </w:tc>
        <w:tc>
          <w:tcPr>
            <w:tcW w:w="917" w:type="pct"/>
          </w:tcPr>
          <w:p w14:paraId="13A1DF6C" w14:textId="36831C30" w:rsidR="009E2382" w:rsidRPr="00ED172B" w:rsidRDefault="009E2382" w:rsidP="0012497F">
            <w:pPr>
              <w:jc w:val="center"/>
              <w:rPr>
                <w:color w:val="000000" w:themeColor="text1"/>
              </w:rPr>
            </w:pPr>
            <w:r>
              <w:rPr>
                <w:color w:val="000000" w:themeColor="text1"/>
              </w:rPr>
              <w:t>87.00%</w:t>
            </w:r>
          </w:p>
        </w:tc>
        <w:tc>
          <w:tcPr>
            <w:tcW w:w="916" w:type="pct"/>
          </w:tcPr>
          <w:p w14:paraId="4404EA0E" w14:textId="45986E0D" w:rsidR="009E2382" w:rsidRPr="00ED172B" w:rsidRDefault="009E2382" w:rsidP="0012497F">
            <w:pPr>
              <w:jc w:val="center"/>
              <w:rPr>
                <w:color w:val="000000" w:themeColor="text1"/>
              </w:rPr>
            </w:pPr>
            <w:r>
              <w:rPr>
                <w:color w:val="000000" w:themeColor="text1"/>
              </w:rPr>
              <w:t>87.00%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70.00%</w:t>
            </w:r>
          </w:p>
        </w:tc>
        <w:tc>
          <w:tcPr>
            <w:tcW w:w="918" w:type="pct"/>
          </w:tcPr>
          <w:p w14:paraId="58EBEEB4" w14:textId="68AFCCA1" w:rsidR="009E2382" w:rsidRPr="00ED172B" w:rsidRDefault="009E2382" w:rsidP="0012497F">
            <w:pPr>
              <w:jc w:val="center"/>
              <w:rPr>
                <w:color w:val="000000" w:themeColor="text1"/>
              </w:rPr>
            </w:pPr>
            <w:r>
              <w:rPr>
                <w:color w:val="000000" w:themeColor="text1"/>
              </w:rPr>
              <w:t>70.00%</w:t>
            </w:r>
          </w:p>
        </w:tc>
        <w:tc>
          <w:tcPr>
            <w:tcW w:w="918" w:type="pct"/>
          </w:tcPr>
          <w:p w14:paraId="6E31560A" w14:textId="75F80FC4" w:rsidR="009E2382" w:rsidRPr="00ED172B" w:rsidRDefault="009E2382" w:rsidP="0012497F">
            <w:pPr>
              <w:jc w:val="center"/>
              <w:rPr>
                <w:color w:val="000000" w:themeColor="text1"/>
              </w:rPr>
            </w:pPr>
            <w:r>
              <w:rPr>
                <w:color w:val="000000" w:themeColor="text1"/>
              </w:rPr>
              <w:t>70.00%</w:t>
            </w:r>
          </w:p>
        </w:tc>
        <w:tc>
          <w:tcPr>
            <w:tcW w:w="917" w:type="pct"/>
          </w:tcPr>
          <w:p w14:paraId="42F0DDB0" w14:textId="671196CD" w:rsidR="009E2382" w:rsidRPr="00ED172B" w:rsidRDefault="009E2382" w:rsidP="0012497F">
            <w:pPr>
              <w:jc w:val="center"/>
              <w:rPr>
                <w:color w:val="000000" w:themeColor="text1"/>
              </w:rPr>
            </w:pPr>
            <w:r>
              <w:rPr>
                <w:color w:val="000000" w:themeColor="text1"/>
              </w:rPr>
              <w:t>70.00%</w:t>
            </w:r>
          </w:p>
        </w:tc>
        <w:tc>
          <w:tcPr>
            <w:tcW w:w="916" w:type="pct"/>
          </w:tcPr>
          <w:p w14:paraId="2D756F12" w14:textId="626F7751" w:rsidR="009E2382" w:rsidRPr="00ED172B" w:rsidRDefault="009E2382" w:rsidP="0012497F">
            <w:pPr>
              <w:jc w:val="center"/>
              <w:rPr>
                <w:color w:val="000000" w:themeColor="text1"/>
              </w:rPr>
            </w:pPr>
            <w:r>
              <w:rPr>
                <w:color w:val="000000" w:themeColor="text1"/>
              </w:rPr>
              <w:t>70.00%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69</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14</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20.29%</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lastRenderedPageBreak/>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30</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43.48%</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25</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36.23%</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0.00%</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55</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69</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84.31%</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87.00%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79.71%</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25</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69</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31.37%</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55.00%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36.23%</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 xml:space="preserve">There were </w:t>
      </w:r>
      <w:proofErr w:type="gramStart"/>
      <w:r w:rsidRPr="00ED172B">
        <w:rPr>
          <w:color w:val="000000" w:themeColor="text1"/>
        </w:rPr>
        <w:t>a number of</w:t>
      </w:r>
      <w:proofErr w:type="gramEnd"/>
      <w:r w:rsidRPr="00ED172B">
        <w:rPr>
          <w:color w:val="000000" w:themeColor="text1"/>
        </w:rPr>
        <w:t xml:space="preserve"> toddlers that traveled for medical appointments. There were </w:t>
      </w:r>
      <w:proofErr w:type="gramStart"/>
      <w:r w:rsidRPr="00ED172B">
        <w:rPr>
          <w:color w:val="000000" w:themeColor="text1"/>
        </w:rPr>
        <w:t>a number of</w:t>
      </w:r>
      <w:proofErr w:type="gramEnd"/>
      <w:r w:rsidRPr="00ED172B">
        <w:rPr>
          <w:color w:val="000000" w:themeColor="text1"/>
        </w:rPr>
        <w:t xml:space="preserve"> occasions in which toddlers where absent from daycare/home sessions cancelled due to sickness during the pandemic. This affected their ability to meet consecutively and may have resulted in slow pace of progress. </w:t>
      </w:r>
      <w:proofErr w:type="gramStart"/>
      <w:r w:rsidRPr="00ED172B">
        <w:rPr>
          <w:color w:val="000000" w:themeColor="text1"/>
        </w:rPr>
        <w:t>Also</w:t>
      </w:r>
      <w:proofErr w:type="gramEnd"/>
      <w:r w:rsidRPr="00ED172B">
        <w:rPr>
          <w:color w:val="000000" w:themeColor="text1"/>
        </w:rPr>
        <w:t xml:space="preserve"> there are a number of toddlers who were enrolled in the program for less than one full year. The VI ITP will collaborate with the Maternal Child Health Agency which has the Project Launch, EDHI and the Maternal Infant and Early Childhood Home Visiting Program under </w:t>
      </w:r>
      <w:proofErr w:type="spellStart"/>
      <w:proofErr w:type="gramStart"/>
      <w:r w:rsidRPr="00ED172B">
        <w:rPr>
          <w:color w:val="000000" w:themeColor="text1"/>
        </w:rPr>
        <w:t>it's</w:t>
      </w:r>
      <w:proofErr w:type="spellEnd"/>
      <w:proofErr w:type="gramEnd"/>
      <w:r w:rsidRPr="00ED172B">
        <w:rPr>
          <w:color w:val="000000" w:themeColor="text1"/>
        </w:rPr>
        <w:t xml:space="preserve"> umbrella in an effort to identify children in the 0-1 age group.  </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6</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8.70%</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35</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50.72%</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28</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40.58%</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63</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69</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88.24%</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87.00%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91.30%</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28</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69</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33.33%</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43.50%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40.58%</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lastRenderedPageBreak/>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10</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14.49%</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30</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43.48%</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28</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40.58%</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1.45%</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58</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68</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80.39%</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87.00%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85.29%</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29</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69</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33.33%</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70.00%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42.03%</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101</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31</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The instruments used for data gathering are the COS Entry and Exit forms. When the Service Coordinator interviews the family at the intake meeting, the information gathered serves as a baseline. The ELAP assessment tool is used by the EI Evaluator to assess the child.  There is a collaboration between the parent, provider, and coordinator to discuss the ELAP assessment tool's results. Parent input is encouraged and considered during the meetings as well as assessments made by the Providers.  The COS Exit is conducted by the person providing the Early Intervention services. </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The VI ITP reviewed historical data and saw that the targets for this indicator have not been met in consecutive years. As noted in Indicators 5 &amp; 6 most children are enrolled in the program when they are closer to 24 months. This short time frame does not allow for optimal improvement from when enrolled to when they exit. With stakeholder input the VI ITP wishes to change the baseline data for Outcome C2.</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94.37%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98.28%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98.31%</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97.67%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94.37%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98.28%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86.00%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94.37%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98.00%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98.00%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98.00%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98.00%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98.00%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98.00%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98.00%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98.00%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98.00%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98.00%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100.00%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100.00%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100.00%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100.00%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100.00%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Virgin Islands Infants and Toddlers stakeholders consist of members of the VI Interagency Coordinating Council (VI-ICC), who advises and assist the ITP regarding the provision of early intervention services for children with disabilities from birth to three and other child development agencies. There were meetings held in May 2022, June 2022, and December 2022. The council has a diverse membership, including parents of children with a disability and state agencies involved in the provision of early intervention services, a member responsible for the State Medicare program, the SEA responsible for </w:t>
      </w:r>
      <w:proofErr w:type="gramStart"/>
      <w:r w:rsidRPr="00ED172B">
        <w:rPr>
          <w:color w:val="000000" w:themeColor="text1"/>
        </w:rPr>
        <w:t>child care</w:t>
      </w:r>
      <w:proofErr w:type="gramEnd"/>
      <w:r w:rsidRPr="00ED172B">
        <w:rPr>
          <w:color w:val="000000" w:themeColor="text1"/>
        </w:rPr>
        <w:t xml:space="preserve">, and other entities who give the ITP advice in areas of child development, human resources, and child find. Conference calls were held with available stakeholders to discuss the targets and how they will be reached. </w:t>
      </w:r>
      <w:proofErr w:type="gramStart"/>
      <w:r w:rsidRPr="00ED172B">
        <w:rPr>
          <w:color w:val="000000" w:themeColor="text1"/>
        </w:rPr>
        <w:t>In an effort to</w:t>
      </w:r>
      <w:proofErr w:type="gramEnd"/>
      <w:r w:rsidRPr="00ED172B">
        <w:rPr>
          <w:color w:val="000000" w:themeColor="text1"/>
        </w:rPr>
        <w:t xml:space="preserve"> increase the child find, one of the SSIP strands, the VI ITP met with VI Partners for Healthy Communities and the Project Launch program. The ITP Director also serves on the Project Launch Young Child Wellness Advisory Council. Beginning in 2022 the VI ITP also presented the findings of the SPP/APR, Exiting, and Child Count reports to the DOH Leadership when required to present the status of the program. Each program within the Department of Health usually presents at least two times per calendar year.</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76</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72</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94.74%</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72</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72</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72</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72</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72</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72</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98.31%</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98.00%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98.00%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100.00%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lastRenderedPageBreak/>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98.33%</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94.74%</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The response rate for the VI ITP is 94.74%. The VI ITP intends to continue with the process of providing the surveys in person during the transition process. As it has been shown when surveys are sent to parents they are not returned. Historically the program has seen good response rates when the surveys are issued in person. The Virgin Islands used the ECTA calculator which compared the number of surveys distributed to families against the number of surveys completed.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The ITP used the ECTA calculator to determine any non-response bias. The calculator did not demonstrate non-response bias for the FFY2021 data for this indicator. The ECTA calculator demonstrated that the race and ethnicity for all surveys sent and compared to the race and ethnicity returned are consistent on St. Thomas/St. John and St. Croix.</w:t>
      </w:r>
      <w:r w:rsidRPr="00ED172B">
        <w:rPr>
          <w:rFonts w:cs="Arial"/>
          <w:color w:val="000000" w:themeColor="text1"/>
          <w:szCs w:val="16"/>
        </w:rPr>
        <w:br/>
        <w:t>In the St. Thomas/St. John district - 37 surveys distributed</w:t>
      </w:r>
      <w:r w:rsidRPr="00ED172B">
        <w:rPr>
          <w:rFonts w:cs="Arial"/>
          <w:color w:val="000000" w:themeColor="text1"/>
          <w:szCs w:val="16"/>
        </w:rPr>
        <w:br/>
        <w:t>32 surveys were given to black families and 29 were completed (78%), for white families, 5 were distributed and 4 were completed (11%), 5 families identified as Hispanic (14%)</w:t>
      </w:r>
      <w:r w:rsidRPr="00ED172B">
        <w:rPr>
          <w:rFonts w:cs="Arial"/>
          <w:color w:val="000000" w:themeColor="text1"/>
          <w:szCs w:val="16"/>
        </w:rPr>
        <w:br/>
        <w:t>In the St. Croix district - 39 surveys distributed</w:t>
      </w:r>
      <w:r w:rsidRPr="00ED172B">
        <w:rPr>
          <w:rFonts w:cs="Arial"/>
          <w:color w:val="000000" w:themeColor="text1"/>
          <w:szCs w:val="16"/>
        </w:rPr>
        <w:br/>
        <w:t>28 surveys were given to black families and 28 were completed (72%), 6 surveys were given to Hispanic families and 6 were returned (15%), 5 surveys were given to families who identified as two or more races and 5 were returned (13%). Of the 5 who identified as two or more races, 3 were Hispanic.</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Representativeness was analyzed by comparing the percentage of families enrolled in Part C during the reporting period by race and ethnicity by the percentage of surveys received by race and ethnicity. </w:t>
      </w:r>
      <w:r w:rsidRPr="00ED172B">
        <w:rPr>
          <w:rFonts w:cs="Arial"/>
          <w:color w:val="000000" w:themeColor="text1"/>
          <w:szCs w:val="16"/>
        </w:rPr>
        <w:br/>
        <w:t xml:space="preserve">St. Croix: 59% Black, 19% Hispanic, 7% White, 15% Two or More Races </w:t>
      </w:r>
      <w:r w:rsidRPr="00ED172B">
        <w:rPr>
          <w:rFonts w:cs="Arial"/>
          <w:color w:val="000000" w:themeColor="text1"/>
          <w:szCs w:val="16"/>
        </w:rPr>
        <w:br/>
        <w:t xml:space="preserve">Demographically, Black families had the highest percentage of enrollment in the St. Croix ITP. </w:t>
      </w:r>
      <w:r w:rsidRPr="00ED172B">
        <w:rPr>
          <w:rFonts w:cs="Arial"/>
          <w:color w:val="000000" w:themeColor="text1"/>
          <w:szCs w:val="16"/>
        </w:rPr>
        <w:br/>
        <w:t>St. Thomas/St. John: 84% Black, 7% Hispanic, 9% White</w:t>
      </w:r>
      <w:r w:rsidRPr="00ED172B">
        <w:rPr>
          <w:rFonts w:cs="Arial"/>
          <w:color w:val="000000" w:themeColor="text1"/>
          <w:szCs w:val="16"/>
        </w:rPr>
        <w:br/>
        <w:t>Demographically, Black families had the highest percentage of enrollment in the St. Thomas/St. John ITP.</w:t>
      </w:r>
      <w:r w:rsidRPr="00ED172B">
        <w:rPr>
          <w:rFonts w:cs="Arial"/>
          <w:color w:val="000000" w:themeColor="text1"/>
          <w:szCs w:val="16"/>
        </w:rPr>
        <w:br/>
        <w:t xml:space="preserve">The surveys distributed and returned were broken down as follows: </w:t>
      </w:r>
      <w:r w:rsidRPr="00ED172B">
        <w:rPr>
          <w:rFonts w:cs="Arial"/>
          <w:color w:val="000000" w:themeColor="text1"/>
          <w:szCs w:val="16"/>
        </w:rPr>
        <w:br/>
        <w:t xml:space="preserve">Black 57 </w:t>
      </w:r>
      <w:r w:rsidRPr="00ED172B">
        <w:rPr>
          <w:rFonts w:cs="Arial"/>
          <w:color w:val="000000" w:themeColor="text1"/>
          <w:szCs w:val="16"/>
        </w:rPr>
        <w:br/>
        <w:t>Hispanic 6 (plus 3 from two or more)</w:t>
      </w:r>
      <w:r w:rsidRPr="00ED172B">
        <w:rPr>
          <w:rFonts w:cs="Arial"/>
          <w:color w:val="000000" w:themeColor="text1"/>
          <w:szCs w:val="16"/>
        </w:rPr>
        <w:br/>
        <w:t>Two or more races 5 (includes 3 Hispanic)</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Virgin Islands used the ECTA Representativeness Calculator to measure the representativeness of the respondents for race/ethnicity and districts. The ECTA calculator uses an accepted formula to determine representativeness and </w:t>
      </w:r>
      <w:proofErr w:type="spellStart"/>
      <w:proofErr w:type="gramStart"/>
      <w:r w:rsidRPr="00ED172B">
        <w:rPr>
          <w:rFonts w:cs="Arial"/>
          <w:color w:val="000000" w:themeColor="text1"/>
          <w:szCs w:val="16"/>
        </w:rPr>
        <w:t>non response</w:t>
      </w:r>
      <w:proofErr w:type="spellEnd"/>
      <w:proofErr w:type="gramEnd"/>
      <w:r w:rsidRPr="00ED172B">
        <w:rPr>
          <w:rFonts w:cs="Arial"/>
          <w:color w:val="000000" w:themeColor="text1"/>
          <w:szCs w:val="16"/>
        </w:rPr>
        <w:t xml:space="preserve"> bias. The ECTA Calculator determined that our data was representative of all </w:t>
      </w:r>
      <w:proofErr w:type="gramStart"/>
      <w:r w:rsidRPr="00ED172B">
        <w:rPr>
          <w:rFonts w:cs="Arial"/>
          <w:color w:val="000000" w:themeColor="text1"/>
          <w:szCs w:val="16"/>
        </w:rPr>
        <w:t>infants</w:t>
      </w:r>
      <w:proofErr w:type="gramEnd"/>
      <w:r w:rsidRPr="00ED172B">
        <w:rPr>
          <w:rFonts w:cs="Arial"/>
          <w:color w:val="000000" w:themeColor="text1"/>
          <w:szCs w:val="16"/>
        </w:rPr>
        <w:t xml:space="preserve"> toddlers on St. Thomas/St. John and St. Croix.</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The Infants &amp; Toddlers Program (ITP) serves a small </w:t>
      </w:r>
      <w:proofErr w:type="gramStart"/>
      <w:r w:rsidRPr="00ED172B">
        <w:rPr>
          <w:rFonts w:cs="Arial"/>
          <w:color w:val="000000" w:themeColor="text1"/>
          <w:szCs w:val="16"/>
        </w:rPr>
        <w:t>amount</w:t>
      </w:r>
      <w:proofErr w:type="gramEnd"/>
      <w:r w:rsidRPr="00ED172B">
        <w:rPr>
          <w:rFonts w:cs="Arial"/>
          <w:color w:val="000000" w:themeColor="text1"/>
          <w:szCs w:val="16"/>
        </w:rPr>
        <w:t xml:space="preserve"> of families in the St. Thomas/St. John district and in the St. Croix district.  In the St. Thomas/St. John district, 37 surveys were </w:t>
      </w:r>
      <w:proofErr w:type="gramStart"/>
      <w:r w:rsidRPr="00ED172B">
        <w:rPr>
          <w:rFonts w:cs="Arial"/>
          <w:color w:val="000000" w:themeColor="text1"/>
          <w:szCs w:val="16"/>
        </w:rPr>
        <w:t>distributed</w:t>
      </w:r>
      <w:proofErr w:type="gramEnd"/>
      <w:r w:rsidRPr="00ED172B">
        <w:rPr>
          <w:rFonts w:cs="Arial"/>
          <w:color w:val="000000" w:themeColor="text1"/>
          <w:szCs w:val="16"/>
        </w:rPr>
        <w:t xml:space="preserve"> and 33 surveys were returned.  In the St. Croix district, 33 surveys were </w:t>
      </w:r>
      <w:proofErr w:type="gramStart"/>
      <w:r w:rsidRPr="00ED172B">
        <w:rPr>
          <w:rFonts w:cs="Arial"/>
          <w:color w:val="000000" w:themeColor="text1"/>
          <w:szCs w:val="16"/>
        </w:rPr>
        <w:t>distributed</w:t>
      </w:r>
      <w:proofErr w:type="gramEnd"/>
      <w:r w:rsidRPr="00ED172B">
        <w:rPr>
          <w:rFonts w:cs="Arial"/>
          <w:color w:val="000000" w:themeColor="text1"/>
          <w:szCs w:val="16"/>
        </w:rPr>
        <w:t xml:space="preserve"> and 33 surveys were returned.</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VI must analyze the response rate to identify potential non-response bias and identify steps to reduce any identified bias and promote response from a broad cross section of parents of children with disabilities. VI must also describe the metric used to determine representativeness, as required by the Measurement Table. </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1.38%</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1.44%</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1.48%</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1.48%</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1.48%</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1.48%</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1.02%</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0.42%</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0.96%</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1.38%</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1.08%</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1.48%</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1.48%</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1.48%</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1.48%</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1.48%</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Virgin Islands Infants and Toddlers stakeholders consist of members of the VI Interagency Coordinating Council (VI-ICC), who advises and assist the ITP regarding the provision of early intervention services for children with disabilities from birth to three and other child development agencies. There were meetings held in May 2022, June 2022, and December 2022. The council has a diverse membership, including parents of children with a disability and state agencies involved in the provision of early intervention services, a member responsible for the State Medicare program, the SEA responsible for </w:t>
      </w:r>
      <w:proofErr w:type="gramStart"/>
      <w:r w:rsidRPr="00ED172B">
        <w:rPr>
          <w:color w:val="000000" w:themeColor="text1"/>
        </w:rPr>
        <w:t>child care</w:t>
      </w:r>
      <w:proofErr w:type="gramEnd"/>
      <w:r w:rsidRPr="00ED172B">
        <w:rPr>
          <w:color w:val="000000" w:themeColor="text1"/>
        </w:rPr>
        <w:t xml:space="preserve">, and other entities who give the ITP advice in areas of child development, human resources, and child find. Conference calls were held with available stakeholders to discuss the targets and how they will be reached. </w:t>
      </w:r>
      <w:proofErr w:type="gramStart"/>
      <w:r w:rsidRPr="00ED172B">
        <w:rPr>
          <w:color w:val="000000" w:themeColor="text1"/>
        </w:rPr>
        <w:t>In an effort to</w:t>
      </w:r>
      <w:proofErr w:type="gramEnd"/>
      <w:r w:rsidRPr="00ED172B">
        <w:rPr>
          <w:color w:val="000000" w:themeColor="text1"/>
        </w:rPr>
        <w:t xml:space="preserve"> increase the child find, one of the SSIP strands, the VI ITP met with VI Partners for Healthy Communities and the Project Launch program. The ITP Director also serves on the Project Launch Young Child Wellness Advisory Council. Beginning in 2022 the VI ITP also presented the findings of the SPP/APR, Exiting, and Child Count reports to the DOH Leadership when required to present the status of the program. Each program within the Department of Health usually presents at least two times per calendar year.</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6</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1,102</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6</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1,102</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1.08%</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1.48%</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0.54%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lastRenderedPageBreak/>
        <w:t>The Virgin Islands Infants &amp; Toddlers Program began using actual data from the Vital Statistics office within the Department of Health for the FFY 2021 APR which demonstrates slippage from 1.08% in FFY 2020 to 0.54% in FFY 2021. The DOH Vital Statistics office is the agency responsible for all birth records in both districts (St. Thomas/St. John and St. Croix). Historically the ITP used the 2010 Census data which records children 0-5 years old without a specific breakdown that is required by OSEP. The data from the Vital Statistics office is a new method of counting the specific age groups of 0-1 and 0-3.</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The population in the Virgin Islands continues to decrease based on the most recent 2020 Census as a </w:t>
      </w:r>
      <w:proofErr w:type="gramStart"/>
      <w:r w:rsidRPr="00ED172B">
        <w:rPr>
          <w:color w:val="000000" w:themeColor="text1"/>
        </w:rPr>
        <w:t>long term</w:t>
      </w:r>
      <w:proofErr w:type="gramEnd"/>
      <w:r w:rsidRPr="00ED172B">
        <w:rPr>
          <w:color w:val="000000" w:themeColor="text1"/>
        </w:rPr>
        <w:t xml:space="preserve"> result of the 2017 hurricanes and COVID 19. In the St. Croix </w:t>
      </w:r>
      <w:proofErr w:type="gramStart"/>
      <w:r w:rsidRPr="00ED172B">
        <w:rPr>
          <w:color w:val="000000" w:themeColor="text1"/>
        </w:rPr>
        <w:t>district</w:t>
      </w:r>
      <w:proofErr w:type="gramEnd"/>
      <w:r w:rsidRPr="00ED172B">
        <w:rPr>
          <w:color w:val="000000" w:themeColor="text1"/>
        </w:rPr>
        <w:t xml:space="preserve"> the Limetree Bay Oil Refinery closed in May 2021 triggering even more of an economic downturn.</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2.58%</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2.65%</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2.70%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2.70%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2.70%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2.70%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1.84%</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1.52%</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1.76%</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1.79%</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1.81%</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2.70%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2.70%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2.70%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2.70%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2.70%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Virgin Islands Infants and Toddlers stakeholders consist of members of the VI Interagency Coordinating Council (VI-ICC), who advises and assist the ITP regarding the provision of early intervention services for children with disabilities from birth to three and other child development agencies. There were meetings held in May 2022, June 2022, and December 2022. The council has a diverse membership, including parents of children with a disability and state agencies involved in the provision of early intervention services, a member responsible for the State Medicare program, the SEA responsible for </w:t>
      </w:r>
      <w:proofErr w:type="gramStart"/>
      <w:r w:rsidRPr="00ED172B">
        <w:rPr>
          <w:color w:val="000000" w:themeColor="text1"/>
        </w:rPr>
        <w:t>child care</w:t>
      </w:r>
      <w:proofErr w:type="gramEnd"/>
      <w:r w:rsidRPr="00ED172B">
        <w:rPr>
          <w:color w:val="000000" w:themeColor="text1"/>
        </w:rPr>
        <w:t xml:space="preserve">, and other entities who give the ITP advice in areas of child development, human resources, and child find. Conference calls were held with available stakeholders to discuss the targets and how they will be reached. </w:t>
      </w:r>
      <w:proofErr w:type="gramStart"/>
      <w:r w:rsidRPr="00ED172B">
        <w:rPr>
          <w:color w:val="000000" w:themeColor="text1"/>
        </w:rPr>
        <w:t>In an effort to</w:t>
      </w:r>
      <w:proofErr w:type="gramEnd"/>
      <w:r w:rsidRPr="00ED172B">
        <w:rPr>
          <w:color w:val="000000" w:themeColor="text1"/>
        </w:rPr>
        <w:t xml:space="preserve"> increase the child find, one of the SSIP strands, the VI ITP met with VI Partners for Healthy Communities and the Project Launch program. The ITP Director also serves on the Project Launch Young Child Wellness Advisory Council. Beginning in 2022 the VI ITP also presented the findings of the SPP/APR, Exiting, and Child Count reports to the DOH Leadership when required to present the status of the program. Each program within the Department of Health usually presents at least two times per calendar year.</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108</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2,936</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108</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2,936</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1.81%</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2.70%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3.68%</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The Virgin Islands Infants &amp; Toddlers Program began using actual data from the Vital Statistics office within the Department of Health for the FFY 2021 APR which demonstrates slippage from 1.08% in FFY 2020 to 0.54% in FFY 2021. The DOH Vital Statistics office is the agency responsible for all birth records in both districts (St. Thomas/St. John and St. Croix). Historically the ITP used the 2010 Census data which records children 0-5 years old without </w:t>
      </w:r>
      <w:r w:rsidRPr="00ED172B">
        <w:rPr>
          <w:rFonts w:cs="Arial"/>
          <w:color w:val="000000" w:themeColor="text1"/>
          <w:szCs w:val="16"/>
        </w:rPr>
        <w:lastRenderedPageBreak/>
        <w:t xml:space="preserve">a specific breakdown that is required by OSEP. The data from the Vital Statistics office is a new method of counting the specific age groups of 0-1 and 0-3.  The population in the Virgin Islands continues to decrease based on the most recent 2020 Census as a </w:t>
      </w:r>
      <w:proofErr w:type="gramStart"/>
      <w:r w:rsidRPr="00ED172B">
        <w:rPr>
          <w:rFonts w:cs="Arial"/>
          <w:color w:val="000000" w:themeColor="text1"/>
          <w:szCs w:val="16"/>
        </w:rPr>
        <w:t>long term</w:t>
      </w:r>
      <w:proofErr w:type="gramEnd"/>
      <w:r w:rsidRPr="00ED172B">
        <w:rPr>
          <w:rFonts w:cs="Arial"/>
          <w:color w:val="000000" w:themeColor="text1"/>
          <w:szCs w:val="16"/>
        </w:rPr>
        <w:t xml:space="preserve"> result of the 2017 hurricanes and COVID 19.</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100.00%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97.79%</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99.10%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99.59%</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199</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220</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21</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In the St. Thomas/St. John district we continue delays due to COVID-19; daycare providers and parents were continuing to be reluctant to meet face to face. Some families opted out of virtual services, and some children had medical appointments off island for extended periods of time.</w:t>
      </w:r>
      <w:r w:rsidRPr="00ED172B">
        <w:rPr>
          <w:color w:val="000000" w:themeColor="text1"/>
          <w:szCs w:val="16"/>
        </w:rPr>
        <w:br/>
        <w:t>In the St. Croix district delays were due to families moving without notifying the program, changing cell phone numbers without notifying the program, cancelling or rescheduling appointments and finally restricting services at home or daycare due to COVID.</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This data was collected </w:t>
      </w:r>
      <w:proofErr w:type="spellStart"/>
      <w:r w:rsidRPr="00ED172B">
        <w:rPr>
          <w:color w:val="000000" w:themeColor="text1"/>
        </w:rPr>
        <w:t>through out</w:t>
      </w:r>
      <w:proofErr w:type="spellEnd"/>
      <w:r w:rsidRPr="00ED172B">
        <w:rPr>
          <w:color w:val="000000" w:themeColor="text1"/>
        </w:rPr>
        <w:t xml:space="preserve"> the full reporting period, July 1, </w:t>
      </w:r>
      <w:proofErr w:type="gramStart"/>
      <w:r w:rsidRPr="00ED172B">
        <w:rPr>
          <w:color w:val="000000" w:themeColor="text1"/>
        </w:rPr>
        <w:t>2021</w:t>
      </w:r>
      <w:proofErr w:type="gramEnd"/>
      <w:r w:rsidRPr="00ED172B">
        <w:rPr>
          <w:color w:val="000000" w:themeColor="text1"/>
        </w:rPr>
        <w:t xml:space="preserve"> to June 30, 2022. </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This data accurately </w:t>
      </w:r>
      <w:proofErr w:type="gramStart"/>
      <w:r w:rsidRPr="00ED172B">
        <w:rPr>
          <w:rFonts w:cs="Arial"/>
          <w:color w:val="000000" w:themeColor="text1"/>
          <w:szCs w:val="16"/>
        </w:rPr>
        <w:t>reflect</w:t>
      </w:r>
      <w:proofErr w:type="gramEnd"/>
      <w:r w:rsidRPr="00ED172B">
        <w:rPr>
          <w:rFonts w:cs="Arial"/>
          <w:color w:val="000000" w:themeColor="text1"/>
          <w:szCs w:val="16"/>
        </w:rPr>
        <w:t xml:space="preserve"> all children for whom an IFSP was developed from July 1, 2021 to June 30, 2022. The Service Coordinator in each district receives the information/reports from the Providers and enters the information in the database. The database has formulas in place to indicate the upcoming due dates.</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203B4" w:rsidP="00186420">
            <w:pPr>
              <w:jc w:val="center"/>
              <w:rPr>
                <w:rFonts w:cs="Arial"/>
                <w:color w:val="000000" w:themeColor="text1"/>
                <w:szCs w:val="16"/>
              </w:rPr>
            </w:pPr>
          </w:p>
        </w:tc>
        <w:tc>
          <w:tcPr>
            <w:tcW w:w="1286" w:type="pct"/>
            <w:shd w:val="clear" w:color="auto" w:fill="auto"/>
          </w:tcPr>
          <w:p w14:paraId="6713A327" w14:textId="087EB1ED" w:rsidR="008203B4" w:rsidRPr="00ED172B" w:rsidRDefault="008203B4" w:rsidP="00186420">
            <w:pPr>
              <w:jc w:val="center"/>
              <w:rPr>
                <w:rFonts w:cs="Arial"/>
                <w:color w:val="000000" w:themeColor="text1"/>
                <w:szCs w:val="16"/>
              </w:rPr>
            </w:pP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203B4" w:rsidP="00186420">
            <w:pPr>
              <w:jc w:val="center"/>
              <w:rPr>
                <w:rFonts w:cs="Arial"/>
                <w:color w:val="000000" w:themeColor="text1"/>
                <w:szCs w:val="16"/>
              </w:rPr>
            </w:pPr>
          </w:p>
        </w:tc>
      </w:tr>
    </w:tbl>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FFY 2019</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7D044851" w14:textId="4FA37089" w:rsidR="00B5154D" w:rsidRPr="00ED172B" w:rsidRDefault="00B5154D" w:rsidP="00B83404">
      <w:pPr>
        <w:rPr>
          <w:rFonts w:cs="Arial"/>
          <w:b/>
          <w:bCs/>
          <w:color w:val="000000" w:themeColor="text1"/>
          <w:szCs w:val="16"/>
        </w:rPr>
      </w:pPr>
      <w:r w:rsidRPr="00ED172B">
        <w:rPr>
          <w:rFonts w:cs="Arial"/>
          <w:b/>
          <w:bCs/>
          <w:color w:val="000000" w:themeColor="text1"/>
          <w:szCs w:val="16"/>
        </w:rPr>
        <w:t>FFY 2019</w:t>
      </w:r>
    </w:p>
    <w:p w14:paraId="018F68C3" w14:textId="0CC574A7" w:rsidR="008203B4" w:rsidRPr="00ED172B" w:rsidRDefault="008203B4" w:rsidP="00B83404">
      <w:pPr>
        <w:rPr>
          <w:color w:val="000000" w:themeColor="text1"/>
        </w:rPr>
      </w:pPr>
      <w:r w:rsidRPr="00ED172B">
        <w:rPr>
          <w:b/>
          <w:color w:val="000000" w:themeColor="text1"/>
        </w:rPr>
        <w:t>Findings of Noncompliance Verified as Corrected</w:t>
      </w:r>
    </w:p>
    <w:p w14:paraId="75B2A1A8" w14:textId="10F32585"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60F0994D" w14:textId="0E18E14B" w:rsidR="008203B4" w:rsidRPr="00ED172B" w:rsidRDefault="00860830">
      <w:pPr>
        <w:rPr>
          <w:color w:val="000000" w:themeColor="text1"/>
        </w:rPr>
      </w:pPr>
      <w:r w:rsidRPr="00ED172B">
        <w:rPr>
          <w:color w:val="000000" w:themeColor="text1"/>
        </w:rPr>
        <w:t xml:space="preserve">The Director has verified that each Service Coordinator with noncompliance under this indicator: (1) is correctly implementing the specific regulatory requirements; and (2) implemented the IFSP for the child, although late, unless the child is no longer within the jurisdiction of the EIS program, consistent with OSEP Memorandum 09-02, dated October 17, 2008 (OSEP Memo 09-02). The Director monitored each program, through meetings, review of the one file and on-site verification of data. The process included notifying the Service Coordinator of each program of any identified findings of non-compliance; and informing them of corrections of noncompliance according to 09-02. The ITP corrective actions </w:t>
      </w:r>
      <w:proofErr w:type="gramStart"/>
      <w:r w:rsidRPr="00ED172B">
        <w:rPr>
          <w:color w:val="000000" w:themeColor="text1"/>
        </w:rPr>
        <w:t>includes</w:t>
      </w:r>
      <w:proofErr w:type="gramEnd"/>
      <w:r w:rsidRPr="00ED172B">
        <w:rPr>
          <w:color w:val="000000" w:themeColor="text1"/>
        </w:rPr>
        <w:t xml:space="preserve"> a program analysis of the root cause for the non-compliance and action steps with responsible programs and dates to correct the identified issues that led to non-compliance. The ITP reviewed subsequent data that was 100% compliant to close each finding of non-compliance. In subsequent reviews of updated data, it was verified that 100% compliance was achieved.</w:t>
      </w:r>
    </w:p>
    <w:p w14:paraId="0935FA50" w14:textId="5AF3078D"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6D092A5" w14:textId="320BC94C" w:rsidR="008203B4" w:rsidRDefault="00860830">
      <w:pPr>
        <w:rPr>
          <w:color w:val="000000" w:themeColor="text1"/>
        </w:rPr>
      </w:pPr>
      <w:r w:rsidRPr="00ED172B">
        <w:rPr>
          <w:color w:val="000000" w:themeColor="text1"/>
        </w:rPr>
        <w:t>As the territory was recovering from the aftermath of the two 2017 hurricanes and the effects of tropical storm Dorian in 2019, the territory was forced into a state of emergency due to COVID 19. During the COVID 19 state of emergency the territory was in lockdown on several different occasions. Some families opted out of appointments or continually rescheduled. This family was offered new appointments to sign the IFSP, although late. The ITP verified that the one file not in compliance, was corrected at the child level, by implementing the IFSP once signed. The ITP verified that the specific regulatory requirements were implemented consistent with OSEP memo 09-02 and ensured that the child received the services listed on the IFSP. The ITP issued one finding and implemented a process of monthly monitoring for this child to ensure that all future timelines were met. This child is no longer within the jurisdiction of the VI ITP.</w:t>
      </w:r>
      <w:r w:rsidRPr="00ED172B">
        <w:rPr>
          <w:color w:val="000000" w:themeColor="text1"/>
        </w:rPr>
        <w:br/>
        <w:t>The ITP corrected the instances of noncompliance consistent with OSEP memorandum 09-02. A subsequent review on St. Croix showed that the files were 100% in compliance consistent with the OSEP memo 09-02.</w:t>
      </w:r>
    </w:p>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VI must demonstrate, in the FFY 2021 SPP/APR, that the remaining findings identified in FFY 2019 and FFY </w:t>
      </w:r>
      <w:proofErr w:type="gramStart"/>
      <w:r w:rsidRPr="00ED172B">
        <w:rPr>
          <w:color w:val="000000" w:themeColor="text1"/>
        </w:rPr>
        <w:t>2018  were</w:t>
      </w:r>
      <w:proofErr w:type="gramEnd"/>
      <w:r w:rsidRPr="00ED172B">
        <w:rPr>
          <w:color w:val="000000" w:themeColor="text1"/>
        </w:rPr>
        <w:t xml:space="preserve"> corrected. When reporting on the correction of noncompliance, VI must report, in the FFY 2021 SPP/APR, that it has verified that each EIS program or provider with remaining noncompliance identified in FFY 2018 and FFY 2019 has corrected each individual case of noncompliance, unless the child is no longer within the jurisdiction of the EIS program or provider, consistent with OSEP Memo 09-02. In the FFY 2021 SPP/APR, VI must describe the specific actions that were taken to verify the correction.</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SPECIAL NOTE:     FFY 2018 This explains the corrections of noncompliance as there is not a designated area to complete in the previous section.</w:t>
      </w:r>
      <w:r w:rsidRPr="00ED172B">
        <w:rPr>
          <w:color w:val="000000" w:themeColor="text1"/>
        </w:rPr>
        <w:br/>
      </w:r>
      <w:r w:rsidRPr="00ED172B">
        <w:rPr>
          <w:color w:val="000000" w:themeColor="text1"/>
        </w:rPr>
        <w:br/>
        <w:t>Describe how the State verified that the source of noncompliance is correctly implementing the regulatory requirements.</w:t>
      </w:r>
      <w:r w:rsidRPr="00ED172B">
        <w:rPr>
          <w:color w:val="000000" w:themeColor="text1"/>
        </w:rPr>
        <w:br/>
      </w:r>
      <w:r w:rsidRPr="00ED172B">
        <w:rPr>
          <w:color w:val="000000" w:themeColor="text1"/>
        </w:rPr>
        <w:br/>
        <w:t xml:space="preserve">For FFY 2018 the Director has verified that each Service Coordinator with noncompliance under this indicator: (1) is correctly implementing the specific regulatory requirements; and (2) implemented the IFSP for the two children, although late, unless the children are no longer within the jurisdiction of the EIS program, consistent with OSEP Memorandum 09-02, dated October 17, 2008 (OSEP Memo 09-02). The Director monitored each program, through meetings, review of the files and on-site verification of data. The process included notifying the Service Coordinator of each program of any identified findings of non-compliance; and informing them of corrections of noncompliance according to 09-02. The ITP corrective actions </w:t>
      </w:r>
      <w:proofErr w:type="gramStart"/>
      <w:r w:rsidRPr="00ED172B">
        <w:rPr>
          <w:color w:val="000000" w:themeColor="text1"/>
        </w:rPr>
        <w:t>includes</w:t>
      </w:r>
      <w:proofErr w:type="gramEnd"/>
      <w:r w:rsidRPr="00ED172B">
        <w:rPr>
          <w:color w:val="000000" w:themeColor="text1"/>
        </w:rPr>
        <w:t xml:space="preserve"> a program analysis of the root cause for the non-compliance and action steps with responsible programs and dates to correct the identified issues that led to non-</w:t>
      </w:r>
      <w:r w:rsidRPr="00ED172B">
        <w:rPr>
          <w:color w:val="000000" w:themeColor="text1"/>
        </w:rPr>
        <w:lastRenderedPageBreak/>
        <w:t>compliance. The ITP reviewed subsequent data that was 100% compliant to close each finding of non-compliance. In subsequent reviews of updated data, it was verified that 100% compliance was achieved.</w:t>
      </w:r>
      <w:r w:rsidRPr="00ED172B">
        <w:rPr>
          <w:color w:val="000000" w:themeColor="text1"/>
        </w:rPr>
        <w:br/>
      </w:r>
      <w:r w:rsidRPr="00ED172B">
        <w:rPr>
          <w:color w:val="000000" w:themeColor="text1"/>
        </w:rPr>
        <w:br/>
        <w:t>Describe how the State verified that each individual case of noncompliance was corrected.</w:t>
      </w:r>
      <w:r w:rsidRPr="00ED172B">
        <w:rPr>
          <w:color w:val="000000" w:themeColor="text1"/>
        </w:rPr>
        <w:br/>
      </w:r>
      <w:r w:rsidRPr="00ED172B">
        <w:rPr>
          <w:color w:val="000000" w:themeColor="text1"/>
        </w:rPr>
        <w:br/>
        <w:t>For FFY 2018 2 children's evaluations and IFSPs were late.  The ITP verified that the two files not in compliance, were corrected at the child level, by obtaining the necessary permission from the families to implement the IFSPs and subsequently providing services, according to the IFSP. The ITP verified that the specific regulatory requirements were implemented and ensured that the child received the services listed on the IFSP. The ITP issued a finding and implemented a process of monitoring files for compliance on a quarterly basis. The ITP corrected the instances of noncompliance consistent with OSEP memorandum 09-02.  These children are no longer within the jurisdiction of the VI ITP.</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93</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93</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 xml:space="preserve">This data was collected during the full reporting period, July 1, </w:t>
      </w:r>
      <w:proofErr w:type="gramStart"/>
      <w:r w:rsidRPr="00ED172B">
        <w:rPr>
          <w:color w:val="000000" w:themeColor="text1"/>
        </w:rPr>
        <w:t>2021</w:t>
      </w:r>
      <w:proofErr w:type="gramEnd"/>
      <w:r w:rsidRPr="00ED172B">
        <w:rPr>
          <w:color w:val="000000" w:themeColor="text1"/>
        </w:rPr>
        <w:t xml:space="preserve"> to June 30,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Data is determined to accurately reflect data for infants and toddlers with IFSPs for the full reporting period as the Infants and Toddlers Program reviewed data for all toddlers who were enrolled with an IFSP during the reporting period from July 1, </w:t>
      </w:r>
      <w:proofErr w:type="gramStart"/>
      <w:r w:rsidRPr="00ED172B">
        <w:rPr>
          <w:rFonts w:cs="Arial"/>
          <w:color w:val="000000" w:themeColor="text1"/>
          <w:szCs w:val="16"/>
        </w:rPr>
        <w:t>2021</w:t>
      </w:r>
      <w:proofErr w:type="gramEnd"/>
      <w:r w:rsidRPr="00ED172B">
        <w:rPr>
          <w:rFonts w:cs="Arial"/>
          <w:color w:val="000000" w:themeColor="text1"/>
          <w:szCs w:val="16"/>
        </w:rPr>
        <w:t xml:space="preserve"> to June 30, 2022.</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203B4" w:rsidP="00ED172B">
            <w:pPr>
              <w:jc w:val="center"/>
              <w:rPr>
                <w:rFonts w:cs="Arial"/>
                <w:color w:val="000000" w:themeColor="text1"/>
                <w:szCs w:val="16"/>
              </w:rPr>
            </w:pPr>
          </w:p>
        </w:tc>
        <w:tc>
          <w:tcPr>
            <w:tcW w:w="1270" w:type="pct"/>
            <w:shd w:val="clear" w:color="auto" w:fill="auto"/>
          </w:tcPr>
          <w:p w14:paraId="6F7AE561" w14:textId="0506DBB0" w:rsidR="008203B4" w:rsidRPr="00ED172B" w:rsidRDefault="008203B4" w:rsidP="00ED172B">
            <w:pPr>
              <w:jc w:val="center"/>
              <w:rPr>
                <w:rFonts w:cs="Arial"/>
                <w:color w:val="000000" w:themeColor="text1"/>
                <w:szCs w:val="16"/>
              </w:rPr>
            </w:pP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203B4" w:rsidP="00CD79C5">
            <w:pPr>
              <w:rPr>
                <w:rFonts w:cs="Arial"/>
                <w:color w:val="000000" w:themeColor="text1"/>
                <w:szCs w:val="16"/>
              </w:rPr>
            </w:pP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76</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93</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17</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3C1AB9" w:rsidP="003C1AB9">
      <w:pPr>
        <w:rPr>
          <w:color w:val="000000" w:themeColor="text1"/>
          <w:szCs w:val="16"/>
        </w:rPr>
      </w:pP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 xml:space="preserve">This data was collected </w:t>
      </w:r>
      <w:proofErr w:type="spellStart"/>
      <w:r w:rsidRPr="00ED172B">
        <w:rPr>
          <w:color w:val="000000" w:themeColor="text1"/>
        </w:rPr>
        <w:t>through out</w:t>
      </w:r>
      <w:proofErr w:type="spellEnd"/>
      <w:r w:rsidRPr="00ED172B">
        <w:rPr>
          <w:color w:val="000000" w:themeColor="text1"/>
        </w:rPr>
        <w:t xml:space="preserve"> the full reporting period, July 1, </w:t>
      </w:r>
      <w:proofErr w:type="gramStart"/>
      <w:r w:rsidRPr="00ED172B">
        <w:rPr>
          <w:color w:val="000000" w:themeColor="text1"/>
        </w:rPr>
        <w:t>2021</w:t>
      </w:r>
      <w:proofErr w:type="gramEnd"/>
      <w:r w:rsidRPr="00ED172B">
        <w:rPr>
          <w:color w:val="000000" w:themeColor="text1"/>
        </w:rPr>
        <w:t xml:space="preserve"> to June 30, 2022. </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Data is determined to accurately reflect data for infants and toddlers with IFSPs for the full reporting period as the Infants and Toddlers Program reviewed data for all toddlers who were enrolled with an IFSP during the reporting period from July 1, </w:t>
      </w:r>
      <w:proofErr w:type="gramStart"/>
      <w:r w:rsidRPr="00ED172B">
        <w:rPr>
          <w:rFonts w:cs="Arial"/>
          <w:color w:val="000000" w:themeColor="text1"/>
          <w:szCs w:val="16"/>
        </w:rPr>
        <w:t>2021</w:t>
      </w:r>
      <w:proofErr w:type="gramEnd"/>
      <w:r w:rsidRPr="00ED172B">
        <w:rPr>
          <w:rFonts w:cs="Arial"/>
          <w:color w:val="000000" w:themeColor="text1"/>
          <w:szCs w:val="16"/>
        </w:rPr>
        <w:t xml:space="preserve"> to June 30, 2022.</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 xml:space="preserve">The VI did not describe the method used to collect data, as required by the Measurement Table. </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The VI did not describe the method used to collect data for this indicator. In the FFY 2022 SPP/APR, the VI must provide the required information. </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94.00%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88.64%</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76.06%</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85</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93</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Met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8</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 xml:space="preserve">The data was collected </w:t>
      </w:r>
      <w:proofErr w:type="spellStart"/>
      <w:r w:rsidRPr="00ED172B">
        <w:rPr>
          <w:color w:val="000000" w:themeColor="text1"/>
        </w:rPr>
        <w:t>through out</w:t>
      </w:r>
      <w:proofErr w:type="spellEnd"/>
      <w:r w:rsidRPr="00ED172B">
        <w:rPr>
          <w:color w:val="000000" w:themeColor="text1"/>
        </w:rPr>
        <w:t xml:space="preserve"> the full reporting period. </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Data is determined to accurately reflect data for infants and toddlers with IFSPs for the full reporting period as the Infants and Toddlers Program reviewed data for all toddlers who were enrolled with an IFSP during the reporting period from July 1, </w:t>
      </w:r>
      <w:proofErr w:type="gramStart"/>
      <w:r w:rsidRPr="00ED172B">
        <w:rPr>
          <w:rFonts w:cs="Arial"/>
          <w:color w:val="000000" w:themeColor="text1"/>
          <w:szCs w:val="16"/>
        </w:rPr>
        <w:t>2021</w:t>
      </w:r>
      <w:proofErr w:type="gramEnd"/>
      <w:r w:rsidRPr="00ED172B">
        <w:rPr>
          <w:rFonts w:cs="Arial"/>
          <w:color w:val="000000" w:themeColor="text1"/>
          <w:szCs w:val="16"/>
        </w:rPr>
        <w:t xml:space="preserve"> to June 30, 2022.</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E06C1E" w:rsidP="00ED172B">
            <w:pPr>
              <w:jc w:val="center"/>
              <w:rPr>
                <w:rFonts w:cs="Arial"/>
                <w:color w:val="000000" w:themeColor="text1"/>
                <w:szCs w:val="16"/>
              </w:rPr>
            </w:pPr>
          </w:p>
        </w:tc>
        <w:tc>
          <w:tcPr>
            <w:tcW w:w="1268" w:type="pct"/>
            <w:shd w:val="clear" w:color="auto" w:fill="auto"/>
          </w:tcPr>
          <w:p w14:paraId="2EF88B35" w14:textId="56AB0211" w:rsidR="00E06C1E" w:rsidRPr="00ED172B" w:rsidRDefault="00E06C1E" w:rsidP="00ED172B">
            <w:pPr>
              <w:jc w:val="center"/>
              <w:rPr>
                <w:rFonts w:cs="Arial"/>
                <w:color w:val="000000" w:themeColor="text1"/>
                <w:szCs w:val="16"/>
              </w:rPr>
            </w:pP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E06C1E" w:rsidP="00CD79C5">
            <w:pPr>
              <w:rPr>
                <w:rFonts w:cs="Arial"/>
                <w:color w:val="000000" w:themeColor="text1"/>
                <w:szCs w:val="16"/>
              </w:rPr>
            </w:pPr>
          </w:p>
        </w:tc>
      </w:tr>
    </w:tbl>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lastRenderedPageBreak/>
        <w:t xml:space="preserve">8C - </w:t>
      </w:r>
      <w:r w:rsidR="00E06C1E" w:rsidRPr="00A40EE1">
        <w:t>Required Actions</w:t>
      </w:r>
    </w:p>
    <w:p w14:paraId="259A7463" w14:textId="2BBA9F30" w:rsidR="00E06C1E" w:rsidRPr="00ED172B" w:rsidRDefault="00E06C1E" w:rsidP="00320806">
      <w:pPr>
        <w:rPr>
          <w:color w:val="000000" w:themeColor="text1"/>
        </w:rPr>
      </w:pP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 xml:space="preserve">The Virgin Islands Infants and Toddlers stakeholders consist of members of the VI Interagency Coordinating Council (VI-ICC), who advises and assist the ITP regarding the provision of early intervention services for children with disabilities from birth to three and other child development agencies. There were meetings held in May 2022, June 2022, and December 2022. The council has a diverse membership, including parents of children with a disability and state agencies involved in the provision of early intervention services, a member responsible for the State Medicare program, the SEA responsible for </w:t>
      </w:r>
      <w:proofErr w:type="gramStart"/>
      <w:r w:rsidRPr="00ED172B">
        <w:rPr>
          <w:color w:val="000000" w:themeColor="text1"/>
        </w:rPr>
        <w:t>child care</w:t>
      </w:r>
      <w:proofErr w:type="gramEnd"/>
      <w:r w:rsidRPr="00ED172B">
        <w:rPr>
          <w:color w:val="000000" w:themeColor="text1"/>
        </w:rPr>
        <w:t xml:space="preserve">, and other entities who give the ITP advice in areas of child development, human resources, and child find. Conference calls were held with available stakeholders to discuss the targets and how they will be reached. </w:t>
      </w:r>
      <w:proofErr w:type="gramStart"/>
      <w:r w:rsidRPr="00ED172B">
        <w:rPr>
          <w:color w:val="000000" w:themeColor="text1"/>
        </w:rPr>
        <w:t>In an effort to</w:t>
      </w:r>
      <w:proofErr w:type="gramEnd"/>
      <w:r w:rsidRPr="00ED172B">
        <w:rPr>
          <w:color w:val="000000" w:themeColor="text1"/>
        </w:rPr>
        <w:t xml:space="preserve"> increase the child find, one of the SSIP strands, the VI ITP met with VI Partners for Healthy Communities and the Project Launch program. The ITP Director also serves on the Project Launch Young Child Wellness Advisory Council. Beginning in 2022 the VI ITP also presented the findings of the SPP/APR, Exiting, and Child Count reports to the DOH Leadership when required to present the status of the program. Each program within the Department of Health usually presents at least two times per calendar year.</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555"/>
        <w:gridCol w:w="1664"/>
        <w:gridCol w:w="1664"/>
        <w:gridCol w:w="1664"/>
        <w:gridCol w:w="1664"/>
      </w:tblGrid>
      <w:tr w:rsidR="009E2382" w:rsidRPr="00ED172B" w14:paraId="1D0639C9" w14:textId="3417AA8E" w:rsidTr="006B0ACA">
        <w:trPr>
          <w:trHeight w:val="306"/>
        </w:trPr>
        <w:tc>
          <w:tcPr>
            <w:tcW w:w="339" w:type="pct"/>
            <w:tcBorders>
              <w:bottom w:val="single" w:sz="4" w:space="0" w:color="auto"/>
            </w:tcBorders>
            <w:shd w:val="clear" w:color="auto" w:fill="auto"/>
            <w:vAlign w:val="center"/>
          </w:tcPr>
          <w:p w14:paraId="0C0ADAF4" w14:textId="77777777" w:rsidR="009E2382" w:rsidRPr="00ED172B" w:rsidRDefault="009E2382" w:rsidP="00C375EA">
            <w:pPr>
              <w:jc w:val="center"/>
              <w:rPr>
                <w:b/>
                <w:color w:val="000000" w:themeColor="text1"/>
              </w:rPr>
            </w:pPr>
            <w:r w:rsidRPr="00ED172B">
              <w:rPr>
                <w:b/>
                <w:color w:val="000000" w:themeColor="text1"/>
              </w:rPr>
              <w:lastRenderedPageBreak/>
              <w:t>FFY</w:t>
            </w:r>
          </w:p>
        </w:tc>
        <w:tc>
          <w:tcPr>
            <w:tcW w:w="884" w:type="pct"/>
            <w:shd w:val="clear" w:color="auto" w:fill="auto"/>
            <w:vAlign w:val="center"/>
          </w:tcPr>
          <w:p w14:paraId="177E68DB" w14:textId="36EAF4BA" w:rsidR="009E2382" w:rsidRPr="00ED172B" w:rsidRDefault="009E2382" w:rsidP="00C375EA">
            <w:pPr>
              <w:jc w:val="center"/>
              <w:rPr>
                <w:b/>
                <w:color w:val="000000" w:themeColor="text1"/>
              </w:rPr>
            </w:pPr>
            <w:r w:rsidRPr="00ED172B">
              <w:rPr>
                <w:b/>
                <w:color w:val="000000" w:themeColor="text1"/>
              </w:rPr>
              <w:t>2021</w:t>
            </w:r>
          </w:p>
        </w:tc>
        <w:tc>
          <w:tcPr>
            <w:tcW w:w="944" w:type="pct"/>
          </w:tcPr>
          <w:p w14:paraId="0AF6E35B" w14:textId="51849C6B"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C7CBE66" w14:textId="677190A8"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18A12C91" w14:textId="0AC76A6E"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7A378486" w14:textId="1F4AB8EF"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636215D6" w14:textId="4BA04A28" w:rsidTr="006B0ACA">
        <w:trPr>
          <w:trHeight w:val="312"/>
        </w:trPr>
        <w:tc>
          <w:tcPr>
            <w:tcW w:w="339" w:type="pct"/>
            <w:shd w:val="clear" w:color="auto" w:fill="auto"/>
          </w:tcPr>
          <w:p w14:paraId="12E3864D" w14:textId="15C14C1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3DA3E6E1" w14:textId="3EEF45C3" w:rsidR="009E2382" w:rsidRPr="00ED172B" w:rsidRDefault="009E2382" w:rsidP="00C375EA">
            <w:pPr>
              <w:jc w:val="center"/>
              <w:rPr>
                <w:color w:val="000000" w:themeColor="text1"/>
              </w:rPr>
            </w:pPr>
          </w:p>
        </w:tc>
        <w:tc>
          <w:tcPr>
            <w:tcW w:w="944" w:type="pct"/>
          </w:tcPr>
          <w:p w14:paraId="5F49CD7A" w14:textId="5AFE9567" w:rsidR="009E2382" w:rsidRPr="00ED172B" w:rsidRDefault="009E2382" w:rsidP="00C375EA">
            <w:pPr>
              <w:jc w:val="center"/>
              <w:rPr>
                <w:color w:val="000000" w:themeColor="text1"/>
              </w:rPr>
            </w:pPr>
          </w:p>
        </w:tc>
        <w:tc>
          <w:tcPr>
            <w:tcW w:w="944" w:type="pct"/>
          </w:tcPr>
          <w:p w14:paraId="2D5C9F35" w14:textId="4424DF23" w:rsidR="009E2382" w:rsidRPr="00ED172B" w:rsidRDefault="009E2382" w:rsidP="00C375EA">
            <w:pPr>
              <w:jc w:val="center"/>
              <w:rPr>
                <w:color w:val="000000" w:themeColor="text1"/>
              </w:rPr>
            </w:pPr>
          </w:p>
        </w:tc>
        <w:tc>
          <w:tcPr>
            <w:tcW w:w="944" w:type="pct"/>
          </w:tcPr>
          <w:p w14:paraId="55547E95" w14:textId="33DF8D0C" w:rsidR="009E2382" w:rsidRPr="00ED172B" w:rsidRDefault="009E2382" w:rsidP="00C375EA">
            <w:pPr>
              <w:jc w:val="center"/>
              <w:rPr>
                <w:color w:val="000000" w:themeColor="text1"/>
              </w:rPr>
            </w:pPr>
          </w:p>
        </w:tc>
        <w:tc>
          <w:tcPr>
            <w:tcW w:w="944" w:type="pct"/>
          </w:tcPr>
          <w:p w14:paraId="2588FB2A" w14:textId="24627995" w:rsidR="009E2382" w:rsidRPr="00ED172B" w:rsidRDefault="009E2382"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7380CE49" w:rsidR="0097671A" w:rsidRPr="00ED172B" w:rsidRDefault="00F22D09" w:rsidP="00B8340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2F76C3A7" w:rsidR="0097671A"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7AA31E14" w14:textId="7A3C9E54" w:rsidR="0097671A"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5EC5F1D4" w14:textId="0292F35B" w:rsidR="0097671A"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The VI reported fewer than ten resolution sessions held in FFY 2021. The VI is not required to provide targets until any fiscal year in which ten or more resolution sessions were held.</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40C7A32D" w14:textId="60C272E3" w:rsidR="007F0CEC" w:rsidRPr="00ED172B" w:rsidRDefault="007F0CEC" w:rsidP="0077063D">
      <w:pPr>
        <w:pStyle w:val="Heading1"/>
        <w:rPr>
          <w:color w:val="000000" w:themeColor="text1"/>
        </w:rPr>
      </w:pPr>
      <w:bookmarkStart w:id="57" w:name="_Hlk109646703"/>
      <w:r w:rsidRPr="00ED172B">
        <w:rPr>
          <w:color w:val="000000" w:themeColor="text1"/>
        </w:rPr>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lastRenderedPageBreak/>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Virgin Islands Infants and Toddlers stakeholders consist of members of the VI Interagency Coordinating Council (VI-ICC), who advises and assist the ITP regarding the provision of early intervention services for children with disabilities from birth to three and other child development agencies. There were meetings held in May 2022, June 2022, and December 2022. The council has a diverse membership, including parents of children with a disability and state agencies involved in the provision of early intervention services, a member responsible for the State Medicare program, the SEA responsible for </w:t>
      </w:r>
      <w:proofErr w:type="gramStart"/>
      <w:r w:rsidRPr="00ED172B">
        <w:rPr>
          <w:color w:val="000000" w:themeColor="text1"/>
        </w:rPr>
        <w:t>child care</w:t>
      </w:r>
      <w:proofErr w:type="gramEnd"/>
      <w:r w:rsidRPr="00ED172B">
        <w:rPr>
          <w:color w:val="000000" w:themeColor="text1"/>
        </w:rPr>
        <w:t xml:space="preserve">, and other entities who give the ITP advice in areas of child development, human resources, and child find. Conference calls were held with available stakeholders to discuss the targets and how they will be reached. </w:t>
      </w:r>
      <w:proofErr w:type="gramStart"/>
      <w:r w:rsidRPr="00ED172B">
        <w:rPr>
          <w:color w:val="000000" w:themeColor="text1"/>
        </w:rPr>
        <w:t>In an effort to</w:t>
      </w:r>
      <w:proofErr w:type="gramEnd"/>
      <w:r w:rsidRPr="00ED172B">
        <w:rPr>
          <w:color w:val="000000" w:themeColor="text1"/>
        </w:rPr>
        <w:t xml:space="preserve"> increase the child find, one of the SSIP strands, the VI ITP met with VI Partners for Healthy Communities and the Project Launch program. The ITP Director also serves on the Project Launch Young Child Wellness Advisory Council. Beginning in 2022 the VI ITP also presented the findings of the SPP/APR, Exiting, and Child Count reports to the DOH Leadership when required to present the status of the program. Each program within the Department of Health usually presents at least two times per calendar year.</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VI reported fewer than ten mediations held in FFY 2021. The VI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3"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The percent of infants and toddlers with IFSPs who were functioning within age expectations in the acquisition and use of knowledge and skills (including early language/communication) by the time they turned 3 or exited the program.</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5" w:name="_Hlk109646832"/>
      <w:r w:rsidRPr="00A5616C">
        <w:rPr>
          <w:b/>
          <w:bCs/>
        </w:rPr>
        <w:t>Is the State’s theory of action new or revised since the previous submission? (yes/no)</w:t>
      </w:r>
    </w:p>
    <w:bookmarkEnd w:id="65"/>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https://doh.vi.gov</w:t>
      </w:r>
    </w:p>
    <w:p w14:paraId="7076EF11" w14:textId="77777777" w:rsidR="006A3544" w:rsidRDefault="006A3544" w:rsidP="008517CB">
      <w:pPr>
        <w:rPr>
          <w:b/>
          <w:bCs/>
        </w:rPr>
      </w:pPr>
    </w:p>
    <w:p w14:paraId="106F39B4" w14:textId="77777777" w:rsidR="00A3455E" w:rsidRDefault="00A3455E" w:rsidP="00A3455E">
      <w:pPr>
        <w:pStyle w:val="Subhed"/>
      </w:pPr>
      <w:bookmarkStart w:id="66"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6"/>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2008</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40.50%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43.50%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43.50%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43.50%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43.50%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43.50%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Number of infants and toddlers who improved functioning to reach a level comparable to same-aged peers.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Total number of infants and toddlers exiting who had been receiving services for at least 6 months.</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28</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69</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NVR</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43.50%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40.58%</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N/A</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The information used for this measurement is received from the EI providers with input from the families when the entry and exit COS ratings are completed. The data is from Indicator C3, Summary statement B2.  Indicator C3 is calculated using the recently updated Excel database with the formulas to calculate the required result imbedded.  </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The information is received from EI service providers and entered in the Excel database by the Service Coordinators in each district.</w:t>
      </w:r>
    </w:p>
    <w:p w14:paraId="76D8647E" w14:textId="78CCE65B" w:rsidR="00270F92" w:rsidRDefault="00270F92" w:rsidP="00741E58"/>
    <w:p w14:paraId="3CC869D1" w14:textId="77777777" w:rsidR="00177098" w:rsidRDefault="006D5F86" w:rsidP="006D5F86">
      <w:pPr>
        <w:rPr>
          <w:rFonts w:cs="Arial"/>
          <w:b/>
          <w:bCs/>
        </w:rPr>
      </w:pPr>
      <w:bookmarkStart w:id="67"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7"/>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8"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8"/>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69" w:name="_Hlk109646952"/>
      <w:r w:rsidRPr="00FC7972">
        <w:rPr>
          <w:b/>
          <w:bCs/>
        </w:rPr>
        <w:t>Did the State identify any data quality concerns directly related to the COVID-19 pandemic during the reporting period? (yes/no)</w:t>
      </w:r>
    </w:p>
    <w:bookmarkEnd w:id="69"/>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https://doh.vi.gov</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0" w:name="_Hlk109647010"/>
      <w:r w:rsidRPr="008E5E4F">
        <w:rPr>
          <w:rFonts w:cs="Arial"/>
          <w:b/>
          <w:szCs w:val="16"/>
        </w:rPr>
        <w:t>Provide a summary of each infrastructure improvement strategy implemented in the reporting period.</w:t>
      </w:r>
    </w:p>
    <w:bookmarkEnd w:id="70"/>
    <w:p w14:paraId="25F98C7D" w14:textId="49E84F34" w:rsidR="00EE4E0F" w:rsidRPr="009A49C9" w:rsidRDefault="00EE4E0F" w:rsidP="00EE4E0F">
      <w:pPr>
        <w:rPr>
          <w:b/>
          <w:bCs/>
        </w:rPr>
      </w:pPr>
      <w:r w:rsidRPr="00ED172B">
        <w:rPr>
          <w:color w:val="000000" w:themeColor="text1"/>
        </w:rPr>
        <w:t>The VI ICC continues to meet to advise and assist with the VI ITP. During the reporting period the VI ITP begun the process of hiring two Service Coordinators in the St. Croix district. Initially there was only one Service Coordinator. The decision was made with input from the VI ICC to hire an additional Service Coordinator because of the number of children served in that district in comparison to St. Thomas/St. John. The VI ICC Facebook page has been operational with updates made as needed. Several EI providers and families participated in training from the Play Project early in 2022.</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1"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1"/>
    <w:p w14:paraId="6C845F06" w14:textId="7D9487AF" w:rsidR="000379F6" w:rsidRDefault="00717461" w:rsidP="006237B0">
      <w:pPr>
        <w:rPr>
          <w:rFonts w:cs="Arial"/>
          <w:b/>
          <w:bCs/>
        </w:rPr>
      </w:pPr>
      <w:r w:rsidRPr="00ED172B">
        <w:rPr>
          <w:color w:val="000000" w:themeColor="text1"/>
        </w:rPr>
        <w:t xml:space="preserve">DATA: The recently updated Excel database enables the VI ITP to submit more accurate data as a result of the formulas embedded in the spreadsheet. The </w:t>
      </w:r>
      <w:proofErr w:type="gramStart"/>
      <w:r w:rsidRPr="00ED172B">
        <w:rPr>
          <w:color w:val="000000" w:themeColor="text1"/>
        </w:rPr>
        <w:t>long term</w:t>
      </w:r>
      <w:proofErr w:type="gramEnd"/>
      <w:r w:rsidRPr="00ED172B">
        <w:rPr>
          <w:color w:val="000000" w:themeColor="text1"/>
        </w:rPr>
        <w:t xml:space="preserve"> outcome is more accurate data and the ability to update and add additional fields when needed. </w:t>
      </w:r>
      <w:r w:rsidRPr="00ED172B">
        <w:rPr>
          <w:color w:val="000000" w:themeColor="text1"/>
        </w:rPr>
        <w:br/>
        <w:t xml:space="preserve">TECHNICAL ASSISTANCE: </w:t>
      </w:r>
      <w:r w:rsidRPr="00ED172B">
        <w:rPr>
          <w:color w:val="000000" w:themeColor="text1"/>
        </w:rPr>
        <w:br/>
        <w:t xml:space="preserve">FINANCE: The </w:t>
      </w:r>
      <w:proofErr w:type="gramStart"/>
      <w:r w:rsidRPr="00ED172B">
        <w:rPr>
          <w:color w:val="000000" w:themeColor="text1"/>
        </w:rPr>
        <w:t>Third Party</w:t>
      </w:r>
      <w:proofErr w:type="gramEnd"/>
      <w:r w:rsidRPr="00ED172B">
        <w:rPr>
          <w:color w:val="000000" w:themeColor="text1"/>
        </w:rPr>
        <w:t xml:space="preserve"> Fiduciary contract remains in effect providing financial monitoring and oversight.</w:t>
      </w:r>
      <w:r w:rsidRPr="00ED172B">
        <w:rPr>
          <w:color w:val="000000" w:themeColor="text1"/>
        </w:rPr>
        <w:br/>
        <w:t>PROFESSIONAL DEVELOPMENT: The Play Project provided training in evidence-based practices to the EI providers and parents who participated.  This assists with better interactions with the children they serve.</w:t>
      </w:r>
    </w:p>
    <w:p w14:paraId="372876BC" w14:textId="75D5A78F" w:rsidR="009C2256" w:rsidRDefault="009C2256" w:rsidP="009C2256">
      <w:pPr>
        <w:rPr>
          <w:rFonts w:cs="Arial"/>
          <w:b/>
          <w:bCs/>
        </w:rPr>
      </w:pPr>
      <w:bookmarkStart w:id="72"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2"/>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3" w:name="_Hlk109647038"/>
      <w:r w:rsidRPr="00EB4B7B">
        <w:rPr>
          <w:rFonts w:cs="Arial"/>
          <w:b/>
          <w:bCs/>
        </w:rPr>
        <w:t xml:space="preserve">Provide a summary of the next steps for each infrastructure improvement strategy and the anticipated outcomes to be attained during the next reporting period. </w:t>
      </w:r>
    </w:p>
    <w:bookmarkEnd w:id="73"/>
    <w:p w14:paraId="2B44D59F" w14:textId="71C78214" w:rsidR="00370225" w:rsidRPr="005137B6" w:rsidRDefault="00370225" w:rsidP="00370225">
      <w:pPr>
        <w:rPr>
          <w:b/>
          <w:bCs/>
        </w:rPr>
      </w:pPr>
      <w:r w:rsidRPr="00ED172B">
        <w:rPr>
          <w:color w:val="000000" w:themeColor="text1"/>
        </w:rPr>
        <w:t xml:space="preserve">The VI ITP will have a full </w:t>
      </w:r>
      <w:proofErr w:type="spellStart"/>
      <w:r w:rsidRPr="00ED172B">
        <w:rPr>
          <w:color w:val="000000" w:themeColor="text1"/>
        </w:rPr>
        <w:t>compliment</w:t>
      </w:r>
      <w:proofErr w:type="spellEnd"/>
      <w:r w:rsidRPr="00ED172B">
        <w:rPr>
          <w:color w:val="000000" w:themeColor="text1"/>
        </w:rPr>
        <w:t xml:space="preserve"> of staff by </w:t>
      </w:r>
      <w:proofErr w:type="spellStart"/>
      <w:r w:rsidRPr="00ED172B">
        <w:rPr>
          <w:color w:val="000000" w:themeColor="text1"/>
        </w:rPr>
        <w:t>mid year</w:t>
      </w:r>
      <w:proofErr w:type="spellEnd"/>
      <w:r w:rsidRPr="00ED172B">
        <w:rPr>
          <w:color w:val="000000" w:themeColor="text1"/>
        </w:rPr>
        <w:t xml:space="preserve">, with an additional Service Provider for St. Croix and one for St. Thomas/St. John. The Program Administrator position will also be filled. That staff position will serve as the immediate supervisor for all Service Coordinators. With a full </w:t>
      </w:r>
      <w:proofErr w:type="spellStart"/>
      <w:r w:rsidRPr="00ED172B">
        <w:rPr>
          <w:color w:val="000000" w:themeColor="text1"/>
        </w:rPr>
        <w:t>compliment</w:t>
      </w:r>
      <w:proofErr w:type="spellEnd"/>
      <w:r w:rsidRPr="00ED172B">
        <w:rPr>
          <w:color w:val="000000" w:themeColor="text1"/>
        </w:rPr>
        <w:t xml:space="preserve"> of staff, the VI ITP will work on the following:</w:t>
      </w:r>
      <w:r w:rsidRPr="00ED172B">
        <w:rPr>
          <w:color w:val="000000" w:themeColor="text1"/>
        </w:rPr>
        <w:br/>
        <w:t xml:space="preserve">Implement a schedule for monitoring files in each district. </w:t>
      </w:r>
      <w:r w:rsidRPr="00ED172B">
        <w:rPr>
          <w:color w:val="000000" w:themeColor="text1"/>
        </w:rPr>
        <w:br/>
        <w:t>Develop a listserv in Microsoft Outlook to send mass emails to families with information that will benefit their children who are in the program as well as to update them on any new initiatives.</w:t>
      </w:r>
      <w:r w:rsidRPr="00ED172B">
        <w:rPr>
          <w:color w:val="000000" w:themeColor="text1"/>
        </w:rPr>
        <w:br/>
        <w:t>Develop an annual list of trainings for both providers and families.</w:t>
      </w:r>
      <w:r w:rsidRPr="00ED172B">
        <w:rPr>
          <w:color w:val="000000" w:themeColor="text1"/>
        </w:rPr>
        <w:br/>
        <w:t>Attend national conferences and include staff, EI providers, ICC members and families where allowable.</w:t>
      </w:r>
      <w:r w:rsidRPr="00ED172B">
        <w:rPr>
          <w:color w:val="000000" w:themeColor="text1"/>
        </w:rPr>
        <w:br/>
        <w:t xml:space="preserve">Continue to work on the SPP/APR throughout the year with the </w:t>
      </w:r>
      <w:proofErr w:type="spellStart"/>
      <w:r w:rsidRPr="00ED172B">
        <w:rPr>
          <w:color w:val="000000" w:themeColor="text1"/>
        </w:rPr>
        <w:t>DaSy</w:t>
      </w:r>
      <w:proofErr w:type="spellEnd"/>
      <w:r w:rsidRPr="00ED172B">
        <w:rPr>
          <w:color w:val="000000" w:themeColor="text1"/>
        </w:rPr>
        <w:t xml:space="preserve"> TA providers.</w:t>
      </w:r>
      <w:r w:rsidRPr="00ED172B">
        <w:rPr>
          <w:color w:val="000000" w:themeColor="text1"/>
        </w:rPr>
        <w:br/>
        <w:t>Explore ways to increase ICC stakeholder engagement.</w:t>
      </w:r>
      <w:r w:rsidRPr="00ED172B">
        <w:rPr>
          <w:color w:val="000000" w:themeColor="text1"/>
        </w:rPr>
        <w:br/>
        <w:t>Submit new ICC recommendations to the Governor for appointments.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4" w:name="_Hlk109647044"/>
      <w:r w:rsidRPr="0072398B">
        <w:rPr>
          <w:rFonts w:cs="Arial"/>
          <w:b/>
          <w:bCs/>
        </w:rPr>
        <w:t>List the selected evidence-based practices implemented in the reporting period:</w:t>
      </w:r>
    </w:p>
    <w:bookmarkEnd w:id="74"/>
    <w:p w14:paraId="741AB6F5" w14:textId="3EC0E8B5" w:rsidR="00582D95" w:rsidRDefault="00582D95" w:rsidP="00582D95">
      <w:pPr>
        <w:rPr>
          <w:color w:val="000000" w:themeColor="text1"/>
        </w:rPr>
      </w:pPr>
      <w:r w:rsidRPr="00ED172B">
        <w:rPr>
          <w:color w:val="000000" w:themeColor="text1"/>
        </w:rPr>
        <w:t>Covid impact to SSIP plan</w:t>
      </w:r>
      <w:r w:rsidRPr="00ED172B">
        <w:rPr>
          <w:color w:val="000000" w:themeColor="text1"/>
        </w:rPr>
        <w:br/>
        <w:t>use of DEC checklist</w:t>
      </w:r>
      <w:r w:rsidRPr="00ED172B">
        <w:rPr>
          <w:color w:val="000000" w:themeColor="text1"/>
        </w:rPr>
        <w:br/>
        <w:t>MCH programs - home visiting</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5" w:name="_Hlk109647049"/>
      <w:r w:rsidRPr="00AB24A4">
        <w:rPr>
          <w:rFonts w:cs="Arial"/>
          <w:b/>
          <w:bCs/>
        </w:rPr>
        <w:t>Provide a summary of each evidence-based practice.</w:t>
      </w:r>
    </w:p>
    <w:bookmarkEnd w:id="75"/>
    <w:p w14:paraId="0AE8C012" w14:textId="0CF0516A" w:rsidR="002679EA" w:rsidRPr="005137B6" w:rsidRDefault="002679EA" w:rsidP="002679EA">
      <w:pPr>
        <w:rPr>
          <w:b/>
          <w:bCs/>
        </w:rPr>
      </w:pPr>
      <w:r w:rsidRPr="00ED172B">
        <w:rPr>
          <w:color w:val="000000" w:themeColor="text1"/>
        </w:rPr>
        <w:t>The PLAY Project is an evidence-based autism early intervention program that trains child development professionals (SLP, OT, EI) to work with families who have a young child with autism.</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6"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6"/>
    <w:p w14:paraId="2FC32005" w14:textId="20E8C2E6" w:rsidR="00F05ED0" w:rsidRPr="005137B6" w:rsidRDefault="00F05ED0" w:rsidP="00F05ED0">
      <w:pPr>
        <w:rPr>
          <w:b/>
          <w:bCs/>
        </w:rPr>
      </w:pPr>
      <w:r w:rsidRPr="00ED172B">
        <w:rPr>
          <w:color w:val="000000" w:themeColor="text1"/>
        </w:rPr>
        <w:t>Professionals trained in PLAY add a new set of tools to their service provision.</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7" w:name="_Hlk109647063"/>
      <w:r w:rsidRPr="00F008FE">
        <w:rPr>
          <w:rFonts w:cs="Arial"/>
          <w:b/>
          <w:bCs/>
        </w:rPr>
        <w:t xml:space="preserve">Describe the data collected to monitor fidelity of implementation and to assess practice change. </w:t>
      </w:r>
    </w:p>
    <w:bookmarkEnd w:id="77"/>
    <w:p w14:paraId="6371547D" w14:textId="42F6C7DD" w:rsidR="0051509A" w:rsidRPr="005137B6" w:rsidRDefault="0051509A" w:rsidP="0051509A">
      <w:pPr>
        <w:rPr>
          <w:b/>
          <w:bCs/>
        </w:rPr>
      </w:pPr>
      <w:r w:rsidRPr="00ED172B">
        <w:rPr>
          <w:color w:val="000000" w:themeColor="text1"/>
        </w:rPr>
        <w:t xml:space="preserve">The VI ITP will request specific technical assistance from </w:t>
      </w:r>
      <w:proofErr w:type="spellStart"/>
      <w:r w:rsidRPr="00ED172B">
        <w:rPr>
          <w:color w:val="000000" w:themeColor="text1"/>
        </w:rPr>
        <w:t>DaSy</w:t>
      </w:r>
      <w:proofErr w:type="spellEnd"/>
      <w:r w:rsidRPr="00ED172B">
        <w:rPr>
          <w:color w:val="000000" w:themeColor="text1"/>
        </w:rPr>
        <w:t>/ECTA for this response.</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8" w:name="_Hlk109647068"/>
      <w:r w:rsidRPr="00E30972">
        <w:rPr>
          <w:rFonts w:cs="Arial"/>
          <w:b/>
          <w:bCs/>
        </w:rPr>
        <w:lastRenderedPageBreak/>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8"/>
    <w:p w14:paraId="007AE64F" w14:textId="127A4D0F" w:rsidR="00107600" w:rsidRPr="005137B6" w:rsidRDefault="00107600" w:rsidP="00107600">
      <w:pPr>
        <w:rPr>
          <w:b/>
          <w:bCs/>
        </w:rPr>
      </w:pP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9" w:name="_Hlk109647074"/>
      <w:r w:rsidRPr="006A6410">
        <w:rPr>
          <w:rFonts w:cs="Arial"/>
          <w:b/>
          <w:bCs/>
        </w:rPr>
        <w:t xml:space="preserve">Provide a summary of the next steps for each evidence-based practices and the anticipated outcomes to be attained during the next reporting period. </w:t>
      </w:r>
    </w:p>
    <w:bookmarkEnd w:id="79"/>
    <w:p w14:paraId="5FC33224" w14:textId="66099ED0" w:rsidR="00026ADD" w:rsidRPr="005137B6" w:rsidRDefault="00026ADD" w:rsidP="00026ADD">
      <w:pPr>
        <w:rPr>
          <w:b/>
          <w:bCs/>
        </w:rPr>
      </w:pPr>
    </w:p>
    <w:p w14:paraId="20BF17A9" w14:textId="77777777" w:rsidR="00026ADD" w:rsidRDefault="00026ADD" w:rsidP="00064BA4">
      <w:pPr>
        <w:rPr>
          <w:rFonts w:cs="Arial"/>
          <w:b/>
          <w:bCs/>
        </w:rPr>
      </w:pPr>
      <w:bookmarkStart w:id="80" w:name="_Hlk109647080"/>
    </w:p>
    <w:bookmarkEnd w:id="80"/>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t xml:space="preserve">With stakeholder input and technical assistance from </w:t>
      </w:r>
      <w:proofErr w:type="spellStart"/>
      <w:r w:rsidRPr="00781112">
        <w:t>DaSy</w:t>
      </w:r>
      <w:proofErr w:type="spellEnd"/>
      <w:r w:rsidRPr="00781112">
        <w:t xml:space="preserve">/ECTA the VI ITP would like to make changes to the activities that have been placed on hold indefinitely and were out of the control of the Program.  Due to the change in the Director and the </w:t>
      </w:r>
      <w:proofErr w:type="spellStart"/>
      <w:r w:rsidRPr="00781112">
        <w:t>affects</w:t>
      </w:r>
      <w:proofErr w:type="spellEnd"/>
      <w:r w:rsidRPr="00781112">
        <w:t xml:space="preserve"> of COVID some of the initiatives originally identified in the SSIP may be ambitious to complete.  Technical Assistance meetings with </w:t>
      </w:r>
      <w:proofErr w:type="spellStart"/>
      <w:r w:rsidRPr="00781112">
        <w:t>DaSy</w:t>
      </w:r>
      <w:proofErr w:type="spellEnd"/>
      <w:r w:rsidRPr="00781112">
        <w:t xml:space="preserve">/ECTA are currently held every two weeks to discuss various aspects of the program and how it will impact or improve the SSIP.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Virgin Islands Infants and Toddlers stakeholders consist of members of the VI Interagency Coordinating Council (VI-ICC), who advises and assist the ITP regarding the provision of early intervention services for children with disabilities from birth to three and other child development agencies. There were meetings held in May 2022, June 2022, and December 2022. The council has a diverse membership, including parents of children with a disability and state agencies involved in the provision of early intervention services, a member responsible for the State Medicare program, the SEA responsible for </w:t>
      </w:r>
      <w:proofErr w:type="gramStart"/>
      <w:r w:rsidRPr="00ED172B">
        <w:rPr>
          <w:color w:val="000000" w:themeColor="text1"/>
        </w:rPr>
        <w:t>child care</w:t>
      </w:r>
      <w:proofErr w:type="gramEnd"/>
      <w:r w:rsidRPr="00ED172B">
        <w:rPr>
          <w:color w:val="000000" w:themeColor="text1"/>
        </w:rPr>
        <w:t xml:space="preserve">, and other entities who give the ITP advice in areas of child development, human resources, and child find. Conference calls were held with available stakeholders to discuss the targets and how they will be reached. </w:t>
      </w:r>
      <w:proofErr w:type="gramStart"/>
      <w:r w:rsidRPr="00ED172B">
        <w:rPr>
          <w:color w:val="000000" w:themeColor="text1"/>
        </w:rPr>
        <w:t>In an effort to</w:t>
      </w:r>
      <w:proofErr w:type="gramEnd"/>
      <w:r w:rsidRPr="00ED172B">
        <w:rPr>
          <w:color w:val="000000" w:themeColor="text1"/>
        </w:rPr>
        <w:t xml:space="preserve"> increase the child find, one of the SSIP strands, the VI ITP met with VI Partners for Healthy Communities and the Project Launch program. The ITP Director also serves on the Project Launch Young Child Wellness Advisory Council. Beginning in 2022 the VI ITP also presented the findings of the SPP/APR, Exiting, and Child Count reports to the DOH Leadership when required to present the status of the program. Each program within the Department of Health usually presents at least two times per calendar year.</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1" w:name="_Hlk109647088"/>
      <w:r w:rsidRPr="000F3CCC">
        <w:rPr>
          <w:rFonts w:cs="Arial"/>
          <w:b/>
          <w:bCs/>
        </w:rPr>
        <w:t xml:space="preserve">Describe the specific strategies implemented to engage stakeholders in key improvement efforts. </w:t>
      </w:r>
    </w:p>
    <w:bookmarkEnd w:id="81"/>
    <w:p w14:paraId="7A97D15A" w14:textId="346F07A8" w:rsidR="00D96943" w:rsidRPr="00B50A83" w:rsidRDefault="00D96943" w:rsidP="00D96943">
      <w:pPr>
        <w:rPr>
          <w:b/>
          <w:bCs/>
        </w:rPr>
      </w:pPr>
      <w:r w:rsidRPr="00ED172B">
        <w:rPr>
          <w:color w:val="000000" w:themeColor="text1"/>
        </w:rPr>
        <w:t xml:space="preserve">The VI ICC met throughout the year with additional information sent via email.  To assist with </w:t>
      </w:r>
      <w:proofErr w:type="gramStart"/>
      <w:r w:rsidRPr="00ED172B">
        <w:rPr>
          <w:color w:val="000000" w:themeColor="text1"/>
        </w:rPr>
        <w:t>child</w:t>
      </w:r>
      <w:proofErr w:type="gramEnd"/>
      <w:r w:rsidRPr="00ED172B">
        <w:rPr>
          <w:color w:val="000000" w:themeColor="text1"/>
        </w:rPr>
        <w:t xml:space="preserve"> find, a meeting with the VI Partners for Healthy Communities was held with follow-up meetings to be held in 2023.  The VI ITP Director attended meetings with the Project Launch program to discuss referrals as well as the upcoming Parent Cafes to be scheduled in 2023.</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2"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2"/>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3" w:name="_Hlk109647102"/>
      <w:r>
        <w:rPr>
          <w:rFonts w:cs="Arial"/>
          <w:b/>
          <w:bCs/>
        </w:rPr>
        <w:t xml:space="preserve">Describe how the State addressed the concerns expressed by stakeholders. </w:t>
      </w:r>
    </w:p>
    <w:bookmarkEnd w:id="83"/>
    <w:p w14:paraId="18AA4CF0" w14:textId="426ABC15" w:rsidR="0072398B" w:rsidRDefault="004A571B" w:rsidP="006237B0">
      <w:pPr>
        <w:rPr>
          <w:color w:val="000000" w:themeColor="text1"/>
        </w:rPr>
      </w:pPr>
      <w:r w:rsidRPr="00ED172B">
        <w:rPr>
          <w:color w:val="000000" w:themeColor="text1"/>
        </w:rPr>
        <w:t xml:space="preserve">The VI ICC was concerned with the length of time it takes to hire applicants within the government system. The Director continues to speak with the Human Resources Director as well as Deputy Commissioner with direct oversight of the ITP.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4"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4"/>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bookmarkStart w:id="85"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5"/>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6" w:name="_Hlk109647121"/>
      <w:r w:rsidRPr="009E0726">
        <w:rPr>
          <w:rFonts w:cs="Arial"/>
          <w:b/>
          <w:bCs/>
        </w:rPr>
        <w:t>Describe any newly identified barriers and include steps to address these barriers.</w:t>
      </w:r>
    </w:p>
    <w:bookmarkEnd w:id="86"/>
    <w:p w14:paraId="6E8B2008" w14:textId="0F892B41" w:rsidR="00F40121" w:rsidRDefault="00F40121" w:rsidP="00F40121">
      <w:pPr>
        <w:rPr>
          <w:color w:val="000000" w:themeColor="text1"/>
        </w:rPr>
      </w:pPr>
      <w:r w:rsidRPr="00ED172B">
        <w:rPr>
          <w:color w:val="000000" w:themeColor="text1"/>
        </w:rPr>
        <w:t>The VI ITP continues to experience barriers in onboarding staff. The intent is to have two Service Coordinators on St. Croix. There were two persons selected for the positions but due to the lengthy process, only one person accepted a position. As of January 30, 2023, the process to hire an additional Service Coordinator in St. Croix has begun. In the St. Croix district, the entire Department of Health is in the process of relocating to different offices due to the presence of mold in some of the Modular units that were put in place after the 2017 hurricanes.  The ITP is waiting on a decision from the DOH Executive Team.</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7" w:name="_Hlk109647123"/>
      <w:r w:rsidRPr="00261010">
        <w:rPr>
          <w:rFonts w:cs="Arial"/>
          <w:b/>
          <w:bCs/>
        </w:rPr>
        <w:t>Provide additional information about this indicator (optional).</w:t>
      </w:r>
    </w:p>
    <w:bookmarkEnd w:id="87"/>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 xml:space="preserve">The VI did not report on </w:t>
      </w:r>
      <w:proofErr w:type="gramStart"/>
      <w:r w:rsidRPr="00ED172B">
        <w:rPr>
          <w:color w:val="000000" w:themeColor="text1"/>
        </w:rPr>
        <w:t>all of</w:t>
      </w:r>
      <w:proofErr w:type="gramEnd"/>
      <w:r w:rsidRPr="00ED172B">
        <w:rPr>
          <w:color w:val="000000" w:themeColor="text1"/>
        </w:rPr>
        <w:t xml:space="preserve"> the required components of this indicator. In the FFY 2021, SPP/APR, the VI must report on all required components of this indicator, consistent with the Measurement Table. </w:t>
      </w:r>
      <w:r w:rsidRPr="00ED172B">
        <w:rPr>
          <w:color w:val="000000" w:themeColor="text1"/>
        </w:rPr>
        <w:br/>
      </w:r>
      <w:r w:rsidRPr="00ED172B">
        <w:rPr>
          <w:color w:val="000000" w:themeColor="text1"/>
        </w:rPr>
        <w:br/>
      </w:r>
      <w:r w:rsidRPr="00ED172B">
        <w:rPr>
          <w:color w:val="000000" w:themeColor="text1"/>
        </w:rPr>
        <w:lastRenderedPageBreak/>
        <w:t xml:space="preserve">OSEP notes that one or more of the </w:t>
      </w:r>
      <w:proofErr w:type="gramStart"/>
      <w:r w:rsidRPr="00ED172B">
        <w:rPr>
          <w:color w:val="000000" w:themeColor="text1"/>
        </w:rPr>
        <w:t>Indicator</w:t>
      </w:r>
      <w:proofErr w:type="gramEnd"/>
      <w:r w:rsidRPr="00ED172B">
        <w:rPr>
          <w:color w:val="000000" w:themeColor="text1"/>
        </w:rPr>
        <w:t xml:space="preserve"> 11 attachment(s) included in the State’s FFY 2020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459F79AC" w14:textId="580116A5" w:rsidR="00F5460E" w:rsidRPr="00ED172B" w:rsidRDefault="00F5460E" w:rsidP="00F5460E">
      <w:pPr>
        <w:rPr>
          <w:color w:val="000000" w:themeColor="text1"/>
        </w:rPr>
      </w:pPr>
      <w:r w:rsidRPr="00ED172B">
        <w:rPr>
          <w:b/>
          <w:color w:val="000000" w:themeColor="text1"/>
        </w:rPr>
        <w:t>Response to actions required in FFY 2020 SPP/APR</w:t>
      </w:r>
      <w:r w:rsidRPr="00ED172B">
        <w:rPr>
          <w:color w:val="000000" w:themeColor="text1"/>
        </w:rPr>
        <w:t xml:space="preserve"> </w:t>
      </w:r>
    </w:p>
    <w:p w14:paraId="120B9B78" w14:textId="6874B425" w:rsidR="00F5460E" w:rsidRPr="00ED172B" w:rsidRDefault="00F5460E" w:rsidP="00F5460E">
      <w:pPr>
        <w:rPr>
          <w:color w:val="000000" w:themeColor="text1"/>
        </w:rPr>
      </w:pP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 xml:space="preserve">OSEP's response to the VI's FFY 2020 SPP/APR required the VI to include in the FFY 2021 SPP/APR to report on all required components of this indicator, consistent with the Measurement Table.  The VI provided some of the required information. </w:t>
      </w:r>
      <w:r w:rsidRPr="00ED172B">
        <w:rPr>
          <w:color w:val="000000" w:themeColor="text1"/>
        </w:rPr>
        <w:br/>
      </w:r>
      <w:r w:rsidRPr="00ED172B">
        <w:rPr>
          <w:color w:val="000000" w:themeColor="text1"/>
        </w:rPr>
        <w:br/>
        <w:t xml:space="preserve">The VI did not describe how the evidence-based practices, and activities or strategies that support their use, are intended to impact the </w:t>
      </w:r>
      <w:proofErr w:type="spellStart"/>
      <w:r w:rsidRPr="00ED172B">
        <w:rPr>
          <w:color w:val="000000" w:themeColor="text1"/>
        </w:rPr>
        <w:t>SiMR</w:t>
      </w:r>
      <w:proofErr w:type="spellEnd"/>
      <w:r w:rsidRPr="00ED172B">
        <w:rPr>
          <w:color w:val="000000" w:themeColor="text1"/>
        </w:rPr>
        <w:t xml:space="preserve"> by changing program policies, procedures, and/or practices.</w:t>
      </w:r>
      <w:r w:rsidRPr="00ED172B">
        <w:rPr>
          <w:color w:val="000000" w:themeColor="text1"/>
        </w:rPr>
        <w:br/>
      </w:r>
      <w:r w:rsidRPr="00ED172B">
        <w:rPr>
          <w:color w:val="000000" w:themeColor="text1"/>
        </w:rPr>
        <w:br/>
        <w:t>The VI did not summarize the strategies or activities that ensured the use of evidence-based practices with fidelity.</w:t>
      </w:r>
      <w:r w:rsidRPr="00ED172B">
        <w:rPr>
          <w:color w:val="000000" w:themeColor="text1"/>
        </w:rPr>
        <w:br/>
      </w:r>
      <w:r w:rsidRPr="00ED172B">
        <w:rPr>
          <w:color w:val="000000" w:themeColor="text1"/>
        </w:rPr>
        <w:br/>
        <w:t xml:space="preserve">The VI did not provide an Evaluation Plan. </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 xml:space="preserve">The VI did not report on </w:t>
      </w:r>
      <w:proofErr w:type="gramStart"/>
      <w:r w:rsidRPr="00ED172B">
        <w:rPr>
          <w:color w:val="000000" w:themeColor="text1"/>
        </w:rPr>
        <w:t>all of</w:t>
      </w:r>
      <w:proofErr w:type="gramEnd"/>
      <w:r w:rsidRPr="00ED172B">
        <w:rPr>
          <w:color w:val="000000" w:themeColor="text1"/>
        </w:rPr>
        <w:t xml:space="preserve"> the required components of this indicator. In the FFY 2022 SPP/APR, VI In the FFY 2022 SPP/APR, the VI must report on all the required components of this indicator, consistent with the Measurement Table.  </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Patricia </w:t>
      </w:r>
      <w:proofErr w:type="spellStart"/>
      <w:r w:rsidRPr="00ED172B">
        <w:rPr>
          <w:rFonts w:cs="Arial"/>
          <w:bCs/>
          <w:color w:val="000000" w:themeColor="text1"/>
          <w:szCs w:val="16"/>
        </w:rPr>
        <w:t>Sprauve</w:t>
      </w:r>
      <w:proofErr w:type="spellEnd"/>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Program Director - 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patricia.sprauve@doh.vi.gov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340-774-3033</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w:t>
      </w:r>
      <w:proofErr w:type="gramStart"/>
      <w:r w:rsidRPr="00ED172B">
        <w:rPr>
          <w:rFonts w:cs="Arial"/>
          <w:bCs/>
          <w:color w:val="000000" w:themeColor="text1"/>
          <w:szCs w:val="16"/>
        </w:rPr>
        <w:t>23  7:58:07</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0B6E87E6" w14:textId="634C3DA6" w:rsidR="002E6ED7" w:rsidRPr="002E6ED7" w:rsidRDefault="002E6ED7" w:rsidP="002E6ED7">
      <w:pPr>
        <w:rPr>
          <w:b/>
          <w:bCs/>
          <w:sz w:val="20"/>
          <w:szCs w:val="28"/>
        </w:rPr>
      </w:pPr>
      <w:r w:rsidRPr="002E6ED7">
        <w:rPr>
          <w:b/>
          <w:bCs/>
          <w:sz w:val="20"/>
          <w:szCs w:val="28"/>
        </w:rPr>
        <w:t>US Virgin Islands</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80.36%</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6</w:t>
            </w:r>
          </w:p>
        </w:tc>
        <w:tc>
          <w:tcPr>
            <w:tcW w:w="1218" w:type="pct"/>
          </w:tcPr>
          <w:p w14:paraId="4A2646A0" w14:textId="15C11718" w:rsidR="005E363D" w:rsidRPr="00210AC6" w:rsidRDefault="005E363D" w:rsidP="005E363D">
            <w:pPr>
              <w:rPr>
                <w:rFonts w:cs="Arial"/>
                <w:szCs w:val="16"/>
              </w:rPr>
            </w:pPr>
            <w:r w:rsidRPr="009E3CB1">
              <w:t>75.00%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12</w:t>
            </w:r>
          </w:p>
        </w:tc>
        <w:tc>
          <w:tcPr>
            <w:tcW w:w="1218" w:type="pct"/>
          </w:tcPr>
          <w:p w14:paraId="0AF6DC9A" w14:textId="17AC6D6F" w:rsidR="005E363D" w:rsidRPr="00210AC6" w:rsidRDefault="005E363D" w:rsidP="005E363D">
            <w:pPr>
              <w:rPr>
                <w:rFonts w:cs="Arial"/>
                <w:szCs w:val="16"/>
              </w:rPr>
            </w:pPr>
            <w:r w:rsidRPr="009E3CB1">
              <w:t>85.71%</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69</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99</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69.7</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79.71%</w:t>
            </w:r>
          </w:p>
        </w:tc>
        <w:tc>
          <w:tcPr>
            <w:tcW w:w="715" w:type="pct"/>
          </w:tcPr>
          <w:p w14:paraId="542CEEB9" w14:textId="37E21014" w:rsidR="00B03B19" w:rsidRPr="00210AC6" w:rsidRDefault="00B03B19" w:rsidP="00B03B19">
            <w:pPr>
              <w:rPr>
                <w:rFonts w:cs="Arial"/>
                <w:szCs w:val="16"/>
              </w:rPr>
            </w:pPr>
            <w:r w:rsidRPr="00A46401">
              <w:t>36.23%</w:t>
            </w:r>
          </w:p>
        </w:tc>
        <w:tc>
          <w:tcPr>
            <w:tcW w:w="714" w:type="pct"/>
          </w:tcPr>
          <w:p w14:paraId="082867DD" w14:textId="7F23B051" w:rsidR="00B03B19" w:rsidRPr="00210AC6" w:rsidRDefault="00B03B19" w:rsidP="00B03B19">
            <w:pPr>
              <w:rPr>
                <w:rFonts w:cs="Arial"/>
                <w:szCs w:val="16"/>
              </w:rPr>
            </w:pPr>
            <w:r w:rsidRPr="00A46401">
              <w:t>91.30%</w:t>
            </w:r>
          </w:p>
        </w:tc>
        <w:tc>
          <w:tcPr>
            <w:tcW w:w="714" w:type="pct"/>
          </w:tcPr>
          <w:p w14:paraId="798EA0C8" w14:textId="2776FB61" w:rsidR="00B03B19" w:rsidRPr="00210AC6" w:rsidRDefault="00B03B19" w:rsidP="00B03B19">
            <w:pPr>
              <w:rPr>
                <w:rFonts w:cs="Arial"/>
                <w:szCs w:val="16"/>
              </w:rPr>
            </w:pPr>
            <w:r w:rsidRPr="00A46401">
              <w:t>40.58%</w:t>
            </w:r>
          </w:p>
        </w:tc>
        <w:tc>
          <w:tcPr>
            <w:tcW w:w="714" w:type="pct"/>
          </w:tcPr>
          <w:p w14:paraId="53B8C0FF" w14:textId="1ABA1A1C" w:rsidR="00B03B19" w:rsidRPr="00210AC6" w:rsidRDefault="00B03B19" w:rsidP="00B03B19">
            <w:pPr>
              <w:rPr>
                <w:rFonts w:cs="Arial"/>
                <w:szCs w:val="16"/>
              </w:rPr>
            </w:pPr>
            <w:r w:rsidRPr="00A46401">
              <w:t>85.29%</w:t>
            </w:r>
          </w:p>
        </w:tc>
        <w:tc>
          <w:tcPr>
            <w:tcW w:w="713" w:type="pct"/>
          </w:tcPr>
          <w:p w14:paraId="71D0CC34" w14:textId="38E23520" w:rsidR="00B03B19" w:rsidRPr="00210AC6" w:rsidRDefault="00B03B19" w:rsidP="00B03B19">
            <w:pPr>
              <w:rPr>
                <w:rFonts w:cs="Arial"/>
                <w:szCs w:val="16"/>
              </w:rPr>
            </w:pPr>
            <w:r w:rsidRPr="00A46401">
              <w:t>42.03%</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84.31%</w:t>
            </w:r>
          </w:p>
        </w:tc>
        <w:tc>
          <w:tcPr>
            <w:tcW w:w="715" w:type="pct"/>
          </w:tcPr>
          <w:p w14:paraId="4A7F27F4" w14:textId="16E8DAC9" w:rsidR="00A96CE2" w:rsidRPr="00210AC6" w:rsidRDefault="00A96CE2" w:rsidP="00A96CE2">
            <w:pPr>
              <w:rPr>
                <w:rFonts w:cs="Arial"/>
                <w:szCs w:val="16"/>
              </w:rPr>
            </w:pPr>
            <w:r w:rsidRPr="00902025">
              <w:t>31.37%</w:t>
            </w:r>
          </w:p>
        </w:tc>
        <w:tc>
          <w:tcPr>
            <w:tcW w:w="714" w:type="pct"/>
          </w:tcPr>
          <w:p w14:paraId="0B2C982E" w14:textId="60B64CC6" w:rsidR="00A96CE2" w:rsidRPr="00210AC6" w:rsidRDefault="00A96CE2" w:rsidP="00A96CE2">
            <w:pPr>
              <w:rPr>
                <w:rFonts w:cs="Arial"/>
                <w:szCs w:val="16"/>
              </w:rPr>
            </w:pPr>
            <w:r w:rsidRPr="00902025">
              <w:t>88.24%</w:t>
            </w:r>
          </w:p>
        </w:tc>
        <w:tc>
          <w:tcPr>
            <w:tcW w:w="714" w:type="pct"/>
          </w:tcPr>
          <w:p w14:paraId="48D6DCB3" w14:textId="035BCB73" w:rsidR="00A96CE2" w:rsidRPr="00210AC6" w:rsidRDefault="00A96CE2" w:rsidP="00A96CE2">
            <w:pPr>
              <w:rPr>
                <w:rFonts w:cs="Arial"/>
                <w:szCs w:val="16"/>
              </w:rPr>
            </w:pPr>
            <w:r w:rsidRPr="00902025">
              <w:t>33.33%</w:t>
            </w:r>
          </w:p>
        </w:tc>
        <w:tc>
          <w:tcPr>
            <w:tcW w:w="714" w:type="pct"/>
          </w:tcPr>
          <w:p w14:paraId="75DD9D82" w14:textId="41901A3C" w:rsidR="00A96CE2" w:rsidRPr="00210AC6" w:rsidRDefault="00A96CE2" w:rsidP="00A96CE2">
            <w:pPr>
              <w:rPr>
                <w:rFonts w:cs="Arial"/>
                <w:szCs w:val="16"/>
              </w:rPr>
            </w:pPr>
            <w:r w:rsidRPr="00902025">
              <w:t>80.39%</w:t>
            </w:r>
          </w:p>
        </w:tc>
        <w:tc>
          <w:tcPr>
            <w:tcW w:w="713" w:type="pct"/>
          </w:tcPr>
          <w:p w14:paraId="51F0864D" w14:textId="7593AA05" w:rsidR="00A96CE2" w:rsidRPr="00210AC6" w:rsidRDefault="00A96CE2" w:rsidP="00A96CE2">
            <w:pPr>
              <w:rPr>
                <w:rFonts w:cs="Arial"/>
                <w:szCs w:val="16"/>
              </w:rPr>
            </w:pPr>
            <w:r w:rsidRPr="00902025">
              <w:t>33.33%</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99.55%</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100.00%</w:t>
            </w:r>
          </w:p>
        </w:tc>
        <w:tc>
          <w:tcPr>
            <w:tcW w:w="832" w:type="pct"/>
          </w:tcPr>
          <w:p w14:paraId="5F183FEF" w14:textId="40ACE9C9" w:rsidR="00CD6106" w:rsidRPr="00210AC6" w:rsidRDefault="00CD6106" w:rsidP="00CD6106">
            <w:pPr>
              <w:rPr>
                <w:rFonts w:cs="Arial"/>
                <w:szCs w:val="16"/>
              </w:rPr>
            </w:pPr>
            <w:r w:rsidRPr="00952E24">
              <w:t>N/A</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100.00%</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100.00%</w:t>
            </w:r>
          </w:p>
        </w:tc>
        <w:tc>
          <w:tcPr>
            <w:tcW w:w="832" w:type="pct"/>
          </w:tcPr>
          <w:p w14:paraId="5F278F03" w14:textId="64084F84" w:rsidR="00CD6106" w:rsidRPr="00210AC6" w:rsidRDefault="00CD6106" w:rsidP="00CD6106">
            <w:pPr>
              <w:rPr>
                <w:rFonts w:cs="Arial"/>
                <w:szCs w:val="16"/>
              </w:rPr>
            </w:pPr>
            <w:r w:rsidRPr="00952E24">
              <w:t>N/A</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0</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Yes, 3 or more years</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69</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0</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14</w:t>
            </w:r>
          </w:p>
        </w:tc>
        <w:tc>
          <w:tcPr>
            <w:tcW w:w="833" w:type="pct"/>
          </w:tcPr>
          <w:p w14:paraId="7FE9EEED" w14:textId="77777777" w:rsidR="00B25161" w:rsidRPr="00E0465B" w:rsidRDefault="00B25161" w:rsidP="00B25161">
            <w:pPr>
              <w:rPr>
                <w:rFonts w:cs="Arial"/>
                <w:bCs/>
                <w:szCs w:val="16"/>
              </w:rPr>
            </w:pPr>
            <w:r w:rsidRPr="00E0465B">
              <w:rPr>
                <w:rFonts w:cs="Arial"/>
                <w:bCs/>
                <w:szCs w:val="16"/>
              </w:rPr>
              <w:t>30</w:t>
            </w:r>
          </w:p>
        </w:tc>
        <w:tc>
          <w:tcPr>
            <w:tcW w:w="833" w:type="pct"/>
          </w:tcPr>
          <w:p w14:paraId="4C7FEB04" w14:textId="77777777" w:rsidR="00B25161" w:rsidRPr="00E0465B" w:rsidRDefault="00B25161" w:rsidP="00B25161">
            <w:pPr>
              <w:rPr>
                <w:rFonts w:cs="Arial"/>
                <w:bCs/>
                <w:szCs w:val="16"/>
              </w:rPr>
            </w:pPr>
            <w:r w:rsidRPr="00E0465B">
              <w:rPr>
                <w:rFonts w:cs="Arial"/>
                <w:bCs/>
                <w:szCs w:val="16"/>
              </w:rPr>
              <w:t>25</w:t>
            </w:r>
          </w:p>
        </w:tc>
        <w:tc>
          <w:tcPr>
            <w:tcW w:w="835" w:type="pct"/>
          </w:tcPr>
          <w:p w14:paraId="6267C81A" w14:textId="77777777" w:rsidR="00B25161" w:rsidRPr="00E0465B" w:rsidRDefault="00B25161" w:rsidP="00B25161">
            <w:pPr>
              <w:rPr>
                <w:rFonts w:cs="Arial"/>
                <w:bCs/>
                <w:szCs w:val="16"/>
              </w:rPr>
            </w:pPr>
            <w:r w:rsidRPr="00E0465B">
              <w:rPr>
                <w:rFonts w:cs="Arial"/>
                <w:bCs/>
                <w:szCs w:val="16"/>
              </w:rPr>
              <w:t>0</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0.00%</w:t>
            </w:r>
          </w:p>
        </w:tc>
        <w:tc>
          <w:tcPr>
            <w:tcW w:w="833" w:type="pct"/>
          </w:tcPr>
          <w:p w14:paraId="2E20C0BF" w14:textId="0AF39490" w:rsidR="00B25161" w:rsidRPr="00E0465B" w:rsidRDefault="00B25161" w:rsidP="00B25161">
            <w:pPr>
              <w:rPr>
                <w:rFonts w:cs="Arial"/>
                <w:bCs/>
                <w:szCs w:val="16"/>
              </w:rPr>
            </w:pPr>
            <w:r w:rsidRPr="00E0465B">
              <w:rPr>
                <w:rFonts w:cs="Arial"/>
                <w:bCs/>
                <w:szCs w:val="16"/>
              </w:rPr>
              <w:t>20.29%</w:t>
            </w:r>
          </w:p>
        </w:tc>
        <w:tc>
          <w:tcPr>
            <w:tcW w:w="833" w:type="pct"/>
          </w:tcPr>
          <w:p w14:paraId="398F2D3D" w14:textId="68B45EA5" w:rsidR="00B25161" w:rsidRPr="00E0465B" w:rsidRDefault="00B25161" w:rsidP="00B25161">
            <w:pPr>
              <w:rPr>
                <w:rFonts w:cs="Arial"/>
                <w:bCs/>
                <w:szCs w:val="16"/>
              </w:rPr>
            </w:pPr>
            <w:r w:rsidRPr="00E0465B">
              <w:rPr>
                <w:rFonts w:cs="Arial"/>
                <w:bCs/>
                <w:szCs w:val="16"/>
              </w:rPr>
              <w:t>43.48%</w:t>
            </w:r>
          </w:p>
        </w:tc>
        <w:tc>
          <w:tcPr>
            <w:tcW w:w="833" w:type="pct"/>
          </w:tcPr>
          <w:p w14:paraId="44C74C6F" w14:textId="0FC8FB40" w:rsidR="00B25161" w:rsidRPr="00E0465B" w:rsidRDefault="00B25161" w:rsidP="00B25161">
            <w:pPr>
              <w:rPr>
                <w:rFonts w:cs="Arial"/>
                <w:bCs/>
                <w:szCs w:val="16"/>
              </w:rPr>
            </w:pPr>
            <w:r w:rsidRPr="00E0465B">
              <w:rPr>
                <w:rFonts w:cs="Arial"/>
                <w:bCs/>
                <w:szCs w:val="16"/>
              </w:rPr>
              <w:t>36.23%</w:t>
            </w:r>
          </w:p>
        </w:tc>
        <w:tc>
          <w:tcPr>
            <w:tcW w:w="835" w:type="pct"/>
          </w:tcPr>
          <w:p w14:paraId="2CCC1EE9" w14:textId="4C738514" w:rsidR="00B25161" w:rsidRPr="00E0465B" w:rsidRDefault="00B25161" w:rsidP="00B25161">
            <w:pPr>
              <w:rPr>
                <w:rFonts w:cs="Arial"/>
                <w:bCs/>
                <w:szCs w:val="16"/>
              </w:rPr>
            </w:pPr>
            <w:r w:rsidRPr="00E0465B">
              <w:rPr>
                <w:rFonts w:cs="Arial"/>
                <w:bCs/>
                <w:szCs w:val="16"/>
              </w:rPr>
              <w:t>0.00%</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0</w:t>
            </w:r>
          </w:p>
        </w:tc>
        <w:tc>
          <w:tcPr>
            <w:tcW w:w="833" w:type="pct"/>
          </w:tcPr>
          <w:p w14:paraId="6AACF40D" w14:textId="77777777" w:rsidR="00B25161" w:rsidRPr="00E0465B" w:rsidRDefault="00B25161" w:rsidP="00B25161">
            <w:pPr>
              <w:rPr>
                <w:rFonts w:cs="Arial"/>
                <w:bCs/>
                <w:szCs w:val="16"/>
              </w:rPr>
            </w:pPr>
            <w:r w:rsidRPr="00E0465B">
              <w:rPr>
                <w:rFonts w:cs="Arial"/>
                <w:bCs/>
                <w:szCs w:val="16"/>
              </w:rPr>
              <w:t>6</w:t>
            </w:r>
          </w:p>
        </w:tc>
        <w:tc>
          <w:tcPr>
            <w:tcW w:w="833" w:type="pct"/>
          </w:tcPr>
          <w:p w14:paraId="081B7FED" w14:textId="77777777" w:rsidR="00B25161" w:rsidRPr="00E0465B" w:rsidRDefault="00B25161" w:rsidP="00B25161">
            <w:pPr>
              <w:rPr>
                <w:rFonts w:cs="Arial"/>
                <w:bCs/>
                <w:szCs w:val="16"/>
              </w:rPr>
            </w:pPr>
            <w:r w:rsidRPr="00E0465B">
              <w:rPr>
                <w:rFonts w:cs="Arial"/>
                <w:bCs/>
                <w:szCs w:val="16"/>
              </w:rPr>
              <w:t>35</w:t>
            </w:r>
          </w:p>
        </w:tc>
        <w:tc>
          <w:tcPr>
            <w:tcW w:w="833" w:type="pct"/>
          </w:tcPr>
          <w:p w14:paraId="22075B7A" w14:textId="77777777" w:rsidR="00B25161" w:rsidRPr="00E0465B" w:rsidRDefault="00B25161" w:rsidP="00B25161">
            <w:pPr>
              <w:rPr>
                <w:rFonts w:cs="Arial"/>
                <w:bCs/>
                <w:szCs w:val="16"/>
              </w:rPr>
            </w:pPr>
            <w:r w:rsidRPr="00E0465B">
              <w:rPr>
                <w:rFonts w:cs="Arial"/>
                <w:bCs/>
                <w:szCs w:val="16"/>
              </w:rPr>
              <w:t>28</w:t>
            </w:r>
          </w:p>
        </w:tc>
        <w:tc>
          <w:tcPr>
            <w:tcW w:w="833" w:type="pct"/>
          </w:tcPr>
          <w:p w14:paraId="0F4D0987" w14:textId="77777777" w:rsidR="00B25161" w:rsidRPr="00E0465B" w:rsidRDefault="00B25161" w:rsidP="00B25161">
            <w:pPr>
              <w:rPr>
                <w:rFonts w:cs="Arial"/>
                <w:bCs/>
                <w:szCs w:val="16"/>
              </w:rPr>
            </w:pPr>
            <w:r w:rsidRPr="00E0465B">
              <w:rPr>
                <w:rFonts w:cs="Arial"/>
                <w:bCs/>
                <w:szCs w:val="16"/>
              </w:rPr>
              <w:t>0</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0.00%</w:t>
            </w:r>
          </w:p>
        </w:tc>
        <w:tc>
          <w:tcPr>
            <w:tcW w:w="833" w:type="pct"/>
          </w:tcPr>
          <w:p w14:paraId="0C63E60D" w14:textId="01DF065D" w:rsidR="00B25161" w:rsidRPr="00E0465B" w:rsidRDefault="00B25161" w:rsidP="00B25161">
            <w:pPr>
              <w:rPr>
                <w:rFonts w:cs="Arial"/>
                <w:bCs/>
                <w:szCs w:val="16"/>
              </w:rPr>
            </w:pPr>
            <w:r w:rsidRPr="00E0465B">
              <w:rPr>
                <w:rFonts w:cs="Arial"/>
                <w:bCs/>
                <w:szCs w:val="16"/>
              </w:rPr>
              <w:t>8.70%</w:t>
            </w:r>
          </w:p>
        </w:tc>
        <w:tc>
          <w:tcPr>
            <w:tcW w:w="833" w:type="pct"/>
          </w:tcPr>
          <w:p w14:paraId="6F7D3253" w14:textId="7E946AA3" w:rsidR="00B25161" w:rsidRPr="00E0465B" w:rsidRDefault="00B25161" w:rsidP="00B25161">
            <w:pPr>
              <w:rPr>
                <w:rFonts w:cs="Arial"/>
                <w:bCs/>
                <w:szCs w:val="16"/>
              </w:rPr>
            </w:pPr>
            <w:r w:rsidRPr="00E0465B">
              <w:rPr>
                <w:rFonts w:cs="Arial"/>
                <w:bCs/>
                <w:szCs w:val="16"/>
              </w:rPr>
              <w:t>50.72%</w:t>
            </w:r>
          </w:p>
        </w:tc>
        <w:tc>
          <w:tcPr>
            <w:tcW w:w="833" w:type="pct"/>
          </w:tcPr>
          <w:p w14:paraId="31007D6F" w14:textId="0DE6AD7D" w:rsidR="00B25161" w:rsidRPr="00E0465B" w:rsidRDefault="00B25161" w:rsidP="00B25161">
            <w:pPr>
              <w:rPr>
                <w:rFonts w:cs="Arial"/>
                <w:bCs/>
                <w:szCs w:val="16"/>
              </w:rPr>
            </w:pPr>
            <w:r w:rsidRPr="00E0465B">
              <w:rPr>
                <w:rFonts w:cs="Arial"/>
                <w:bCs/>
                <w:szCs w:val="16"/>
              </w:rPr>
              <w:t>40.58%</w:t>
            </w:r>
          </w:p>
        </w:tc>
        <w:tc>
          <w:tcPr>
            <w:tcW w:w="833" w:type="pct"/>
          </w:tcPr>
          <w:p w14:paraId="7AD8D8B9" w14:textId="6DC41E9B" w:rsidR="00B25161" w:rsidRPr="00E0465B" w:rsidRDefault="00B25161" w:rsidP="00B25161">
            <w:pPr>
              <w:rPr>
                <w:rFonts w:cs="Arial"/>
                <w:bCs/>
                <w:szCs w:val="16"/>
              </w:rPr>
            </w:pPr>
            <w:r w:rsidRPr="00E0465B">
              <w:rPr>
                <w:rFonts w:cs="Arial"/>
                <w:bCs/>
                <w:szCs w:val="16"/>
              </w:rPr>
              <w:t>0.00%</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0</w:t>
            </w:r>
          </w:p>
        </w:tc>
        <w:tc>
          <w:tcPr>
            <w:tcW w:w="833" w:type="pct"/>
          </w:tcPr>
          <w:p w14:paraId="13413534" w14:textId="77777777" w:rsidR="00B25161" w:rsidRPr="00E0465B" w:rsidRDefault="00B25161" w:rsidP="00B25161">
            <w:pPr>
              <w:rPr>
                <w:rFonts w:cs="Arial"/>
                <w:bCs/>
                <w:szCs w:val="16"/>
              </w:rPr>
            </w:pPr>
            <w:r w:rsidRPr="00E0465B">
              <w:rPr>
                <w:rFonts w:cs="Arial"/>
                <w:bCs/>
                <w:szCs w:val="16"/>
              </w:rPr>
              <w:t>10</w:t>
            </w:r>
          </w:p>
        </w:tc>
        <w:tc>
          <w:tcPr>
            <w:tcW w:w="833" w:type="pct"/>
          </w:tcPr>
          <w:p w14:paraId="47A2BC12" w14:textId="77777777" w:rsidR="00B25161" w:rsidRPr="00E0465B" w:rsidRDefault="00B25161" w:rsidP="00B25161">
            <w:pPr>
              <w:rPr>
                <w:rFonts w:cs="Arial"/>
                <w:bCs/>
                <w:szCs w:val="16"/>
              </w:rPr>
            </w:pPr>
            <w:r w:rsidRPr="00E0465B">
              <w:rPr>
                <w:rFonts w:cs="Arial"/>
                <w:bCs/>
                <w:szCs w:val="16"/>
              </w:rPr>
              <w:t>30</w:t>
            </w:r>
          </w:p>
        </w:tc>
        <w:tc>
          <w:tcPr>
            <w:tcW w:w="833" w:type="pct"/>
          </w:tcPr>
          <w:p w14:paraId="4915D083" w14:textId="77777777" w:rsidR="00B25161" w:rsidRPr="00E0465B" w:rsidRDefault="00B25161" w:rsidP="00B25161">
            <w:pPr>
              <w:rPr>
                <w:rFonts w:cs="Arial"/>
                <w:bCs/>
                <w:szCs w:val="16"/>
              </w:rPr>
            </w:pPr>
            <w:r w:rsidRPr="00E0465B">
              <w:rPr>
                <w:rFonts w:cs="Arial"/>
                <w:bCs/>
                <w:szCs w:val="16"/>
              </w:rPr>
              <w:t>28</w:t>
            </w:r>
          </w:p>
        </w:tc>
        <w:tc>
          <w:tcPr>
            <w:tcW w:w="833" w:type="pct"/>
          </w:tcPr>
          <w:p w14:paraId="64ED007D" w14:textId="77777777" w:rsidR="00B25161" w:rsidRPr="00E0465B" w:rsidRDefault="00B25161" w:rsidP="00B25161">
            <w:pPr>
              <w:rPr>
                <w:rFonts w:cs="Arial"/>
                <w:bCs/>
                <w:szCs w:val="16"/>
              </w:rPr>
            </w:pPr>
            <w:r w:rsidRPr="00E0465B">
              <w:rPr>
                <w:rFonts w:cs="Arial"/>
                <w:bCs/>
                <w:szCs w:val="16"/>
              </w:rPr>
              <w:t>1</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0.00%</w:t>
            </w:r>
          </w:p>
        </w:tc>
        <w:tc>
          <w:tcPr>
            <w:tcW w:w="833" w:type="pct"/>
          </w:tcPr>
          <w:p w14:paraId="127BF181" w14:textId="3BECFE2D" w:rsidR="00B25161" w:rsidRPr="00E0465B" w:rsidRDefault="00B25161" w:rsidP="00B25161">
            <w:pPr>
              <w:rPr>
                <w:rFonts w:cs="Arial"/>
                <w:bCs/>
                <w:szCs w:val="16"/>
              </w:rPr>
            </w:pPr>
            <w:r w:rsidRPr="00E0465B">
              <w:rPr>
                <w:rFonts w:cs="Arial"/>
                <w:bCs/>
                <w:szCs w:val="16"/>
              </w:rPr>
              <w:t>14.49%</w:t>
            </w:r>
          </w:p>
        </w:tc>
        <w:tc>
          <w:tcPr>
            <w:tcW w:w="833" w:type="pct"/>
          </w:tcPr>
          <w:p w14:paraId="37EC9364" w14:textId="61A07A7E" w:rsidR="00B25161" w:rsidRPr="00E0465B" w:rsidRDefault="00B25161" w:rsidP="00B25161">
            <w:pPr>
              <w:rPr>
                <w:rFonts w:cs="Arial"/>
                <w:bCs/>
                <w:szCs w:val="16"/>
              </w:rPr>
            </w:pPr>
            <w:r w:rsidRPr="00E0465B">
              <w:rPr>
                <w:rFonts w:cs="Arial"/>
                <w:bCs/>
                <w:szCs w:val="16"/>
              </w:rPr>
              <w:t>43.48%</w:t>
            </w:r>
          </w:p>
        </w:tc>
        <w:tc>
          <w:tcPr>
            <w:tcW w:w="833" w:type="pct"/>
          </w:tcPr>
          <w:p w14:paraId="09DF3FA5" w14:textId="57617973" w:rsidR="00B25161" w:rsidRPr="00E0465B" w:rsidRDefault="00B25161" w:rsidP="00B25161">
            <w:pPr>
              <w:rPr>
                <w:rFonts w:cs="Arial"/>
                <w:bCs/>
                <w:szCs w:val="16"/>
              </w:rPr>
            </w:pPr>
            <w:r w:rsidRPr="00E0465B">
              <w:rPr>
                <w:rFonts w:cs="Arial"/>
                <w:bCs/>
                <w:szCs w:val="16"/>
              </w:rPr>
              <w:t>40.58%</w:t>
            </w:r>
          </w:p>
        </w:tc>
        <w:tc>
          <w:tcPr>
            <w:tcW w:w="833" w:type="pct"/>
          </w:tcPr>
          <w:p w14:paraId="54994806" w14:textId="468B6FDF" w:rsidR="00B25161" w:rsidRPr="00E0465B" w:rsidRDefault="00B25161" w:rsidP="00B25161">
            <w:pPr>
              <w:rPr>
                <w:rFonts w:cs="Arial"/>
                <w:bCs/>
                <w:szCs w:val="16"/>
              </w:rPr>
            </w:pPr>
            <w:r w:rsidRPr="00E0465B">
              <w:rPr>
                <w:rFonts w:cs="Arial"/>
                <w:bCs/>
                <w:szCs w:val="16"/>
              </w:rPr>
              <w:t>1.45%</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79.71%</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36.23%</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91.30%</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40.58%</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85.29%</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42.03%</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0</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2</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51</w:t>
            </w:r>
          </w:p>
        </w:tc>
        <w:tc>
          <w:tcPr>
            <w:tcW w:w="451" w:type="pct"/>
          </w:tcPr>
          <w:p w14:paraId="71B260CE" w14:textId="08E9F3B4" w:rsidR="002163B7" w:rsidRPr="002163B7" w:rsidRDefault="002163B7" w:rsidP="002163B7">
            <w:pPr>
              <w:rPr>
                <w:rFonts w:cs="Arial"/>
                <w:bCs/>
                <w:szCs w:val="16"/>
              </w:rPr>
            </w:pPr>
            <w:r w:rsidRPr="002163B7">
              <w:rPr>
                <w:rFonts w:cs="Arial"/>
                <w:bCs/>
                <w:szCs w:val="16"/>
              </w:rPr>
              <w:t>84.31%</w:t>
            </w:r>
          </w:p>
        </w:tc>
        <w:tc>
          <w:tcPr>
            <w:tcW w:w="409" w:type="pct"/>
          </w:tcPr>
          <w:p w14:paraId="6338C1B2" w14:textId="7BC386DE" w:rsidR="002163B7" w:rsidRPr="002163B7" w:rsidRDefault="002163B7" w:rsidP="002163B7">
            <w:pPr>
              <w:rPr>
                <w:rFonts w:cs="Arial"/>
                <w:bCs/>
                <w:szCs w:val="16"/>
              </w:rPr>
            </w:pPr>
            <w:r w:rsidRPr="002163B7">
              <w:rPr>
                <w:rFonts w:cs="Arial"/>
                <w:bCs/>
                <w:szCs w:val="16"/>
              </w:rPr>
              <w:t>69</w:t>
            </w:r>
          </w:p>
        </w:tc>
        <w:tc>
          <w:tcPr>
            <w:tcW w:w="451" w:type="pct"/>
          </w:tcPr>
          <w:p w14:paraId="136BBFD4" w14:textId="1CEB9412" w:rsidR="002163B7" w:rsidRPr="002163B7" w:rsidRDefault="002163B7" w:rsidP="002163B7">
            <w:pPr>
              <w:rPr>
                <w:rFonts w:cs="Arial"/>
                <w:bCs/>
                <w:szCs w:val="16"/>
              </w:rPr>
            </w:pPr>
            <w:r w:rsidRPr="002163B7">
              <w:rPr>
                <w:rFonts w:cs="Arial"/>
                <w:bCs/>
                <w:szCs w:val="16"/>
              </w:rPr>
              <w:t>79.71%</w:t>
            </w:r>
          </w:p>
        </w:tc>
        <w:tc>
          <w:tcPr>
            <w:tcW w:w="579" w:type="pct"/>
          </w:tcPr>
          <w:p w14:paraId="27AAECA7" w14:textId="77777777" w:rsidR="002163B7" w:rsidRPr="002163B7" w:rsidRDefault="002163B7" w:rsidP="002163B7">
            <w:pPr>
              <w:rPr>
                <w:rFonts w:cs="Arial"/>
                <w:bCs/>
                <w:szCs w:val="16"/>
              </w:rPr>
            </w:pPr>
            <w:r w:rsidRPr="002163B7">
              <w:rPr>
                <w:rFonts w:cs="Arial"/>
                <w:bCs/>
                <w:szCs w:val="16"/>
              </w:rPr>
              <w:t>-4.60</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0.0703</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-0.6552</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0.5124</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51</w:t>
            </w:r>
          </w:p>
        </w:tc>
        <w:tc>
          <w:tcPr>
            <w:tcW w:w="451" w:type="pct"/>
          </w:tcPr>
          <w:p w14:paraId="7784492F" w14:textId="617B5A37" w:rsidR="002163B7" w:rsidRPr="002163B7" w:rsidRDefault="002163B7" w:rsidP="002163B7">
            <w:pPr>
              <w:rPr>
                <w:rFonts w:cs="Arial"/>
                <w:bCs/>
                <w:szCs w:val="16"/>
              </w:rPr>
            </w:pPr>
            <w:r w:rsidRPr="002163B7">
              <w:rPr>
                <w:rFonts w:cs="Arial"/>
                <w:bCs/>
                <w:szCs w:val="16"/>
              </w:rPr>
              <w:t>88.24%</w:t>
            </w:r>
          </w:p>
        </w:tc>
        <w:tc>
          <w:tcPr>
            <w:tcW w:w="409" w:type="pct"/>
          </w:tcPr>
          <w:p w14:paraId="28F8936D" w14:textId="5A09EDE1" w:rsidR="002163B7" w:rsidRPr="002163B7" w:rsidRDefault="002163B7" w:rsidP="002163B7">
            <w:pPr>
              <w:rPr>
                <w:rFonts w:cs="Arial"/>
                <w:bCs/>
                <w:szCs w:val="16"/>
              </w:rPr>
            </w:pPr>
            <w:r w:rsidRPr="002163B7">
              <w:rPr>
                <w:rFonts w:cs="Arial"/>
                <w:bCs/>
                <w:szCs w:val="16"/>
              </w:rPr>
              <w:t>69</w:t>
            </w:r>
          </w:p>
        </w:tc>
        <w:tc>
          <w:tcPr>
            <w:tcW w:w="451" w:type="pct"/>
          </w:tcPr>
          <w:p w14:paraId="633C801B" w14:textId="4A295D67" w:rsidR="002163B7" w:rsidRPr="002163B7" w:rsidRDefault="002163B7" w:rsidP="002163B7">
            <w:pPr>
              <w:rPr>
                <w:rFonts w:cs="Arial"/>
                <w:bCs/>
                <w:szCs w:val="16"/>
              </w:rPr>
            </w:pPr>
            <w:r w:rsidRPr="002163B7">
              <w:rPr>
                <w:rFonts w:cs="Arial"/>
                <w:bCs/>
                <w:szCs w:val="16"/>
              </w:rPr>
              <w:t>91.30%</w:t>
            </w:r>
          </w:p>
        </w:tc>
        <w:tc>
          <w:tcPr>
            <w:tcW w:w="579" w:type="pct"/>
          </w:tcPr>
          <w:p w14:paraId="230B7EE7" w14:textId="77777777" w:rsidR="002163B7" w:rsidRPr="002163B7" w:rsidRDefault="002163B7" w:rsidP="002163B7">
            <w:pPr>
              <w:rPr>
                <w:rFonts w:cs="Arial"/>
                <w:bCs/>
                <w:szCs w:val="16"/>
              </w:rPr>
            </w:pPr>
            <w:r w:rsidRPr="002163B7">
              <w:rPr>
                <w:rFonts w:cs="Arial"/>
                <w:bCs/>
                <w:szCs w:val="16"/>
              </w:rPr>
              <w:t>3.07</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0.0564</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0.5437</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0.5866</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51</w:t>
            </w:r>
          </w:p>
        </w:tc>
        <w:tc>
          <w:tcPr>
            <w:tcW w:w="451" w:type="pct"/>
          </w:tcPr>
          <w:p w14:paraId="540692E3" w14:textId="56E6F3CD" w:rsidR="002163B7" w:rsidRPr="002163B7" w:rsidRDefault="002163B7" w:rsidP="002163B7">
            <w:pPr>
              <w:rPr>
                <w:rFonts w:cs="Arial"/>
                <w:bCs/>
                <w:szCs w:val="16"/>
              </w:rPr>
            </w:pPr>
            <w:r w:rsidRPr="002163B7">
              <w:rPr>
                <w:rFonts w:cs="Arial"/>
                <w:bCs/>
                <w:szCs w:val="16"/>
              </w:rPr>
              <w:t>80.39%</w:t>
            </w:r>
          </w:p>
        </w:tc>
        <w:tc>
          <w:tcPr>
            <w:tcW w:w="409" w:type="pct"/>
          </w:tcPr>
          <w:p w14:paraId="1B3E02C2" w14:textId="2CE8465F" w:rsidR="002163B7" w:rsidRPr="002163B7" w:rsidRDefault="002163B7" w:rsidP="002163B7">
            <w:pPr>
              <w:rPr>
                <w:rFonts w:cs="Arial"/>
                <w:bCs/>
                <w:szCs w:val="16"/>
              </w:rPr>
            </w:pPr>
            <w:r w:rsidRPr="002163B7">
              <w:rPr>
                <w:rFonts w:cs="Arial"/>
                <w:bCs/>
                <w:szCs w:val="16"/>
              </w:rPr>
              <w:t>68</w:t>
            </w:r>
          </w:p>
        </w:tc>
        <w:tc>
          <w:tcPr>
            <w:tcW w:w="451" w:type="pct"/>
          </w:tcPr>
          <w:p w14:paraId="34FC7C5B" w14:textId="5058C880" w:rsidR="002163B7" w:rsidRPr="002163B7" w:rsidRDefault="002163B7" w:rsidP="002163B7">
            <w:pPr>
              <w:rPr>
                <w:rFonts w:cs="Arial"/>
                <w:bCs/>
                <w:szCs w:val="16"/>
              </w:rPr>
            </w:pPr>
            <w:r w:rsidRPr="002163B7">
              <w:rPr>
                <w:rFonts w:cs="Arial"/>
                <w:bCs/>
                <w:szCs w:val="16"/>
              </w:rPr>
              <w:t>85.29%</w:t>
            </w:r>
          </w:p>
        </w:tc>
        <w:tc>
          <w:tcPr>
            <w:tcW w:w="579" w:type="pct"/>
          </w:tcPr>
          <w:p w14:paraId="553B8B85" w14:textId="77777777" w:rsidR="002163B7" w:rsidRPr="002163B7" w:rsidRDefault="002163B7" w:rsidP="002163B7">
            <w:pPr>
              <w:rPr>
                <w:rFonts w:cs="Arial"/>
                <w:bCs/>
                <w:szCs w:val="16"/>
              </w:rPr>
            </w:pPr>
            <w:r w:rsidRPr="002163B7">
              <w:rPr>
                <w:rFonts w:cs="Arial"/>
                <w:bCs/>
                <w:szCs w:val="16"/>
              </w:rPr>
              <w:t>4.90</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0.0703</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0.6978</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0.4853</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51</w:t>
            </w:r>
          </w:p>
        </w:tc>
        <w:tc>
          <w:tcPr>
            <w:tcW w:w="451" w:type="pct"/>
          </w:tcPr>
          <w:p w14:paraId="194DF487" w14:textId="7DCD0747" w:rsidR="002163B7" w:rsidRPr="002163B7" w:rsidRDefault="002163B7" w:rsidP="002163B7">
            <w:pPr>
              <w:rPr>
                <w:rFonts w:cs="Arial"/>
                <w:bCs/>
                <w:szCs w:val="16"/>
              </w:rPr>
            </w:pPr>
            <w:r w:rsidRPr="002163B7">
              <w:rPr>
                <w:rFonts w:cs="Arial"/>
                <w:bCs/>
                <w:szCs w:val="16"/>
              </w:rPr>
              <w:t>31.37%</w:t>
            </w:r>
          </w:p>
        </w:tc>
        <w:tc>
          <w:tcPr>
            <w:tcW w:w="409" w:type="pct"/>
          </w:tcPr>
          <w:p w14:paraId="5EAAAE8A" w14:textId="57AB6E77" w:rsidR="002163B7" w:rsidRPr="002163B7" w:rsidRDefault="002163B7" w:rsidP="002163B7">
            <w:pPr>
              <w:rPr>
                <w:rFonts w:cs="Arial"/>
                <w:bCs/>
                <w:szCs w:val="16"/>
              </w:rPr>
            </w:pPr>
            <w:r w:rsidRPr="002163B7">
              <w:rPr>
                <w:rFonts w:cs="Arial"/>
                <w:bCs/>
                <w:szCs w:val="16"/>
              </w:rPr>
              <w:t>69</w:t>
            </w:r>
          </w:p>
        </w:tc>
        <w:tc>
          <w:tcPr>
            <w:tcW w:w="451" w:type="pct"/>
          </w:tcPr>
          <w:p w14:paraId="54F6D99F" w14:textId="0EE83B30" w:rsidR="002163B7" w:rsidRPr="002163B7" w:rsidRDefault="002163B7" w:rsidP="002163B7">
            <w:pPr>
              <w:rPr>
                <w:rFonts w:cs="Arial"/>
                <w:bCs/>
                <w:szCs w:val="16"/>
              </w:rPr>
            </w:pPr>
            <w:r w:rsidRPr="002163B7">
              <w:rPr>
                <w:rFonts w:cs="Arial"/>
                <w:bCs/>
                <w:szCs w:val="16"/>
              </w:rPr>
              <w:t>36.23%</w:t>
            </w:r>
          </w:p>
        </w:tc>
        <w:tc>
          <w:tcPr>
            <w:tcW w:w="579" w:type="pct"/>
          </w:tcPr>
          <w:p w14:paraId="1D077B69" w14:textId="77777777" w:rsidR="002163B7" w:rsidRPr="002163B7" w:rsidRDefault="002163B7" w:rsidP="002163B7">
            <w:pPr>
              <w:rPr>
                <w:rFonts w:cs="Arial"/>
                <w:bCs/>
                <w:szCs w:val="16"/>
              </w:rPr>
            </w:pPr>
            <w:r w:rsidRPr="002163B7">
              <w:rPr>
                <w:rFonts w:cs="Arial"/>
                <w:bCs/>
                <w:szCs w:val="16"/>
              </w:rPr>
              <w:t>4.86</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0.0870</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0.5585</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0.5765</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51</w:t>
            </w:r>
          </w:p>
        </w:tc>
        <w:tc>
          <w:tcPr>
            <w:tcW w:w="451" w:type="pct"/>
          </w:tcPr>
          <w:p w14:paraId="2CE4E688" w14:textId="5431A696" w:rsidR="002163B7" w:rsidRPr="002163B7" w:rsidRDefault="002163B7" w:rsidP="002163B7">
            <w:pPr>
              <w:rPr>
                <w:rFonts w:cs="Arial"/>
                <w:bCs/>
                <w:szCs w:val="16"/>
              </w:rPr>
            </w:pPr>
            <w:r w:rsidRPr="002163B7">
              <w:rPr>
                <w:rFonts w:cs="Arial"/>
                <w:bCs/>
                <w:szCs w:val="16"/>
              </w:rPr>
              <w:t>33.33%</w:t>
            </w:r>
          </w:p>
        </w:tc>
        <w:tc>
          <w:tcPr>
            <w:tcW w:w="409" w:type="pct"/>
          </w:tcPr>
          <w:p w14:paraId="646CA85A" w14:textId="3C895BAE" w:rsidR="002163B7" w:rsidRPr="002163B7" w:rsidRDefault="002163B7" w:rsidP="002163B7">
            <w:pPr>
              <w:rPr>
                <w:rFonts w:cs="Arial"/>
                <w:bCs/>
                <w:szCs w:val="16"/>
              </w:rPr>
            </w:pPr>
            <w:r w:rsidRPr="002163B7">
              <w:rPr>
                <w:rFonts w:cs="Arial"/>
                <w:bCs/>
                <w:szCs w:val="16"/>
              </w:rPr>
              <w:t>69</w:t>
            </w:r>
          </w:p>
        </w:tc>
        <w:tc>
          <w:tcPr>
            <w:tcW w:w="451" w:type="pct"/>
          </w:tcPr>
          <w:p w14:paraId="37836055" w14:textId="1351FC3C" w:rsidR="002163B7" w:rsidRPr="002163B7" w:rsidRDefault="002163B7" w:rsidP="002163B7">
            <w:pPr>
              <w:rPr>
                <w:rFonts w:cs="Arial"/>
                <w:bCs/>
                <w:szCs w:val="16"/>
              </w:rPr>
            </w:pPr>
            <w:r w:rsidRPr="002163B7">
              <w:rPr>
                <w:rFonts w:cs="Arial"/>
                <w:bCs/>
                <w:szCs w:val="16"/>
              </w:rPr>
              <w:t>40.58%</w:t>
            </w:r>
          </w:p>
        </w:tc>
        <w:tc>
          <w:tcPr>
            <w:tcW w:w="579" w:type="pct"/>
          </w:tcPr>
          <w:p w14:paraId="46137C56" w14:textId="77777777" w:rsidR="002163B7" w:rsidRPr="002163B7" w:rsidRDefault="002163B7" w:rsidP="002163B7">
            <w:pPr>
              <w:rPr>
                <w:rFonts w:cs="Arial"/>
                <w:bCs/>
                <w:szCs w:val="16"/>
              </w:rPr>
            </w:pPr>
            <w:r w:rsidRPr="002163B7">
              <w:rPr>
                <w:rFonts w:cs="Arial"/>
                <w:bCs/>
                <w:szCs w:val="16"/>
              </w:rPr>
              <w:t>7.25</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0.0886</w:t>
            </w:r>
          </w:p>
        </w:tc>
        <w:tc>
          <w:tcPr>
            <w:tcW w:w="386" w:type="pct"/>
          </w:tcPr>
          <w:p w14:paraId="33ABA125" w14:textId="77777777" w:rsidR="002163B7" w:rsidRPr="002163B7" w:rsidRDefault="002163B7" w:rsidP="002163B7">
            <w:pPr>
              <w:rPr>
                <w:rFonts w:cs="Arial"/>
                <w:bCs/>
                <w:szCs w:val="16"/>
              </w:rPr>
            </w:pPr>
            <w:r w:rsidRPr="002163B7">
              <w:rPr>
                <w:rFonts w:cs="Arial"/>
                <w:bCs/>
                <w:szCs w:val="16"/>
              </w:rPr>
              <w:t>0.8178</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0.4135</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51</w:t>
            </w:r>
          </w:p>
        </w:tc>
        <w:tc>
          <w:tcPr>
            <w:tcW w:w="451" w:type="pct"/>
          </w:tcPr>
          <w:p w14:paraId="11697454" w14:textId="54436DC8" w:rsidR="002163B7" w:rsidRPr="002163B7" w:rsidRDefault="002163B7" w:rsidP="002163B7">
            <w:pPr>
              <w:rPr>
                <w:rFonts w:cs="Arial"/>
                <w:bCs/>
                <w:szCs w:val="16"/>
              </w:rPr>
            </w:pPr>
            <w:r w:rsidRPr="002163B7">
              <w:rPr>
                <w:rFonts w:cs="Arial"/>
                <w:bCs/>
                <w:szCs w:val="16"/>
              </w:rPr>
              <w:t>33.33%</w:t>
            </w:r>
          </w:p>
        </w:tc>
        <w:tc>
          <w:tcPr>
            <w:tcW w:w="409" w:type="pct"/>
          </w:tcPr>
          <w:p w14:paraId="15A07783" w14:textId="7CD02A10" w:rsidR="002163B7" w:rsidRPr="002163B7" w:rsidRDefault="002163B7" w:rsidP="002163B7">
            <w:pPr>
              <w:rPr>
                <w:rFonts w:cs="Arial"/>
                <w:bCs/>
                <w:szCs w:val="16"/>
              </w:rPr>
            </w:pPr>
            <w:r w:rsidRPr="002163B7">
              <w:rPr>
                <w:rFonts w:cs="Arial"/>
                <w:bCs/>
                <w:szCs w:val="16"/>
              </w:rPr>
              <w:t>69</w:t>
            </w:r>
          </w:p>
        </w:tc>
        <w:tc>
          <w:tcPr>
            <w:tcW w:w="451" w:type="pct"/>
          </w:tcPr>
          <w:p w14:paraId="48158A85" w14:textId="5FA103FF" w:rsidR="002163B7" w:rsidRPr="002163B7" w:rsidRDefault="002163B7" w:rsidP="002163B7">
            <w:pPr>
              <w:rPr>
                <w:rFonts w:cs="Arial"/>
                <w:bCs/>
                <w:szCs w:val="16"/>
              </w:rPr>
            </w:pPr>
            <w:r w:rsidRPr="002163B7">
              <w:rPr>
                <w:rFonts w:cs="Arial"/>
                <w:bCs/>
                <w:szCs w:val="16"/>
              </w:rPr>
              <w:t>42.03%</w:t>
            </w:r>
          </w:p>
        </w:tc>
        <w:tc>
          <w:tcPr>
            <w:tcW w:w="579" w:type="pct"/>
          </w:tcPr>
          <w:p w14:paraId="7D6FF76A" w14:textId="77777777" w:rsidR="002163B7" w:rsidRPr="002163B7" w:rsidRDefault="002163B7" w:rsidP="002163B7">
            <w:pPr>
              <w:rPr>
                <w:rFonts w:cs="Arial"/>
                <w:bCs/>
                <w:szCs w:val="16"/>
              </w:rPr>
            </w:pPr>
            <w:r w:rsidRPr="002163B7">
              <w:rPr>
                <w:rFonts w:cs="Arial"/>
                <w:bCs/>
                <w:szCs w:val="16"/>
              </w:rPr>
              <w:t>8.70</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0.0888</w:t>
            </w:r>
          </w:p>
        </w:tc>
        <w:tc>
          <w:tcPr>
            <w:tcW w:w="386" w:type="pct"/>
          </w:tcPr>
          <w:p w14:paraId="2D1A2501" w14:textId="77777777" w:rsidR="002163B7" w:rsidRPr="002163B7" w:rsidRDefault="002163B7" w:rsidP="002163B7">
            <w:pPr>
              <w:rPr>
                <w:rFonts w:cs="Arial"/>
                <w:bCs/>
                <w:szCs w:val="16"/>
              </w:rPr>
            </w:pPr>
            <w:r w:rsidRPr="002163B7">
              <w:rPr>
                <w:rFonts w:cs="Arial"/>
                <w:bCs/>
                <w:szCs w:val="16"/>
              </w:rPr>
              <w:t>0.9791</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0.3276</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60CDDEF1" w14:textId="54EEAC13" w:rsidR="002E6ED7" w:rsidRPr="002E6ED7" w:rsidRDefault="002E6ED7" w:rsidP="002E6ED7">
      <w:pPr>
        <w:rPr>
          <w:b/>
          <w:bCs/>
          <w:sz w:val="20"/>
          <w:szCs w:val="28"/>
        </w:rPr>
      </w:pPr>
      <w:r w:rsidRPr="002E6ED7">
        <w:rPr>
          <w:b/>
          <w:bCs/>
          <w:sz w:val="20"/>
          <w:szCs w:val="28"/>
        </w:rPr>
        <w:t>US Virgin Islands</w:t>
      </w:r>
    </w:p>
    <w:p w14:paraId="31F3609B" w14:textId="77777777" w:rsidR="002E6ED7" w:rsidRPr="002E6ED7" w:rsidRDefault="002E6ED7" w:rsidP="002E6ED7"/>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1</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1</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13</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18</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18</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36.00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0</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36.00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63222F22" w14:textId="77777777" w:rsidR="00C2273C" w:rsidRDefault="00C2273C">
      <w:pPr>
        <w:spacing w:before="0" w:after="200" w:line="276" w:lineRule="auto"/>
      </w:pPr>
    </w:p>
    <w:p w14:paraId="2D73293C" w14:textId="0806E036" w:rsidR="00A241E8" w:rsidRDefault="002E6ED7">
      <w:pPr>
        <w:spacing w:before="0" w:after="200" w:line="276" w:lineRule="auto"/>
      </w:pPr>
      <w:r>
        <w:object w:dxaOrig="1540" w:dyaOrig="997" w14:anchorId="4352FCA3">
          <v:shape id="_x0000_i1026" type="#_x0000_t75" alt="VI-C-DR-2021-22" style="width:76.5pt;height:49.5pt" o:ole="">
            <v:imagedata r:id="rId14" o:title=""/>
          </v:shape>
          <o:OLEObject Type="Embed" ProgID="Acrobat.Document.2020" ShapeID="_x0000_i1026" DrawAspect="Icon" ObjectID="_1749316111"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2E6ED7"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552616704">
    <w:abstractNumId w:val="7"/>
  </w:num>
  <w:num w:numId="2" w16cid:durableId="1811364058">
    <w:abstractNumId w:val="16"/>
  </w:num>
  <w:num w:numId="3" w16cid:durableId="463425637">
    <w:abstractNumId w:val="9"/>
  </w:num>
  <w:num w:numId="4" w16cid:durableId="758797554">
    <w:abstractNumId w:val="8"/>
  </w:num>
  <w:num w:numId="5" w16cid:durableId="1891768714">
    <w:abstractNumId w:val="18"/>
  </w:num>
  <w:num w:numId="6" w16cid:durableId="1421101923">
    <w:abstractNumId w:val="0"/>
  </w:num>
  <w:num w:numId="7" w16cid:durableId="956258675">
    <w:abstractNumId w:val="1"/>
  </w:num>
  <w:num w:numId="8" w16cid:durableId="41176912">
    <w:abstractNumId w:val="14"/>
  </w:num>
  <w:num w:numId="9" w16cid:durableId="1729920156">
    <w:abstractNumId w:val="13"/>
  </w:num>
  <w:num w:numId="10" w16cid:durableId="1143541197">
    <w:abstractNumId w:val="3"/>
  </w:num>
  <w:num w:numId="11" w16cid:durableId="365330252">
    <w:abstractNumId w:val="2"/>
  </w:num>
  <w:num w:numId="12" w16cid:durableId="1975132968">
    <w:abstractNumId w:val="5"/>
  </w:num>
  <w:num w:numId="13" w16cid:durableId="2049535">
    <w:abstractNumId w:val="11"/>
  </w:num>
  <w:num w:numId="14" w16cid:durableId="897786272">
    <w:abstractNumId w:val="10"/>
  </w:num>
  <w:num w:numId="15" w16cid:durableId="396169178">
    <w:abstractNumId w:val="12"/>
  </w:num>
  <w:num w:numId="16" w16cid:durableId="1706521624">
    <w:abstractNumId w:val="15"/>
  </w:num>
  <w:num w:numId="17" w16cid:durableId="1883902989">
    <w:abstractNumId w:val="4"/>
  </w:num>
  <w:num w:numId="18" w16cid:durableId="2056928926">
    <w:abstractNumId w:val="6"/>
  </w:num>
  <w:num w:numId="19" w16cid:durableId="163679316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E6ED7"/>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3C"/>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696"/>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A9DCB-E3D8-4048-BDD4-1F7881EB959B}">
  <ds:schemaRefs>
    <ds:schemaRef ds:uri="http://purl.org/dc/elements/1.1/"/>
    <ds:schemaRef ds:uri="http://www.w3.org/XML/1998/namespace"/>
    <ds:schemaRef ds:uri="292db1e8-b3d0-4356-8ef3-2a6d7ed77883"/>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3"/>
    <ds:schemaRef ds:uri="4f36bac4-6705-4a36-974b-7c07450fedf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4A9A066-8A0A-45B8-A668-CD113C8AC3C5}"/>
</file>

<file path=customXml/itemProps3.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54</Pages>
  <Words>24233</Words>
  <Characters>138131</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2023-06-27T00:17:00Z</dcterms:created>
  <dcterms:modified xsi:type="dcterms:W3CDTF">2023-06-27T00:17:00Z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