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US Virgin Islands</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The Virgin Islands Infants and Toddlers Program (VI-ITP), Part C of IDEA, is an early intervention program that serves infants and toddlers with established conditions and developmental delays, birth to three. The VI-ITP serves the districts of St. Thomas/St. John and Water Island, and the district of St. Croix. The average caseload of the two districts is 200 children. The ITP offers case management services to assist and enable an infant or toddler with a disability and their family to receive their services and know their rights, coordinates evaluations and assessments, facilitates the development, review, and evaluation of IFSPs, and serves as the single point of contact in assisting parents of infants and toddlers in obtaining access to needed early intervention services. The early intervention services offered by the VI-ITP are free of charge to the family. Technical assistance is provided to the VI-ITP by a team of professionals representing the IDEA Data Center (IDC), the Early Childhood Technical Assistance Center (ECTA Center), and the Center for IDEA Early Childhood Data Systems (DaSy) who are experienced in IDEA requirements and compliance mandates.</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The Virgin Islands Infants and Toddlers Program (ITP) consists of two districts: St Thomas/St John and St Croix. VI ITP has policies and procedures in place to ensure that IDEA requirements are met, and the processes which enable the program to identify and correct non-compliance are implemented. The VI Infants and Toddlers Program Director notifies the early intervention personnel of any non-compliance areas and meets with all personnel to convey the areas of noncompliance and improvement and any corrections needed. To verify correction of noncompliance for individual children, the Virgin Islands reviews each child’s record for whom non-compliance was identified to ensure that correction was made (e.g., transition steps are added to the child’s IFSP). Individual child records for whom non-compliance was identified are also reviewed to ensure that the child had an evaluation and assessment, IFSP developed, received the services, or had a transition conference, although it was not timely. The Service Coordinators review additional child records to ensure that the districts are still in compliance and have met subsequent children's timelines.  The Infants &amp; Toddlers Program as of December 2021 has filled the position of the Program Director.  The new Program Director will set up a schedule to discuss the findings with the individual Service Coordinators in each district.  In this manner, the VI Infants and Toddlers Program ensures that the districts are currently implementing the statutory/regulatory requirements.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The ITP received technical assistance from the Early Childhood Technical Assistance Center (ECTA Center) and the DaSy Center State Liason. The TA's in these centers are experienced in IDEA requirements and compliance and assisted the ITP. As a result of COVID-19, some initiatives for provider training have been put on hold until there is a greater understanding of moving forward. There was input from the TA Centers in developing this APR/SSIP. The TA Centers assisted the ITP in improving the database used to provide the information for all federal reports submitted including this APR. Comments from families of children enrolled in the ITP were collected through family survey responses.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The ITP staff is committed, experienced, and dedicated to improving infants' and toddlers' lives in the Virgin Islands. Monthly provider meetings are conducted to allow providers to seek assistance regarding any challenging issues and provides the staff an opportunity to share strategies and experiences. Other professional development opportunities include webinars from the ECTA centers and a weekly newsletter from himama based in Canada. These newsletters have provided valuable strategies as we continue to experience the impact of COVID-19. Both St. Thomas and St. Croix districts have part-time staff who work for both Preschool Special Education and the Infants and Toddlers Program. Therefore they will benefit from professional development training from both the DOE and the Infants and Toddlers Program once there is less health threat due to COVID-19.  The Program Director with the assistance of the VI-ICC and the Service Coordinators will develop a quarterly training schedule for the Providers.  There remain continued challenges regarding recruiting and retaining early intervention providers of OT, PT, and S/LP. The ITP Providers are committed, dedicated, and experienced in early intervention services. There is good communication and informal networking among the staff.</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The Virgin Islands Infants and Toddlers stakeholders consist of members of the VI Interagency Coordinating Council (VI-ICC), who advises and assist the ITP regarding the provision of early intervention services for children with disabilities from birth to three and other child development agencies. There were three meetings held in February 2021, May 2021 and November 2021. The council has a diverse membership, including parents of children with a disability and state agencies involved in the provision of early intervention services, a member responsible for the State Medicare program, the SEA responsible for child care, and other entities who give the ITP advice in all areas of child development. Conference calls were held with available stakeholders to discuss the targets and how they will be reached during this pandemic. Based on the review of the 2019 APR targets, the VI-ICC members suggested that the targets remain constant due to the uncertainty of the impact of Covid-19 moving forward. </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4</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lastRenderedPageBreak/>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Parent members participated in the VI-ICC meetings where there were discussions about setting new targets.  The suggestion to keep the targets the same as in previous years was agreed upon by the parent members.  The VI-ITP Service Coordinators constantly ask Providers for suggestions of additional parent members to assist.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Coping with the impact of Covid-19 has been challenging. When in-person learning was not feasible providers pivoted to check-in telephone calls as well as emailing parents additional learning materials for them to work on with their children.</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Public input was not solicited at this time.</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At this time there has not been any availability to the public.</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The APRs are currently posted on the DOH website and in each district in the administrative offices of the ITP. The report will also be issued to the SSIP stakeholders, early intervention providers, and parents of children in the program. All stakeholders are asked for input on the enhancement of the State Performance Plan and any improvement activities. The website for the SPP/APR is https://doh.vi.gov</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 xml:space="preserve">VIDH has not publicly reported on the FFY 2018 (July 1, 2018-June 30, 2019) performance of each EIS program or provider located in the VIDH on the targets in the VIDH's performance plan as required by sections 616(b)(2)(C)(ii)(I) and 642 of IDEA.  With its FFY 2020 SPP/APR, VIDH must provide a Web link demonstrating that VIDH reported to the public on the performance of each early intervention service program or provider located in the VIDH on the targets in the SPP/APR for FFY 2018, FFY 2017 and FFY 2016. In addition, VIDH must report with its FFY 2020 SPP/APR, how and where VIDH reported to the public on the FFY 2019 performance of each early intervention service program or provider located in the State on the targets in the SPP/APR.  </w:t>
      </w:r>
      <w:r w:rsidRPr="00ED172B">
        <w:rPr>
          <w:color w:val="000000" w:themeColor="text1"/>
        </w:rPr>
        <w:br/>
      </w:r>
      <w:r w:rsidRPr="00ED172B">
        <w:rPr>
          <w:color w:val="000000" w:themeColor="text1"/>
        </w:rPr>
        <w:br/>
        <w:t>The VIDH's IDEA Part C determination for both 2020 and 2021 is Needs Assistance. In the VIDH's 2021 determination letter, the Department advised VIDH of available sources of technical assistance, including OSEP-funded technical assistance centers, and required VIDH to work with appropriate entities. The Department directed VIDH to determine the results elements and/or compliance indicators, and improvement strategies, on which it will focus its use of available technical assistance, in order to improve its performance. VIDH must report, with its FFY 2020 SPP/APR submission, due February 1, 2022, on: (1) the technical assistance sources from which VIDH received assistance; and (2) the actions the VIDH took as a result of that technical assistance.</w:t>
      </w:r>
      <w:r w:rsidRPr="00ED172B">
        <w:rPr>
          <w:color w:val="000000" w:themeColor="text1"/>
        </w:rPr>
        <w:br/>
      </w:r>
      <w:r w:rsidRPr="00ED172B">
        <w:rPr>
          <w:color w:val="000000" w:themeColor="text1"/>
        </w:rPr>
        <w:br/>
        <w:t>VIDH must provide the FFY 2020 required data for Indicator 11, including the VIDH’s progress in implementing the State Systemic Improvement Plan, in the FFY 2020 SPP/APR.</w:t>
      </w: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 xml:space="preserve">The VI-ITP will change the formatting of the SPP/APRs that are currently posted on the VIDH website. The program has requested assistance from the DaSy Center TA providers and the ECTA.  There have been several meetings held to provide assistance with the APR and reformatting the local report for posting to the DOH website.  </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Virgin Island's (VI) State Interagency Coordinating Council (SICC) submitted to the Secretary its annual report that is required under IDEA section 641(e)(1)(D) and 34 C.F.R. § 303.604(c). The SICC noted it has elected to support VI lead agency's submission of its SPP/APR as its annual report in lieu of submitting a separate report. OSEP accepts the SICC form, which will not be posted publicly with VI's SPP/APR documents.</w:t>
      </w:r>
      <w:r w:rsidRPr="00ED172B">
        <w:rPr>
          <w:color w:val="000000" w:themeColor="text1"/>
        </w:rPr>
        <w:br/>
      </w:r>
      <w:r w:rsidRPr="00ED172B">
        <w:rPr>
          <w:color w:val="000000" w:themeColor="text1"/>
        </w:rPr>
        <w:br/>
        <w:t>VI's determinations for both 2020 and 2021 were Needs Assistance.  Pursuant to sections 616(e)(1) and 642 of the IDEA and 34 C.F.R. § 303.704(a), OSEP's June 22, 2021 determination letter informed VI that it must report with its FFY 2020 SPP/APR submission, due February 1, 2022, on: (1) the technical assistance sources from which VI received assistance; and (2) the actions VI took as a result of that technical assistance. VI provided the required information.</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Virgin Island Department of Health's (VIDH) IDEA Part C FFY 2021 and FFY 2022 grants were subject to both OSEP Specific Conditions as well as Department-wide Specific Conditions.</w:t>
      </w:r>
      <w:r w:rsidRPr="00ED172B">
        <w:rPr>
          <w:color w:val="000000" w:themeColor="text1"/>
        </w:rPr>
        <w:br/>
      </w:r>
      <w:r w:rsidRPr="00ED172B">
        <w:rPr>
          <w:color w:val="000000" w:themeColor="text1"/>
        </w:rPr>
        <w:br/>
        <w:t xml:space="preserve">VI has not publicly reported on the FFY 2019 (July 1, 2019-June 30, 2020), FFY 2018 (July 1, 2018-June 30, 2019), FFY 2017 (July 1, 2017-June 30, 2018), and FFY 2016 (July 1, 2016 - June 30, 2017) performance of each EIS program or provider located in the VI on the targets in VI's performance plan as required by sections 616(b)(2)(C)(ii)(I) and 642 of IDEA.  With its FFY 2021 SPP/APR, VI must provide a Web link demonstrating that VI </w:t>
      </w:r>
      <w:r w:rsidRPr="00ED172B">
        <w:rPr>
          <w:color w:val="000000" w:themeColor="text1"/>
        </w:rPr>
        <w:lastRenderedPageBreak/>
        <w:t xml:space="preserve">reported to the public on the performance of each early intervention service program or provider located in the VI on the targets in the SPP/APR for FFY 2019, FFY 2018, FFY 2017 and FFY 2016. In addition, VI must report with its FFY 2021 SPP/APR, how and where VI reported to the public on the FFY 2020 performance of each early intervention service program or provider located in the VI on the targets in the SPP/APR.  </w:t>
      </w:r>
      <w:r w:rsidRPr="00ED172B">
        <w:rPr>
          <w:color w:val="000000" w:themeColor="text1"/>
        </w:rPr>
        <w:br/>
      </w:r>
      <w:r w:rsidRPr="00ED172B">
        <w:rPr>
          <w:color w:val="000000" w:themeColor="text1"/>
        </w:rPr>
        <w:br/>
        <w:t xml:space="preserve">VI's IDEA Part C determination for both 2021 and 2022 is Needs Assistance. In VI's 2022 determination letter, the Department advised VI of available sources of technical assistance, including OSEP-funded technical assistance centers, and required VI to work with appropriate entities. The Department directed VI to determine the results elements and/or compliance indicators, and improvement strategies, on which it will focus its use of available technical assistance, in order to improve its performance.  </w:t>
      </w:r>
      <w:r w:rsidRPr="00ED172B">
        <w:rPr>
          <w:color w:val="000000" w:themeColor="text1"/>
        </w:rPr>
        <w:br/>
      </w:r>
      <w:r w:rsidRPr="00ED172B">
        <w:rPr>
          <w:color w:val="000000" w:themeColor="text1"/>
        </w:rPr>
        <w:br/>
        <w:t>VI must report, with its FFY 2021 SPP/APR submission, due February 1, 2023, on: (1) the technical assistance sources from which  VI received assistance; and (2) the actions VI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100.00%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95.80%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96.60%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98.70%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99.55%</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95.13%</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196</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219</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95.13%</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99.09%</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21</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xml:space="preserve">Children traveled to other jurisdictions for additional medical opinions or medical care.  Parents preferred to delay start times due to concerns of contracting COVID-19.  </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Timely services are defined as the time period from parents' consent on the IFSP and when the early intervention was started, which is 30 days.</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The data was collected for the period of  July 1, 2020 to June 30, 2021.</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This data accurately reflect all children for whom and IFSP was developed from July 1, 2020 to June 30, 2021.  The Service Coordinator in each district receives the information/reports from the Providers and enters the information in the database.  The database has formulas in place to indicate the upcoming due dates.</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There were 2 findings of noncompliance for FFY 2020.  The Providers assigned to these cases were concerned about Covid 19, therefore the cases had to be reassigned.  The files were reviewed and an alternative plan was developed between the newly assigned Provider and the families.  The children affected received services despite being late.</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7D2FE899" w:rsidR="002F1A9A" w:rsidRPr="00ED172B" w:rsidRDefault="00CD74B5" w:rsidP="00B83404">
      <w:pPr>
        <w:rPr>
          <w:color w:val="000000" w:themeColor="text1"/>
        </w:rPr>
      </w:pPr>
      <w:r>
        <w:rPr>
          <w:b/>
          <w:color w:val="000000" w:themeColor="text1"/>
        </w:rPr>
        <w:t>FFY 2019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The findings of noncompliance for 2019 were reviewed and corrected. The ITP Acting Director reviewed the monthly reports for three consecutive months, trying to maintain compliance.  Covid 19 impacted this process.</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The Virgin Islands went into "Lock down" several times beginning March 2020 due to Covid 19. Each individual child's record was reviewed, reassigning the cases as quickly as possible where the initial Service Coordinator was ill or very concerned about their own well being. There have not been any children that have not received services despite being late.</w:t>
      </w:r>
    </w:p>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860830" w:rsidP="00186420">
            <w:pPr>
              <w:jc w:val="center"/>
              <w:rPr>
                <w:rFonts w:cs="Arial"/>
                <w:color w:val="000000" w:themeColor="text1"/>
                <w:szCs w:val="16"/>
              </w:rPr>
            </w:pPr>
            <w:r w:rsidRPr="00ED172B">
              <w:rPr>
                <w:rFonts w:cs="Arial"/>
                <w:color w:val="000000" w:themeColor="text1"/>
                <w:szCs w:val="16"/>
              </w:rPr>
              <w:t>FFY 2018</w:t>
            </w:r>
          </w:p>
        </w:tc>
        <w:tc>
          <w:tcPr>
            <w:tcW w:w="1399" w:type="pct"/>
            <w:shd w:val="clear" w:color="auto" w:fill="auto"/>
          </w:tcPr>
          <w:p w14:paraId="1160A201" w14:textId="0E2C6FD9" w:rsidR="002F1A9A" w:rsidRPr="00ED172B" w:rsidRDefault="00860830" w:rsidP="009A3621">
            <w:pPr>
              <w:jc w:val="center"/>
              <w:rPr>
                <w:rFonts w:cs="Arial"/>
                <w:noProof/>
                <w:color w:val="000000" w:themeColor="text1"/>
                <w:szCs w:val="16"/>
              </w:rPr>
            </w:pPr>
            <w:r w:rsidRPr="00ED172B">
              <w:rPr>
                <w:rFonts w:cs="Arial"/>
                <w:color w:val="000000" w:themeColor="text1"/>
                <w:szCs w:val="16"/>
              </w:rPr>
              <w:t>1</w:t>
            </w:r>
          </w:p>
        </w:tc>
        <w:tc>
          <w:tcPr>
            <w:tcW w:w="1394" w:type="pct"/>
            <w:shd w:val="clear" w:color="auto" w:fill="auto"/>
          </w:tcPr>
          <w:p w14:paraId="4333C23A" w14:textId="71B77B57" w:rsidR="002F1A9A" w:rsidRPr="00ED172B" w:rsidRDefault="00860830" w:rsidP="009A3621">
            <w:pPr>
              <w:jc w:val="center"/>
              <w:rPr>
                <w:rFonts w:cs="Arial"/>
                <w:noProof/>
                <w:color w:val="000000" w:themeColor="text1"/>
                <w:szCs w:val="16"/>
              </w:rPr>
            </w:pPr>
            <w:r w:rsidRPr="00ED172B">
              <w:rPr>
                <w:rFonts w:cs="Arial"/>
                <w:color w:val="000000" w:themeColor="text1"/>
                <w:szCs w:val="16"/>
              </w:rPr>
              <w:t>1</w:t>
            </w:r>
          </w:p>
        </w:tc>
        <w:tc>
          <w:tcPr>
            <w:tcW w:w="1307" w:type="pct"/>
            <w:shd w:val="clear" w:color="auto" w:fill="auto"/>
          </w:tcPr>
          <w:p w14:paraId="33AEF7F3" w14:textId="54D2CF26" w:rsidR="002F1A9A" w:rsidRPr="00ED172B" w:rsidRDefault="00860830" w:rsidP="00433DB7">
            <w:pPr>
              <w:jc w:val="center"/>
              <w:rPr>
                <w:rFonts w:cs="Arial"/>
                <w:noProof/>
                <w:color w:val="000000" w:themeColor="text1"/>
                <w:szCs w:val="16"/>
              </w:rPr>
            </w:pPr>
            <w:r w:rsidRPr="00ED172B">
              <w:rPr>
                <w:rFonts w:cs="Arial"/>
                <w:color w:val="000000" w:themeColor="text1"/>
                <w:szCs w:val="16"/>
              </w:rPr>
              <w:t>0</w:t>
            </w: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63DD048C" w14:textId="53B39DE5" w:rsidR="00E50124" w:rsidRPr="00ED172B" w:rsidRDefault="00E50124" w:rsidP="00B83404">
      <w:pPr>
        <w:rPr>
          <w:rFonts w:cs="Arial"/>
          <w:b/>
          <w:bCs/>
          <w:color w:val="000000" w:themeColor="text1"/>
          <w:szCs w:val="16"/>
        </w:rPr>
      </w:pPr>
      <w:r w:rsidRPr="00ED172B">
        <w:rPr>
          <w:rFonts w:cs="Arial"/>
          <w:b/>
          <w:bCs/>
          <w:color w:val="000000" w:themeColor="text1"/>
          <w:szCs w:val="16"/>
        </w:rPr>
        <w:t>FFY 2018</w:t>
      </w:r>
    </w:p>
    <w:p w14:paraId="6D44D6A0" w14:textId="1AED8B4E" w:rsidR="002F1A9A" w:rsidRPr="00ED172B" w:rsidRDefault="002F1A9A" w:rsidP="00B83404">
      <w:pPr>
        <w:rPr>
          <w:color w:val="000000" w:themeColor="text1"/>
        </w:rPr>
      </w:pPr>
      <w:r w:rsidRPr="00ED172B">
        <w:rPr>
          <w:b/>
          <w:color w:val="000000" w:themeColor="text1"/>
        </w:rPr>
        <w:t>Findings of Noncompliance Verified as Corrected</w:t>
      </w:r>
    </w:p>
    <w:p w14:paraId="04EA9CFC" w14:textId="6669E030"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37950F8B" w14:textId="4BB86D47" w:rsidR="002F1A9A" w:rsidRPr="00ED172B" w:rsidRDefault="00860830">
      <w:pPr>
        <w:rPr>
          <w:color w:val="000000" w:themeColor="text1"/>
        </w:rPr>
      </w:pPr>
      <w:r w:rsidRPr="00ED172B">
        <w:rPr>
          <w:color w:val="000000" w:themeColor="text1"/>
        </w:rPr>
        <w:t>As a result of the non-compliance findings, the Coordinator's Monthly Reports were reviewed. There have not been any children that have not received services despite being late.</w:t>
      </w:r>
    </w:p>
    <w:p w14:paraId="6C821079" w14:textId="06CA6D74"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54BEEF03" w14:textId="25F18866" w:rsidR="002F1A9A" w:rsidRDefault="00860830">
      <w:pPr>
        <w:rPr>
          <w:color w:val="000000" w:themeColor="text1"/>
        </w:rPr>
      </w:pPr>
      <w:r w:rsidRPr="00ED172B">
        <w:rPr>
          <w:color w:val="000000" w:themeColor="text1"/>
        </w:rPr>
        <w:lastRenderedPageBreak/>
        <w:t>Within the first month of services provided to the individual child, the coordinator and provider discussed the actual start of services noting it in the child's records. All children have received services despite being late.</w:t>
      </w:r>
    </w:p>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VIDH reported less than 100% compliance for FFY 2019, VIDH must report on the status of correction of noncompliance identified in FFY 2019 for this indicator. In addition, VIDH must demonstrate, in the FFY 2020 SPP/APR, that the remaining one uncorrected finding noncompliance identified in FFY 2018 was corrected.  When reporting on the correction of noncompliance, VIDH must report, in the FFY 2020 SPP/APR, that it has verified that each EIS program or provider with findings of noncompliance identified in FFY 2019 and the EIS program or provider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VIDH must describe the specific actions that were taken to verify the correction.    </w:t>
      </w:r>
      <w:r w:rsidRPr="00ED172B">
        <w:rPr>
          <w:color w:val="000000" w:themeColor="text1"/>
        </w:rPr>
        <w:br/>
      </w:r>
      <w:r w:rsidRPr="00ED172B">
        <w:rPr>
          <w:color w:val="000000" w:themeColor="text1"/>
        </w:rPr>
        <w:br/>
        <w:t>If VIDH did not identify any findings of noncompliance in FFY 2019, although its FFY 2019 data reflect less than 100% compliance, provide an explanation of why VIDH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There was not an identification of a finding of noncompliance in FFY 2019.  Once it was noted that the service was late, there was a discussion with the Interim Service Coordinators and it was determined that the child received services despite being late.</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VI did not demonstrate that the EIS program or provider corrected the findings of noncompliance identified in FFY 2019 and FFY 2018 because it did not report that it verified correction of those findings, consistent with the requirements in OSEP Memo 09-02.  Specifically, VI did not report that that it verified that each EIS program or provider with noncompliance identified in FFY 2019 and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VI reported less than 100% compliance for FFY 2020, VI must report on the status of correction of noncompliance identified in FFY 2020 for this indicator. When reporting on the correction of noncompliance, VI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VI must describe the specific actions that were taken to verify the correction. </w:t>
      </w:r>
      <w:r w:rsidRPr="00ED172B">
        <w:rPr>
          <w:color w:val="000000" w:themeColor="text1"/>
        </w:rPr>
        <w:br/>
      </w:r>
      <w:r w:rsidRPr="00ED172B">
        <w:rPr>
          <w:color w:val="000000" w:themeColor="text1"/>
        </w:rPr>
        <w:br/>
        <w:t>If VI did not identify any findings of noncompliance in FFY 2020, although its FFY 2020 data reflect less than 100% compliance, provide an explanation of why VI did not identify any findings of noncompliance in FFY 2020.</w:t>
      </w:r>
      <w:r w:rsidRPr="00ED172B">
        <w:rPr>
          <w:color w:val="000000" w:themeColor="text1"/>
        </w:rPr>
        <w:br/>
      </w:r>
      <w:r w:rsidRPr="00ED172B">
        <w:rPr>
          <w:color w:val="000000" w:themeColor="text1"/>
        </w:rPr>
        <w:br/>
        <w:t>VI must demonstrate, in the FFY 2021 SPP/APR, that the remaining findings identified in FFY 2019 and FFY 2018 were corrected. When reporting on the correction of noncompliance, VI must report, in the FFY 2021 SPP/APR, that it has verified that each EIS program or provider with remaining noncompliance identified in FFY 2018 and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VI must describe the specific actions that were taken to verify the correction.</w:t>
      </w:r>
      <w:r w:rsidRPr="00ED172B">
        <w:rPr>
          <w:color w:val="000000" w:themeColor="text1"/>
        </w:rPr>
        <w:br/>
      </w:r>
      <w:r w:rsidRPr="00ED172B">
        <w:rPr>
          <w:color w:val="000000" w:themeColor="text1"/>
        </w:rPr>
        <w:br/>
        <w:t>Reporting on the third party fiduciary payments to ensure timely service provision is part of the VIDH’s FFY 2021 and FFY 2022 IDEA Part C grant award specific conditions. The VIDH timely submitted its February 1, 2022, progress report and its  May 1, 2022, progress report under its FFY 2021 IDEA Part C Specific Conditions. OSEP will respond to the VIDH's IDEA Part C Specific Conditions February 1, and May 1, 2022 progress reports in its FFY 2022 IDEA Part C grant award letter.</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96.00%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94.00%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97.00%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98.35%</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93.18%</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96.08%</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95.19%</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97.00%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97.00%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97.00%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97.00%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97.00%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97.00%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Virgin Islands Infants and Toddlers stakeholders consist of members of the VI Interagency Coordinating Council (VI-ICC), who advises and assist the ITP regarding the provision of early intervention services for children with disabilities from birth to three and other child development agencies. There were three meetings held in February 2021, May 2021 and November 2021. The council has a diverse membership, including parents of children with a disability and state agencies involved in the provision of early intervention services, a member responsible for the State Medicare program, the SEA responsible for child care, and other entities who give the ITP advice in all areas of child development. Conference calls were held with available stakeholders to discuss the targets and how they will be reached during this pandemic. Based on the review of the 2019 APR targets, the VI-ICC members suggested that the targets remain constant due to the uncertainty of the impact of Covid-19 moving forward. </w:t>
      </w:r>
    </w:p>
    <w:p w14:paraId="7615FD78" w14:textId="04DD62A8" w:rsidR="00AE7452" w:rsidRPr="00ED172B" w:rsidRDefault="00AE7452" w:rsidP="00B83404">
      <w:pPr>
        <w:rPr>
          <w:color w:val="000000" w:themeColor="text1"/>
        </w:rPr>
      </w:pPr>
      <w:r w:rsidRPr="00ED172B">
        <w:rPr>
          <w:rFonts w:cs="Arial"/>
          <w:color w:val="000000" w:themeColor="text1"/>
          <w:szCs w:val="16"/>
        </w:rPr>
        <w:t xml:space="preserve">Due to the uncertainty of the COVID - 19 virus and the possibilities of ongoing spikes in cases, the ICC members advised that targets should remain the same as previous years.   </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97</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105</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lastRenderedPageBreak/>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97</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105</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95.19%</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97.00%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92.38%</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Did not meet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Slippage</w:t>
            </w:r>
          </w:p>
        </w:tc>
      </w:tr>
    </w:tbl>
    <w:p w14:paraId="4E235E16" w14:textId="7260FE05" w:rsidR="003A3693" w:rsidRPr="00ED172B" w:rsidRDefault="003A3693" w:rsidP="003A3693">
      <w:pPr>
        <w:rPr>
          <w:rFonts w:cs="Arial"/>
          <w:b/>
          <w:i/>
          <w:color w:val="000000" w:themeColor="text1"/>
          <w:szCs w:val="16"/>
        </w:rPr>
      </w:pPr>
      <w:r w:rsidRPr="00ED172B">
        <w:rPr>
          <w:rFonts w:cs="Arial"/>
          <w:b/>
          <w:color w:val="000000" w:themeColor="text1"/>
          <w:szCs w:val="16"/>
        </w:rPr>
        <w:t xml:space="preserve">Provide reasons for slippage, if applicable. </w:t>
      </w:r>
    </w:p>
    <w:p w14:paraId="3DDD513A" w14:textId="6764838E" w:rsidR="003A3693" w:rsidRDefault="002F5A9E" w:rsidP="002F5A9E">
      <w:pPr>
        <w:rPr>
          <w:color w:val="000000" w:themeColor="text1"/>
        </w:rPr>
      </w:pPr>
      <w:r w:rsidRPr="00ED172B">
        <w:rPr>
          <w:color w:val="000000" w:themeColor="text1"/>
        </w:rPr>
        <w:t xml:space="preserve">The Virgin Islands have been in a constant state of recovery since the devastating storms of 2017. As circumstances were beginning to improve, we were set back by COVID - 19 in March 2020. We continue to experience vast fluctuations in COVID positivity rates, some being as high as 24%. Parents have opted not to have services provided in their homes; some parents preferred having services conducted in the clinics.  At the clinic sites, temperatures were checked upon arrival and hand sanitizer was available.  Alternative methods have been virtual; however, not all parents have access to reliable technology which impacts virtual learning.  Some daycare centers/preschools restricted outside persons access to their facilities.  </w:t>
      </w:r>
    </w:p>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 xml:space="preserve"> VI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Virgin Islands Infants and Toddlers stakeholders consist of members of the VI Interagency Coordinating Council (VI-ICC), who advises and assist the ITP regarding the provision of early intervention services for children with disabilities from birth to three and other child development agencies. There were three meetings held in February 2021, May 2021 and November 2021. The council has a diverse membership, including parents of children with a disability and state agencies involved in the provision of early intervention services, a member responsible for the State Medicare program, the SEA responsible for child care, and other entities who give the ITP advice in all areas of child development. Conference calls were held with available stakeholders to discuss the targets and how they will be reached during this pandemic. Based on the review of the 2019 APR targets, the VI-ICC members suggested that the targets remain constant due to the uncertainty of the impact of Covid-19 moving forward. </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86.00%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86.50%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86.50%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87.00%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87.00%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84.20%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80.00%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91.30%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87.93%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86.90%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84.91%</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52.40%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62.22%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52.17%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49.18%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62.92%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50.46%</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86.00%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86.50%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86.50%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87.00%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87.00%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84.20%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74.36%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91.30%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91.67%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92.05%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92.59%</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42.00%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42.50%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43.00%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43.50%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43.50%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40.50%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56.52%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41.30%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40.98%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51.69%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52.29%</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86.00%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86.50%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86.50%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87.00%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87.00%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83.80%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77.50%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89.13%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85.88%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85.19%</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69.50%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69.50%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69.00%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55.56%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36.96%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47.54%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58.43%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46.36%</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87.00%</w:t>
            </w:r>
          </w:p>
        </w:tc>
        <w:tc>
          <w:tcPr>
            <w:tcW w:w="776" w:type="pct"/>
          </w:tcPr>
          <w:p w14:paraId="7A62957C" w14:textId="59554121" w:rsidR="002242B8" w:rsidRPr="00ED172B" w:rsidRDefault="002242B8" w:rsidP="002242B8">
            <w:pPr>
              <w:jc w:val="center"/>
              <w:rPr>
                <w:color w:val="000000" w:themeColor="text1"/>
              </w:rPr>
            </w:pPr>
            <w:r>
              <w:rPr>
                <w:color w:val="000000" w:themeColor="text1"/>
              </w:rPr>
              <w:t>87.00%</w:t>
            </w:r>
          </w:p>
        </w:tc>
        <w:tc>
          <w:tcPr>
            <w:tcW w:w="776" w:type="pct"/>
          </w:tcPr>
          <w:p w14:paraId="330DB307" w14:textId="4DD70DCA" w:rsidR="002242B8" w:rsidRPr="00ED172B" w:rsidRDefault="002242B8" w:rsidP="002242B8">
            <w:pPr>
              <w:jc w:val="center"/>
              <w:rPr>
                <w:color w:val="000000" w:themeColor="text1"/>
              </w:rPr>
            </w:pPr>
            <w:r>
              <w:rPr>
                <w:color w:val="000000" w:themeColor="text1"/>
              </w:rPr>
              <w:t>87.00%</w:t>
            </w:r>
          </w:p>
        </w:tc>
        <w:tc>
          <w:tcPr>
            <w:tcW w:w="775" w:type="pct"/>
          </w:tcPr>
          <w:p w14:paraId="1E535134" w14:textId="174673D1" w:rsidR="002242B8" w:rsidRPr="00ED172B" w:rsidRDefault="002242B8" w:rsidP="002242B8">
            <w:pPr>
              <w:jc w:val="center"/>
              <w:rPr>
                <w:color w:val="000000" w:themeColor="text1"/>
              </w:rPr>
            </w:pPr>
            <w:r>
              <w:rPr>
                <w:color w:val="000000" w:themeColor="text1"/>
              </w:rPr>
              <w:t>87.00%</w:t>
            </w:r>
          </w:p>
        </w:tc>
        <w:tc>
          <w:tcPr>
            <w:tcW w:w="774" w:type="pct"/>
          </w:tcPr>
          <w:p w14:paraId="7D5EFC26" w14:textId="3AFE59A1" w:rsidR="002242B8" w:rsidRPr="00ED172B" w:rsidRDefault="002242B8" w:rsidP="002242B8">
            <w:pPr>
              <w:jc w:val="center"/>
              <w:rPr>
                <w:color w:val="000000" w:themeColor="text1"/>
              </w:rPr>
            </w:pPr>
            <w:r>
              <w:rPr>
                <w:color w:val="000000" w:themeColor="text1"/>
              </w:rPr>
              <w:t>87.00%</w:t>
            </w:r>
          </w:p>
        </w:tc>
        <w:tc>
          <w:tcPr>
            <w:tcW w:w="774" w:type="pct"/>
          </w:tcPr>
          <w:p w14:paraId="15069A62" w14:textId="2C6565EA" w:rsidR="002242B8" w:rsidRDefault="002242B8" w:rsidP="002242B8">
            <w:pPr>
              <w:jc w:val="center"/>
              <w:rPr>
                <w:color w:val="000000" w:themeColor="text1"/>
              </w:rPr>
            </w:pPr>
            <w:r>
              <w:rPr>
                <w:color w:val="000000" w:themeColor="text1"/>
              </w:rPr>
              <w:t>87.00%</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55.00%</w:t>
            </w:r>
          </w:p>
        </w:tc>
        <w:tc>
          <w:tcPr>
            <w:tcW w:w="776" w:type="pct"/>
          </w:tcPr>
          <w:p w14:paraId="1DD5AC15" w14:textId="552D0AAC" w:rsidR="002242B8" w:rsidRPr="00ED172B" w:rsidRDefault="002242B8" w:rsidP="002242B8">
            <w:pPr>
              <w:jc w:val="center"/>
              <w:rPr>
                <w:color w:val="000000" w:themeColor="text1"/>
              </w:rPr>
            </w:pPr>
            <w:r>
              <w:rPr>
                <w:color w:val="000000" w:themeColor="text1"/>
              </w:rPr>
              <w:t>55.00%</w:t>
            </w:r>
          </w:p>
        </w:tc>
        <w:tc>
          <w:tcPr>
            <w:tcW w:w="776" w:type="pct"/>
          </w:tcPr>
          <w:p w14:paraId="29377148" w14:textId="76F6C6ED" w:rsidR="002242B8" w:rsidRPr="00ED172B" w:rsidRDefault="002242B8" w:rsidP="002242B8">
            <w:pPr>
              <w:jc w:val="center"/>
              <w:rPr>
                <w:color w:val="000000" w:themeColor="text1"/>
              </w:rPr>
            </w:pPr>
            <w:r>
              <w:rPr>
                <w:color w:val="000000" w:themeColor="text1"/>
              </w:rPr>
              <w:t>55.00%</w:t>
            </w:r>
          </w:p>
        </w:tc>
        <w:tc>
          <w:tcPr>
            <w:tcW w:w="775" w:type="pct"/>
          </w:tcPr>
          <w:p w14:paraId="3F8E8EE0" w14:textId="1AB30A36" w:rsidR="002242B8" w:rsidRPr="00ED172B" w:rsidRDefault="002242B8" w:rsidP="002242B8">
            <w:pPr>
              <w:jc w:val="center"/>
              <w:rPr>
                <w:color w:val="000000" w:themeColor="text1"/>
              </w:rPr>
            </w:pPr>
            <w:r>
              <w:rPr>
                <w:color w:val="000000" w:themeColor="text1"/>
              </w:rPr>
              <w:t>55.00%</w:t>
            </w:r>
          </w:p>
        </w:tc>
        <w:tc>
          <w:tcPr>
            <w:tcW w:w="774" w:type="pct"/>
          </w:tcPr>
          <w:p w14:paraId="5B0C0E7A" w14:textId="73E7E860" w:rsidR="002242B8" w:rsidRPr="00ED172B" w:rsidRDefault="002242B8" w:rsidP="002242B8">
            <w:pPr>
              <w:jc w:val="center"/>
              <w:rPr>
                <w:color w:val="000000" w:themeColor="text1"/>
              </w:rPr>
            </w:pPr>
            <w:r>
              <w:rPr>
                <w:color w:val="000000" w:themeColor="text1"/>
              </w:rPr>
              <w:t>55.00%</w:t>
            </w:r>
          </w:p>
        </w:tc>
        <w:tc>
          <w:tcPr>
            <w:tcW w:w="774" w:type="pct"/>
          </w:tcPr>
          <w:p w14:paraId="07EA5E23" w14:textId="2A5C270F" w:rsidR="002242B8" w:rsidRDefault="002242B8" w:rsidP="002242B8">
            <w:pPr>
              <w:jc w:val="center"/>
              <w:rPr>
                <w:color w:val="000000" w:themeColor="text1"/>
              </w:rPr>
            </w:pPr>
            <w:r>
              <w:rPr>
                <w:color w:val="000000" w:themeColor="text1"/>
              </w:rPr>
              <w:t>55.00%</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87.00%</w:t>
            </w:r>
          </w:p>
        </w:tc>
        <w:tc>
          <w:tcPr>
            <w:tcW w:w="776" w:type="pct"/>
          </w:tcPr>
          <w:p w14:paraId="7EDAF97B" w14:textId="4B219601" w:rsidR="002242B8" w:rsidRPr="00ED172B" w:rsidRDefault="002242B8" w:rsidP="002242B8">
            <w:pPr>
              <w:jc w:val="center"/>
              <w:rPr>
                <w:color w:val="000000" w:themeColor="text1"/>
              </w:rPr>
            </w:pPr>
            <w:r>
              <w:rPr>
                <w:color w:val="000000" w:themeColor="text1"/>
              </w:rPr>
              <w:t>87.00%</w:t>
            </w:r>
          </w:p>
        </w:tc>
        <w:tc>
          <w:tcPr>
            <w:tcW w:w="776" w:type="pct"/>
          </w:tcPr>
          <w:p w14:paraId="31A1D7D3" w14:textId="003191E1" w:rsidR="002242B8" w:rsidRPr="00ED172B" w:rsidRDefault="002242B8" w:rsidP="002242B8">
            <w:pPr>
              <w:jc w:val="center"/>
              <w:rPr>
                <w:color w:val="000000" w:themeColor="text1"/>
              </w:rPr>
            </w:pPr>
            <w:r>
              <w:rPr>
                <w:color w:val="000000" w:themeColor="text1"/>
              </w:rPr>
              <w:t>87.00%</w:t>
            </w:r>
          </w:p>
        </w:tc>
        <w:tc>
          <w:tcPr>
            <w:tcW w:w="775" w:type="pct"/>
          </w:tcPr>
          <w:p w14:paraId="493915A7" w14:textId="24756F38" w:rsidR="002242B8" w:rsidRPr="00ED172B" w:rsidRDefault="002242B8" w:rsidP="002242B8">
            <w:pPr>
              <w:jc w:val="center"/>
              <w:rPr>
                <w:color w:val="000000" w:themeColor="text1"/>
              </w:rPr>
            </w:pPr>
            <w:r>
              <w:rPr>
                <w:color w:val="000000" w:themeColor="text1"/>
              </w:rPr>
              <w:t>87.00%</w:t>
            </w:r>
          </w:p>
        </w:tc>
        <w:tc>
          <w:tcPr>
            <w:tcW w:w="774" w:type="pct"/>
          </w:tcPr>
          <w:p w14:paraId="2E008F25" w14:textId="53C173A2" w:rsidR="002242B8" w:rsidRPr="00ED172B" w:rsidRDefault="002242B8" w:rsidP="002242B8">
            <w:pPr>
              <w:jc w:val="center"/>
              <w:rPr>
                <w:color w:val="000000" w:themeColor="text1"/>
              </w:rPr>
            </w:pPr>
            <w:r>
              <w:rPr>
                <w:color w:val="000000" w:themeColor="text1"/>
              </w:rPr>
              <w:t>87.00%</w:t>
            </w:r>
          </w:p>
        </w:tc>
        <w:tc>
          <w:tcPr>
            <w:tcW w:w="774" w:type="pct"/>
          </w:tcPr>
          <w:p w14:paraId="75711695" w14:textId="0D480C69" w:rsidR="002242B8" w:rsidRDefault="002242B8" w:rsidP="002242B8">
            <w:pPr>
              <w:jc w:val="center"/>
              <w:rPr>
                <w:color w:val="000000" w:themeColor="text1"/>
              </w:rPr>
            </w:pPr>
            <w:r>
              <w:rPr>
                <w:color w:val="000000" w:themeColor="text1"/>
              </w:rPr>
              <w:t>87.00%</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43.50%</w:t>
            </w:r>
          </w:p>
        </w:tc>
        <w:tc>
          <w:tcPr>
            <w:tcW w:w="776" w:type="pct"/>
          </w:tcPr>
          <w:p w14:paraId="5980DE18" w14:textId="10CD7859" w:rsidR="002242B8" w:rsidRPr="00ED172B" w:rsidRDefault="002242B8" w:rsidP="002242B8">
            <w:pPr>
              <w:jc w:val="center"/>
              <w:rPr>
                <w:color w:val="000000" w:themeColor="text1"/>
              </w:rPr>
            </w:pPr>
            <w:r>
              <w:rPr>
                <w:color w:val="000000" w:themeColor="text1"/>
              </w:rPr>
              <w:t>43.50%</w:t>
            </w:r>
          </w:p>
        </w:tc>
        <w:tc>
          <w:tcPr>
            <w:tcW w:w="776" w:type="pct"/>
          </w:tcPr>
          <w:p w14:paraId="3FD51CD4" w14:textId="4E5875CE" w:rsidR="002242B8" w:rsidRPr="00ED172B" w:rsidRDefault="002242B8" w:rsidP="002242B8">
            <w:pPr>
              <w:jc w:val="center"/>
              <w:rPr>
                <w:color w:val="000000" w:themeColor="text1"/>
              </w:rPr>
            </w:pPr>
            <w:r>
              <w:rPr>
                <w:color w:val="000000" w:themeColor="text1"/>
              </w:rPr>
              <w:t>43.50%</w:t>
            </w:r>
          </w:p>
        </w:tc>
        <w:tc>
          <w:tcPr>
            <w:tcW w:w="775" w:type="pct"/>
          </w:tcPr>
          <w:p w14:paraId="3A7274FD" w14:textId="38B9FCB4" w:rsidR="002242B8" w:rsidRPr="00ED172B" w:rsidRDefault="002242B8" w:rsidP="002242B8">
            <w:pPr>
              <w:jc w:val="center"/>
              <w:rPr>
                <w:color w:val="000000" w:themeColor="text1"/>
              </w:rPr>
            </w:pPr>
            <w:r>
              <w:rPr>
                <w:color w:val="000000" w:themeColor="text1"/>
              </w:rPr>
              <w:t>43.50%</w:t>
            </w:r>
          </w:p>
        </w:tc>
        <w:tc>
          <w:tcPr>
            <w:tcW w:w="774" w:type="pct"/>
          </w:tcPr>
          <w:p w14:paraId="53FEE354" w14:textId="77777777" w:rsidR="002242B8" w:rsidRPr="00ED172B" w:rsidRDefault="002242B8" w:rsidP="002242B8">
            <w:pPr>
              <w:jc w:val="center"/>
              <w:rPr>
                <w:color w:val="000000" w:themeColor="text1"/>
              </w:rPr>
            </w:pPr>
            <w:r>
              <w:rPr>
                <w:color w:val="000000" w:themeColor="text1"/>
              </w:rPr>
              <w:t>43.50%</w:t>
            </w:r>
          </w:p>
        </w:tc>
        <w:tc>
          <w:tcPr>
            <w:tcW w:w="774" w:type="pct"/>
          </w:tcPr>
          <w:p w14:paraId="03D295F5" w14:textId="3DD97606" w:rsidR="002242B8" w:rsidRDefault="002242B8" w:rsidP="002242B8">
            <w:pPr>
              <w:jc w:val="center"/>
              <w:rPr>
                <w:color w:val="000000" w:themeColor="text1"/>
              </w:rPr>
            </w:pPr>
            <w:r>
              <w:rPr>
                <w:color w:val="000000" w:themeColor="text1"/>
              </w:rPr>
              <w:t>43.50%</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87.00%</w:t>
            </w:r>
          </w:p>
        </w:tc>
        <w:tc>
          <w:tcPr>
            <w:tcW w:w="776" w:type="pct"/>
          </w:tcPr>
          <w:p w14:paraId="3564984B" w14:textId="08842718" w:rsidR="0012497F" w:rsidRPr="00ED172B" w:rsidRDefault="0012497F" w:rsidP="0012497F">
            <w:pPr>
              <w:jc w:val="center"/>
              <w:rPr>
                <w:color w:val="000000" w:themeColor="text1"/>
              </w:rPr>
            </w:pPr>
            <w:r>
              <w:rPr>
                <w:color w:val="000000" w:themeColor="text1"/>
              </w:rPr>
              <w:t>87.00%</w:t>
            </w:r>
          </w:p>
        </w:tc>
        <w:tc>
          <w:tcPr>
            <w:tcW w:w="776" w:type="pct"/>
          </w:tcPr>
          <w:p w14:paraId="6F334EB5" w14:textId="748BD28E" w:rsidR="0012497F" w:rsidRPr="00ED172B" w:rsidRDefault="0012497F" w:rsidP="0012497F">
            <w:pPr>
              <w:jc w:val="center"/>
              <w:rPr>
                <w:color w:val="000000" w:themeColor="text1"/>
              </w:rPr>
            </w:pPr>
            <w:r>
              <w:rPr>
                <w:color w:val="000000" w:themeColor="text1"/>
              </w:rPr>
              <w:t>87.00%</w:t>
            </w:r>
          </w:p>
        </w:tc>
        <w:tc>
          <w:tcPr>
            <w:tcW w:w="775" w:type="pct"/>
          </w:tcPr>
          <w:p w14:paraId="13A1DF6C" w14:textId="36831C30" w:rsidR="0012497F" w:rsidRPr="00ED172B" w:rsidRDefault="0012497F" w:rsidP="0012497F">
            <w:pPr>
              <w:jc w:val="center"/>
              <w:rPr>
                <w:color w:val="000000" w:themeColor="text1"/>
              </w:rPr>
            </w:pPr>
            <w:r>
              <w:rPr>
                <w:color w:val="000000" w:themeColor="text1"/>
              </w:rPr>
              <w:t>87.00%</w:t>
            </w:r>
          </w:p>
        </w:tc>
        <w:tc>
          <w:tcPr>
            <w:tcW w:w="774" w:type="pct"/>
          </w:tcPr>
          <w:p w14:paraId="4404EA0E" w14:textId="45986E0D" w:rsidR="0012497F" w:rsidRPr="00ED172B" w:rsidRDefault="0012497F" w:rsidP="0012497F">
            <w:pPr>
              <w:jc w:val="center"/>
              <w:rPr>
                <w:color w:val="000000" w:themeColor="text1"/>
              </w:rPr>
            </w:pPr>
            <w:r>
              <w:rPr>
                <w:color w:val="000000" w:themeColor="text1"/>
              </w:rPr>
              <w:t>87.00%</w:t>
            </w:r>
          </w:p>
        </w:tc>
        <w:tc>
          <w:tcPr>
            <w:tcW w:w="774" w:type="pct"/>
          </w:tcPr>
          <w:p w14:paraId="5C1073FD" w14:textId="0AA48600" w:rsidR="0012497F" w:rsidRPr="00ED172B" w:rsidRDefault="0012497F" w:rsidP="0012497F">
            <w:pPr>
              <w:jc w:val="center"/>
              <w:rPr>
                <w:color w:val="000000" w:themeColor="text1"/>
              </w:rPr>
            </w:pPr>
            <w:r>
              <w:rPr>
                <w:color w:val="000000" w:themeColor="text1"/>
              </w:rPr>
              <w:t>87.00%</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70.00%</w:t>
            </w:r>
          </w:p>
        </w:tc>
        <w:tc>
          <w:tcPr>
            <w:tcW w:w="776" w:type="pct"/>
          </w:tcPr>
          <w:p w14:paraId="58EBEEB4" w14:textId="68AFCCA1" w:rsidR="0012497F" w:rsidRPr="00ED172B" w:rsidRDefault="0012497F" w:rsidP="0012497F">
            <w:pPr>
              <w:jc w:val="center"/>
              <w:rPr>
                <w:color w:val="000000" w:themeColor="text1"/>
              </w:rPr>
            </w:pPr>
            <w:r>
              <w:rPr>
                <w:color w:val="000000" w:themeColor="text1"/>
              </w:rPr>
              <w:t>70.00%</w:t>
            </w:r>
          </w:p>
        </w:tc>
        <w:tc>
          <w:tcPr>
            <w:tcW w:w="776" w:type="pct"/>
          </w:tcPr>
          <w:p w14:paraId="6E31560A" w14:textId="75F80FC4" w:rsidR="0012497F" w:rsidRPr="00ED172B" w:rsidRDefault="0012497F" w:rsidP="0012497F">
            <w:pPr>
              <w:jc w:val="center"/>
              <w:rPr>
                <w:color w:val="000000" w:themeColor="text1"/>
              </w:rPr>
            </w:pPr>
            <w:r>
              <w:rPr>
                <w:color w:val="000000" w:themeColor="text1"/>
              </w:rPr>
              <w:t>70.00%</w:t>
            </w:r>
          </w:p>
        </w:tc>
        <w:tc>
          <w:tcPr>
            <w:tcW w:w="775" w:type="pct"/>
          </w:tcPr>
          <w:p w14:paraId="42F0DDB0" w14:textId="671196CD" w:rsidR="0012497F" w:rsidRPr="00ED172B" w:rsidRDefault="0012497F" w:rsidP="0012497F">
            <w:pPr>
              <w:jc w:val="center"/>
              <w:rPr>
                <w:color w:val="000000" w:themeColor="text1"/>
              </w:rPr>
            </w:pPr>
            <w:r>
              <w:rPr>
                <w:color w:val="000000" w:themeColor="text1"/>
              </w:rPr>
              <w:t>70.00%</w:t>
            </w:r>
          </w:p>
        </w:tc>
        <w:tc>
          <w:tcPr>
            <w:tcW w:w="774" w:type="pct"/>
          </w:tcPr>
          <w:p w14:paraId="2D756F12" w14:textId="626F7751" w:rsidR="0012497F" w:rsidRPr="00ED172B" w:rsidRDefault="0012497F" w:rsidP="0012497F">
            <w:pPr>
              <w:jc w:val="center"/>
              <w:rPr>
                <w:color w:val="000000" w:themeColor="text1"/>
              </w:rPr>
            </w:pPr>
            <w:r>
              <w:rPr>
                <w:color w:val="000000" w:themeColor="text1"/>
              </w:rPr>
              <w:t>70.00%</w:t>
            </w:r>
          </w:p>
        </w:tc>
        <w:tc>
          <w:tcPr>
            <w:tcW w:w="774" w:type="pct"/>
          </w:tcPr>
          <w:p w14:paraId="32A732CA" w14:textId="202F570D" w:rsidR="0012497F" w:rsidRPr="00ED172B" w:rsidRDefault="0012497F" w:rsidP="0012497F">
            <w:pPr>
              <w:jc w:val="center"/>
              <w:rPr>
                <w:color w:val="000000" w:themeColor="text1"/>
              </w:rPr>
            </w:pPr>
            <w:r>
              <w:rPr>
                <w:color w:val="000000" w:themeColor="text1"/>
              </w:rPr>
              <w:t>70.00%</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51</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8</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15.69%</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27</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52.94%</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lastRenderedPageBreak/>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16</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31.37%</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0.00%</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43</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51</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84.91%</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87.00%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84.31%</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16</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51</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50.46%</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55.00%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31.37%</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March 2020 the Virgin Islands experienced a territory-wide shut down due to Covid 19. The ITP was unable to schedule in person meeting times with families. The solution for not having in-person meetings was to offer virtual meetings. However, several parents continually postponed virtual meetings due to overwhelming circumstances. Because schools were closed, those parents with older siblings were overwhelmed with working with those older children with virtual education. There were some children who providers were able to work with virtually who showed some improvement despite having existing medical conditions. Other children were entering the program less than 6 months before turning 3 years, not allowing time to see much developmental growth.</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0</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0.00%</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6</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11.76%</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28</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54.90%</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17</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33.33%</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0</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0.00%</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45</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51</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92.59%</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87.00%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88.24%</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17</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51</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52.29%</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43.50%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33.33%</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 xml:space="preserve">March 2020 the Virgin Islands experienced a territory-wide shut down due to Covid 19. The ITP was unable to schedule in person meeting times with families. The solution for not having in-person meetings was to offer virtual meetings. However, several parents continually postponed virtual meetings due to overwhelming circumstances. Because schools were closed, those parents with older siblings were overwhelmed with working with those older children with virtual education. There were some children who providers were able to work with virtually who showed some improvement despite having </w:t>
      </w:r>
      <w:r w:rsidRPr="00ED172B">
        <w:rPr>
          <w:color w:val="000000" w:themeColor="text1"/>
        </w:rPr>
        <w:lastRenderedPageBreak/>
        <w:t>existing medical conditions. Other children were entering the program less than 6 months before turning 3 years, not allowing time to see much developmental growth.</w:t>
      </w:r>
    </w:p>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0</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0.00%</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10</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19.61%</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24</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47.06%</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17</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33.33%</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0.00%</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41</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51</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85.19%</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87.00%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80.39%</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17</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51</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46.36%</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70.00%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33.33%</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March 2020 the Virgin Islands experienced a territory-wide shut down due to Covid 19. The ITP was unable to schedule in person meeting times with families. The solution for not having in-person meetings was to offer virtual meetings. However, several parents continually postponed virtual meetings due to overwhelming circumstances. Because schools were closed, those parents with older siblings were overwhelmed with working with those older children with virtual education. There were some children who providers were able to work with virtually who showed some improvement despite having existing medical conditions. Other children were entering the program less than 6 months before turning 3 years, not allowing time to see much developmental growth.</w:t>
      </w:r>
    </w:p>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March 2020 the Virgin Islands experienced a territory-wide shut down due to Covid 19. The ITP was unable to schedule in person meeting times with families. The solution for not having in-person meetings was to offer virtual meetings. However, several parents continually postponed virtual meetings due to overwhelming circumstances. Because schools were closed, those parents with older siblings were overwhelmed with working with those older children with virtual education. There were some children who providers were able to work with virtually who showed some improvement despite having existing medical conditions. Other children were entering the program less than 6 months before turning 3 years, not allowing time to see much developmental growth.</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114</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41</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There is a collaboration between the parent, provider, and coordinator to discuss the ELAP assessment tool's results.  The ITP is using the ECO COS form upon entry to the program and at exit.  Parent input is encouraged and considered during the meetings as well as assessments made by the Providers.</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 xml:space="preserve"> VI provided targets for FFYs 2020 through 2025 for this indicator, and OSEP accepts those targets.</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86.00%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95.45%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94.37%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98.28%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86.00%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98.86%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97.67%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94.37%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98.28%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86.00%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97.73%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94.37%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98.00%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98.00%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98.00%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98.00%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98.00%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98.00%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98.00%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98.00%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98.00%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98.00%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98.00%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98.00%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100.00%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100.00%</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100.00%</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100.00%</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100.00%</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100.00%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Virgin Islands Infants and Toddlers stakeholders consist of members of the VI Interagency Coordinating Council (VI-ICC), who advises and assist the ITP regarding the provision of early intervention services for children with disabilities from birth to three and other child development agencies. There were three meetings held in February 2021, May 2021 and November 2021. The council has a diverse membership, including parents of children with a disability and state agencies involved in the provision of early intervention services, a member responsible for the State Medicare program, the SEA responsible for child care, and other entities who give the ITP advice in all areas of child development. Conference calls were held with available stakeholders to discuss the targets and how they will be reached during this pandemic. Based on the review of the 2019 APR targets, the VI-ICC members suggested that the targets remain constant due to the uncertainty of the impact of Covid-19 moving forward. </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60</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59</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98.33%</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58</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59</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59</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59</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59</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59</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98.00%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98.31%</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98.00%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100.00%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lastRenderedPageBreak/>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100.00%</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98.33%</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As a result of the pandemic, surveys were sent to families via email.  Once the pandemic is no longer a major threat, transition meetings will occur in person which will minimize the likelihood of surveys not being returned to the ITP.  If we continue in the current pandemic state there will have to be an increased effort to contact and retrieve the surveys.</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0F27DB" w:rsidP="000B4FD4">
      <w:pPr>
        <w:rPr>
          <w:rFonts w:cs="Arial"/>
          <w:b/>
          <w:color w:val="000000" w:themeColor="text1"/>
          <w:szCs w:val="16"/>
        </w:rPr>
      </w:pP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Demographically the families are represented as the Virgin Islands is a predominantly "African American" population. The surveys returned were broken down as follows:  Black 42    Hispanic    7        White        3         Two or more races  7     There was one survey returned that was not completed but indicates the child's information.</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 xml:space="preserve"> VI provided targets for FFYs 2020 through 2025 for this indicator, and OSEP accepts those targets.</w:t>
      </w:r>
      <w:r w:rsidRPr="00ED172B">
        <w:rPr>
          <w:color w:val="000000" w:themeColor="text1"/>
        </w:rPr>
        <w:br/>
      </w:r>
      <w:r w:rsidRPr="00ED172B">
        <w:rPr>
          <w:color w:val="000000" w:themeColor="text1"/>
        </w:rPr>
        <w:br/>
        <w:t xml:space="preserve">OSEP cannot determine whether VI analyzed the response rate to identify potential nonresponse bias, including steps to reduce any identified bias and promote response from a broad cross section of parents with disabilities, as required by the Measurement Table. </w:t>
      </w:r>
      <w:r w:rsidRPr="00ED172B">
        <w:rPr>
          <w:color w:val="000000" w:themeColor="text1"/>
        </w:rPr>
        <w:br/>
      </w:r>
      <w:r w:rsidRPr="00ED172B">
        <w:rPr>
          <w:color w:val="000000" w:themeColor="text1"/>
        </w:rPr>
        <w:br/>
        <w:t>VI did not describe the metric used to determine representativeness, as required by the Measurement Table.</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 xml:space="preserve">In the FFY 2021 SPP/APR, VI must analyze the response rate to identify potential non-response bias and identify steps to reduce any identified bias and promote response from a broad cross section of parents of children with disabilities. VI must also describe the metric used to determine representativeness, as required by the Measurement Table. </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1.38%</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1.42%</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1.44%</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1.48%</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1.48%</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1.48%</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0.96%</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1.02%</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0.42%</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0.96%</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1.38%</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1.48%</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1.48%</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1.48%</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1.48%</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1.48%</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1.48%</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Virgin Islands Infants and Toddlers stakeholders consist of members of the VI Interagency Coordinating Council (VI-ICC), who advises and assist the ITP regarding the provision of early intervention services for children with disabilities from birth to three and other child development agencies. There were three meetings held in February 2021, May 2021 and November 2021. The council has a diverse membership, including parents of children with a disability and state agencies involved in the provision of early intervention services, a member responsible for the State Medicare program, the SEA responsible for child care, and other entities who give the ITP advice in all areas of child development. Conference calls were held with available stakeholders to discuss the targets and how they will be reached during this pandemic. Based on the review of the 2019 APR targets, the VI-ICC members suggested that the targets remain constant due to the uncertainty of the impact of Covid-19 moving forward. </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18</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1,672</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18</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1,672</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1.38%</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1.48%</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1.08%</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Slippage</w:t>
            </w:r>
          </w:p>
        </w:tc>
      </w:tr>
    </w:tbl>
    <w:p w14:paraId="1651A273" w14:textId="04EF5933"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4D1C030" w14:textId="627F459F" w:rsidR="005A1CA1" w:rsidRDefault="00632DF6" w:rsidP="00632DF6">
      <w:pPr>
        <w:rPr>
          <w:color w:val="000000" w:themeColor="text1"/>
        </w:rPr>
      </w:pPr>
      <w:r w:rsidRPr="00ED172B">
        <w:rPr>
          <w:color w:val="000000" w:themeColor="text1"/>
        </w:rPr>
        <w:lastRenderedPageBreak/>
        <w:t>As a result of the pandemic, the referral sources curtailed their services to reduce the spread of the COVID-19.  There have been numerous occasions where the Governor required non essential persons to "stay at home"  this prevented parents from keeping well child visits which in turn may have generated referrals.  Referral sources are MCH clinic, daycare centers, and pediatricians.</w:t>
      </w:r>
    </w:p>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VI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2.58%</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2.62%</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2.65%</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2.70%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2.70%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2.70%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2.08%</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1.84%</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1.52%</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1.76%</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1.79%</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2.70%</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2.70%</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2.70%</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2.70%</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2.70%</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2.70%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Virgin Islands Infants and Toddlers stakeholders consist of members of the VI Interagency Coordinating Council (VI-ICC), who advises and assist the ITP regarding the provision of early intervention services for children with disabilities from birth to three and other child development agencies. There were three meetings held in February 2021, May 2021 and November 2021. The council has a diverse membership, including parents of children with a disability and state agencies involved in the provision of early intervention services, a member responsible for the State Medicare program, the SEA responsible for child care, and other entities who give the ITP advice in all areas of child development. Conference calls were held with available stakeholders to discuss the targets and how they will be reached during this pandemic. Based on the review of the 2019 APR targets, the VI-ICC members suggested that the targets remain constant due to the uncertainty of the impact of Covid-19 moving forward. </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105</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5,807</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105</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5,807</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1.79%</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2.70%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1.81%</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Did not meet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The information used in this Indicator was from the 2010 Census. The 2020 Census has shown that the Virgin Islands population has decreased, as a result there may be a need to review the current targets and determine whether or not they should be changed.  This review will be conducted with the VI-ICC as well as the ITP Service Coordinators.</w:t>
      </w:r>
    </w:p>
    <w:p w14:paraId="38A791C3" w14:textId="149CEBCF" w:rsidR="00DC0682" w:rsidRPr="00A40EE1" w:rsidRDefault="000D0117" w:rsidP="005C3FFD">
      <w:pPr>
        <w:pStyle w:val="Heading2"/>
      </w:pPr>
      <w:r w:rsidRPr="00A40EE1">
        <w:lastRenderedPageBreak/>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VI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100.00%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97.79%</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99.10%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99.59%</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193</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216</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99.59%</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Met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23</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 xml:space="preserve">Due to several mandatory "stay at home" orders, there have been challenges with scheduling of appointments for evaluations, this then changes the time allotted to then schedule subsequent meetings.  Providers had difficulty contacting parents or had to constantly reschedule appointments at the request of the families.  Some families with infants chose not to leave their homes or introduce anyone outside their "bubble" of close relatives into their homes.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July 1, 2020 through June 30, 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The VI Infants and Toddlers Program reviewed all children with IFSPs during the period July 1, 2020 to June 30, 2021.</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 xml:space="preserve">As a result of the non-compliance findings, the monthly reports were reviewed for a period of 2 months and maintained 100% compliance.  </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The Service Coordinator and the assigned Provider discussed the actual start of services noting the date in the child's record.</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VIDH did not provide the reasons for delay as required by the Measurement Table. VIDH must report reasons for delay for FFY 2020 in its FFY 2020 SPP/APR.</w:t>
      </w:r>
      <w:r w:rsidRPr="00ED172B">
        <w:rPr>
          <w:color w:val="000000" w:themeColor="text1"/>
        </w:rPr>
        <w:br/>
      </w:r>
      <w:r w:rsidRPr="00ED172B">
        <w:rPr>
          <w:color w:val="000000" w:themeColor="text1"/>
        </w:rPr>
        <w:br/>
        <w:t xml:space="preserve">Because VIDH reported less than 100% compliance for FFY 2019, VIDH must report on the status of correction of noncompliance identified in FFY 2019 for this indicator. When reporting on the correction of noncompliance, VIDH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VIDH must describe the specific actions that were taken to verify the correction. </w:t>
      </w:r>
      <w:r w:rsidRPr="00ED172B">
        <w:rPr>
          <w:color w:val="000000" w:themeColor="text1"/>
        </w:rPr>
        <w:br/>
      </w:r>
      <w:r w:rsidRPr="00ED172B">
        <w:rPr>
          <w:color w:val="000000" w:themeColor="text1"/>
        </w:rPr>
        <w:br/>
        <w:t>If VIDH did not identify any findings of noncompliance in FFY 2019, although its FFY 2019 data reflect less than 100% compliance, provide an explanation of why VIDH did not identify any findings of noncompliance in FFY 2019.</w:t>
      </w:r>
      <w:r w:rsidRPr="00ED172B">
        <w:rPr>
          <w:color w:val="000000" w:themeColor="text1"/>
        </w:rPr>
        <w:br/>
      </w:r>
      <w:r w:rsidRPr="00ED172B">
        <w:rPr>
          <w:color w:val="000000" w:themeColor="text1"/>
        </w:rPr>
        <w:br/>
        <w:t xml:space="preserve">VIDH did not report that it identified any findings of noncompliance in FFY 2018, although its FFY 2018 data reflect less than 100% compliance. In the FFY 2020 SPP/APR, VIDH must provide an explanation of why it did not identify any findings of noncompliance in FFY 2018. </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027F39" w:rsidP="00027F39">
      <w:pPr>
        <w:rPr>
          <w:color w:val="000000" w:themeColor="text1"/>
        </w:rPr>
      </w:pPr>
      <w:r w:rsidRPr="00ED172B">
        <w:rPr>
          <w:color w:val="000000" w:themeColor="text1"/>
        </w:rPr>
        <w:t xml:space="preserve">FFY 2018 </w:t>
      </w:r>
      <w:r w:rsidRPr="00ED172B">
        <w:rPr>
          <w:color w:val="000000" w:themeColor="text1"/>
        </w:rPr>
        <w:br/>
      </w:r>
      <w:r w:rsidRPr="00ED172B">
        <w:rPr>
          <w:color w:val="000000" w:themeColor="text1"/>
        </w:rPr>
        <w:br/>
        <w:t xml:space="preserve">There were 2 findings of non-compliance.  As a result the monthly reports were reviewed for a period of two months and maintained 100% compliance.  Each child's record was reviewed with the Interim Coordinator and the assigned Provider noting the actual start of service in the child </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VI did not demonstrate that the EIS program or provider corrected the findings of noncompliance identified in FFY 2019 and FFY 2018 because it did not report that it verified correction of those findings, consistent with the requirements in OSEP Memo 09-02.  Specifically, VI did not report that that it verified that each EIS program or provider with noncompliance identified in FFY 2019 and FFY 2018 has corrected each individual case of noncompliance, unless the child is no longer within the jurisdiction of the EIS program or provider.</w:t>
      </w:r>
    </w:p>
    <w:p w14:paraId="7B429480" w14:textId="6D8920D4" w:rsidR="008203B4" w:rsidRPr="00A40EE1" w:rsidRDefault="000D0117" w:rsidP="005C3FFD">
      <w:pPr>
        <w:pStyle w:val="Heading2"/>
      </w:pPr>
      <w:r w:rsidRPr="00A40EE1">
        <w:lastRenderedPageBreak/>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VI must demonstrate, in the FFY 2021 SPP/APR, that the remaining findings identified in FFY 2019 and FFY 2018  were corrected. When reporting on the correction of noncompliance, VI must report, in the FFY 2021 SPP/APR, that it has verified that each EIS program or provider with remaining noncompliance identified in FFY 2018 and FFY 2019 has corrected each individual case of noncompliance, unless the child is no longer within the jurisdiction of the EIS program or provider, consistent with OSEP Memo 09-02. In the FFY 2021 SPP/APR, VI must describe the specific actions that were taken to verify the correction.</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100.00%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86</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86</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Data was collected for the time period July 1, 2020 to June 30, 2021</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 Infants and Toddlers Program reviewed children with IFSPs from July 1, 2019, to June 30, 2020.</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203B4" w:rsidP="00ED172B">
            <w:pPr>
              <w:jc w:val="center"/>
              <w:rPr>
                <w:rFonts w:cs="Arial"/>
                <w:color w:val="000000" w:themeColor="text1"/>
                <w:szCs w:val="16"/>
              </w:rPr>
            </w:pPr>
          </w:p>
        </w:tc>
        <w:tc>
          <w:tcPr>
            <w:tcW w:w="1270" w:type="pct"/>
            <w:shd w:val="clear" w:color="auto" w:fill="auto"/>
          </w:tcPr>
          <w:p w14:paraId="6F7AE561" w14:textId="0506DBB0" w:rsidR="008203B4" w:rsidRPr="00ED172B" w:rsidRDefault="008203B4" w:rsidP="00ED172B">
            <w:pPr>
              <w:jc w:val="center"/>
              <w:rPr>
                <w:rFonts w:cs="Arial"/>
                <w:color w:val="000000" w:themeColor="text1"/>
                <w:szCs w:val="16"/>
              </w:rPr>
            </w:pP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203B4" w:rsidP="00CD79C5">
            <w:pPr>
              <w:rPr>
                <w:rFonts w:cs="Arial"/>
                <w:color w:val="000000" w:themeColor="text1"/>
                <w:szCs w:val="16"/>
              </w:rPr>
            </w:pPr>
          </w:p>
        </w:tc>
      </w:tr>
    </w:tbl>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59</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59</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1A3B8CE3" w:rsidR="00F939F8" w:rsidRPr="00ED172B" w:rsidRDefault="004D6548" w:rsidP="00F939F8">
            <w:pPr>
              <w:jc w:val="center"/>
              <w:rPr>
                <w:color w:val="000000" w:themeColor="text1"/>
                <w:szCs w:val="16"/>
              </w:rPr>
            </w:pPr>
            <w:r>
              <w:rPr>
                <w:rFonts w:cs="Arial"/>
                <w:color w:val="000000" w:themeColor="text1"/>
                <w:szCs w:val="16"/>
              </w:rPr>
              <w:t xml:space="preserve"> </w:t>
            </w:r>
            <w:r w:rsidR="00851BC2">
              <w:rPr>
                <w:rFonts w:cs="Arial"/>
                <w:color w:val="000000" w:themeColor="text1"/>
                <w:szCs w:val="16"/>
              </w:rPr>
              <w:t>NVR</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The Infants &amp; Toddlers Program utilized the recently upgraded Excel database to review the children with IFSPs from July 1, 2020 to June 30, 2021.  </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July 1, 2020 to June 30, 2021</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0709B9" w:rsidP="000709B9">
      <w:pPr>
        <w:rPr>
          <w:rFonts w:cs="Arial"/>
          <w:color w:val="000000" w:themeColor="text1"/>
          <w:szCs w:val="16"/>
        </w:rPr>
      </w:pP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203B4" w:rsidP="00ED172B">
            <w:pPr>
              <w:jc w:val="center"/>
              <w:rPr>
                <w:rFonts w:cs="Arial"/>
                <w:color w:val="000000" w:themeColor="text1"/>
                <w:szCs w:val="16"/>
              </w:rPr>
            </w:pPr>
          </w:p>
        </w:tc>
        <w:tc>
          <w:tcPr>
            <w:tcW w:w="1270" w:type="pct"/>
            <w:shd w:val="clear" w:color="auto" w:fill="auto"/>
          </w:tcPr>
          <w:p w14:paraId="6146CAAF" w14:textId="53F3D613" w:rsidR="008203B4" w:rsidRPr="00ED172B" w:rsidRDefault="008203B4" w:rsidP="00ED172B">
            <w:pPr>
              <w:jc w:val="center"/>
              <w:rPr>
                <w:rFonts w:cs="Arial"/>
                <w:color w:val="000000" w:themeColor="text1"/>
                <w:szCs w:val="16"/>
              </w:rPr>
            </w:pP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203B4" w:rsidP="00CD79C5">
            <w:pPr>
              <w:rPr>
                <w:rFonts w:cs="Arial"/>
                <w:color w:val="000000" w:themeColor="text1"/>
                <w:szCs w:val="16"/>
              </w:rPr>
            </w:pPr>
          </w:p>
        </w:tc>
      </w:tr>
    </w:tbl>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94.00%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88.64%</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76.06%</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71</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76</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Met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5</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COVID-19 has been proven to be stressful for the families the VI-ITP serves. One family agreed to meet with Part B but did not appear for the virtual meeting at the scheduled time. One family was out of the territory and unable to return due to COVID restrictions. Two children entered the program with a short amount of time to be serviced and transition at the scheduled time.  One family decided not to meet for the transition meeting due to Covid 19 concerns.  </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July 1, 2020 to June 30, 2021</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This data accurately reflect all children for whom and IFSP was developed or has in effect from July 1, 2020 to June 30, 2021. The Service Coordinator in each district regularly receives the information/reports from the Providers and enters the information in the database. The database has formulas in place to indicate the upcoming due dates.</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E06C1E" w:rsidP="00ED172B">
            <w:pPr>
              <w:jc w:val="center"/>
              <w:rPr>
                <w:rFonts w:cs="Arial"/>
                <w:color w:val="000000" w:themeColor="text1"/>
                <w:szCs w:val="16"/>
              </w:rPr>
            </w:pPr>
          </w:p>
        </w:tc>
        <w:tc>
          <w:tcPr>
            <w:tcW w:w="1268" w:type="pct"/>
            <w:shd w:val="clear" w:color="auto" w:fill="auto"/>
          </w:tcPr>
          <w:p w14:paraId="2EF88B35" w14:textId="56AB0211" w:rsidR="00E06C1E" w:rsidRPr="00ED172B" w:rsidRDefault="00E06C1E" w:rsidP="00ED172B">
            <w:pPr>
              <w:jc w:val="center"/>
              <w:rPr>
                <w:rFonts w:cs="Arial"/>
                <w:color w:val="000000" w:themeColor="text1"/>
                <w:szCs w:val="16"/>
              </w:rPr>
            </w:pPr>
          </w:p>
        </w:tc>
        <w:tc>
          <w:tcPr>
            <w:tcW w:w="1211" w:type="pct"/>
            <w:shd w:val="clear" w:color="auto" w:fill="auto"/>
          </w:tcPr>
          <w:p w14:paraId="10012A67" w14:textId="070A52AD" w:rsidR="00E06C1E" w:rsidRPr="00ED172B" w:rsidRDefault="00E06C1E" w:rsidP="00ED172B">
            <w:pPr>
              <w:jc w:val="center"/>
              <w:rPr>
                <w:rFonts w:cs="Arial"/>
                <w:color w:val="000000" w:themeColor="text1"/>
                <w:szCs w:val="16"/>
              </w:rPr>
            </w:pPr>
          </w:p>
        </w:tc>
        <w:tc>
          <w:tcPr>
            <w:tcW w:w="1312" w:type="pct"/>
            <w:shd w:val="clear" w:color="auto" w:fill="auto"/>
          </w:tcPr>
          <w:p w14:paraId="17C46319" w14:textId="0968AE1A" w:rsidR="00E06C1E" w:rsidRPr="00ED172B" w:rsidRDefault="00E06C1E" w:rsidP="00CD79C5">
            <w:pPr>
              <w:rPr>
                <w:rFonts w:cs="Arial"/>
                <w:color w:val="000000" w:themeColor="text1"/>
                <w:szCs w:val="16"/>
              </w:rPr>
            </w:pPr>
          </w:p>
        </w:tc>
      </w:tr>
    </w:tbl>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lastRenderedPageBreak/>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None</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br/>
        <w:t xml:space="preserve"> </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E06C1E" w:rsidP="00320806">
      <w:pPr>
        <w:rPr>
          <w:color w:val="000000" w:themeColor="text1"/>
        </w:rPr>
      </w:pP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D12606" w:rsidP="00B83404">
      <w:pPr>
        <w:rPr>
          <w:color w:val="000000" w:themeColor="text1"/>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5" w:name="_Toc382731916"/>
      <w:bookmarkStart w:id="56"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Virgin Islands Infants and Toddlers stakeholders consist of members of the VI Interagency Coordinating Council (VI-ICC), who advises and assist the ITP regarding the provision of early intervention services for children with disabilities from birth to three and other child development agencies. There were three meetings held in February 2021, May 2021 and November 2021. The council has a diverse membership, including parents of children with a disability and state agencies involved in the provision of early intervention services, a member responsible for the State Medicare program, the SEA responsible for child care, and other entities who give the ITP advice in all areas of child development. Conference calls were held with available stakeholders to discuss the targets and how they will be reached during this pandemic. Based on the review of the 2019 APR targets, the VI-ICC members suggested that the targets remain constant due to the uncertainty of the impact of Covid-19 moving forward. </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lastRenderedPageBreak/>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5"/>
    <w:bookmarkEnd w:id="56"/>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7" w:name="_Hlk79570511"/>
      <w:r w:rsidRPr="00A40EE1">
        <w:t xml:space="preserve">10 - </w:t>
      </w:r>
      <w:r w:rsidR="00DC0682" w:rsidRPr="00A40EE1">
        <w:t>Prior FFY Required Actions</w:t>
      </w:r>
      <w:bookmarkEnd w:id="57"/>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VI reported fewer than ten mediations held in FFY 2020. VI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8"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The percent of infants and toddlers with IFSPs who were functioning within age expectations in the acquisition and use of knowledge and skills (including early language/communication) by the time they turned 3 years of age or exited the program.</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https://doh.vi.gov</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2008</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40.50%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43.50%</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43.50%</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43.50%</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43.50%</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43.50%</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43.50%</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 xml:space="preserve"> Number of infants and toddlers who improved functioning to reach a level comparable to same-aged peers.</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Total number of infants and toddlers exiting who had been receiving services for at least 6 months</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17</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51</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52.29%</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43.50%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33.33%</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Slippage</w:t>
            </w:r>
          </w:p>
        </w:tc>
      </w:tr>
    </w:tbl>
    <w:p w14:paraId="7F827FC2" w14:textId="77777777" w:rsidR="005A3EDC" w:rsidRPr="00ED172B" w:rsidRDefault="005A3EDC" w:rsidP="005A3EDC">
      <w:pPr>
        <w:rPr>
          <w:rFonts w:cs="Arial"/>
          <w:b/>
          <w:i/>
          <w:color w:val="000000" w:themeColor="text1"/>
          <w:szCs w:val="16"/>
        </w:rPr>
      </w:pPr>
      <w:r w:rsidRPr="00ED172B">
        <w:rPr>
          <w:rFonts w:cs="Arial"/>
          <w:b/>
          <w:color w:val="000000" w:themeColor="text1"/>
          <w:szCs w:val="16"/>
        </w:rPr>
        <w:t xml:space="preserve">Provide reasons for slippage, if applicable </w:t>
      </w:r>
    </w:p>
    <w:p w14:paraId="4C6C3946" w14:textId="3260EF55" w:rsidR="005A3EDC" w:rsidRDefault="005A3EDC" w:rsidP="005A3EDC">
      <w:pPr>
        <w:rPr>
          <w:color w:val="000000" w:themeColor="text1"/>
        </w:rPr>
      </w:pPr>
      <w:r w:rsidRPr="00ED172B">
        <w:rPr>
          <w:color w:val="000000" w:themeColor="text1"/>
        </w:rPr>
        <w:t>March 2020 the Virgin Islands experienced a territory-wide shut down due to Covid 19. The ITP was unable to schedule in person meeting times with families. The solution for not having in-person meetings was to offer virtual meetings. However, several parents continually postponed virtual meetings due to overwhelming circumstances. Because schools were closed, those parents with older siblings were overwhelmed with working with those older children with virtual education. There were some children who providers were able to work with virtually who showed some improvement despite having existing medical conditions. Other children were entering the program less than 6 months before turning 3 years, not allowing time to see much developmental growth.</w:t>
      </w:r>
    </w:p>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The data is from Indicator C3, Summary statement B2:  The percent of infants and toddlers who were functioning within age expectations in the acquisition and use of knowledge and skills (including early language/communication) by the time they turned 3 years of age or exited the program.  The information is received from the EI service providers when they conduct the entry and exit COS reports. The information is entered into the VI-ITP Excel database which calculates the data. The numerator is the number of infants and toddlers who improved functioning to reach a level comparable to same-aged peers. The denominator is the total number of infants and toddlers exiting who had been receiving services for at least 6 months</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The information is received from the EI service providers when they conduct the entry and exit COS reports.  The information is entered into the VI-ITP Excel database which calculates the data.</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NO</w:t>
      </w:r>
    </w:p>
    <w:p w14:paraId="5018A1D9" w14:textId="683A082C" w:rsidR="00605E0D" w:rsidRDefault="00BE7036" w:rsidP="00605E0D">
      <w:pPr>
        <w:rPr>
          <w:rFonts w:cs="Arial"/>
          <w:b/>
          <w:bCs/>
        </w:rPr>
      </w:pPr>
      <w:r>
        <w:rPr>
          <w:rFonts w:cs="Arial"/>
          <w:b/>
          <w:bCs/>
        </w:rPr>
        <w:t xml:space="preserve">Describe how the data support the decision not to </w:t>
      </w:r>
      <w:proofErr w:type="gramStart"/>
      <w:r w:rsidR="000B4BBE" w:rsidRPr="000B4BBE">
        <w:rPr>
          <w:rFonts w:cs="Arial"/>
          <w:b/>
          <w:bCs/>
        </w:rPr>
        <w:t>make revisions to</w:t>
      </w:r>
      <w:proofErr w:type="gramEnd"/>
      <w:r w:rsidR="000B4BBE" w:rsidRPr="000B4BBE">
        <w:rPr>
          <w:rFonts w:cs="Arial"/>
          <w:b/>
          <w:bCs/>
        </w:rPr>
        <w:t xml:space="preserve"> the evaluation plan. </w:t>
      </w:r>
      <w:r w:rsidR="000B4BBE" w:rsidRPr="000D4947">
        <w:rPr>
          <w:rFonts w:cs="Arial"/>
          <w:b/>
          <w:bCs/>
        </w:rPr>
        <w:t>Please provide a link to the State’s current evaluation plan</w:t>
      </w:r>
      <w:r w:rsidRPr="000D4947">
        <w:rPr>
          <w:rFonts w:cs="Arial"/>
          <w:b/>
          <w:bCs/>
        </w:rPr>
        <w:t>.</w:t>
      </w:r>
    </w:p>
    <w:p w14:paraId="7D362A82" w14:textId="6122A7F0" w:rsidR="009A49C9" w:rsidRPr="000123EB" w:rsidRDefault="009A49C9" w:rsidP="00605E0D">
      <w:pPr>
        <w:rPr>
          <w:b/>
          <w:bCs/>
        </w:rPr>
      </w:pPr>
      <w:r w:rsidRPr="00ED172B">
        <w:rPr>
          <w:color w:val="000000" w:themeColor="text1"/>
        </w:rPr>
        <w:t>The VI-ITP has not had a Program Director in place since May 2019, as a result, several items on the evaluation plan have been placed on hold. The Program Director position has now been filled since December 2021. There will be a thorough review of the plan and discussions will be had with the VI-ICC and Service Coordinators to determine the best way to proceed. In addition, there have been a few "stay at home" orders due to Covid-19 which has impacted the implementation of some areas in the plan.  The current evaluation plan will be posted to the DOH website.</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 xml:space="preserve">The VI-ICC has been able to meet virtually in February 2021, May 2021 and December 2021. The council consists of 21 persons including 4 parents. The Third Party Fiduciary Contract is in place until November 2023. The Case Manager job description has been updated and revised with the new title of Service Coordinator. The previous job description was shared with the VI-ICC and the members were in agreement that the change was necessary. The change was completed and approved by the Government's Personnel Department in July 2021.  The ITP Database (Excel Spreadsheet) was updated with additional formulas to better report more accurate data.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The VI-ICC provided feedback concerning the job description. The change in the JD resulted in more candidates who were interested in working with the program. Therefore more candidates have been identified as qualifying for interviewing for the two vacant positions. The Program Administrator position will be filled before the end of 2022. The person will be responsible for coordinating between the Service Coordinators and the Director to make sure that the OSEP mandates are being met. Providers were able to attend online webinars to improve their skills in evidence-based practices. The Military Family Learning Network was one such organization providing free webinars with the opportunity to receive continuing education credits.</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There will be a thorough review of the plan and discussions will be had with the VI-ICC and Service Coordinators to determine the best way to proceed.  The Data System is working well and is enabling the program to provide more accurate data.  As additional information is needed there is the opportunity to upgrade with the assistance of the DaSy and ECTA our TA organizations.  The ITP has begun to reach out to community organizations to raise awareness about the program and the need to identify children with special needs sooner in order to get them to perform at the same level as their peers by the time they reach 3 years old.  Professional development is ongoing.  Providers participated in The Play Project in April 2022.  The ITP will partner with VI Family Partnership to address the needs of the families by helping them with assistance from the various government programs.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p>
    <w:p w14:paraId="4B178C88" w14:textId="595701A4" w:rsidR="00AB24A4" w:rsidRPr="00AB24A4" w:rsidRDefault="00AB24A4" w:rsidP="00AB24A4">
      <w:pPr>
        <w:rPr>
          <w:rFonts w:cs="Arial"/>
          <w:b/>
          <w:bCs/>
        </w:rPr>
      </w:pPr>
      <w:r w:rsidRPr="00AB24A4">
        <w:rPr>
          <w:rFonts w:cs="Arial"/>
          <w:b/>
          <w:bCs/>
        </w:rPr>
        <w:lastRenderedPageBreak/>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There will be a thorough review of the plan and discussions will be had with the VI-ICC and Service Coordinators to determine the best way to proceed.  There will be a meeting with DaSy and ECTA to review and update the SSIP in May 2022.</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 xml:space="preserve">The activities, strategies or timelines described in previous submissions have not been changed.  There has been a delay for several reasons.  The Program Director position has been vacant since May 2019 when the then Director went on medical leave and subsequently retired in August 2019.  This void was left to the then Program Administrator who was in the Acting Director position until December 2021.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The Virgin Islands Infants and Toddlers stakeholders consist of members of the VI Interagency Coordinating Council (VI-ICC), who advises and assist the ITP regarding the provision of early intervention services for children with disabilities from birth to three and other child development agencies. There were three meetings held in February 2021, May 2021 and November 2021. The council has a diverse membership, including parents of children with a disability and state agencies involved in the provision of early intervention services, a member responsible for the State Medicare program, the SEA responsible for child care, and other entities who give the ITP advice in all areas of child development. Conference calls were held with available stakeholders to discuss the targets and how they will be reached during this pandemic. Based on the review of the 2019 APR targets, the VI-ICC members suggested that the targets remain constant due to the uncertainty of the impact of Covid-19 moving forward. </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 xml:space="preserve">Several VI-ICC meetings were held since members were appointed in 2020 by the newly elected Governor. Meetings were also held in February 2021, May 2021, and November 2021. During the February 2021 meeting, the federal reports were outlined and described to members in attendance. In subsequent meetings, the setting of targets was discussed.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r>
        <w:rPr>
          <w:rFonts w:cs="Arial"/>
          <w:b/>
          <w:bCs/>
        </w:rPr>
        <w:t xml:space="preserve">Describe how the State addressed the concerns expressed by stakeholders. </w:t>
      </w:r>
    </w:p>
    <w:p w14:paraId="18AA4CF0" w14:textId="426ABC15" w:rsidR="0072398B" w:rsidRDefault="004A571B" w:rsidP="006237B0">
      <w:pPr>
        <w:rPr>
          <w:color w:val="000000" w:themeColor="text1"/>
        </w:rPr>
      </w:pPr>
      <w:r w:rsidRPr="00ED172B">
        <w:rPr>
          <w:color w:val="000000" w:themeColor="text1"/>
        </w:rPr>
        <w:t>The VI-ICC was concerned that the Service Coordinator positions on St. Croix were still vacant.  There was also concern that the job description was not suited for the Infants and Toddlers Program.  The job description was in the process of being updated since 2019 and was finally approved in July 2021.  The program is still trying to fill the positions.  Several meetings have been had with the VIDH HR department.</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 xml:space="preserve">The ITP has begun meeting with independent groups that could be possible avenues for child find. One such meeting was held in April 2022 with the State Family Program and Family Assistance Center for the Virgin Islands National Guard. The center visited the VI-ICC Facebook page.  They also will include an "Infants and Toddlers" Corner in their monthly newsletter/bulletin.  When improvements with the pandemic remain level, they plan to schedule a training with the Zero to Three Organization that have a wealth of resources and services to offer for our demographic.   </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 xml:space="preserve">The ITP will have in place the Service Coordinators on St. Croix by June 2022.  Interviews are currently being scheduled, this will be done with one of the Interim Service Coordinators present.  </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The Infant &amp; Toddlers Program struggles to have enough EI providers. During monthly Provider meetings, the Service Coordinator reminds the staff of the need for additional Providers. Covid 19 continues to impact the families, Providers, and the Program. Parents and providers continue to be wary of the possibility of contracting the Covid 19 so there is a delicate balance between in-person learning and virtual. On April 24, 2022, the VI active Covid cases increased again to 248 persons (140 STX 107 STT) bringing the 7-day positivity rate to 6%.</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VI provided targets for FFYs 2020 through 2025 for this indicator, and OSEP accepts those targets.</w:t>
      </w:r>
      <w:r w:rsidRPr="00ED172B">
        <w:rPr>
          <w:color w:val="000000" w:themeColor="text1"/>
        </w:rPr>
        <w:br/>
      </w:r>
      <w:r w:rsidRPr="00ED172B">
        <w:rPr>
          <w:color w:val="000000" w:themeColor="text1"/>
        </w:rPr>
        <w:br/>
        <w:t>The VI did not provide a Theory of Action or Evaluation Plan, as required by the Measurement Table. Further, the VI did not: 1) summarize the specific evidence-based practices that were implemented and the strategies or activities that supported their selection and ensured their use with fidelity; 2) describe how the evidence-based practices, and activities or strategies that support their use, are intended to impact the SiMR by changing programs, policies and/or practices; 3)  summarize the strategies or activities that ensured the used of evidence-based practices with fidelity; or 4) describe the specific strategies implemented to engage stakeholders in key improvement efforts, as required by the Measurement Table.</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r w:rsidRPr="00ED172B">
        <w:rPr>
          <w:color w:val="000000" w:themeColor="text1"/>
        </w:rPr>
        <w:t xml:space="preserve">The VI did not report on all of the required components of this indicator. In the FFY 2021, SPP/APR, the VI must report on all required components of this indicator, consistent with the Measurement Table. </w:t>
      </w:r>
      <w:r w:rsidRPr="00ED172B">
        <w:rPr>
          <w:color w:val="000000" w:themeColor="text1"/>
        </w:rPr>
        <w:br/>
      </w:r>
      <w:r w:rsidRPr="00ED172B">
        <w:rPr>
          <w:color w:val="000000" w:themeColor="text1"/>
        </w:rPr>
        <w:br/>
        <w:t>OSEP notes that one or more of the Indicator 11 attachment(s) included in the State’s FFY 2020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Patricia Sprauve</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Program Director - Part C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patricia.sprauve@doh.vi.gov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340-774-3033</w:t>
      </w:r>
      <w:bookmarkEnd w:id="58"/>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04/26/22 11:44:24 PM</w:t>
      </w:r>
    </w:p>
    <w:p w14:paraId="7B3F3D6E" w14:textId="15277223" w:rsidR="004D6548" w:rsidRDefault="004D6548">
      <w:pPr>
        <w:spacing w:before="0" w:after="200" w:line="276" w:lineRule="auto"/>
        <w:rPr>
          <w:rFonts w:cs="Arial"/>
          <w:b/>
          <w:color w:val="000000" w:themeColor="text1"/>
          <w:szCs w:val="16"/>
        </w:rPr>
      </w:pPr>
      <w:r>
        <w:rPr>
          <w:rFonts w:cs="Arial"/>
          <w:b/>
          <w:color w:val="000000" w:themeColor="text1"/>
          <w:szCs w:val="16"/>
        </w:rPr>
        <w:br w:type="page"/>
      </w:r>
    </w:p>
    <w:p w14:paraId="73007BFE" w14:textId="5D660801" w:rsidR="002958AE" w:rsidRDefault="002958AE" w:rsidP="002958AE">
      <w:pPr>
        <w:pStyle w:val="Heading1"/>
        <w:rPr>
          <w:color w:val="000000" w:themeColor="text1"/>
        </w:rPr>
      </w:pPr>
      <w:r>
        <w:rPr>
          <w:color w:val="000000" w:themeColor="text1"/>
        </w:rPr>
        <w:lastRenderedPageBreak/>
        <w:t>ED Attachments</w:t>
      </w:r>
    </w:p>
    <w:p w14:paraId="2E4E0846" w14:textId="2FC9DB28" w:rsidR="00A3776C" w:rsidRDefault="00A3776C" w:rsidP="00A3776C"/>
    <w:p w14:paraId="6DE9644C" w14:textId="35167F65" w:rsidR="00A3776C" w:rsidRPr="00A3776C" w:rsidRDefault="00A3776C" w:rsidP="00A3776C">
      <w:r>
        <w:object w:dxaOrig="1504" w:dyaOrig="982" w14:anchorId="4652FB55">
          <v:shape id="_x0000_i1026" type="#_x0000_t75" alt="VI-C-Dispute-Resolution-2020-21&#10;" style="width:1in;height:50.4pt" o:ole="">
            <v:imagedata r:id="rId14" o:title=""/>
          </v:shape>
          <o:OLEObject Type="Embed" ProgID="Acrobat.Document.DC" ShapeID="_x0000_i1026" DrawAspect="Icon" ObjectID="_1726492357" r:id="rId15"/>
        </w:object>
      </w:r>
      <w:r w:rsidR="00FA04B8">
        <w:tab/>
      </w:r>
      <w:r w:rsidR="00A41138">
        <w:object w:dxaOrig="1301" w:dyaOrig="850" w14:anchorId="4A9A455B">
          <v:shape id="_x0000_i1032" type="#_x0000_t75" alt="vi -resultsmatrix-2022c&#10;" style="width:64.8pt;height:43.2pt" o:ole="">
            <v:imagedata r:id="rId16" o:title=""/>
          </v:shape>
          <o:OLEObject Type="Embed" ProgID="Acrobat.Document.DC" ShapeID="_x0000_i1032" DrawAspect="Icon" ObjectID="_1726492358" r:id="rId17"/>
        </w:object>
      </w:r>
      <w:r w:rsidR="00FA04B8">
        <w:tab/>
      </w:r>
      <w:r w:rsidR="00E07993">
        <w:object w:dxaOrig="1579" w:dyaOrig="1022" w14:anchorId="71199A02">
          <v:shape id="_x0000_i1030" type="#_x0000_t75" alt="VI-2022DataRubricPartC&#10;" style="width:79.2pt;height:50.4pt" o:ole="">
            <v:imagedata r:id="rId18" o:title=""/>
          </v:shape>
          <o:OLEObject Type="Embed" ProgID="Excel.Sheet.12" ShapeID="_x0000_i1030" DrawAspect="Icon" ObjectID="_1726492359" r:id="rId19"/>
        </w:object>
      </w:r>
    </w:p>
    <w:p w14:paraId="46189836" w14:textId="77777777" w:rsidR="002958AE" w:rsidRPr="00ED172B" w:rsidRDefault="002958AE" w:rsidP="00D77E41">
      <w:pPr>
        <w:autoSpaceDE w:val="0"/>
        <w:autoSpaceDN w:val="0"/>
        <w:adjustRightInd w:val="0"/>
        <w:rPr>
          <w:rFonts w:cs="Arial"/>
          <w:b/>
          <w:color w:val="000000" w:themeColor="text1"/>
          <w:szCs w:val="16"/>
        </w:rPr>
      </w:pPr>
    </w:p>
    <w:sectPr w:rsidR="002958AE"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C578A" w14:textId="77777777" w:rsidR="006B73EA" w:rsidRDefault="006B73EA" w:rsidP="000802F7">
      <w:pPr>
        <w:spacing w:before="0" w:after="0"/>
      </w:pPr>
      <w:r>
        <w:separator/>
      </w:r>
    </w:p>
  </w:endnote>
  <w:endnote w:type="continuationSeparator" w:id="0">
    <w:p w14:paraId="748903E3" w14:textId="77777777" w:rsidR="006B73EA" w:rsidRDefault="006B73EA" w:rsidP="000802F7">
      <w:pPr>
        <w:spacing w:before="0" w:after="0"/>
      </w:pPr>
      <w:r>
        <w:continuationSeparator/>
      </w:r>
    </w:p>
  </w:endnote>
  <w:endnote w:type="continuationNotice" w:id="1">
    <w:p w14:paraId="565BA65F" w14:textId="77777777" w:rsidR="006B73EA" w:rsidRDefault="006B73E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36006" w14:textId="77777777" w:rsidR="006B73EA" w:rsidRDefault="006B73EA" w:rsidP="000802F7">
      <w:pPr>
        <w:spacing w:before="0" w:after="0"/>
      </w:pPr>
      <w:r>
        <w:separator/>
      </w:r>
    </w:p>
  </w:footnote>
  <w:footnote w:type="continuationSeparator" w:id="0">
    <w:p w14:paraId="5A2A0779" w14:textId="77777777" w:rsidR="006B73EA" w:rsidRDefault="006B73EA" w:rsidP="000802F7">
      <w:pPr>
        <w:spacing w:before="0" w:after="0"/>
      </w:pPr>
      <w:r>
        <w:continuationSeparator/>
      </w:r>
    </w:p>
  </w:footnote>
  <w:footnote w:type="continuationNotice" w:id="1">
    <w:p w14:paraId="1B49013B" w14:textId="77777777" w:rsidR="006B73EA" w:rsidRDefault="006B73E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89" type="#_x0000_t75" style="width:21.6pt;height:21.6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5BB"/>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48F"/>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8AE"/>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548"/>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79E"/>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3EA"/>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4E5"/>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BC2"/>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3776C"/>
    <w:rsid w:val="00A4096D"/>
    <w:rsid w:val="00A40EE1"/>
    <w:rsid w:val="00A40EE2"/>
    <w:rsid w:val="00A41138"/>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4D40"/>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07993"/>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04B8"/>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3.xml><?xml version="1.0" encoding="utf-8"?>
<ds:datastoreItem xmlns:ds="http://schemas.openxmlformats.org/officeDocument/2006/customXml" ds:itemID="{6D09BA45-7DBD-4694-92C2-BC37C37F4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4A9DCB-E3D8-4048-BDD4-1F7881EB959B}">
  <ds:schemaRefs>
    <ds:schemaRef ds:uri="http://schemas.openxmlformats.org/package/2006/metadata/core-properties"/>
    <ds:schemaRef ds:uri="http://purl.org/dc/terms/"/>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89bf3613-0818-48da-aadf-73420b6d0357"/>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41</Pages>
  <Words>19755</Words>
  <Characters>112604</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8</cp:revision>
  <cp:lastPrinted>2014-08-19T16:56:00Z</cp:lastPrinted>
  <dcterms:created xsi:type="dcterms:W3CDTF">2022-08-12T18:24:00Z</dcterms:created>
  <dcterms:modified xsi:type="dcterms:W3CDTF">2022-10-05T20:13:00Z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0b4ea087-b0b5-4105-b99e-fd51396bbe59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