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5773C860"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US Virgin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Virgin Islands Department of Education (VIDOE), like all other State Educational Agencies (“SEAs”), is required to establish and maintain an effective system of general supervision under 34 CFR §300.600. Hence, the Virgin Islands Department of Education (VIDE)/State Office of Special Education (SOSE) developed its general supervision system, consisting of eight components, as discussed in the preceding section of this document. The State Office of Special Education (“SOSE”) as the SEA, is required, according to 34 CFR §300.600 (a) – (d), to monitor and report on each Local Educational Agency’s (“LEA”) implementation of the Individuals with Disabilities Education Improvement Act (IDEIA) [20 USC § 1416(a)]. In addition, the VIDE/SOSE’s Continuous Improvement Results-Focused Monitoring System (CIRFMS) is designed to promote improved educational outcomes for students with disabilities while ensuring the State meets the procedural and compliance requirements of the Individuals with Disabilities Education Act (IDEIA). As noted in the VIDE/SOSE’s State Performance Plan/Annual Performance Report (SPP/APR) submitted in February 2022 (FFY2020), the VIDE is continuing to experience infrastructural challenges of the COVID-19 global pandemic, which impacted the delivery of academic instructions for FFY 2021 (2021-22 school year) for students with and without disabilities.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 VIDE/SOSE has developed a comprehensive data system that enables the Territory to collect, analyze, and report timely, valid, and reliable Section 616 and Section 618 data as required by the IDEIA. The State's Part B Data Manager coordinates all data collection, analysis, and reporting requirements within special education. The Part B Data Manager works closely with personnel from the Office of Planning, Research Development (PRE), the VIDE division responsible for collecting, housing, and reporting all data based on numerous Federal and Territorial regulations. Additionally, the Data Manager provides ongoing technical assistance to each LEA to ensure they meet all reporting requirements and provide the necessary data clarifications and updates on revisions/changes to reporting requirements of all 618 and 619 data. </w:t>
      </w:r>
      <w:r w:rsidRPr="00781112">
        <w:rPr>
          <w:color w:val="000000" w:themeColor="text1"/>
        </w:rPr>
        <w:br/>
        <w:t xml:space="preserve">collection and reporting for the Virgin Islands Department of Education. However, to optimize the collection and reporting capabilities for student level, compliance, results, and Section 616 and Section 618 data. </w:t>
      </w:r>
      <w:r w:rsidRPr="00781112">
        <w:rPr>
          <w:color w:val="000000" w:themeColor="text1"/>
        </w:rPr>
        <w:br/>
      </w:r>
      <w:r w:rsidRPr="00781112">
        <w:rPr>
          <w:color w:val="000000" w:themeColor="text1"/>
        </w:rPr>
        <w:br/>
        <w:t>For FFY 2021 (School Year 2021/22) the VIDE/SOSE commenced with the preparation for the conversion to an improved online web-based special education student data management system (“EDPlan”) To ensure that all revisions and upgrades met the requirements of the United States Department of Education(USDOE), Office of Special Education Programs (OSEP). The VIDE/SOSE met weekly with the vendors of EDPlan and discussed questions and concerns and status updates. The VIDE/SOSE hosted multiple virtual and onsite training in each LEA for all State Office of Special Education personnel, administrators, special education teachers, school social workers, psychologists, physical, occupational, and speech and language therapists, and paraprofessionals, to ensure proper use and understanding of the system's features. More importantly, SOSE worked directly with the vendor to provide "real-time" assistance to users.</w:t>
      </w:r>
      <w:r w:rsidRPr="00781112">
        <w:rPr>
          <w:color w:val="000000" w:themeColor="text1"/>
        </w:rPr>
        <w:br/>
      </w:r>
      <w:r w:rsidRPr="00781112">
        <w:rPr>
          <w:color w:val="000000" w:themeColor="text1"/>
        </w:rPr>
        <w:br/>
        <w:t xml:space="preserve">Moreover, the VIDE/SOSE will continue to work closely with each LEA and other special education personnel to garner input relative to system refinements, further, all revisions and upgrades to the newly introduced EDPlan system will continue to be followed by Intensive training and technical assistance regarding the use of EDPlan, the audience for the training to VIDE/SOSE and to LEA personnel. This web-based system (“EDPlan has numerous business rules with corresponding built-in edit checks which promote high levels of data quality. Additionally, this newly adapted system produces the </w:t>
      </w:r>
      <w:proofErr w:type="gramStart"/>
      <w:r w:rsidRPr="00781112">
        <w:rPr>
          <w:color w:val="000000" w:themeColor="text1"/>
        </w:rPr>
        <w:t>following;</w:t>
      </w:r>
      <w:proofErr w:type="gramEnd"/>
      <w:r w:rsidRPr="00781112">
        <w:rPr>
          <w:color w:val="000000" w:themeColor="text1"/>
        </w:rPr>
        <w:t xml:space="preserve"> all system-specific special education documents in the native language of parents/guardians and students, data for required public reporting, and more specifically its ability to serve as a primary data source for all monitoring activities. Each year, the VIDE/SOSE personnel conducts on-site monitoring visits in each of the LEAs for previous FFYs personnel to verify that data in </w:t>
      </w:r>
      <w:proofErr w:type="spellStart"/>
      <w:r w:rsidRPr="00781112">
        <w:rPr>
          <w:color w:val="000000" w:themeColor="text1"/>
        </w:rPr>
        <w:t>GoalView</w:t>
      </w:r>
      <w:proofErr w:type="spellEnd"/>
      <w:r w:rsidRPr="00781112">
        <w:rPr>
          <w:color w:val="000000" w:themeColor="text1"/>
        </w:rPr>
        <w:t xml:space="preserve"> is consistent with the information contained in the students’ IEPs and other associated records. However, commencing in FFY 2022 (School Year 2022/233) VIDE/SOSE personnel will use EDPlan to conduct this monitoring event. More importantly, updates are implemented in accordance with the regulation and in consultation with the LEAs. Furthermore, in some instances, additional data are obtained from the VIDE’s Student Information System (SIS) “PowerSchool”. This comprehensive SIS serves as the VIDE primary collection tool for a variety of data collections including, but not limited to, enrollment data, assessment data, attendance data, co-teaching assignments, and discipline events and the accompanying incidences. The State Office of Special Education, Part B Data Manager works closely with personnel from the PRE and directors of Data and Assessment in each LEA to access data needed for 618 special education reporting such as assessment, enrollment, discipline, additional school-level demographic data, and iReady diagnostic data.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In 2005, the VIDE/SOSE developed a State Performance Plan (SPP) that serves as an accountability mechanism for the Territory and the two Local Education Agencies' (LEAs) efforts to implement the requirements and purposes of IDEIA. This Plan describes how the Territory will improve the implementation of the IDEIA over time, and currently includes seventeen indicators that provide a measurable indication of the VIDE’s performance in specific legal priority areas under Part B. Some indicators reflect compliance requirements while others focus on improving results for students with disabilities (SWD). For each indicator, the VIDE/SOSE provides baseline data, targets, and the corresponding timelines established by the state. However, in FFY 2013, the SPP and APR were merged into one </w:t>
      </w:r>
      <w:proofErr w:type="gramStart"/>
      <w:r w:rsidRPr="00781112">
        <w:rPr>
          <w:rFonts w:cs="Arial"/>
          <w:color w:val="000000" w:themeColor="text1"/>
          <w:szCs w:val="16"/>
        </w:rPr>
        <w:t>document</w:t>
      </w:r>
      <w:proofErr w:type="gramEnd"/>
      <w:r w:rsidRPr="00781112">
        <w:rPr>
          <w:rFonts w:cs="Arial"/>
          <w:color w:val="000000" w:themeColor="text1"/>
          <w:szCs w:val="16"/>
        </w:rPr>
        <w:t xml:space="preserve"> and it was submitted online annually in the specially designed platform, GRADS360 until recently. The submission process will continue in an online mode, however, beginning in February 2020, (FFY 2018), the newly designed module within the current EDFacts Metadata and Process System (EMAPS) platform will be utilized. </w:t>
      </w:r>
      <w:r w:rsidRPr="00781112">
        <w:rPr>
          <w:rFonts w:cs="Arial"/>
          <w:color w:val="000000" w:themeColor="text1"/>
          <w:szCs w:val="16"/>
        </w:rPr>
        <w:br/>
      </w:r>
      <w:r w:rsidRPr="00781112">
        <w:rPr>
          <w:rFonts w:cs="Arial"/>
          <w:color w:val="000000" w:themeColor="text1"/>
          <w:szCs w:val="16"/>
        </w:rPr>
        <w:br/>
        <w:t xml:space="preserve">Each year, the VIDE/SOSE reports its performance on the target of its seventeen (17) indicators identified in the SPP/APR. Together, the SPP and APR provide a robust foundation and a blueprint for the work of the VIDE/SOSE implementation and purposes of IDEIA. </w:t>
      </w:r>
      <w:r w:rsidRPr="00781112">
        <w:rPr>
          <w:rFonts w:cs="Arial"/>
          <w:color w:val="000000" w:themeColor="text1"/>
          <w:szCs w:val="16"/>
        </w:rPr>
        <w:br/>
      </w:r>
      <w:r w:rsidRPr="00781112">
        <w:rPr>
          <w:rFonts w:cs="Arial"/>
          <w:color w:val="000000" w:themeColor="text1"/>
          <w:szCs w:val="16"/>
        </w:rPr>
        <w:br/>
        <w:t xml:space="preserve">Personnel within the VIDE/SOSE are assigned clusters of indicators and are individually responsible for collecting, and analyzing data, crafting/drafting responses, working collaboratively with the State Part B Data Manager in sharing the current progress with meeting targets with internal and external stakeholders, the Virgin Islands Panel on Special Education (VIAPSE), and evaluating implementation for each indicator. More importantly, the </w:t>
      </w:r>
      <w:r w:rsidRPr="00781112">
        <w:rPr>
          <w:rFonts w:cs="Arial"/>
          <w:color w:val="000000" w:themeColor="text1"/>
          <w:szCs w:val="16"/>
        </w:rPr>
        <w:lastRenderedPageBreak/>
        <w:t xml:space="preserve">VIDE/SOSE engages Stakeholders/Advisory Panel Members in the annual development of the SPP/APR. Advisory Panel members review indicator data, specifically trend data, and assist the VIDE/SOSE in establishing or revising as necessary, targets for each indicator. Furthermore, External and CORE internal stakeholders have and continue to play a pivotal role in developing the State Systemic Improvement Plan (SSIP), a new indicator in FFY 2013, and were developed in phases with accompanying implementation years. Until FFY 2019, the SSIP was reported annually in April however, beginning in FFY 2019 (School Year 2019/20) Phase IV Year 6 implementation the submission was changed to February 1st in line with its APR.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VIDE/SOSE continue to provide differentiated technical assistance to each LEA to support them in achieving and maintaining the regulatory requirements of IDEIA. This technical assistance aims to assist them in implementing programs, practices, and instructional strategies that lead to improved outcomes for children and youth with disabilities. IDEIA program Information and technical assistance are shared through the following formats; email, virtual and face-to-face meetings, and conference calls.</w:t>
      </w:r>
      <w:r w:rsidRPr="00781112">
        <w:rPr>
          <w:rFonts w:cs="Arial"/>
          <w:color w:val="000000" w:themeColor="text1"/>
          <w:szCs w:val="16"/>
        </w:rPr>
        <w:br/>
      </w:r>
      <w:r w:rsidRPr="00781112">
        <w:rPr>
          <w:rFonts w:cs="Arial"/>
          <w:color w:val="000000" w:themeColor="text1"/>
          <w:szCs w:val="16"/>
        </w:rPr>
        <w:br/>
        <w:t xml:space="preserve">The VIDE/SOSE provides general technical assistance (GTA) to district and school administrators, special education and general education teachers and paraprofessionals, and other educational personnel in both LEAs on research-based topics that impact the provision of special education and related services. These (GTA) </w:t>
      </w:r>
      <w:proofErr w:type="gramStart"/>
      <w:r w:rsidRPr="00781112">
        <w:rPr>
          <w:rFonts w:cs="Arial"/>
          <w:color w:val="000000" w:themeColor="text1"/>
          <w:szCs w:val="16"/>
        </w:rPr>
        <w:t>include, but</w:t>
      </w:r>
      <w:proofErr w:type="gramEnd"/>
      <w:r w:rsidRPr="00781112">
        <w:rPr>
          <w:rFonts w:cs="Arial"/>
          <w:color w:val="000000" w:themeColor="text1"/>
          <w:szCs w:val="16"/>
        </w:rPr>
        <w:t xml:space="preserve"> are not limited to VIDE/SOSE’s updated special education management system (EDPlan), local budget applications, and areas for improvement of specific compliance and results Indicators within the VIDE/SOSE’s APR/SSIP and/or other areas of concern derived from qualitative or quantitative data. </w:t>
      </w:r>
      <w:r w:rsidRPr="00781112">
        <w:rPr>
          <w:rFonts w:cs="Arial"/>
          <w:color w:val="000000" w:themeColor="text1"/>
          <w:szCs w:val="16"/>
        </w:rPr>
        <w:br/>
      </w:r>
      <w:r w:rsidRPr="00781112">
        <w:rPr>
          <w:rFonts w:cs="Arial"/>
          <w:color w:val="000000" w:themeColor="text1"/>
          <w:szCs w:val="16"/>
        </w:rPr>
        <w:br/>
        <w:t xml:space="preserve">Targeted Technical Assistance (TTA) is based on the VIDE/SOSE use of LEA performance and compliance data from the SPP/APR indicators as well as other monitoring activities to identify technical assistance needs. Participation in TTA activities may be voluntary however, participation may also be required as in the case of TTA that is required as a part of an LEA's CAP that is developed secondary to the identification of non-compliance. Both LEAs have and continue to receive targeted TTA related to meeting the requirements  in Indicators 4, 9, 10, 12, and 13 of the SPP/APR. LEAs are also encouraged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reserve the right to request additional TA in identified areas of need. The Virgin Islands Department of Education (VIDE) provides a portal to SOSE on the department’s main website. This portal is utilized for posting information for public viewing and Office of Special Education Programs (OSEP) public reporting requirements.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Virgin Islands Department of Education/State Office of Special Education (VIDE/SOSE) maintains a comprehensive system of professional development that strikes a balance between improving compliant practices related to the regulatory requirements of IDEA and supporting Educators in the implementation of evidence-based practices that lead to improved outcomes for students with disabilities. Professional development is provided by VIDE/SOSE's team, technical assistance providers from OSEP-funded centers, and private consultants. Prior to the COVID-19 Pandemic, most professional learning occurred on-site through face-to-face professional development sessions. During the 2021-2022 school year, the VIDE/SOSE was able to provide professional development opportunities on a smaller scale to school base personnel. The VIDE/SOSE continues to collaborate with the LEAs to explore ways to improve online learning accessibility for teachers, administrators, and paraprofessionals. Additionally, School Improvement Teams/Data Chat teams have been established at several schools which provide an avenue for sharing information (e.g. instructional strategies, data interpretation, effective classroom practices) with school personnel.</w:t>
      </w:r>
      <w:r w:rsidRPr="00781112">
        <w:rPr>
          <w:rFonts w:cs="Arial"/>
          <w:color w:val="000000" w:themeColor="text1"/>
          <w:szCs w:val="16"/>
        </w:rPr>
        <w:br/>
      </w:r>
      <w:r w:rsidRPr="00781112">
        <w:rPr>
          <w:rFonts w:cs="Arial"/>
          <w:color w:val="000000" w:themeColor="text1"/>
          <w:szCs w:val="16"/>
        </w:rPr>
        <w:br/>
        <w:t>For many years, a significant amount of professional development focused on meeting the requirements related to secondary transition as reported in Indicator 13, however, the VIDE/SOSE has expanded its technical assistance and professional development focus and has obtained professional development and support from the following technical assistance centers, the National Technical Assistance Center in Transition (NTACT), Center for IDEIA Fiscal Reporting( CIFR), Early Childhood Technical Assistance (“ECTA Center”), SRI Education a Division of International Research Center, IDEA Data Center (IDC), Center for Appropriate Dispute Resolution in Special Education (CADRE), National Center for Systemic Improvement, (NCSI) and the Center IDEA Early Childhood Data Systems(DaSy), and the Technical Assistance for Excellence in Special Education (TAESE) and then customized this training for district personnel. The VIDE/SOSE continues to work diligently to identify and provide heightened professional development to teachers and other school-based personnel in each LEA related to APR indicators, including its SSIP.</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mechanisms used by the VIDE/SOSE for soliciting broad stakeholder input are as follows:</w:t>
      </w:r>
      <w:r w:rsidRPr="00781112">
        <w:rPr>
          <w:rFonts w:cs="Arial"/>
          <w:color w:val="000000" w:themeColor="text1"/>
          <w:szCs w:val="16"/>
        </w:rPr>
        <w:br/>
      </w:r>
      <w:r w:rsidRPr="00781112">
        <w:rPr>
          <w:rFonts w:cs="Arial"/>
          <w:color w:val="000000" w:themeColor="text1"/>
          <w:szCs w:val="16"/>
        </w:rPr>
        <w:br/>
        <w:t xml:space="preserve">Host Quarterly Meetings (virtual or in-person) with internal and external stakeholders which includes parents of children with disabilities, children and youth with disabilities, grade level and content experts, early childhood personnel, district superintendents district directors, supervisors, coordinators, District Office of Special Education personnel, Educational Diagnostic team members, private business sector, interagency partners, and other outside and linking agencies. </w:t>
      </w:r>
      <w:r w:rsidRPr="00781112">
        <w:rPr>
          <w:rFonts w:cs="Arial"/>
          <w:color w:val="000000" w:themeColor="text1"/>
          <w:szCs w:val="16"/>
        </w:rPr>
        <w:br/>
      </w:r>
      <w:r w:rsidRPr="00781112">
        <w:rPr>
          <w:rFonts w:cs="Arial"/>
          <w:color w:val="000000" w:themeColor="text1"/>
          <w:szCs w:val="16"/>
        </w:rPr>
        <w:br/>
        <w:t xml:space="preserve">Additionally, the VIDE/SOSE partner with other family and community agencies (Meet and Greet) to share information and provide relevant updates pertaining to the VIDE's APR, SSIP, and other pertinent IDEA-related services. In addition, the VIDE/SOSE disseminates information via Public Service Announcements and email correspondence highlighting the locations and highlight prospective activities aligned with the VIDE/SOSE's APR as well as the locations of State and District Offices. </w:t>
      </w:r>
      <w:r w:rsidRPr="00781112">
        <w:rPr>
          <w:rFonts w:cs="Arial"/>
          <w:color w:val="000000" w:themeColor="text1"/>
          <w:szCs w:val="16"/>
        </w:rPr>
        <w:br/>
      </w:r>
      <w:r w:rsidRPr="00781112">
        <w:rPr>
          <w:rFonts w:cs="Arial"/>
          <w:color w:val="000000" w:themeColor="text1"/>
          <w:szCs w:val="16"/>
        </w:rPr>
        <w:br/>
        <w:t xml:space="preserve">For FFY 2021(School Year), the VIDE/SOSE presented its members with indicator measurement language, baseline data, and targets. Moreover, Indicator target and performance data for FFY 2020 (School Year 2019/2020) was also shared to aid stakeholders with identifying improvement strategies geared towards improving performance and measuring advancement for all Part B Indicators.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Since the inception of the VIDE/SOSE’s SPP/APR, and State Systemic Improvement Plan (SSIP), the VIDE/SOSE’s Stakeholders have been a primary mechanism for disseminating, analyzing, and developing strategies and revisions across all SPP/APR indicators. The components of the State’s Stakeholders group continue to be expanded. As such, the broadening of the scope for soliciting input, developing improvement strategies, and evaluating progress required a more equitable representation. Thus, ensuring the representativeness of the demographic of a segment of the population such as parents of students with disabilities who receive special services and related services is the impetus for the development of the newly revised broad indicator cluster stakeholders group.</w:t>
      </w:r>
      <w:r w:rsidRPr="00781112">
        <w:rPr>
          <w:color w:val="000000" w:themeColor="text1"/>
          <w:szCs w:val="16"/>
        </w:rPr>
        <w:br/>
      </w:r>
      <w:r w:rsidRPr="00781112">
        <w:rPr>
          <w:color w:val="000000" w:themeColor="text1"/>
          <w:szCs w:val="16"/>
        </w:rPr>
        <w:br/>
        <w:t xml:space="preserve">As mentioned for FFY 2019, 2020, and 2021 (School Years 2019/20, 2020/21) and 2021/22) parent stakeholder members are part of the State’s broad stakeholder groups, and the general public was invited to participate in the dissemination of data collected through the UVI/ECC State’s Parental Satisfaction Survey. This method of presentation is one of the various mechanisms the VIDE/SOSE utilizes to inform its stakeholders of the progress and outcomes of the delivery of services for children and youth with disabilities. The presentation offered the </w:t>
      </w:r>
      <w:proofErr w:type="gramStart"/>
      <w:r w:rsidRPr="00781112">
        <w:rPr>
          <w:color w:val="000000" w:themeColor="text1"/>
          <w:szCs w:val="16"/>
        </w:rPr>
        <w:t>general public</w:t>
      </w:r>
      <w:proofErr w:type="gramEnd"/>
      <w:r w:rsidRPr="00781112">
        <w:rPr>
          <w:color w:val="000000" w:themeColor="text1"/>
          <w:szCs w:val="16"/>
        </w:rPr>
        <w:t xml:space="preserve">, parents/guardians, and broad stakeholder groups data and analysis of approximately seventy (70) items that are classified into ten (10) groups or sub-scales, each of which addresses a particular aspect of parental satisfaction. Another method to disseminate information to stakeholders was the results of the State’s FFY 2020 CIRFMS. The data collected during this phase of the general supervision process provided stakeholders with valuable information on performance and outcomes data. Moreover, the results enabled every member of the indicator cluster groups a close-up look at how each cluster informs the delivery of services for children with disabilities.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Since the pandemic, parent engagement has decreased across all student populations. Though state and district entities have provided numerous opportunities for engagement, parents have been reluctant to participate. However, state and district leadership have initiated various activities to increase engagement, such as neighborhood visits, community connect virtual town halls, and workshops that provide creative lessons and projects for advancement. These activities offer an array of opportunities for parents to meet, discuss and provide meaningful feedback on improving outcomes for students with disabilities. Additionally, twice a year, parents have an opportunity to meet with educators, community business stakeholders, and legislators in a social setting to discuss relevant and pressing issues affecting student performance.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mechanisms used by the VIDESOSE for soliciting public input for setting targets, analyzing data, developing improvement strategies, and evaluating progress. </w:t>
      </w:r>
      <w:r w:rsidRPr="00781112">
        <w:rPr>
          <w:color w:val="000000" w:themeColor="text1"/>
          <w:szCs w:val="16"/>
        </w:rPr>
        <w:br/>
      </w:r>
      <w:r w:rsidRPr="00781112">
        <w:rPr>
          <w:color w:val="000000" w:themeColor="text1"/>
          <w:szCs w:val="16"/>
        </w:rPr>
        <w:br/>
        <w:t>1. Broad Indicator Cluster Stakeholders Group:</w:t>
      </w:r>
      <w:r w:rsidRPr="00781112">
        <w:rPr>
          <w:color w:val="000000" w:themeColor="text1"/>
          <w:szCs w:val="16"/>
        </w:rPr>
        <w:br/>
        <w:t>2. Continuous Improvement and Results Focus Monitoring System (CIRFMS) (conducted and reported annually for corresponding FFY and school year)</w:t>
      </w:r>
      <w:r w:rsidRPr="00781112">
        <w:rPr>
          <w:color w:val="000000" w:themeColor="text1"/>
          <w:szCs w:val="16"/>
        </w:rPr>
        <w:br/>
        <w:t>3. Districts’ Annual Determination (Report generated and disseminated in September of current school calendar)</w:t>
      </w:r>
      <w:r w:rsidRPr="00781112">
        <w:rPr>
          <w:color w:val="000000" w:themeColor="text1"/>
          <w:szCs w:val="16"/>
        </w:rPr>
        <w:br/>
        <w:t>4. District Performance Profiles (Report generated and disseminated in September of current school calendar)</w:t>
      </w:r>
      <w:r w:rsidRPr="00781112">
        <w:rPr>
          <w:color w:val="000000" w:themeColor="text1"/>
          <w:szCs w:val="16"/>
        </w:rPr>
        <w:br/>
        <w:t>5. Quarterly Broad Stakeholder Meetings (Meetings on March, June, September, and December of the current school calendar)</w:t>
      </w:r>
      <w:r w:rsidRPr="00781112">
        <w:rPr>
          <w:color w:val="000000" w:themeColor="text1"/>
          <w:szCs w:val="16"/>
        </w:rPr>
        <w:br/>
        <w:t>6. VIAPSE Meetings (Meetings on February, May, August, and November of the current school calendar)</w:t>
      </w:r>
      <w:r w:rsidRPr="00781112">
        <w:rPr>
          <w:color w:val="000000" w:themeColor="text1"/>
          <w:szCs w:val="16"/>
        </w:rPr>
        <w:br/>
        <w:t xml:space="preserve">7. Annual Parental Satisfaction Survey (Public report generated and disseminated annually during a public presentation).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VIDE/SOSE will continue to utilize the activities listed in Table D of the SSIP as the mechanism and roadmap for implementation evaluation criteria for state-level activities. These mechanisms </w:t>
      </w:r>
      <w:proofErr w:type="gramStart"/>
      <w:r w:rsidRPr="00781112">
        <w:rPr>
          <w:color w:val="000000" w:themeColor="text1"/>
          <w:szCs w:val="16"/>
        </w:rPr>
        <w:t>include, but</w:t>
      </w:r>
      <w:proofErr w:type="gramEnd"/>
      <w:r w:rsidRPr="00781112">
        <w:rPr>
          <w:color w:val="000000" w:themeColor="text1"/>
          <w:szCs w:val="16"/>
        </w:rPr>
        <w:t xml:space="preserve"> are not limited to engaging strategically with other VIDE programs, Territory linking agencies, LEAs, and external organizations/ programs/groups, including family and community groups to increase stakeholder engagement in educational decision-making. These activities will occur quarterly, as well as on an as-needed basis.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As required by 34 CFR §300.602(b)(1)(i)(A) the VIDE/SOSE’s public reporting for FFY 2020 of each LEAs performance can be accessed by using the following link.</w:t>
      </w:r>
      <w:r w:rsidRPr="00781112">
        <w:rPr>
          <w:rFonts w:cs="Arial"/>
          <w:color w:val="000000" w:themeColor="text1"/>
          <w:szCs w:val="16"/>
        </w:rPr>
        <w:br/>
      </w:r>
      <w:r w:rsidRPr="00781112">
        <w:rPr>
          <w:rFonts w:cs="Arial"/>
          <w:color w:val="000000" w:themeColor="text1"/>
          <w:szCs w:val="16"/>
        </w:rPr>
        <w:br/>
        <w:t>https://vide.vi/our-divisions/special-education/#district-profiles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VIDE/SOSE continues to work closely with The IDEA Data Center (IDC), National Technical Assistance Center on Transition (NTACT), Early Childhood Technical Assistance Center (ECTA), and the Regional Educational Laboratory Northeast &amp; Islands (RELNEI) to support and improve effective practices and to build capacity throughout the State. As a result of their support, VIDE/SOSE has revised training mechanisms to address immediate and potential risks. Furthermore, a system of shared ownership and accessibility to platforms that strengthened educational practices has been implemented. LEAs are now able to tier program applications and for a more comprehensive configuration of program implementation.</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Virgin Islands determinations for both 2021 and 2022 were Needs Assistance. Pursuant to section 616(e)(1) of the IDEA and 34 C.F.R. § 300.604(a), OSEP's June 24, 2022, determination letter informed the Virgin Islands that it must report with its FFY 2021 SPP/APR submission, due February 1, 2023, on: (1) the technical assistance sources from which the Virgin Islands received assistance; and (2) the actions the Virgin Islands took as a result of that technical assistance. The Virgin Islands provided the required information.</w:t>
      </w:r>
      <w:r w:rsidRPr="00781112">
        <w:rPr>
          <w:rFonts w:cs="Arial"/>
          <w:color w:val="000000" w:themeColor="text1"/>
          <w:szCs w:val="16"/>
        </w:rPr>
        <w:br/>
      </w:r>
      <w:r w:rsidRPr="00781112">
        <w:rPr>
          <w:rFonts w:cs="Arial"/>
          <w:color w:val="000000" w:themeColor="text1"/>
          <w:szCs w:val="16"/>
        </w:rPr>
        <w:br/>
        <w:t>The Virgin Islands did not describe the mechanisms for soliciting broad stakeholder input on the targets in the SPP/APR and subsequent revisions that the Virgin Islands made to those targets. Specifically, the Virgin Islands did not report a description of the activities conducted to increase the capacity of diverse groups of parents.</w:t>
      </w:r>
      <w:r w:rsidRPr="00781112">
        <w:rPr>
          <w:rFonts w:cs="Arial"/>
          <w:color w:val="000000" w:themeColor="text1"/>
          <w:szCs w:val="16"/>
        </w:rPr>
        <w:br/>
      </w:r>
      <w:r w:rsidRPr="00781112">
        <w:rPr>
          <w:rFonts w:cs="Arial"/>
          <w:color w:val="000000" w:themeColor="text1"/>
          <w:szCs w:val="16"/>
        </w:rPr>
        <w:br/>
        <w:t>The Department imposed Specific Conditions on the Virgin Island's IDEA Part B grant awards for the last three or more years. Those conditions are in effect at the time of the Department’s 2023 determination.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Virgin Islands has not provided a description of the activities conducted to increase the capacity of diverse groups of parents. In its FFY 2022 SPP/APR, the Virgin Islands must provide the required information.</w:t>
      </w:r>
      <w:r w:rsidRPr="00781112">
        <w:rPr>
          <w:rFonts w:cs="Arial"/>
          <w:color w:val="000000" w:themeColor="text1"/>
          <w:szCs w:val="16"/>
        </w:rPr>
        <w:br/>
      </w:r>
      <w:r w:rsidRPr="00781112">
        <w:rPr>
          <w:rFonts w:cs="Arial"/>
          <w:color w:val="000000" w:themeColor="text1"/>
          <w:szCs w:val="16"/>
        </w:rPr>
        <w:br/>
        <w:t xml:space="preserve">The Virgin Island's IDEA Part B determination for both 2022 and 2023 is Needs Assistance. In the Virgin Island's 2023 determination letter, the Department advised the Virgin Islands of available sources of technical assistance, including OSEP-funded technical assistance centers, and required the Virgin Islands to work with appropriate entities. The Department directed the Virgin Islands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Virgin Islands must report, with its FFY 2022 SPP/APR submission, due February 1, 2024, on: (1) the technical assistance sources from which the Virgin Islands received assistance; and (2) the actions the Virgin Islands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7B772D8" w:rsidR="005E59DB" w:rsidRPr="00781112" w:rsidRDefault="005E59DB" w:rsidP="00B65C2C">
      <w:pPr>
        <w:rPr>
          <w:b/>
          <w:color w:val="000000" w:themeColor="text1"/>
        </w:rPr>
      </w:pPr>
      <w:r w:rsidRPr="00781112">
        <w:rPr>
          <w:b/>
          <w:color w:val="000000" w:themeColor="text1"/>
        </w:rPr>
        <w:t>Historical Data</w:t>
      </w:r>
      <w:r w:rsidR="005F18E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41.00%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44.50%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54.63%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52.58%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53.21%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49.53%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46.99%</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54.63%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55.00%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55.50%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56.00%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56.50%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57.00%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During FFY 2021 (school year 2020-2021), the VIDE/SOSE expanded and reconfigured its stakeholder components with a concentrated focus on indicator clusters to ensure expert representation and analyses in all target areas of this indicator and all indicators in this cluster. This reconfiguration includes but it not limited to the following: parents of students with disabilities, grade level and content experts in secondary transition services, regular and special education personnel, district directors, district coordinators and supervisor, District Office of Special Education personnel, Educational Diagnostic personnel, private business sector, inter-agency partners, and other outside and linking agencies. The VIDE/SOSE divided the stakeholders into cluster groups. </w:t>
      </w:r>
      <w:r w:rsidRPr="00781112">
        <w:rPr>
          <w:rFonts w:cs="Arial"/>
          <w:color w:val="000000" w:themeColor="text1"/>
          <w:szCs w:val="16"/>
        </w:rPr>
        <w:br/>
        <w:t xml:space="preserve">The VIDE/SOSE reconvened its stakeholders for this indicator to review the data for FFY 2020 and implement ongoing continued improvement strategies to increase the graduation rates for children with disabilities. The stakeholders for this cluster were tasked with an </w:t>
      </w:r>
      <w:proofErr w:type="gramStart"/>
      <w:r w:rsidRPr="00781112">
        <w:rPr>
          <w:rFonts w:cs="Arial"/>
          <w:color w:val="000000" w:themeColor="text1"/>
          <w:szCs w:val="16"/>
        </w:rPr>
        <w:t>analyses</w:t>
      </w:r>
      <w:proofErr w:type="gramEnd"/>
      <w:r w:rsidRPr="00781112">
        <w:rPr>
          <w:rFonts w:cs="Arial"/>
          <w:color w:val="000000" w:themeColor="text1"/>
          <w:szCs w:val="16"/>
        </w:rPr>
        <w:t xml:space="preserve"> of the FFY 2020 data. Stakeholders were tasked with identifying areas for improvements geared towards ensuring children with disabilities were afforded FAPE and services in the LRE. Stakeholders were provided with historical data as well as targets for 2021 through 2025. Stakeholders discussed strategies to increase graduation rates, decrease </w:t>
      </w:r>
      <w:proofErr w:type="spellStart"/>
      <w:r w:rsidRPr="00781112">
        <w:rPr>
          <w:rFonts w:cs="Arial"/>
          <w:color w:val="000000" w:themeColor="text1"/>
          <w:szCs w:val="16"/>
        </w:rPr>
        <w:t>drop out</w:t>
      </w:r>
      <w:proofErr w:type="spellEnd"/>
      <w:r w:rsidRPr="00781112">
        <w:rPr>
          <w:rFonts w:cs="Arial"/>
          <w:color w:val="000000" w:themeColor="text1"/>
          <w:szCs w:val="16"/>
        </w:rPr>
        <w:t xml:space="preserve"> rates, write effective IEPs and increase representativeness of the demographic of post school responders, especially, increasing the total number responders, particularly for underrepresented groups, and identifying potential response bias as well as provide strategies to reduce response bias for youth who had IEPs and were no longer in secondary school. A comparative analysis of Target Leaver and Respondent Representation for all leavers in the FFY 2020 data were carefully reviewed to determine the conditions needed for a higher response rate and reducing response bias. This process allowed stakeholders to select a </w:t>
      </w:r>
      <w:proofErr w:type="gramStart"/>
      <w:r w:rsidRPr="00781112">
        <w:rPr>
          <w:rFonts w:cs="Arial"/>
          <w:color w:val="000000" w:themeColor="text1"/>
          <w:szCs w:val="16"/>
        </w:rPr>
        <w:t>demographic groups</w:t>
      </w:r>
      <w:proofErr w:type="gramEnd"/>
      <w:r w:rsidRPr="00781112">
        <w:rPr>
          <w:rFonts w:cs="Arial"/>
          <w:color w:val="000000" w:themeColor="text1"/>
          <w:szCs w:val="16"/>
        </w:rPr>
        <w:t xml:space="preserve"> for responder’s representativeness as required for FFY 2021. The Stakeholders analyzes captured that most responders demonstrated outcomes that were </w:t>
      </w:r>
      <w:proofErr w:type="gramStart"/>
      <w:r w:rsidRPr="00781112">
        <w:rPr>
          <w:rFonts w:cs="Arial"/>
          <w:color w:val="000000" w:themeColor="text1"/>
          <w:szCs w:val="16"/>
        </w:rPr>
        <w:t>effective</w:t>
      </w:r>
      <w:proofErr w:type="gramEnd"/>
      <w:r w:rsidRPr="00781112">
        <w:rPr>
          <w:rFonts w:cs="Arial"/>
          <w:color w:val="000000" w:themeColor="text1"/>
          <w:szCs w:val="16"/>
        </w:rPr>
        <w:t xml:space="preserve"> and it was concluded that effectiveness or positive outcomes contributed to a higher likelihood of responders responding to the survey. Stakeholders for this cluster were given a description of the State Post School Outcome (PSO) calculator.  A detailed description about the data elements and displays were provided. The State enters data and analyzes the data for this indicator through the State’s PSO calculator, the calculator produces tabular and graphical presentation from data entered on excel worksheets. The data shows the response rate disaggregated by disability group, gender, race/ethnicity and exiting modes. The Cluster Stakeholders for this indicator approved the analysis of the demographic of response representativeness by the disability category of Specific Learning Disabled (SLD) and recommended increasing the networking with other transition agencies to provide direct services to students who exit in any other mode other than receiving a high school diploma or certificate of completion.</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requirements for all students to graduate with a high school diploma, including students with disabilities, are </w:t>
      </w:r>
      <w:proofErr w:type="spellStart"/>
      <w:r w:rsidRPr="00781112">
        <w:rPr>
          <w:rFonts w:cs="Arial"/>
          <w:color w:val="000000" w:themeColor="text1"/>
          <w:szCs w:val="16"/>
        </w:rPr>
        <w:t>a</w:t>
      </w:r>
      <w:proofErr w:type="spellEnd"/>
      <w:r w:rsidRPr="00781112">
        <w:rPr>
          <w:rFonts w:cs="Arial"/>
          <w:color w:val="000000" w:themeColor="text1"/>
          <w:szCs w:val="16"/>
        </w:rPr>
        <w:t xml:space="preserve"> </w:t>
      </w:r>
      <w:proofErr w:type="gramStart"/>
      <w:r w:rsidRPr="00781112">
        <w:rPr>
          <w:rFonts w:cs="Arial"/>
          <w:color w:val="000000" w:themeColor="text1"/>
          <w:szCs w:val="16"/>
        </w:rPr>
        <w:t>follows</w:t>
      </w:r>
      <w:proofErr w:type="gramEnd"/>
      <w:r w:rsidRPr="00781112">
        <w:rPr>
          <w:rFonts w:cs="Arial"/>
          <w:color w:val="000000" w:themeColor="text1"/>
          <w:szCs w:val="16"/>
        </w:rPr>
        <w:t xml:space="preserve">: Students must earn a minimum of 26 Carnegie units from grades 9-12. </w:t>
      </w:r>
      <w:proofErr w:type="gramStart"/>
      <w:r w:rsidRPr="00781112">
        <w:rPr>
          <w:rFonts w:cs="Arial"/>
          <w:color w:val="000000" w:themeColor="text1"/>
          <w:szCs w:val="16"/>
        </w:rPr>
        <w:t>Twenty one</w:t>
      </w:r>
      <w:proofErr w:type="gramEnd"/>
      <w:r w:rsidRPr="00781112">
        <w:rPr>
          <w:rFonts w:cs="Arial"/>
          <w:color w:val="000000" w:themeColor="text1"/>
          <w:szCs w:val="16"/>
        </w:rPr>
        <w:t xml:space="preserve"> (21) of the Carnegie units must be earned in specific required courses, delineated below, and the other 5 Carnegie units are earned in elective courses. All students must achieve a grade of 70% or better in each required course and in each elective to earn course credit (Carnegie Unit) toward graduation with a high school diploma. Students are required to complete 100 hours of community service to graduate.</w:t>
      </w:r>
      <w:r w:rsidRPr="00781112">
        <w:rPr>
          <w:rFonts w:cs="Arial"/>
          <w:color w:val="000000" w:themeColor="text1"/>
          <w:szCs w:val="16"/>
        </w:rPr>
        <w:br/>
      </w:r>
      <w:r w:rsidRPr="00781112">
        <w:rPr>
          <w:rFonts w:cs="Arial"/>
          <w:color w:val="000000" w:themeColor="text1"/>
          <w:szCs w:val="16"/>
        </w:rPr>
        <w:br/>
        <w:t>Specific course requirements for graduation are:</w:t>
      </w:r>
      <w:r w:rsidRPr="00781112">
        <w:rPr>
          <w:rFonts w:cs="Arial"/>
          <w:color w:val="000000" w:themeColor="text1"/>
          <w:szCs w:val="16"/>
        </w:rPr>
        <w:br/>
        <w:t>English- 4 Carnegie Units</w:t>
      </w:r>
      <w:r w:rsidRPr="00781112">
        <w:rPr>
          <w:rFonts w:cs="Arial"/>
          <w:color w:val="000000" w:themeColor="text1"/>
          <w:szCs w:val="16"/>
        </w:rPr>
        <w:br/>
        <w:t>Science, including general Science and Biology- 3 Carnegie Units</w:t>
      </w:r>
      <w:r w:rsidRPr="00781112">
        <w:rPr>
          <w:rFonts w:cs="Arial"/>
          <w:color w:val="000000" w:themeColor="text1"/>
          <w:szCs w:val="16"/>
        </w:rPr>
        <w:br/>
        <w:t>Mathematics, including Algebra and Geometry- 3 Carnegie Units</w:t>
      </w:r>
      <w:r w:rsidRPr="00781112">
        <w:rPr>
          <w:rFonts w:cs="Arial"/>
          <w:color w:val="000000" w:themeColor="text1"/>
          <w:szCs w:val="16"/>
        </w:rPr>
        <w:br/>
        <w:t>Social Studies, including Virgin Islands History, Caribbean History, and U.S. History-(1 Carnegie Unit per course for a total of 3 Carnegie Units)</w:t>
      </w:r>
      <w:r w:rsidRPr="00781112">
        <w:rPr>
          <w:rFonts w:cs="Arial"/>
          <w:color w:val="000000" w:themeColor="text1"/>
          <w:szCs w:val="16"/>
        </w:rPr>
        <w:br/>
        <w:t>Foreign Language (Spanish or French)- 2 Carnegie Units</w:t>
      </w:r>
      <w:r w:rsidRPr="00781112">
        <w:rPr>
          <w:rFonts w:cs="Arial"/>
          <w:color w:val="000000" w:themeColor="text1"/>
          <w:szCs w:val="16"/>
        </w:rPr>
        <w:br/>
        <w:t>Computer Science- 1 Carnegie Unit</w:t>
      </w:r>
      <w:r w:rsidRPr="00781112">
        <w:rPr>
          <w:rFonts w:cs="Arial"/>
          <w:color w:val="000000" w:themeColor="text1"/>
          <w:szCs w:val="16"/>
        </w:rPr>
        <w:br/>
        <w:t>Physical Education- 2 Carnegie Units</w:t>
      </w:r>
      <w:r w:rsidRPr="00781112">
        <w:rPr>
          <w:rFonts w:cs="Arial"/>
          <w:color w:val="000000" w:themeColor="text1"/>
          <w:szCs w:val="16"/>
        </w:rPr>
        <w:br/>
        <w:t>Health- 1 Carnegie Unit</w:t>
      </w:r>
      <w:r w:rsidRPr="00781112">
        <w:rPr>
          <w:rFonts w:cs="Arial"/>
          <w:color w:val="000000" w:themeColor="text1"/>
          <w:szCs w:val="16"/>
        </w:rPr>
        <w:br/>
        <w:t>Home Economics or Industrial Arts- 1 Carnegie Unit</w:t>
      </w:r>
      <w:r w:rsidRPr="00781112">
        <w:rPr>
          <w:rFonts w:cs="Arial"/>
          <w:color w:val="000000" w:themeColor="text1"/>
          <w:szCs w:val="16"/>
        </w:rPr>
        <w:br/>
        <w:t>Developmental Reading/Developmental Writing or Speech- 1 Carnegie Unit</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VIDE/SOSE used the same data as used for reporting to the Department under section 618 of the Individuals with Disabilities Education Act (IDEA), using the definitions in EDFacts file specification FS009.</w:t>
      </w:r>
      <w:r w:rsidRPr="00781112">
        <w:rPr>
          <w:rFonts w:cs="Arial"/>
          <w:color w:val="000000" w:themeColor="text1"/>
          <w:szCs w:val="16"/>
        </w:rPr>
        <w:br/>
      </w:r>
      <w:r w:rsidRPr="00781112">
        <w:rPr>
          <w:rFonts w:cs="Arial"/>
          <w:color w:val="000000" w:themeColor="text1"/>
          <w:szCs w:val="16"/>
        </w:rPr>
        <w:br/>
        <w:t>Number of youth with IEPs (ages 14-21) who exited special education due to graduating with a regular high school diploma divided by the number of all youth with IEPs who exited special education (ages 14-21)</w:t>
      </w:r>
      <w:r w:rsidRPr="00781112">
        <w:rPr>
          <w:rFonts w:cs="Arial"/>
          <w:color w:val="000000" w:themeColor="text1"/>
          <w:szCs w:val="16"/>
        </w:rPr>
        <w:br/>
      </w:r>
      <w:r w:rsidRPr="00781112">
        <w:rPr>
          <w:rFonts w:cs="Arial"/>
          <w:color w:val="000000" w:themeColor="text1"/>
          <w:szCs w:val="16"/>
        </w:rPr>
        <w:br/>
        <w:t>Calculation: 48 / 80 = 60.00%</w:t>
      </w:r>
      <w:r w:rsidRPr="00781112">
        <w:rPr>
          <w:rFonts w:cs="Arial"/>
          <w:color w:val="000000" w:themeColor="text1"/>
          <w:szCs w:val="16"/>
        </w:rPr>
        <w:br/>
      </w:r>
      <w:r w:rsidRPr="00781112">
        <w:rPr>
          <w:rFonts w:cs="Arial"/>
          <w:color w:val="000000" w:themeColor="text1"/>
          <w:szCs w:val="16"/>
        </w:rPr>
        <w:br/>
        <w:t xml:space="preserve">During FFY 2021, (SY 2020-2021), the VIDE/SOSE has continued to improve outcomes for children and youth with disabilities in the four cluster indicators by engaging in ongoing professional development through its national affiliates and resource partners and through these channels engaging the districts’ in continued collaboration and professional technical development. This along with ongoing monitoring of writing effective IEPs, ensuring provisions of coordinated related services are implemented, and rigorous reviews of monthly exiting profiles have all lend themselves very useful in providing the districts with the most effective practices to promote effective </w:t>
      </w:r>
      <w:proofErr w:type="gramStart"/>
      <w:r w:rsidRPr="00781112">
        <w:rPr>
          <w:rFonts w:cs="Arial"/>
          <w:color w:val="000000" w:themeColor="text1"/>
          <w:szCs w:val="16"/>
        </w:rPr>
        <w:t>student centered</w:t>
      </w:r>
      <w:proofErr w:type="gramEnd"/>
      <w:r w:rsidRPr="00781112">
        <w:rPr>
          <w:rFonts w:cs="Arial"/>
          <w:color w:val="000000" w:themeColor="text1"/>
          <w:szCs w:val="16"/>
        </w:rPr>
        <w:t xml:space="preserve"> outcomes. In building capacity and guiding the districts, the VIDE/SOSE continues to promote the most effective practices and structures to improve graduation rates, decrease dropouts, develop quality </w:t>
      </w:r>
      <w:proofErr w:type="gramStart"/>
      <w:r w:rsidRPr="00781112">
        <w:rPr>
          <w:rFonts w:cs="Arial"/>
          <w:color w:val="000000" w:themeColor="text1"/>
          <w:szCs w:val="16"/>
        </w:rPr>
        <w:t>IEPs</w:t>
      </w:r>
      <w:proofErr w:type="gramEnd"/>
      <w:r w:rsidRPr="00781112">
        <w:rPr>
          <w:rFonts w:cs="Arial"/>
          <w:color w:val="000000" w:themeColor="text1"/>
          <w:szCs w:val="16"/>
        </w:rPr>
        <w:t xml:space="preserve"> and transition planning, and more importantly improve post-school outcomes. </w:t>
      </w:r>
    </w:p>
    <w:p w14:paraId="7D2A5658" w14:textId="39995CE7" w:rsidR="000C60E1" w:rsidRPr="00781112" w:rsidRDefault="00B0742B" w:rsidP="008645AD">
      <w:pPr>
        <w:pStyle w:val="Heading2"/>
      </w:pPr>
      <w:bookmarkStart w:id="6"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28E6B91" w:rsidR="00907A35" w:rsidRPr="00781112" w:rsidRDefault="00907A35" w:rsidP="004369B2">
      <w:pPr>
        <w:rPr>
          <w:b/>
          <w:color w:val="000000" w:themeColor="text1"/>
        </w:rPr>
      </w:pPr>
      <w:r w:rsidRPr="00781112">
        <w:rPr>
          <w:b/>
          <w:color w:val="000000" w:themeColor="text1"/>
        </w:rPr>
        <w:t>Historical Data</w:t>
      </w:r>
      <w:r w:rsidR="005F18E9">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30.56%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30.56%</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5.14%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7.64%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6.80%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5.37%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30.56%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29.00%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28.00%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27.00%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26.00%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During FFY 2021 (school year 2020-2021), the VIDE/SOSE expanded and reconfigured its stakeholder components with a concentrated focus on indicator clusters to ensure expert representation and analyses in all target areas of this indicator and all indicators in this cluster. This reconfiguration includes but it not limited to the following: parents of students with disabilities, grade level and content experts in secondary transition services, regular and special education personnel, district directors, district coordinators and supervisor, District Office of Special Education personnel, Educational Diagnostic personnel, private business sector, inter-agency partners, and other outside and linking agencies. The VIDE/SOSE divided the stakeholders into cluster groups. </w:t>
      </w:r>
      <w:r w:rsidRPr="00781112">
        <w:rPr>
          <w:rFonts w:cs="Arial"/>
          <w:color w:val="000000" w:themeColor="text1"/>
          <w:szCs w:val="16"/>
        </w:rPr>
        <w:br/>
        <w:t xml:space="preserve">The VIDE/SOSE reconvened its stakeholders for this indicator to review the data for FFY 2020 and implement ongoing continued improvement strategies to decrease the </w:t>
      </w:r>
      <w:proofErr w:type="spellStart"/>
      <w:r w:rsidRPr="00781112">
        <w:rPr>
          <w:rFonts w:cs="Arial"/>
          <w:color w:val="000000" w:themeColor="text1"/>
          <w:szCs w:val="16"/>
        </w:rPr>
        <w:t>drop out</w:t>
      </w:r>
      <w:proofErr w:type="spellEnd"/>
      <w:r w:rsidRPr="00781112">
        <w:rPr>
          <w:rFonts w:cs="Arial"/>
          <w:color w:val="000000" w:themeColor="text1"/>
          <w:szCs w:val="16"/>
        </w:rPr>
        <w:t xml:space="preserve"> rates for children with disabilities. The stakeholders for this cluster were tasked with an </w:t>
      </w:r>
      <w:proofErr w:type="gramStart"/>
      <w:r w:rsidRPr="00781112">
        <w:rPr>
          <w:rFonts w:cs="Arial"/>
          <w:color w:val="000000" w:themeColor="text1"/>
          <w:szCs w:val="16"/>
        </w:rPr>
        <w:t>analyses</w:t>
      </w:r>
      <w:proofErr w:type="gramEnd"/>
      <w:r w:rsidRPr="00781112">
        <w:rPr>
          <w:rFonts w:cs="Arial"/>
          <w:color w:val="000000" w:themeColor="text1"/>
          <w:szCs w:val="16"/>
        </w:rPr>
        <w:t xml:space="preserve"> of the FFY 2020 data. Stakeholders were tasked with identifying areas for improvements geared towards ensuring children with disabilities were afforded FAPE and services in the LRE. Stakeholders were provided with historical data as well as targets for 2021 through 2025. Stakeholders discussed strategies to increase graduation rates, decrease </w:t>
      </w:r>
      <w:proofErr w:type="spellStart"/>
      <w:r w:rsidRPr="00781112">
        <w:rPr>
          <w:rFonts w:cs="Arial"/>
          <w:color w:val="000000" w:themeColor="text1"/>
          <w:szCs w:val="16"/>
        </w:rPr>
        <w:t>drop out</w:t>
      </w:r>
      <w:proofErr w:type="spellEnd"/>
      <w:r w:rsidRPr="00781112">
        <w:rPr>
          <w:rFonts w:cs="Arial"/>
          <w:color w:val="000000" w:themeColor="text1"/>
          <w:szCs w:val="16"/>
        </w:rPr>
        <w:t xml:space="preserve"> rates, write effective IEPs and increase representativeness of the demographic of post school responders, especially, increasing the total number responders, particularly for underrepresented groups, and identifying potential response bias as well as provide strategies to reduce response bias for youth who had IEPs and were no longer in secondary school. A comparative analysis of Target Leaver and Respondent Representation for all leavers in the FFY 2020 data were carefully reviewed to determine the conditions needed for a higher response rate and reducing response bias. This process allowed stakeholders to select a </w:t>
      </w:r>
      <w:proofErr w:type="gramStart"/>
      <w:r w:rsidRPr="00781112">
        <w:rPr>
          <w:rFonts w:cs="Arial"/>
          <w:color w:val="000000" w:themeColor="text1"/>
          <w:szCs w:val="16"/>
        </w:rPr>
        <w:t>demographic groups</w:t>
      </w:r>
      <w:proofErr w:type="gramEnd"/>
      <w:r w:rsidRPr="00781112">
        <w:rPr>
          <w:rFonts w:cs="Arial"/>
          <w:color w:val="000000" w:themeColor="text1"/>
          <w:szCs w:val="16"/>
        </w:rPr>
        <w:t xml:space="preserve"> for responder’s representativeness as required for FFY 2021. The Stakeholders analyzes captured that most responders demonstrated outcomes that were </w:t>
      </w:r>
      <w:proofErr w:type="gramStart"/>
      <w:r w:rsidRPr="00781112">
        <w:rPr>
          <w:rFonts w:cs="Arial"/>
          <w:color w:val="000000" w:themeColor="text1"/>
          <w:szCs w:val="16"/>
        </w:rPr>
        <w:t>effective</w:t>
      </w:r>
      <w:proofErr w:type="gramEnd"/>
      <w:r w:rsidRPr="00781112">
        <w:rPr>
          <w:rFonts w:cs="Arial"/>
          <w:color w:val="000000" w:themeColor="text1"/>
          <w:szCs w:val="16"/>
        </w:rPr>
        <w:t xml:space="preserve"> and it was concluded that effectiveness or positive outcomes contributed to a higher likelihood of responders responding to the survey. Stakeholders for this cluster were given a description of the State Post School Outcome (PSO) calculator. A detailed description about the data elements and displays were provided. The State enters data and analyzes the data for this indicator through the State’s PSO calculator, the calculator produces tabular and graphical presentation from data entered on excel worksheets. The data shows the response rate disaggregated by disability group, gender, race/ethnicity and exiting modes. The Cluster Stakeholders for this indicator approved the analysis of the demographic of response representativeness by the disability category of Specific Learning </w:t>
      </w:r>
      <w:r w:rsidRPr="00781112">
        <w:rPr>
          <w:rFonts w:cs="Arial"/>
          <w:color w:val="000000" w:themeColor="text1"/>
          <w:szCs w:val="16"/>
        </w:rPr>
        <w:lastRenderedPageBreak/>
        <w:t>Disabled (SLD) and recommended increasing the networking with other transition agencies to provide direct services to students who exit in any other mode other than receiving a high school diploma or certificate of completion.</w:t>
      </w:r>
    </w:p>
    <w:p w14:paraId="0FDDBDB2" w14:textId="77777777" w:rsidR="00C160F0" w:rsidRDefault="00C160F0" w:rsidP="004369B2">
      <w:pPr>
        <w:rPr>
          <w:b/>
          <w:color w:val="000000" w:themeColor="text1"/>
        </w:rPr>
      </w:pPr>
    </w:p>
    <w:p w14:paraId="68E34693" w14:textId="1F22A9ED"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30.56%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VIDE/SOSE definition of dropout is a student who is enrolled at the beginning of the school year and who is not enrolled at the conclusion of that school year.  The definition of dropout is the same for students without IEPs.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During FFY 2021 (SY 2020-2021), the VIDE/SOSE continues to work closely with the LEAs to ensure the best possible outcomes for children and youth with disabilities. The VIDE/SOSE implementation of the State Results Driven Accountability Exiting Report that requires each LEA to report monthly to the SOSE the names of students, schools, progress reports, and reason for exiting school prior to the end of that school year ensures the highest level of services that is oriented at ensuring that children with disabilities are afforded with the best exiting options furthermore, this system allows for academic remediation. This data will be utilized to assist each LEA with ensuring that every child that exits school in any manner other than receiving a high school diploma or certificate of completion is afforded with a selection of post school options and or strategies best suited to graduate high school.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 This along with ongoing monitoring of writing effective IEPs, ensuring provisions of coordinated related services are implemented, and rigorous reviews of monthly exiting profiles have all lend themselves very useful in providing the districts with the most effective practices to promote effective </w:t>
      </w:r>
      <w:proofErr w:type="gramStart"/>
      <w:r w:rsidRPr="00781112">
        <w:rPr>
          <w:rFonts w:cs="Arial"/>
          <w:color w:val="000000" w:themeColor="text1"/>
          <w:szCs w:val="16"/>
          <w:shd w:val="clear" w:color="auto" w:fill="FFFFFF"/>
        </w:rPr>
        <w:t>student centered</w:t>
      </w:r>
      <w:proofErr w:type="gramEnd"/>
      <w:r w:rsidRPr="00781112">
        <w:rPr>
          <w:rFonts w:cs="Arial"/>
          <w:color w:val="000000" w:themeColor="text1"/>
          <w:szCs w:val="16"/>
          <w:shd w:val="clear" w:color="auto" w:fill="FFFFFF"/>
        </w:rPr>
        <w:t xml:space="preserve"> outcomes. In building capacity and guiding the districts, the VIDE/SOSE continues to promote the most effective practices and structures to improve graduation rates, decrease dropouts, develop quality </w:t>
      </w:r>
      <w:proofErr w:type="gramStart"/>
      <w:r w:rsidRPr="00781112">
        <w:rPr>
          <w:rFonts w:cs="Arial"/>
          <w:color w:val="000000" w:themeColor="text1"/>
          <w:szCs w:val="16"/>
          <w:shd w:val="clear" w:color="auto" w:fill="FFFFFF"/>
        </w:rPr>
        <w:t>IEPs</w:t>
      </w:r>
      <w:proofErr w:type="gramEnd"/>
      <w:r w:rsidRPr="00781112">
        <w:rPr>
          <w:rFonts w:cs="Arial"/>
          <w:color w:val="000000" w:themeColor="text1"/>
          <w:szCs w:val="16"/>
          <w:shd w:val="clear" w:color="auto" w:fill="FFFFFF"/>
        </w:rPr>
        <w:t xml:space="preserve"> and transition planning, and more importantly improve post-school outcomes.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100.00%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93.94%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C9F3B59" w14:textId="1C6072A3" w:rsidR="005246CC" w:rsidRPr="00781112" w:rsidRDefault="004E3F2D" w:rsidP="005246CC">
            <w:pPr>
              <w:spacing w:before="0" w:after="0"/>
              <w:jc w:val="center"/>
              <w:rPr>
                <w:rFonts w:cs="Arial"/>
                <w:color w:val="000000" w:themeColor="text1"/>
                <w:szCs w:val="16"/>
              </w:rPr>
            </w:pPr>
            <w:r>
              <w:rPr>
                <w:rFonts w:cs="Arial"/>
                <w:color w:val="000000" w:themeColor="text1"/>
                <w:szCs w:val="16"/>
              </w:rPr>
              <w:t>x</w:t>
            </w:r>
            <w:bookmarkStart w:id="14" w:name="_Ref141113526"/>
            <w:r>
              <w:rPr>
                <w:rStyle w:val="FootnoteReference"/>
                <w:rFonts w:cs="Arial"/>
                <w:color w:val="000000" w:themeColor="text1"/>
                <w:szCs w:val="16"/>
              </w:rPr>
              <w:footnoteReference w:id="4"/>
            </w:r>
            <w:bookmarkEnd w:id="14"/>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94.46%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71898A" w14:textId="47F8228B" w:rsidR="00312480" w:rsidRPr="00781112" w:rsidRDefault="004E3F2D" w:rsidP="00312480">
            <w:pPr>
              <w:spacing w:before="0" w:after="0"/>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_Ref141113526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3</w:t>
            </w:r>
            <w:r>
              <w:rPr>
                <w:rFonts w:cs="Arial"/>
                <w:color w:val="000000" w:themeColor="text1"/>
                <w:szCs w:val="16"/>
              </w:rPr>
              <w:fldChar w:fldCharType="end"/>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93.94%</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94.00%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94.50%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BB02E71" w:rsidR="00B14519" w:rsidRPr="00781112" w:rsidRDefault="004E3F2D" w:rsidP="00C362C0">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_Ref141113526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3</w:t>
            </w:r>
            <w:r>
              <w:rPr>
                <w:rFonts w:cs="Arial"/>
                <w:color w:val="000000" w:themeColor="text1"/>
                <w:szCs w:val="16"/>
              </w:rPr>
              <w:fldChar w:fldCharType="end"/>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86.00%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86.00%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86.50%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87.00%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94.46%</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95.50%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727D365F" w:rsidR="00B14519" w:rsidRPr="00781112" w:rsidRDefault="002646E4" w:rsidP="00C362C0">
            <w:pPr>
              <w:jc w:val="center"/>
              <w:rPr>
                <w:rFonts w:cs="Arial"/>
                <w:color w:val="000000" w:themeColor="text1"/>
                <w:szCs w:val="16"/>
              </w:rPr>
            </w:pPr>
            <w:r>
              <w:rPr>
                <w:rFonts w:cs="Arial"/>
                <w:color w:val="000000" w:themeColor="text1"/>
                <w:szCs w:val="16"/>
              </w:rPr>
              <w:t>87.78%</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88.00%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88.00%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88.50%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88.50%</w:t>
            </w:r>
          </w:p>
        </w:tc>
      </w:tr>
    </w:tbl>
    <w:p w14:paraId="4FED9CA8" w14:textId="44F264E8" w:rsidR="007765EF" w:rsidRDefault="007765EF" w:rsidP="00480083">
      <w:pPr>
        <w:rPr>
          <w:b/>
          <w:color w:val="000000" w:themeColor="text1"/>
        </w:rPr>
      </w:pPr>
    </w:p>
    <w:p w14:paraId="2DB4239B" w14:textId="7668C6B6" w:rsidR="00480083" w:rsidRPr="002E7CCF" w:rsidRDefault="00480083" w:rsidP="002E7CCF">
      <w:pPr>
        <w:spacing w:before="0" w:after="200" w:line="276" w:lineRule="auto"/>
        <w:rPr>
          <w:b/>
          <w:color w:val="000000" w:themeColor="text1"/>
        </w:rPr>
      </w:pPr>
      <w:r w:rsidRPr="00781112">
        <w:rPr>
          <w:b/>
          <w:color w:val="000000" w:themeColor="text1"/>
        </w:rPr>
        <w:t xml:space="preserve">Targets: Description of Stakeholder Input </w:t>
      </w:r>
      <w:r w:rsidR="002E7CCF">
        <w:rPr>
          <w:b/>
          <w:color w:val="000000" w:themeColor="text1"/>
        </w:rPr>
        <w:br/>
      </w:r>
      <w:r w:rsidRPr="00781112">
        <w:rPr>
          <w:rFonts w:cs="Arial"/>
          <w:color w:val="000000" w:themeColor="text1"/>
          <w:szCs w:val="16"/>
        </w:rPr>
        <w:t xml:space="preserve">The VIDE/SOSE reconvened its Cluster Stakeholders group members specifically for Indicators 3, 5, and 17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review and recommend targets that demonstrate improvements for this indicator over the 5-year targets of this SPP/APR. As with other cluster indicators, the State carefully selected the members of this group which includes and is not limited to parents/guardians of preschool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 The State Cluster Stakeholders group members used the data collected and reported for this indicator to build a framework for building capacity within the State Curriculum and Instructions Literacy Improvement Plan and the VIDE School-Wide Strategic Improvement Plan designed to improve literacy outcomes for ELA and increase the proficiency rates in reading comprehension for children with disabilities in grades 3 as specified in the State </w:t>
      </w:r>
      <w:r w:rsidRPr="00781112">
        <w:rPr>
          <w:rFonts w:cs="Arial"/>
          <w:color w:val="000000" w:themeColor="text1"/>
          <w:szCs w:val="16"/>
        </w:rPr>
        <w:lastRenderedPageBreak/>
        <w:t>Improvement Measurable Results. The Cluster Stakeholders reviewed the baseline data collected and reported for this indicator and made recommendations on the targets for improvement over the next 5 years of data collection for Reading and Math grades 4, grades 8, and grades 11.</w:t>
      </w:r>
      <w:r w:rsidRPr="00781112">
        <w:rPr>
          <w:rFonts w:cs="Arial"/>
          <w:color w:val="000000" w:themeColor="text1"/>
          <w:szCs w:val="16"/>
        </w:rPr>
        <w:br/>
      </w:r>
      <w:r w:rsidRPr="00781112">
        <w:rPr>
          <w:rFonts w:cs="Arial"/>
          <w:color w:val="000000" w:themeColor="text1"/>
          <w:szCs w:val="16"/>
        </w:rPr>
        <w:br/>
        <w:t xml:space="preserve">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3, 5, and 17 (SSIP). The Cluster Stakeholders for this indicator were reintroduced to the methodology and measurements which closely looks at the overall participation rate of children with IEPs.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58E6F700" w14:textId="77777777" w:rsidR="002E7CCF" w:rsidRPr="00781112" w:rsidRDefault="002E7CCF"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66</w:t>
            </w:r>
          </w:p>
        </w:tc>
        <w:tc>
          <w:tcPr>
            <w:tcW w:w="1153" w:type="pct"/>
            <w:shd w:val="clear" w:color="auto" w:fill="auto"/>
            <w:vAlign w:val="center"/>
          </w:tcPr>
          <w:p w14:paraId="052A06A3" w14:textId="430D8762" w:rsidR="00DD7CEF" w:rsidRPr="00781112" w:rsidRDefault="004E3F2D" w:rsidP="00360DD6">
            <w:pPr>
              <w:jc w:val="center"/>
              <w:rPr>
                <w:rFonts w:cs="Arial"/>
                <w:color w:val="000000" w:themeColor="text1"/>
                <w:szCs w:val="16"/>
              </w:rPr>
            </w:pPr>
            <w:r>
              <w:rPr>
                <w:rFonts w:cs="Arial"/>
                <w:color w:val="000000" w:themeColor="text1"/>
                <w:szCs w:val="16"/>
              </w:rPr>
              <w:t>x</w:t>
            </w:r>
            <w:bookmarkStart w:id="15" w:name="_Ref141113621"/>
            <w:r>
              <w:rPr>
                <w:rStyle w:val="FootnoteReference"/>
                <w:rFonts w:cs="Arial"/>
                <w:color w:val="000000" w:themeColor="text1"/>
                <w:szCs w:val="16"/>
              </w:rPr>
              <w:footnoteReference w:id="5"/>
            </w:r>
            <w:bookmarkEnd w:id="15"/>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w:t>
            </w:r>
          </w:p>
        </w:tc>
        <w:tc>
          <w:tcPr>
            <w:tcW w:w="1153" w:type="pct"/>
            <w:shd w:val="clear" w:color="auto" w:fill="auto"/>
            <w:vAlign w:val="center"/>
          </w:tcPr>
          <w:p w14:paraId="37AA75C1" w14:textId="10F27EE5" w:rsidR="00DD7CEF" w:rsidRPr="00781112" w:rsidRDefault="004E3F2D"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7D90568D" w14:textId="77777777" w:rsidR="002E7CCF" w:rsidRPr="00781112" w:rsidRDefault="002E7CCF"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65</w:t>
            </w:r>
          </w:p>
        </w:tc>
        <w:tc>
          <w:tcPr>
            <w:tcW w:w="1153" w:type="pct"/>
            <w:shd w:val="clear" w:color="auto" w:fill="auto"/>
            <w:vAlign w:val="center"/>
          </w:tcPr>
          <w:p w14:paraId="07D0BC24" w14:textId="41FAC280" w:rsidR="00BA0CFF" w:rsidRPr="00781112" w:rsidRDefault="004E3F2D"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w:t>
            </w:r>
          </w:p>
        </w:tc>
        <w:tc>
          <w:tcPr>
            <w:tcW w:w="1153" w:type="pct"/>
            <w:shd w:val="clear" w:color="auto" w:fill="auto"/>
            <w:vAlign w:val="center"/>
          </w:tcPr>
          <w:p w14:paraId="79C22C84" w14:textId="4C0481E4" w:rsidR="003A67B1" w:rsidRPr="00781112" w:rsidRDefault="004E3F2D"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93.94%</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93.94%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63F7D60D" w:rsidR="00892DD7" w:rsidRPr="00781112" w:rsidRDefault="004E3F2D"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c>
          <w:tcPr>
            <w:tcW w:w="918" w:type="pct"/>
            <w:shd w:val="clear" w:color="auto" w:fill="auto"/>
            <w:vAlign w:val="center"/>
          </w:tcPr>
          <w:p w14:paraId="7C38F4A3" w14:textId="35DBA2D7" w:rsidR="00892DD7" w:rsidRPr="00781112" w:rsidRDefault="004E3F2D"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02DE15" w:rsidR="00892DD7" w:rsidRPr="00781112" w:rsidRDefault="004E3F2D"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c>
          <w:tcPr>
            <w:tcW w:w="467" w:type="pct"/>
            <w:shd w:val="clear" w:color="auto" w:fill="auto"/>
            <w:vAlign w:val="center"/>
          </w:tcPr>
          <w:p w14:paraId="1760C9A2" w14:textId="770EAC82" w:rsidR="00892DD7" w:rsidRPr="00781112" w:rsidRDefault="004E3F2D"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_Ref141113621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4</w:t>
            </w:r>
            <w:r>
              <w:rPr>
                <w:rFonts w:cs="Arial"/>
                <w:color w:val="000000" w:themeColor="text1"/>
                <w:szCs w:val="16"/>
              </w:rPr>
              <w:fldChar w:fldCharType="end"/>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94.46%</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98.46%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52084C4F" w:rsidR="002C43CF" w:rsidRPr="00781112" w:rsidRDefault="004E3F2D" w:rsidP="002C43CF">
            <w:pPr>
              <w:jc w:val="center"/>
              <w:rPr>
                <w:rFonts w:cs="Arial"/>
                <w:color w:val="000000" w:themeColor="text1"/>
                <w:szCs w:val="16"/>
              </w:rPr>
            </w:pPr>
            <w:r>
              <w:rPr>
                <w:rFonts w:cs="Arial"/>
                <w:color w:val="000000"/>
                <w:szCs w:val="16"/>
              </w:rPr>
              <w:t>x</w:t>
            </w:r>
            <w:bookmarkStart w:id="16" w:name="_Ref141113711"/>
            <w:r>
              <w:rPr>
                <w:rStyle w:val="FootnoteReference"/>
                <w:rFonts w:cs="Arial"/>
                <w:color w:val="000000"/>
                <w:szCs w:val="16"/>
              </w:rPr>
              <w:footnoteReference w:id="6"/>
            </w:r>
            <w:bookmarkEnd w:id="16"/>
          </w:p>
        </w:tc>
        <w:tc>
          <w:tcPr>
            <w:tcW w:w="908" w:type="pct"/>
            <w:shd w:val="clear" w:color="auto" w:fill="auto"/>
            <w:vAlign w:val="center"/>
          </w:tcPr>
          <w:p w14:paraId="6B5854E5" w14:textId="08FCF21D" w:rsidR="002C43CF" w:rsidRPr="00781112" w:rsidRDefault="004E3F2D"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_Ref141113711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5</w:t>
            </w:r>
            <w:r>
              <w:rPr>
                <w:rFonts w:cs="Arial"/>
                <w:color w:val="000000" w:themeColor="text1"/>
                <w:szCs w:val="16"/>
              </w:rPr>
              <w:fldChar w:fldCharType="end"/>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6AE0F1D0" w:rsidR="002C43CF" w:rsidRPr="00781112" w:rsidRDefault="004E3F2D"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_Ref141113711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5</w:t>
            </w:r>
            <w:r>
              <w:rPr>
                <w:rFonts w:cs="Arial"/>
                <w:color w:val="000000" w:themeColor="text1"/>
                <w:szCs w:val="16"/>
              </w:rPr>
              <w:fldChar w:fldCharType="end"/>
            </w:r>
          </w:p>
        </w:tc>
        <w:tc>
          <w:tcPr>
            <w:tcW w:w="468" w:type="pct"/>
            <w:shd w:val="clear" w:color="auto" w:fill="auto"/>
            <w:vAlign w:val="center"/>
          </w:tcPr>
          <w:p w14:paraId="3A8A2153" w14:textId="52A9AA01" w:rsidR="002C43CF" w:rsidRPr="00781112" w:rsidRDefault="004E3F2D"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_Ref141113711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5</w:t>
            </w:r>
            <w:r>
              <w:rPr>
                <w:rFonts w:cs="Arial"/>
                <w:color w:val="000000" w:themeColor="text1"/>
                <w:szCs w:val="16"/>
              </w:rPr>
              <w:fldChar w:fldCharType="end"/>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https://vide.vi/blog/1949-school-report-card.html</w:t>
      </w:r>
      <w:r w:rsidRPr="00781112">
        <w:rPr>
          <w:rFonts w:cs="Arial"/>
          <w:color w:val="000000" w:themeColor="text1"/>
          <w:szCs w:val="16"/>
        </w:rPr>
        <w:br/>
      </w:r>
      <w:r w:rsidRPr="00781112">
        <w:rPr>
          <w:rFonts w:cs="Arial"/>
          <w:color w:val="000000" w:themeColor="text1"/>
          <w:szCs w:val="16"/>
        </w:rPr>
        <w:br/>
        <w:t xml:space="preserve">Instructions: </w:t>
      </w:r>
      <w:r w:rsidRPr="00781112">
        <w:rPr>
          <w:rFonts w:cs="Arial"/>
          <w:color w:val="000000" w:themeColor="text1"/>
          <w:szCs w:val="16"/>
        </w:rPr>
        <w:br/>
        <w:t>Click on or paste the link provided above</w:t>
      </w:r>
      <w:r w:rsidRPr="00781112">
        <w:rPr>
          <w:rFonts w:cs="Arial"/>
          <w:color w:val="000000" w:themeColor="text1"/>
          <w:szCs w:val="16"/>
        </w:rPr>
        <w:br/>
        <w:t>You will arrive at the School Report Card page</w:t>
      </w:r>
      <w:r w:rsidRPr="00781112">
        <w:rPr>
          <w:rFonts w:cs="Arial"/>
          <w:color w:val="000000" w:themeColor="text1"/>
          <w:szCs w:val="16"/>
        </w:rPr>
        <w:br/>
        <w:t>Scroll to the bottom of the page and click on Transitional Report Card (School Year 2014-15 to 2021-2022)</w:t>
      </w:r>
      <w:r w:rsidRPr="00781112">
        <w:rPr>
          <w:rFonts w:cs="Arial"/>
          <w:color w:val="000000" w:themeColor="text1"/>
          <w:szCs w:val="16"/>
        </w:rPr>
        <w:br/>
        <w:t>You will then arrive at the page that says Public Reports, scroll down until you see the heading Transitional Report Card</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 The VIDE/SOSE is reporting For FFY 2021, (School Year 2021/22) for the first time using the new measurement on the participation rate this participation rate is only for children with disabilities in fourth (4th), eighth (8th), and eleventh (11th) as opposed to the participation rate inclusive of all grades levels, that is from third (3) through eight (8th) and eleventh (11th). </w:t>
      </w:r>
      <w:proofErr w:type="gramStart"/>
      <w:r w:rsidRPr="00781112">
        <w:rPr>
          <w:rFonts w:cs="Arial"/>
          <w:color w:val="000000" w:themeColor="text1"/>
          <w:szCs w:val="16"/>
        </w:rPr>
        <w:t>Thus</w:t>
      </w:r>
      <w:proofErr w:type="gramEnd"/>
      <w:r w:rsidRPr="00781112">
        <w:rPr>
          <w:rFonts w:cs="Arial"/>
          <w:color w:val="000000" w:themeColor="text1"/>
          <w:szCs w:val="16"/>
        </w:rPr>
        <w:t xml:space="preserve"> this year will serve as the VIDE/SOSE’s baseline year for the participation rate of children with disabilities in the following ages; fourth (4th), eighth (8th), and eleventh (11th).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 xml:space="preserve">Virgin Islands did not provide data for FFY 2020. Virgin Islands must provide the required data for FFY 2021 in the FFY 2021 SPP/APR. </w:t>
      </w:r>
      <w:r w:rsidRPr="00781112">
        <w:rPr>
          <w:rFonts w:cs="Arial"/>
          <w:color w:val="000000" w:themeColor="text1"/>
          <w:szCs w:val="16"/>
        </w:rPr>
        <w:br/>
      </w:r>
      <w:r w:rsidRPr="00781112">
        <w:rPr>
          <w:rFonts w:cs="Arial"/>
          <w:color w:val="000000" w:themeColor="text1"/>
          <w:szCs w:val="16"/>
        </w:rPr>
        <w:br/>
        <w:t>In the FFY 2021 SPP/APR  Virgin Islands must also provide baseline data and targets for FFY 2021-2025, as required by the Measurement Table.</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Virgin Islands has revised the baseline for this indicator, using data from FFY 2021, and OSEP accepts those revisions for Grade 4 Reading and Math, Grade 8 Reading and Math and High School Reading, but OSEP cannot accept that revision for High School Math because the FFY 2021 baseline data reported in the historical data table does not match the FFY 2021 data reported in the data table for High School Math.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Virgin Islands revised its targets for FFYs 2021 through 2025 for this indicator and OSEP accepts those revisions for Grade 4 Reading and Math, Grade 8 </w:t>
      </w:r>
      <w:proofErr w:type="gramStart"/>
      <w:r w:rsidRPr="00781112">
        <w:rPr>
          <w:rFonts w:cs="Arial"/>
          <w:color w:val="000000" w:themeColor="text1"/>
          <w:szCs w:val="16"/>
          <w:shd w:val="clear" w:color="auto" w:fill="FFFFFF"/>
        </w:rPr>
        <w:t>Reading</w:t>
      </w:r>
      <w:proofErr w:type="gramEnd"/>
      <w:r w:rsidRPr="00781112">
        <w:rPr>
          <w:rFonts w:cs="Arial"/>
          <w:color w:val="000000" w:themeColor="text1"/>
          <w:szCs w:val="16"/>
          <w:shd w:val="clear" w:color="auto" w:fill="FFFFFF"/>
        </w:rPr>
        <w:t xml:space="preserve"> and Math.  However, OSEP cannot accept the Virgin Islands revised targets for FFYs 2021 through 2025 for High School Reading and Math because the Virgin Islands' targets do not align with ESEA requirements.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Virgin Islands did not provide a Web link demonstrating that the Virgin Islands reported publicly on the participation of children with disabilities on statewide assessments with the same frequency and in the same detail as it reports on the assessments of nondisabled children, as required by 34 C.F.R. § 300.160(f). Specifically, the Virgin Islands has not reported the number of children with disabilities participating in regular assessments, and the number of those children who were provided accommodations (that did not result in an invalid score)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70908578" w14:textId="2F9E942A" w:rsidR="00553A47" w:rsidRPr="002E7CCF" w:rsidRDefault="00361CFA" w:rsidP="002E7CCF">
      <w:pPr>
        <w:rPr>
          <w:rFonts w:cs="Arial"/>
          <w:color w:val="000000" w:themeColor="text1"/>
          <w:szCs w:val="16"/>
        </w:rPr>
      </w:pPr>
      <w:r w:rsidRPr="00781112">
        <w:rPr>
          <w:rFonts w:cs="Arial"/>
          <w:color w:val="000000" w:themeColor="text1"/>
          <w:szCs w:val="16"/>
          <w:shd w:val="clear" w:color="auto" w:fill="FFFFFF"/>
        </w:rPr>
        <w:t>In the FFY 2022 SPP/APR the Virgin Islands must provide updated baseline data for FFY 2021 for High School Math, as required by the Measurement Table.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Virgin Islands did not provide targets for FFYs 2021 through 2025 for High School Reading and Math that align with ESEA requirements.  The Virgin Islands must provide FFYs 2021 through 2025 targets for High School Reading and Math in the FFY 2022 SPP/APR.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Within 90 days of the receipt of the Virgin Islands' 2023 determination letter, Virgin Islands must provide to OSEP a Web link that demonstrates that it has reported, for FFY 2021, to the public, on the statewide assessments of children with disabilities in accordance with 34 C.F.R. § 300.160(f). In addition, OSEP reminds the Virgin Islands that in the FFY 2022 SPP/APR, the Virgin Islands must include a Web link that demonstrates compliance with 34 C.F.R. § 300.160(f) for FFY 2022.</w:t>
      </w:r>
      <w:r w:rsidR="00553A47"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7"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7"/>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A2A9F8D" w14:textId="7CA54F0D" w:rsidR="00E87854" w:rsidRPr="00781112" w:rsidRDefault="00B03F63" w:rsidP="00827FF4">
            <w:pPr>
              <w:spacing w:before="0" w:after="0"/>
              <w:jc w:val="center"/>
              <w:rPr>
                <w:color w:val="000000" w:themeColor="text1"/>
              </w:rPr>
            </w:pPr>
            <w:r>
              <w:rPr>
                <w:color w:val="000000" w:themeColor="text1"/>
              </w:rPr>
              <w:t>x</w:t>
            </w:r>
            <w:bookmarkStart w:id="18" w:name="_Ref141966553"/>
            <w:r w:rsidR="00AF1F57">
              <w:rPr>
                <w:rStyle w:val="FootnoteReference"/>
                <w:color w:val="000000" w:themeColor="text1"/>
              </w:rPr>
              <w:footnoteReference w:id="7"/>
            </w:r>
            <w:bookmarkEnd w:id="18"/>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2022</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3.77%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2023</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A92448" w14:textId="072A72A2" w:rsidR="00E87854" w:rsidRPr="00781112" w:rsidRDefault="00B03F63" w:rsidP="00827FF4">
            <w:pPr>
              <w:spacing w:before="0" w:after="0"/>
              <w:jc w:val="center"/>
              <w:rPr>
                <w:rFonts w:cs="Arial"/>
                <w:color w:val="000000" w:themeColor="text1"/>
                <w:szCs w:val="16"/>
              </w:rPr>
            </w:pPr>
            <w:r>
              <w:rPr>
                <w:rFonts w:cs="Arial"/>
                <w:color w:val="000000" w:themeColor="text1"/>
                <w:szCs w:val="16"/>
              </w:rPr>
              <w:t>x</w:t>
            </w:r>
            <w:r w:rsidR="00AF1F57">
              <w:rPr>
                <w:rFonts w:cs="Arial"/>
                <w:color w:val="000000" w:themeColor="text1"/>
                <w:szCs w:val="16"/>
              </w:rPr>
              <w:fldChar w:fldCharType="begin"/>
            </w:r>
            <w:r w:rsidR="00AF1F57">
              <w:rPr>
                <w:rFonts w:cs="Arial"/>
                <w:color w:val="000000" w:themeColor="text1"/>
                <w:szCs w:val="16"/>
              </w:rPr>
              <w:instrText xml:space="preserve"> NOTEREF _Ref141966553 \f \h </w:instrText>
            </w:r>
            <w:r w:rsidR="00AF1F57">
              <w:rPr>
                <w:rFonts w:cs="Arial"/>
                <w:color w:val="000000" w:themeColor="text1"/>
                <w:szCs w:val="16"/>
              </w:rPr>
            </w:r>
            <w:r w:rsidR="00AF1F57">
              <w:rPr>
                <w:rFonts w:cs="Arial"/>
                <w:color w:val="000000" w:themeColor="text1"/>
                <w:szCs w:val="16"/>
              </w:rPr>
              <w:fldChar w:fldCharType="separate"/>
            </w:r>
            <w:r w:rsidR="00C160F0" w:rsidRPr="00C160F0">
              <w:rPr>
                <w:rStyle w:val="FootnoteReference"/>
              </w:rPr>
              <w:t>6</w:t>
            </w:r>
            <w:r w:rsidR="00AF1F57">
              <w:rPr>
                <w:rFonts w:cs="Arial"/>
                <w:color w:val="000000" w:themeColor="text1"/>
                <w:szCs w:val="16"/>
              </w:rPr>
              <w:fldChar w:fldCharType="end"/>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2022</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2023</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027C5E7D" w:rsidR="00B14519" w:rsidRPr="00781112" w:rsidRDefault="00AF1F57"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8418646" w:rsidR="00B14519" w:rsidRPr="00781112" w:rsidRDefault="004B6A4A"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04C9135D" w:rsidR="00B14519" w:rsidRPr="00781112" w:rsidRDefault="004B6A4A"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30F8786E" w:rsidR="00B14519" w:rsidRPr="00781112" w:rsidRDefault="00AF1F57"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4730DCCB" w:rsidR="00B14519" w:rsidRPr="00781112" w:rsidRDefault="004B6A4A"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38932081" w:rsidR="00B14519" w:rsidRPr="00781112" w:rsidRDefault="004B6A4A" w:rsidP="004E5C7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_Ref141966553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6</w:t>
            </w:r>
            <w:r>
              <w:rPr>
                <w:rFonts w:cs="Arial"/>
                <w:color w:val="000000" w:themeColor="text1"/>
                <w:szCs w:val="16"/>
              </w:rPr>
              <w:fldChar w:fldCharType="end"/>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Default="002B7490" w:rsidP="002D145D">
      <w:pPr>
        <w:rPr>
          <w:rFonts w:cs="Arial"/>
          <w:color w:val="000000" w:themeColor="text1"/>
          <w:szCs w:val="16"/>
        </w:rPr>
      </w:pPr>
      <w:r w:rsidRPr="00781112">
        <w:rPr>
          <w:rFonts w:cs="Arial"/>
          <w:color w:val="000000" w:themeColor="text1"/>
          <w:szCs w:val="16"/>
        </w:rPr>
        <w:t xml:space="preserve">The VIDE/SOSE reconvened its Cluster Stakeholders group members specifically for Indicators 3, 5, and 17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review and recommend targets that demonstrate improvements for this indicator over the 5-year targets of this SPP/APR.  As with other cluster indicators, the State carefully selected the members of this group which includes and is not limited to parents/guardians of preschool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 The VIDE/SOSE Cluster Stakeholders group members used the data collected and reported for this indicator to build a framework for building capacity within the State Curriculum and Instructions Literacy Improvement Plan and the VIDE School-Wide Strategic Improvement Plan designed to improve literacy outcomes for ELA and increase the proficiency rates in reading comprehension for children with disabilities in grades 3 as specified in the State Improvement Measurable Results. The Cluster Stakeholders reviewed the baseline data collected and reported for this indicator and made </w:t>
      </w:r>
      <w:r w:rsidRPr="00781112">
        <w:rPr>
          <w:rFonts w:cs="Arial"/>
          <w:color w:val="000000" w:themeColor="text1"/>
          <w:szCs w:val="16"/>
        </w:rPr>
        <w:lastRenderedPageBreak/>
        <w:t>recommendations on the targets for improvement over the next 5 years of data collection for Reading in grades 4, grades 8, and grades 11. The Stakeholders verified the data collected and reported for this indicator and agreed to use the baseline data reported to revise and propose new target data over the next 5 years that represents an improvement over the baseline data for Reading in grades 4, grades 8, and grades 11. Furthermore, the Stakeholders agreed to remove the targets for Math grades 4, grades 8, and grades 11 presented during this APR submission and made clarification as required by OSEP Response. The Stakeholders agreed that the data entered as (0) for Math grades 4, grades 8, and grades 11 are valid and reliable data. Moreover, the Stakeholders agreed and proposed new target data for these measurements that will demonstrate improvement over the baseline data.</w:t>
      </w:r>
      <w:r w:rsidRPr="00781112">
        <w:rPr>
          <w:rFonts w:cs="Arial"/>
          <w:color w:val="000000" w:themeColor="text1"/>
          <w:szCs w:val="16"/>
        </w:rPr>
        <w:br/>
      </w:r>
      <w:r w:rsidRPr="00781112">
        <w:rPr>
          <w:rFonts w:cs="Arial"/>
          <w:color w:val="000000" w:themeColor="text1"/>
          <w:szCs w:val="16"/>
        </w:rPr>
        <w:br/>
        <w:t xml:space="preserve">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3, 5, and 17 (SSIP). The Cluster Stakeholders for this indicator were reintroduced to the methodology and measurements which closely looks at the overall proficiency of children with IEPs against grade-level academic achievement standards. </w:t>
      </w:r>
    </w:p>
    <w:p w14:paraId="46B3CF72" w14:textId="77777777" w:rsidR="00B03F63" w:rsidRDefault="00B03F63" w:rsidP="002D145D">
      <w:pPr>
        <w:rPr>
          <w:rFonts w:cs="Arial"/>
          <w:color w:val="000000" w:themeColor="text1"/>
          <w:szCs w:val="16"/>
        </w:rPr>
      </w:pPr>
    </w:p>
    <w:p w14:paraId="19C750EB" w14:textId="77777777" w:rsidR="00B03F63" w:rsidRPr="00781112" w:rsidRDefault="00B03F63"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9"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110E1B59" w14:textId="77777777" w:rsidR="00B03F63" w:rsidRPr="00781112" w:rsidRDefault="00B03F63"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56</w:t>
            </w:r>
          </w:p>
        </w:tc>
      </w:tr>
      <w:tr w:rsidR="003B0C91" w:rsidRPr="00781112" w14:paraId="4F287E15" w14:textId="77777777" w:rsidTr="000D0D16">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798EC865" w:rsidR="003B0C91" w:rsidRPr="00781112" w:rsidRDefault="000D0D16" w:rsidP="000D0D16">
            <w:pPr>
              <w:jc w:val="center"/>
              <w:rPr>
                <w:rFonts w:cs="Arial"/>
                <w:color w:val="000000" w:themeColor="text1"/>
                <w:szCs w:val="16"/>
              </w:rPr>
            </w:pPr>
            <w:r>
              <w:rPr>
                <w:rFonts w:cs="Arial"/>
                <w:color w:val="000000" w:themeColor="text1"/>
                <w:szCs w:val="16"/>
              </w:rPr>
              <w:t>x</w:t>
            </w:r>
            <w:bookmarkStart w:id="20" w:name="_Ref141966358"/>
            <w:r>
              <w:rPr>
                <w:rStyle w:val="FootnoteReference"/>
                <w:rFonts w:cs="Arial"/>
                <w:color w:val="000000" w:themeColor="text1"/>
                <w:szCs w:val="16"/>
              </w:rPr>
              <w:footnoteReference w:id="8"/>
            </w:r>
            <w:bookmarkEnd w:id="20"/>
          </w:p>
        </w:tc>
        <w:tc>
          <w:tcPr>
            <w:tcW w:w="1292" w:type="pct"/>
            <w:shd w:val="clear" w:color="auto" w:fill="auto"/>
            <w:vAlign w:val="center"/>
          </w:tcPr>
          <w:p w14:paraId="74B7B6E9" w14:textId="7F52B6A6" w:rsidR="003B0C91"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_Ref141966358 \f \h  \* MERGEFORMAT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7</w:t>
            </w:r>
            <w:r>
              <w:rPr>
                <w:rFonts w:cs="Arial"/>
                <w:color w:val="000000" w:themeColor="text1"/>
                <w:szCs w:val="16"/>
              </w:rPr>
              <w:fldChar w:fldCharType="end"/>
            </w:r>
          </w:p>
        </w:tc>
        <w:tc>
          <w:tcPr>
            <w:tcW w:w="1292" w:type="pct"/>
            <w:shd w:val="clear" w:color="auto" w:fill="auto"/>
            <w:vAlign w:val="center"/>
          </w:tcPr>
          <w:p w14:paraId="46F10147" w14:textId="2335EA94" w:rsidR="003B0C91"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_Ref141966358 \f \h  \* MERGEFORMAT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7</w:t>
            </w:r>
            <w:r>
              <w:rPr>
                <w:rFonts w:cs="Arial"/>
                <w:color w:val="000000" w:themeColor="text1"/>
                <w:szCs w:val="16"/>
              </w:rPr>
              <w:fldChar w:fldCharType="end"/>
            </w:r>
          </w:p>
        </w:tc>
      </w:tr>
      <w:tr w:rsidR="000D0D16" w:rsidRPr="00781112" w14:paraId="41239D5E" w14:textId="77777777" w:rsidTr="000D0D16">
        <w:tc>
          <w:tcPr>
            <w:tcW w:w="1124" w:type="pct"/>
            <w:shd w:val="clear" w:color="auto" w:fill="auto"/>
          </w:tcPr>
          <w:p w14:paraId="5F79CC0F" w14:textId="181C3E67" w:rsidR="000D0D16" w:rsidRPr="00781112" w:rsidRDefault="000D0D16" w:rsidP="000D0D16">
            <w:pPr>
              <w:rPr>
                <w:rFonts w:cs="Arial"/>
                <w:color w:val="000000" w:themeColor="text1"/>
                <w:szCs w:val="16"/>
              </w:rPr>
            </w:pPr>
            <w:r w:rsidRPr="00781112">
              <w:rPr>
                <w:rFonts w:cs="Arial"/>
                <w:szCs w:val="16"/>
                <w:shd w:val="clear" w:color="auto" w:fill="FFFFFF"/>
              </w:rPr>
              <w:t xml:space="preserve">c. </w:t>
            </w:r>
            <w:r>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6674F55F" w:rsidR="000D0D16" w:rsidRPr="00781112" w:rsidRDefault="000D0D16" w:rsidP="000D0D16">
            <w:pPr>
              <w:jc w:val="center"/>
              <w:rPr>
                <w:rFonts w:cs="Arial"/>
                <w:color w:val="000000" w:themeColor="text1"/>
                <w:szCs w:val="16"/>
              </w:rPr>
            </w:pPr>
            <w:r w:rsidRPr="00427265">
              <w:rPr>
                <w:rFonts w:cs="Arial"/>
                <w:color w:val="000000" w:themeColor="text1"/>
                <w:szCs w:val="16"/>
              </w:rPr>
              <w:t>x</w:t>
            </w:r>
            <w:r w:rsidRPr="00427265">
              <w:rPr>
                <w:rFonts w:cs="Arial"/>
                <w:color w:val="000000" w:themeColor="text1"/>
                <w:szCs w:val="16"/>
              </w:rPr>
              <w:fldChar w:fldCharType="begin"/>
            </w:r>
            <w:r w:rsidRPr="00427265">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427265">
              <w:rPr>
                <w:rFonts w:cs="Arial"/>
                <w:color w:val="000000" w:themeColor="text1"/>
                <w:szCs w:val="16"/>
              </w:rPr>
            </w:r>
            <w:r w:rsidRPr="00427265">
              <w:rPr>
                <w:rFonts w:cs="Arial"/>
                <w:color w:val="000000" w:themeColor="text1"/>
                <w:szCs w:val="16"/>
              </w:rPr>
              <w:fldChar w:fldCharType="separate"/>
            </w:r>
            <w:r w:rsidR="00C160F0" w:rsidRPr="00C160F0">
              <w:rPr>
                <w:rStyle w:val="FootnoteReference"/>
              </w:rPr>
              <w:t>7</w:t>
            </w:r>
            <w:r w:rsidRPr="00427265">
              <w:rPr>
                <w:rFonts w:cs="Arial"/>
                <w:color w:val="000000" w:themeColor="text1"/>
                <w:szCs w:val="16"/>
              </w:rPr>
              <w:fldChar w:fldCharType="end"/>
            </w:r>
          </w:p>
        </w:tc>
        <w:tc>
          <w:tcPr>
            <w:tcW w:w="1292" w:type="pct"/>
            <w:shd w:val="clear" w:color="auto" w:fill="auto"/>
            <w:vAlign w:val="center"/>
          </w:tcPr>
          <w:p w14:paraId="47F69679" w14:textId="2FF633E6" w:rsidR="000D0D16" w:rsidRPr="00781112" w:rsidRDefault="000D0D16" w:rsidP="000D0D16">
            <w:pPr>
              <w:jc w:val="center"/>
              <w:rPr>
                <w:rFonts w:cs="Arial"/>
                <w:color w:val="000000" w:themeColor="text1"/>
                <w:szCs w:val="16"/>
              </w:rPr>
            </w:pPr>
            <w:r w:rsidRPr="00427265">
              <w:rPr>
                <w:rFonts w:cs="Arial"/>
                <w:color w:val="000000" w:themeColor="text1"/>
                <w:szCs w:val="16"/>
              </w:rPr>
              <w:t>x</w:t>
            </w:r>
            <w:r w:rsidRPr="00427265">
              <w:rPr>
                <w:rFonts w:cs="Arial"/>
                <w:color w:val="000000" w:themeColor="text1"/>
                <w:szCs w:val="16"/>
              </w:rPr>
              <w:fldChar w:fldCharType="begin"/>
            </w:r>
            <w:r w:rsidRPr="00427265">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427265">
              <w:rPr>
                <w:rFonts w:cs="Arial"/>
                <w:color w:val="000000" w:themeColor="text1"/>
                <w:szCs w:val="16"/>
              </w:rPr>
            </w:r>
            <w:r w:rsidRPr="00427265">
              <w:rPr>
                <w:rFonts w:cs="Arial"/>
                <w:color w:val="000000" w:themeColor="text1"/>
                <w:szCs w:val="16"/>
              </w:rPr>
              <w:fldChar w:fldCharType="separate"/>
            </w:r>
            <w:r w:rsidR="00C160F0" w:rsidRPr="00C160F0">
              <w:rPr>
                <w:rStyle w:val="FootnoteReference"/>
              </w:rPr>
              <w:t>7</w:t>
            </w:r>
            <w:r w:rsidRPr="00427265">
              <w:rPr>
                <w:rFonts w:cs="Arial"/>
                <w:color w:val="000000" w:themeColor="text1"/>
                <w:szCs w:val="16"/>
              </w:rPr>
              <w:fldChar w:fldCharType="end"/>
            </w:r>
          </w:p>
        </w:tc>
        <w:tc>
          <w:tcPr>
            <w:tcW w:w="1292" w:type="pct"/>
            <w:shd w:val="clear" w:color="auto" w:fill="auto"/>
            <w:vAlign w:val="center"/>
          </w:tcPr>
          <w:p w14:paraId="59F768C9" w14:textId="1331D819" w:rsidR="000D0D16" w:rsidRPr="00781112" w:rsidRDefault="000D0D16" w:rsidP="000D0D16">
            <w:pPr>
              <w:jc w:val="center"/>
              <w:rPr>
                <w:rFonts w:cs="Arial"/>
                <w:color w:val="000000" w:themeColor="text1"/>
                <w:szCs w:val="16"/>
              </w:rPr>
            </w:pPr>
            <w:r w:rsidRPr="00427265">
              <w:rPr>
                <w:rFonts w:cs="Arial"/>
                <w:color w:val="000000" w:themeColor="text1"/>
                <w:szCs w:val="16"/>
              </w:rPr>
              <w:t>x</w:t>
            </w:r>
            <w:r w:rsidRPr="00427265">
              <w:rPr>
                <w:rFonts w:cs="Arial"/>
                <w:color w:val="000000" w:themeColor="text1"/>
                <w:szCs w:val="16"/>
              </w:rPr>
              <w:fldChar w:fldCharType="begin"/>
            </w:r>
            <w:r w:rsidRPr="00427265">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427265">
              <w:rPr>
                <w:rFonts w:cs="Arial"/>
                <w:color w:val="000000" w:themeColor="text1"/>
                <w:szCs w:val="16"/>
              </w:rPr>
            </w:r>
            <w:r w:rsidRPr="00427265">
              <w:rPr>
                <w:rFonts w:cs="Arial"/>
                <w:color w:val="000000" w:themeColor="text1"/>
                <w:szCs w:val="16"/>
              </w:rPr>
              <w:fldChar w:fldCharType="separate"/>
            </w:r>
            <w:r w:rsidR="00C160F0" w:rsidRPr="00C160F0">
              <w:rPr>
                <w:rStyle w:val="FootnoteReference"/>
              </w:rPr>
              <w:t>7</w:t>
            </w:r>
            <w:r w:rsidRPr="00427265">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r>
      <w:tr w:rsidR="000D0D16" w:rsidRPr="00781112" w14:paraId="4482EF44" w14:textId="77777777" w:rsidTr="000D0D16">
        <w:tc>
          <w:tcPr>
            <w:tcW w:w="1124" w:type="pct"/>
            <w:shd w:val="clear" w:color="auto" w:fill="auto"/>
          </w:tcPr>
          <w:p w14:paraId="27BF445B" w14:textId="0D33636A" w:rsidR="000D0D16" w:rsidRPr="00781112" w:rsidRDefault="000D0D16" w:rsidP="000D0D16">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7A3BECE1"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c>
          <w:tcPr>
            <w:tcW w:w="1292" w:type="pct"/>
            <w:shd w:val="clear" w:color="auto" w:fill="auto"/>
            <w:vAlign w:val="center"/>
          </w:tcPr>
          <w:p w14:paraId="0501C27C" w14:textId="67FB5D9C"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c>
          <w:tcPr>
            <w:tcW w:w="1292" w:type="pct"/>
            <w:shd w:val="clear" w:color="auto" w:fill="auto"/>
            <w:vAlign w:val="center"/>
          </w:tcPr>
          <w:p w14:paraId="2F8ECC6A" w14:textId="31431CD6"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r>
      <w:tr w:rsidR="000D0D16" w:rsidRPr="00781112" w14:paraId="7ED983D3" w14:textId="77777777" w:rsidTr="000D0D16">
        <w:tc>
          <w:tcPr>
            <w:tcW w:w="1124" w:type="pct"/>
            <w:shd w:val="clear" w:color="auto" w:fill="auto"/>
          </w:tcPr>
          <w:p w14:paraId="6E21D958" w14:textId="7EF8B281" w:rsidR="000D0D16" w:rsidRPr="00781112" w:rsidRDefault="000D0D16" w:rsidP="000D0D16">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76B61E8C"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c>
          <w:tcPr>
            <w:tcW w:w="1292" w:type="pct"/>
            <w:shd w:val="clear" w:color="auto" w:fill="auto"/>
            <w:vAlign w:val="center"/>
          </w:tcPr>
          <w:p w14:paraId="3148F449" w14:textId="43BED4C6"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c>
          <w:tcPr>
            <w:tcW w:w="1292" w:type="pct"/>
            <w:shd w:val="clear" w:color="auto" w:fill="auto"/>
            <w:vAlign w:val="center"/>
          </w:tcPr>
          <w:p w14:paraId="56D05BB3" w14:textId="0AF589C6" w:rsidR="000D0D16" w:rsidRPr="00781112" w:rsidRDefault="000D0D16" w:rsidP="000D0D16">
            <w:pPr>
              <w:jc w:val="center"/>
              <w:rPr>
                <w:rFonts w:cs="Arial"/>
                <w:color w:val="000000" w:themeColor="text1"/>
                <w:szCs w:val="16"/>
              </w:rPr>
            </w:pPr>
            <w:r w:rsidRPr="00606D40">
              <w:rPr>
                <w:rFonts w:cs="Arial"/>
                <w:color w:val="000000" w:themeColor="text1"/>
                <w:szCs w:val="16"/>
              </w:rPr>
              <w:t>x</w:t>
            </w:r>
            <w:r w:rsidRPr="00606D40">
              <w:rPr>
                <w:rFonts w:cs="Arial"/>
                <w:color w:val="000000" w:themeColor="text1"/>
                <w:szCs w:val="16"/>
              </w:rPr>
              <w:fldChar w:fldCharType="begin"/>
            </w:r>
            <w:r w:rsidRPr="00606D40">
              <w:rPr>
                <w:rFonts w:cs="Arial"/>
                <w:color w:val="000000" w:themeColor="text1"/>
                <w:szCs w:val="16"/>
              </w:rPr>
              <w:instrText xml:space="preserve"> NOTEREF _Ref141966358 \f \h </w:instrText>
            </w:r>
            <w:r>
              <w:rPr>
                <w:rFonts w:cs="Arial"/>
                <w:color w:val="000000" w:themeColor="text1"/>
                <w:szCs w:val="16"/>
              </w:rPr>
              <w:instrText xml:space="preserve"> \* MERGEFORMAT </w:instrText>
            </w:r>
            <w:r w:rsidRPr="00606D40">
              <w:rPr>
                <w:rFonts w:cs="Arial"/>
                <w:color w:val="000000" w:themeColor="text1"/>
                <w:szCs w:val="16"/>
              </w:rPr>
            </w:r>
            <w:r w:rsidRPr="00606D40">
              <w:rPr>
                <w:rFonts w:cs="Arial"/>
                <w:color w:val="000000" w:themeColor="text1"/>
                <w:szCs w:val="16"/>
              </w:rPr>
              <w:fldChar w:fldCharType="separate"/>
            </w:r>
            <w:r w:rsidR="00C160F0" w:rsidRPr="00C160F0">
              <w:rPr>
                <w:rStyle w:val="FootnoteReference"/>
              </w:rPr>
              <w:t>7</w:t>
            </w:r>
            <w:r w:rsidRPr="00606D40">
              <w:rPr>
                <w:rFonts w:cs="Arial"/>
                <w:color w:val="000000" w:themeColor="text1"/>
                <w:szCs w:val="16"/>
              </w:rPr>
              <w:fldChar w:fldCharType="end"/>
            </w:r>
          </w:p>
        </w:tc>
      </w:tr>
      <w:bookmarkEnd w:id="19"/>
    </w:tbl>
    <w:p w14:paraId="1A4F8ED6" w14:textId="77777777" w:rsidR="00966232" w:rsidRPr="00781112" w:rsidRDefault="00966232" w:rsidP="004369B2">
      <w:pPr>
        <w:rPr>
          <w:color w:val="000000" w:themeColor="text1"/>
        </w:rPr>
      </w:pPr>
    </w:p>
    <w:p w14:paraId="716E4BE7" w14:textId="77777777" w:rsidR="00B03F63" w:rsidRDefault="00B03F63">
      <w:pPr>
        <w:spacing w:before="0" w:after="200" w:line="276" w:lineRule="auto"/>
        <w:rPr>
          <w:b/>
          <w:color w:val="000000" w:themeColor="text1"/>
        </w:rPr>
      </w:pPr>
      <w:r>
        <w:rPr>
          <w:b/>
          <w:color w:val="000000" w:themeColor="text1"/>
        </w:rPr>
        <w:br w:type="page"/>
      </w:r>
    </w:p>
    <w:p w14:paraId="1E1876C6" w14:textId="095733E3"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0D0D16" w:rsidRPr="00781112" w14:paraId="7760B96D" w14:textId="1E1E2305" w:rsidTr="000D0D16">
        <w:tc>
          <w:tcPr>
            <w:tcW w:w="198" w:type="pct"/>
            <w:shd w:val="clear" w:color="auto" w:fill="auto"/>
            <w:vAlign w:val="center"/>
          </w:tcPr>
          <w:p w14:paraId="6F54F4BD" w14:textId="3AB2A2E6" w:rsidR="000D0D16" w:rsidRPr="00781112" w:rsidRDefault="000D0D16" w:rsidP="000D0D16">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38C17FF7" w:rsidR="000D0D16" w:rsidRPr="00781112" w:rsidRDefault="000D0D16" w:rsidP="000D0D16">
            <w:pPr>
              <w:jc w:val="center"/>
              <w:rPr>
                <w:rFonts w:cs="Arial"/>
                <w:color w:val="000000" w:themeColor="text1"/>
                <w:szCs w:val="16"/>
              </w:rPr>
            </w:pPr>
            <w:r>
              <w:rPr>
                <w:rFonts w:cs="Arial"/>
                <w:color w:val="000000" w:themeColor="text1"/>
                <w:szCs w:val="16"/>
              </w:rPr>
              <w:t>x</w:t>
            </w:r>
            <w:bookmarkStart w:id="21" w:name="_Ref141966424"/>
            <w:r>
              <w:rPr>
                <w:rStyle w:val="FootnoteReference"/>
                <w:rFonts w:cs="Arial"/>
                <w:color w:val="000000" w:themeColor="text1"/>
                <w:szCs w:val="16"/>
              </w:rPr>
              <w:footnoteReference w:id="9"/>
            </w:r>
            <w:bookmarkEnd w:id="21"/>
          </w:p>
        </w:tc>
        <w:tc>
          <w:tcPr>
            <w:tcW w:w="939" w:type="pct"/>
            <w:shd w:val="clear" w:color="auto" w:fill="auto"/>
            <w:vAlign w:val="center"/>
          </w:tcPr>
          <w:p w14:paraId="7E6A021B" w14:textId="57963DE4" w:rsidR="000D0D16" w:rsidRPr="00781112" w:rsidRDefault="000D0D16" w:rsidP="000D0D16">
            <w:pPr>
              <w:jc w:val="center"/>
              <w:rPr>
                <w:rFonts w:cs="Arial"/>
                <w:color w:val="000000" w:themeColor="text1"/>
                <w:szCs w:val="16"/>
              </w:rPr>
            </w:pPr>
            <w:r w:rsidRPr="00781112">
              <w:rPr>
                <w:rFonts w:cs="Arial"/>
                <w:color w:val="000000" w:themeColor="text1"/>
                <w:szCs w:val="16"/>
              </w:rPr>
              <w:t>42</w:t>
            </w:r>
          </w:p>
        </w:tc>
        <w:tc>
          <w:tcPr>
            <w:tcW w:w="503" w:type="pct"/>
            <w:shd w:val="clear" w:color="auto" w:fill="auto"/>
            <w:vAlign w:val="center"/>
          </w:tcPr>
          <w:p w14:paraId="69FD37B5" w14:textId="09B40B87" w:rsidR="000D0D16" w:rsidRPr="00781112" w:rsidRDefault="000D0D16" w:rsidP="000D0D16">
            <w:pPr>
              <w:jc w:val="center"/>
              <w:rPr>
                <w:rFonts w:cs="Arial"/>
                <w:color w:val="000000" w:themeColor="text1"/>
                <w:szCs w:val="16"/>
              </w:rPr>
            </w:pPr>
          </w:p>
        </w:tc>
        <w:tc>
          <w:tcPr>
            <w:tcW w:w="503" w:type="pct"/>
            <w:shd w:val="clear" w:color="auto" w:fill="auto"/>
            <w:vAlign w:val="center"/>
          </w:tcPr>
          <w:p w14:paraId="482B7D09" w14:textId="08B31C3E" w:rsidR="000D0D16"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_Ref141966424 \f \h  \* MERGEFORMAT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8</w:t>
            </w:r>
            <w:r>
              <w:rPr>
                <w:rFonts w:cs="Arial"/>
                <w:color w:val="000000" w:themeColor="text1"/>
                <w:szCs w:val="16"/>
              </w:rPr>
              <w:fldChar w:fldCharType="end"/>
            </w:r>
          </w:p>
        </w:tc>
        <w:tc>
          <w:tcPr>
            <w:tcW w:w="503" w:type="pct"/>
            <w:shd w:val="clear" w:color="auto" w:fill="auto"/>
            <w:vAlign w:val="center"/>
          </w:tcPr>
          <w:p w14:paraId="120D94C1" w14:textId="5A4F298C" w:rsidR="000D0D16" w:rsidRPr="00781112" w:rsidRDefault="000D0D16"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00C160F0" w:rsidRPr="00C160F0">
              <w:rPr>
                <w:rStyle w:val="FootnoteReference"/>
              </w:rPr>
              <w:t>8</w:t>
            </w:r>
            <w:r w:rsidRPr="00FD108C">
              <w:rPr>
                <w:rFonts w:cs="Arial"/>
                <w:color w:val="000000" w:themeColor="text1"/>
                <w:szCs w:val="16"/>
              </w:rPr>
              <w:fldChar w:fldCharType="end"/>
            </w:r>
          </w:p>
        </w:tc>
        <w:tc>
          <w:tcPr>
            <w:tcW w:w="503" w:type="pct"/>
            <w:shd w:val="clear" w:color="auto" w:fill="auto"/>
            <w:vAlign w:val="center"/>
          </w:tcPr>
          <w:p w14:paraId="4C985877" w14:textId="6C415586"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r w:rsidR="000D0D16" w:rsidRPr="00781112" w14:paraId="7A5387EE" w14:textId="77777777" w:rsidTr="000D0D16">
        <w:tc>
          <w:tcPr>
            <w:tcW w:w="198" w:type="pct"/>
            <w:shd w:val="clear" w:color="auto" w:fill="auto"/>
            <w:vAlign w:val="center"/>
          </w:tcPr>
          <w:p w14:paraId="729AFDF4" w14:textId="72203283" w:rsidR="000D0D16" w:rsidRPr="00781112" w:rsidRDefault="000D0D16" w:rsidP="000D0D16">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29F9D473" w:rsidR="000D0D16"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_Ref141966424 \f \h  \* MERGEFORMAT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8</w:t>
            </w:r>
            <w:r>
              <w:rPr>
                <w:rFonts w:cs="Arial"/>
                <w:color w:val="000000" w:themeColor="text1"/>
                <w:szCs w:val="16"/>
              </w:rPr>
              <w:fldChar w:fldCharType="end"/>
            </w:r>
          </w:p>
        </w:tc>
        <w:tc>
          <w:tcPr>
            <w:tcW w:w="939" w:type="pct"/>
            <w:shd w:val="clear" w:color="auto" w:fill="auto"/>
            <w:vAlign w:val="center"/>
          </w:tcPr>
          <w:p w14:paraId="7FFA4863" w14:textId="2B0AF130" w:rsidR="000D0D16" w:rsidRPr="00781112" w:rsidRDefault="000D0D16" w:rsidP="000D0D16">
            <w:pPr>
              <w:jc w:val="center"/>
              <w:rPr>
                <w:rFonts w:cs="Arial"/>
                <w:color w:val="000000" w:themeColor="text1"/>
                <w:szCs w:val="16"/>
              </w:rPr>
            </w:pPr>
            <w:r w:rsidRPr="00781112">
              <w:rPr>
                <w:rFonts w:cs="Arial"/>
                <w:color w:val="000000" w:themeColor="text1"/>
                <w:szCs w:val="16"/>
              </w:rPr>
              <w:t>53</w:t>
            </w:r>
          </w:p>
        </w:tc>
        <w:tc>
          <w:tcPr>
            <w:tcW w:w="503" w:type="pct"/>
            <w:shd w:val="clear" w:color="auto" w:fill="auto"/>
            <w:vAlign w:val="center"/>
          </w:tcPr>
          <w:p w14:paraId="3FB80D14" w14:textId="17D00589" w:rsidR="000D0D16" w:rsidRPr="00781112" w:rsidRDefault="000D0D16" w:rsidP="000D0D16">
            <w:pPr>
              <w:jc w:val="center"/>
              <w:rPr>
                <w:rFonts w:cs="Arial"/>
                <w:color w:val="000000" w:themeColor="text1"/>
                <w:szCs w:val="16"/>
              </w:rPr>
            </w:pPr>
          </w:p>
        </w:tc>
        <w:tc>
          <w:tcPr>
            <w:tcW w:w="503" w:type="pct"/>
            <w:shd w:val="clear" w:color="auto" w:fill="auto"/>
            <w:vAlign w:val="center"/>
          </w:tcPr>
          <w:p w14:paraId="12DA8FB6" w14:textId="0E30C513" w:rsidR="000D0D16" w:rsidRPr="00781112" w:rsidRDefault="00C160F0"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Pr="00C160F0">
              <w:rPr>
                <w:rStyle w:val="FootnoteReference"/>
              </w:rPr>
              <w:t>8</w:t>
            </w:r>
            <w:r w:rsidRPr="00FD108C">
              <w:rPr>
                <w:rFonts w:cs="Arial"/>
                <w:color w:val="000000" w:themeColor="text1"/>
                <w:szCs w:val="16"/>
              </w:rPr>
              <w:fldChar w:fldCharType="end"/>
            </w:r>
          </w:p>
        </w:tc>
        <w:tc>
          <w:tcPr>
            <w:tcW w:w="503" w:type="pct"/>
            <w:shd w:val="clear" w:color="auto" w:fill="auto"/>
            <w:vAlign w:val="center"/>
          </w:tcPr>
          <w:p w14:paraId="65C7EB9E" w14:textId="70580B87" w:rsidR="000D0D16" w:rsidRPr="00781112" w:rsidRDefault="000D0D16"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00C160F0" w:rsidRPr="00C160F0">
              <w:rPr>
                <w:rStyle w:val="FootnoteReference"/>
              </w:rPr>
              <w:t>8</w:t>
            </w:r>
            <w:r w:rsidRPr="00FD108C">
              <w:rPr>
                <w:rFonts w:cs="Arial"/>
                <w:color w:val="000000" w:themeColor="text1"/>
                <w:szCs w:val="16"/>
              </w:rPr>
              <w:fldChar w:fldCharType="end"/>
            </w:r>
          </w:p>
        </w:tc>
        <w:tc>
          <w:tcPr>
            <w:tcW w:w="503" w:type="pct"/>
            <w:shd w:val="clear" w:color="auto" w:fill="auto"/>
            <w:vAlign w:val="center"/>
          </w:tcPr>
          <w:p w14:paraId="41A6F692" w14:textId="65CC6347"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r w:rsidR="000D0D16" w:rsidRPr="00781112" w14:paraId="26B346DD" w14:textId="77777777" w:rsidTr="000D0D16">
        <w:tc>
          <w:tcPr>
            <w:tcW w:w="198" w:type="pct"/>
            <w:shd w:val="clear" w:color="auto" w:fill="auto"/>
            <w:vAlign w:val="center"/>
          </w:tcPr>
          <w:p w14:paraId="2B13C665" w14:textId="583EB28A" w:rsidR="000D0D16" w:rsidRPr="00781112" w:rsidRDefault="000D0D16" w:rsidP="000D0D16">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7CBF2C61" w:rsidR="000D0D16"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_Ref141966424 \f \h  \* MERGEFORMAT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8</w:t>
            </w:r>
            <w:r>
              <w:rPr>
                <w:rFonts w:cs="Arial"/>
                <w:color w:val="000000" w:themeColor="text1"/>
                <w:szCs w:val="16"/>
              </w:rPr>
              <w:fldChar w:fldCharType="end"/>
            </w:r>
          </w:p>
        </w:tc>
        <w:tc>
          <w:tcPr>
            <w:tcW w:w="939" w:type="pct"/>
            <w:shd w:val="clear" w:color="auto" w:fill="auto"/>
            <w:vAlign w:val="center"/>
          </w:tcPr>
          <w:p w14:paraId="3E4BF8E7" w14:textId="17E7C017" w:rsidR="000D0D16" w:rsidRPr="00781112" w:rsidRDefault="000D0D16" w:rsidP="000D0D16">
            <w:pPr>
              <w:jc w:val="center"/>
              <w:rPr>
                <w:rFonts w:cs="Arial"/>
                <w:color w:val="000000" w:themeColor="text1"/>
                <w:szCs w:val="16"/>
              </w:rPr>
            </w:pPr>
            <w:r w:rsidRPr="00781112">
              <w:rPr>
                <w:rFonts w:cs="Arial"/>
                <w:color w:val="000000" w:themeColor="text1"/>
                <w:szCs w:val="16"/>
              </w:rPr>
              <w:t>56</w:t>
            </w:r>
          </w:p>
        </w:tc>
        <w:tc>
          <w:tcPr>
            <w:tcW w:w="503" w:type="pct"/>
            <w:shd w:val="clear" w:color="auto" w:fill="auto"/>
            <w:vAlign w:val="center"/>
          </w:tcPr>
          <w:p w14:paraId="039885F2" w14:textId="68486387" w:rsidR="000D0D16" w:rsidRPr="00781112" w:rsidRDefault="000D0D16" w:rsidP="000D0D16">
            <w:pPr>
              <w:jc w:val="center"/>
              <w:rPr>
                <w:rFonts w:cs="Arial"/>
                <w:color w:val="000000" w:themeColor="text1"/>
                <w:szCs w:val="16"/>
              </w:rPr>
            </w:pPr>
          </w:p>
        </w:tc>
        <w:tc>
          <w:tcPr>
            <w:tcW w:w="503" w:type="pct"/>
            <w:shd w:val="clear" w:color="auto" w:fill="auto"/>
            <w:vAlign w:val="center"/>
          </w:tcPr>
          <w:p w14:paraId="0D574818" w14:textId="54F181F7" w:rsidR="000D0D16" w:rsidRPr="00781112" w:rsidRDefault="00C160F0"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Pr="00C160F0">
              <w:rPr>
                <w:rStyle w:val="FootnoteReference"/>
              </w:rPr>
              <w:t>8</w:t>
            </w:r>
            <w:r w:rsidRPr="00FD108C">
              <w:rPr>
                <w:rFonts w:cs="Arial"/>
                <w:color w:val="000000" w:themeColor="text1"/>
                <w:szCs w:val="16"/>
              </w:rPr>
              <w:fldChar w:fldCharType="end"/>
            </w:r>
          </w:p>
        </w:tc>
        <w:tc>
          <w:tcPr>
            <w:tcW w:w="503" w:type="pct"/>
            <w:shd w:val="clear" w:color="auto" w:fill="auto"/>
            <w:vAlign w:val="center"/>
          </w:tcPr>
          <w:p w14:paraId="68757684" w14:textId="4D168CA2" w:rsidR="000D0D16" w:rsidRPr="00781112" w:rsidRDefault="000D0D16"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00C160F0" w:rsidRPr="00C160F0">
              <w:rPr>
                <w:rStyle w:val="FootnoteReference"/>
              </w:rPr>
              <w:t>8</w:t>
            </w:r>
            <w:r w:rsidRPr="00FD108C">
              <w:rPr>
                <w:rFonts w:cs="Arial"/>
                <w:color w:val="000000" w:themeColor="text1"/>
                <w:szCs w:val="16"/>
              </w:rPr>
              <w:fldChar w:fldCharType="end"/>
            </w:r>
          </w:p>
        </w:tc>
        <w:tc>
          <w:tcPr>
            <w:tcW w:w="503" w:type="pct"/>
            <w:shd w:val="clear" w:color="auto" w:fill="auto"/>
            <w:vAlign w:val="center"/>
          </w:tcPr>
          <w:p w14:paraId="7D508FD3" w14:textId="5052E8AD"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0D0D16" w:rsidRPr="00781112" w14:paraId="14220C43" w14:textId="77777777" w:rsidTr="006B4156">
        <w:trPr>
          <w:jc w:val="center"/>
        </w:trPr>
        <w:tc>
          <w:tcPr>
            <w:tcW w:w="223" w:type="pct"/>
            <w:shd w:val="clear" w:color="auto" w:fill="auto"/>
            <w:vAlign w:val="center"/>
          </w:tcPr>
          <w:p w14:paraId="16A9CDD2" w14:textId="5DBA3D3A" w:rsidR="000D0D16" w:rsidRPr="00781112" w:rsidRDefault="000D0D16" w:rsidP="000D0D16">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tcPr>
          <w:p w14:paraId="0B49B780" w14:textId="751E0561" w:rsidR="000D0D16" w:rsidRPr="00781112" w:rsidRDefault="000D0D16" w:rsidP="000D0D16">
            <w:pPr>
              <w:jc w:val="center"/>
              <w:rPr>
                <w:rFonts w:cs="Arial"/>
                <w:color w:val="000000" w:themeColor="text1"/>
                <w:szCs w:val="16"/>
              </w:rPr>
            </w:pPr>
            <w:r w:rsidRPr="00107AC2">
              <w:rPr>
                <w:rFonts w:cs="Arial"/>
                <w:color w:val="000000" w:themeColor="text1"/>
                <w:szCs w:val="16"/>
              </w:rPr>
              <w:t>x</w:t>
            </w:r>
            <w:r w:rsidRPr="00107AC2">
              <w:rPr>
                <w:rFonts w:cs="Arial"/>
                <w:color w:val="000000" w:themeColor="text1"/>
                <w:szCs w:val="16"/>
              </w:rPr>
              <w:fldChar w:fldCharType="begin"/>
            </w:r>
            <w:r w:rsidRPr="00107AC2">
              <w:rPr>
                <w:rFonts w:cs="Arial"/>
                <w:color w:val="000000" w:themeColor="text1"/>
                <w:szCs w:val="16"/>
              </w:rPr>
              <w:instrText xml:space="preserve"> NOTEREF _Ref141966424 \f \h </w:instrText>
            </w:r>
            <w:r w:rsidRPr="00107AC2">
              <w:rPr>
                <w:rFonts w:cs="Arial"/>
                <w:color w:val="000000" w:themeColor="text1"/>
                <w:szCs w:val="16"/>
              </w:rPr>
            </w:r>
            <w:r w:rsidRPr="00107AC2">
              <w:rPr>
                <w:rFonts w:cs="Arial"/>
                <w:color w:val="000000" w:themeColor="text1"/>
                <w:szCs w:val="16"/>
              </w:rPr>
              <w:fldChar w:fldCharType="separate"/>
            </w:r>
            <w:r w:rsidR="00C160F0" w:rsidRPr="00C160F0">
              <w:rPr>
                <w:rStyle w:val="FootnoteReference"/>
              </w:rPr>
              <w:t>8</w:t>
            </w:r>
            <w:r w:rsidRPr="00107AC2">
              <w:rPr>
                <w:rFonts w:cs="Arial"/>
                <w:color w:val="000000" w:themeColor="text1"/>
                <w:szCs w:val="16"/>
              </w:rPr>
              <w:fldChar w:fldCharType="end"/>
            </w:r>
          </w:p>
        </w:tc>
        <w:tc>
          <w:tcPr>
            <w:tcW w:w="896" w:type="pct"/>
            <w:shd w:val="clear" w:color="auto" w:fill="auto"/>
            <w:vAlign w:val="center"/>
          </w:tcPr>
          <w:p w14:paraId="2611648C" w14:textId="77D930AD" w:rsidR="000D0D16" w:rsidRPr="00781112" w:rsidRDefault="000D0D16" w:rsidP="000D0D16">
            <w:pPr>
              <w:jc w:val="center"/>
              <w:rPr>
                <w:rFonts w:cs="Arial"/>
                <w:color w:val="000000" w:themeColor="text1"/>
                <w:szCs w:val="16"/>
              </w:rPr>
            </w:pPr>
            <w:r w:rsidRPr="00242D8A">
              <w:rPr>
                <w:rFonts w:cs="Arial"/>
                <w:color w:val="000000" w:themeColor="text1"/>
                <w:szCs w:val="16"/>
              </w:rPr>
              <w:t>42</w:t>
            </w:r>
          </w:p>
        </w:tc>
        <w:tc>
          <w:tcPr>
            <w:tcW w:w="500" w:type="pct"/>
            <w:shd w:val="clear" w:color="auto" w:fill="auto"/>
            <w:vAlign w:val="center"/>
          </w:tcPr>
          <w:p w14:paraId="044B076F" w14:textId="2D73EFD2" w:rsidR="000D0D16" w:rsidRPr="00781112" w:rsidRDefault="000D0D16" w:rsidP="000D0D16">
            <w:pPr>
              <w:jc w:val="center"/>
              <w:rPr>
                <w:rFonts w:cs="Arial"/>
                <w:color w:val="000000" w:themeColor="text1"/>
                <w:szCs w:val="16"/>
              </w:rPr>
            </w:pPr>
          </w:p>
        </w:tc>
        <w:tc>
          <w:tcPr>
            <w:tcW w:w="500" w:type="pct"/>
            <w:shd w:val="clear" w:color="auto" w:fill="auto"/>
            <w:vAlign w:val="center"/>
          </w:tcPr>
          <w:p w14:paraId="4D68E61F" w14:textId="1BC154F9" w:rsidR="000D0D16" w:rsidRPr="00781112" w:rsidRDefault="000D0D16" w:rsidP="000D0D1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_Ref141966424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8</w:t>
            </w:r>
            <w:r>
              <w:rPr>
                <w:rFonts w:cs="Arial"/>
                <w:color w:val="000000" w:themeColor="text1"/>
                <w:szCs w:val="16"/>
              </w:rPr>
              <w:fldChar w:fldCharType="end"/>
            </w:r>
          </w:p>
        </w:tc>
        <w:tc>
          <w:tcPr>
            <w:tcW w:w="500" w:type="pct"/>
            <w:shd w:val="clear" w:color="auto" w:fill="auto"/>
          </w:tcPr>
          <w:p w14:paraId="4C5100F6" w14:textId="62E59C50" w:rsidR="000D0D16" w:rsidRPr="00781112" w:rsidRDefault="000D0D16" w:rsidP="000D0D16">
            <w:pPr>
              <w:jc w:val="center"/>
              <w:rPr>
                <w:rFonts w:cs="Arial"/>
                <w:color w:val="000000" w:themeColor="text1"/>
                <w:szCs w:val="16"/>
              </w:rPr>
            </w:pPr>
            <w:r w:rsidRPr="009205AB">
              <w:rPr>
                <w:rFonts w:cs="Arial"/>
                <w:color w:val="000000" w:themeColor="text1"/>
                <w:szCs w:val="16"/>
              </w:rPr>
              <w:t>x</w:t>
            </w:r>
            <w:r w:rsidRPr="009205AB">
              <w:rPr>
                <w:rFonts w:cs="Arial"/>
                <w:color w:val="000000" w:themeColor="text1"/>
                <w:szCs w:val="16"/>
              </w:rPr>
              <w:fldChar w:fldCharType="begin"/>
            </w:r>
            <w:r w:rsidRPr="009205AB">
              <w:rPr>
                <w:rFonts w:cs="Arial"/>
                <w:color w:val="000000" w:themeColor="text1"/>
                <w:szCs w:val="16"/>
              </w:rPr>
              <w:instrText xml:space="preserve"> NOTEREF _Ref141966424 \f \h </w:instrText>
            </w:r>
            <w:r w:rsidRPr="009205AB">
              <w:rPr>
                <w:rFonts w:cs="Arial"/>
                <w:color w:val="000000" w:themeColor="text1"/>
                <w:szCs w:val="16"/>
              </w:rPr>
            </w:r>
            <w:r w:rsidRPr="009205AB">
              <w:rPr>
                <w:rFonts w:cs="Arial"/>
                <w:color w:val="000000" w:themeColor="text1"/>
                <w:szCs w:val="16"/>
              </w:rPr>
              <w:fldChar w:fldCharType="separate"/>
            </w:r>
            <w:r w:rsidR="00C160F0" w:rsidRPr="00C160F0">
              <w:rPr>
                <w:rStyle w:val="FootnoteReference"/>
              </w:rPr>
              <w:t>8</w:t>
            </w:r>
            <w:r w:rsidRPr="009205AB">
              <w:rPr>
                <w:rFonts w:cs="Arial"/>
                <w:color w:val="000000" w:themeColor="text1"/>
                <w:szCs w:val="16"/>
              </w:rPr>
              <w:fldChar w:fldCharType="end"/>
            </w:r>
          </w:p>
        </w:tc>
        <w:tc>
          <w:tcPr>
            <w:tcW w:w="500" w:type="pct"/>
            <w:shd w:val="clear" w:color="auto" w:fill="auto"/>
            <w:vAlign w:val="center"/>
          </w:tcPr>
          <w:p w14:paraId="5A9EC511" w14:textId="6D6B7DF8"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r w:rsidR="000D0D16" w:rsidRPr="00781112" w14:paraId="33C5CE6C" w14:textId="77777777" w:rsidTr="006B4156">
        <w:trPr>
          <w:jc w:val="center"/>
        </w:trPr>
        <w:tc>
          <w:tcPr>
            <w:tcW w:w="223" w:type="pct"/>
            <w:shd w:val="clear" w:color="auto" w:fill="auto"/>
            <w:vAlign w:val="center"/>
          </w:tcPr>
          <w:p w14:paraId="17123B1B" w14:textId="50BB2C71" w:rsidR="000D0D16" w:rsidRPr="00781112" w:rsidRDefault="000D0D16" w:rsidP="000D0D16">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tcPr>
          <w:p w14:paraId="31722F1C" w14:textId="1DAA8A52" w:rsidR="000D0D16" w:rsidRPr="00781112" w:rsidRDefault="000D0D16" w:rsidP="000D0D16">
            <w:pPr>
              <w:jc w:val="center"/>
              <w:rPr>
                <w:rFonts w:cs="Arial"/>
                <w:color w:val="000000" w:themeColor="text1"/>
                <w:szCs w:val="16"/>
              </w:rPr>
            </w:pPr>
            <w:r w:rsidRPr="00107AC2">
              <w:rPr>
                <w:rFonts w:cs="Arial"/>
                <w:color w:val="000000" w:themeColor="text1"/>
                <w:szCs w:val="16"/>
              </w:rPr>
              <w:t>x</w:t>
            </w:r>
            <w:r w:rsidRPr="00107AC2">
              <w:rPr>
                <w:rFonts w:cs="Arial"/>
                <w:color w:val="000000" w:themeColor="text1"/>
                <w:szCs w:val="16"/>
              </w:rPr>
              <w:fldChar w:fldCharType="begin"/>
            </w:r>
            <w:r w:rsidRPr="00107AC2">
              <w:rPr>
                <w:rFonts w:cs="Arial"/>
                <w:color w:val="000000" w:themeColor="text1"/>
                <w:szCs w:val="16"/>
              </w:rPr>
              <w:instrText xml:space="preserve"> NOTEREF _Ref141966424 \f \h </w:instrText>
            </w:r>
            <w:r w:rsidRPr="00107AC2">
              <w:rPr>
                <w:rFonts w:cs="Arial"/>
                <w:color w:val="000000" w:themeColor="text1"/>
                <w:szCs w:val="16"/>
              </w:rPr>
            </w:r>
            <w:r w:rsidRPr="00107AC2">
              <w:rPr>
                <w:rFonts w:cs="Arial"/>
                <w:color w:val="000000" w:themeColor="text1"/>
                <w:szCs w:val="16"/>
              </w:rPr>
              <w:fldChar w:fldCharType="separate"/>
            </w:r>
            <w:r w:rsidR="00C160F0" w:rsidRPr="00C160F0">
              <w:rPr>
                <w:rStyle w:val="FootnoteReference"/>
              </w:rPr>
              <w:t>8</w:t>
            </w:r>
            <w:r w:rsidRPr="00107AC2">
              <w:rPr>
                <w:rFonts w:cs="Arial"/>
                <w:color w:val="000000" w:themeColor="text1"/>
                <w:szCs w:val="16"/>
              </w:rPr>
              <w:fldChar w:fldCharType="end"/>
            </w:r>
          </w:p>
        </w:tc>
        <w:tc>
          <w:tcPr>
            <w:tcW w:w="896" w:type="pct"/>
            <w:shd w:val="clear" w:color="auto" w:fill="auto"/>
            <w:vAlign w:val="center"/>
          </w:tcPr>
          <w:p w14:paraId="048616C6" w14:textId="622D5B53" w:rsidR="000D0D16" w:rsidRPr="00781112" w:rsidRDefault="000D0D16" w:rsidP="000D0D16">
            <w:pPr>
              <w:jc w:val="center"/>
              <w:rPr>
                <w:rFonts w:cs="Arial"/>
                <w:color w:val="000000" w:themeColor="text1"/>
                <w:szCs w:val="16"/>
              </w:rPr>
            </w:pPr>
            <w:r w:rsidRPr="00242D8A">
              <w:rPr>
                <w:rFonts w:cs="Arial"/>
                <w:color w:val="000000" w:themeColor="text1"/>
                <w:szCs w:val="16"/>
              </w:rPr>
              <w:t>55</w:t>
            </w:r>
          </w:p>
        </w:tc>
        <w:tc>
          <w:tcPr>
            <w:tcW w:w="500" w:type="pct"/>
            <w:shd w:val="clear" w:color="auto" w:fill="auto"/>
            <w:vAlign w:val="center"/>
          </w:tcPr>
          <w:p w14:paraId="272455FD" w14:textId="25614537" w:rsidR="000D0D16" w:rsidRPr="00781112" w:rsidRDefault="000D0D16" w:rsidP="000D0D16">
            <w:pPr>
              <w:jc w:val="center"/>
              <w:rPr>
                <w:rFonts w:cs="Arial"/>
                <w:color w:val="000000" w:themeColor="text1"/>
                <w:szCs w:val="16"/>
              </w:rPr>
            </w:pPr>
          </w:p>
        </w:tc>
        <w:tc>
          <w:tcPr>
            <w:tcW w:w="500" w:type="pct"/>
            <w:shd w:val="clear" w:color="auto" w:fill="auto"/>
            <w:vAlign w:val="center"/>
          </w:tcPr>
          <w:p w14:paraId="38039D42" w14:textId="19C50ED7" w:rsidR="000D0D16" w:rsidRPr="00781112" w:rsidRDefault="00C160F0"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Pr="00C160F0">
              <w:rPr>
                <w:rStyle w:val="FootnoteReference"/>
              </w:rPr>
              <w:t>8</w:t>
            </w:r>
            <w:r w:rsidRPr="00FD108C">
              <w:rPr>
                <w:rFonts w:cs="Arial"/>
                <w:color w:val="000000" w:themeColor="text1"/>
                <w:szCs w:val="16"/>
              </w:rPr>
              <w:fldChar w:fldCharType="end"/>
            </w:r>
          </w:p>
        </w:tc>
        <w:tc>
          <w:tcPr>
            <w:tcW w:w="500" w:type="pct"/>
            <w:shd w:val="clear" w:color="auto" w:fill="auto"/>
          </w:tcPr>
          <w:p w14:paraId="7DB4B85A" w14:textId="32893CCA" w:rsidR="000D0D16" w:rsidRPr="00781112" w:rsidRDefault="000D0D16" w:rsidP="000D0D16">
            <w:pPr>
              <w:jc w:val="center"/>
              <w:rPr>
                <w:rFonts w:cs="Arial"/>
                <w:color w:val="000000" w:themeColor="text1"/>
                <w:szCs w:val="16"/>
              </w:rPr>
            </w:pPr>
            <w:r w:rsidRPr="009205AB">
              <w:rPr>
                <w:rFonts w:cs="Arial"/>
                <w:color w:val="000000" w:themeColor="text1"/>
                <w:szCs w:val="16"/>
              </w:rPr>
              <w:t>x</w:t>
            </w:r>
            <w:r w:rsidRPr="009205AB">
              <w:rPr>
                <w:rFonts w:cs="Arial"/>
                <w:color w:val="000000" w:themeColor="text1"/>
                <w:szCs w:val="16"/>
              </w:rPr>
              <w:fldChar w:fldCharType="begin"/>
            </w:r>
            <w:r w:rsidRPr="009205AB">
              <w:rPr>
                <w:rFonts w:cs="Arial"/>
                <w:color w:val="000000" w:themeColor="text1"/>
                <w:szCs w:val="16"/>
              </w:rPr>
              <w:instrText xml:space="preserve"> NOTEREF _Ref141966424 \f \h </w:instrText>
            </w:r>
            <w:r w:rsidRPr="009205AB">
              <w:rPr>
                <w:rFonts w:cs="Arial"/>
                <w:color w:val="000000" w:themeColor="text1"/>
                <w:szCs w:val="16"/>
              </w:rPr>
            </w:r>
            <w:r w:rsidRPr="009205AB">
              <w:rPr>
                <w:rFonts w:cs="Arial"/>
                <w:color w:val="000000" w:themeColor="text1"/>
                <w:szCs w:val="16"/>
              </w:rPr>
              <w:fldChar w:fldCharType="separate"/>
            </w:r>
            <w:r w:rsidR="00C160F0" w:rsidRPr="00C160F0">
              <w:rPr>
                <w:rStyle w:val="FootnoteReference"/>
              </w:rPr>
              <w:t>8</w:t>
            </w:r>
            <w:r w:rsidRPr="009205AB">
              <w:rPr>
                <w:rFonts w:cs="Arial"/>
                <w:color w:val="000000" w:themeColor="text1"/>
                <w:szCs w:val="16"/>
              </w:rPr>
              <w:fldChar w:fldCharType="end"/>
            </w:r>
          </w:p>
        </w:tc>
        <w:tc>
          <w:tcPr>
            <w:tcW w:w="500" w:type="pct"/>
            <w:shd w:val="clear" w:color="auto" w:fill="auto"/>
            <w:vAlign w:val="center"/>
          </w:tcPr>
          <w:p w14:paraId="19114A8F" w14:textId="4F4B3C10"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r w:rsidR="000D0D16" w:rsidRPr="00781112" w14:paraId="573A5711" w14:textId="77777777" w:rsidTr="006B4156">
        <w:trPr>
          <w:jc w:val="center"/>
        </w:trPr>
        <w:tc>
          <w:tcPr>
            <w:tcW w:w="223" w:type="pct"/>
            <w:shd w:val="clear" w:color="auto" w:fill="auto"/>
            <w:vAlign w:val="center"/>
          </w:tcPr>
          <w:p w14:paraId="3C25BE15" w14:textId="77777777" w:rsidR="000D0D16" w:rsidRPr="00781112" w:rsidRDefault="000D0D16" w:rsidP="000D0D16">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0D0D16" w:rsidRPr="00781112" w:rsidDel="00DE5045" w:rsidRDefault="000D0D16" w:rsidP="000D0D16">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tcPr>
          <w:p w14:paraId="0EFA1043" w14:textId="55EDD26B" w:rsidR="000D0D16" w:rsidRPr="00781112" w:rsidRDefault="000D0D16" w:rsidP="000D0D16">
            <w:pPr>
              <w:jc w:val="center"/>
              <w:rPr>
                <w:rFonts w:cs="Arial"/>
                <w:color w:val="000000" w:themeColor="text1"/>
                <w:szCs w:val="16"/>
              </w:rPr>
            </w:pPr>
            <w:r w:rsidRPr="00107AC2">
              <w:rPr>
                <w:rFonts w:cs="Arial"/>
                <w:color w:val="000000" w:themeColor="text1"/>
                <w:szCs w:val="16"/>
              </w:rPr>
              <w:t>x</w:t>
            </w:r>
            <w:r w:rsidRPr="00107AC2">
              <w:rPr>
                <w:rFonts w:cs="Arial"/>
                <w:color w:val="000000" w:themeColor="text1"/>
                <w:szCs w:val="16"/>
              </w:rPr>
              <w:fldChar w:fldCharType="begin"/>
            </w:r>
            <w:r w:rsidRPr="00107AC2">
              <w:rPr>
                <w:rFonts w:cs="Arial"/>
                <w:color w:val="000000" w:themeColor="text1"/>
                <w:szCs w:val="16"/>
              </w:rPr>
              <w:instrText xml:space="preserve"> NOTEREF _Ref141966424 \f \h </w:instrText>
            </w:r>
            <w:r w:rsidRPr="00107AC2">
              <w:rPr>
                <w:rFonts w:cs="Arial"/>
                <w:color w:val="000000" w:themeColor="text1"/>
                <w:szCs w:val="16"/>
              </w:rPr>
            </w:r>
            <w:r w:rsidRPr="00107AC2">
              <w:rPr>
                <w:rFonts w:cs="Arial"/>
                <w:color w:val="000000" w:themeColor="text1"/>
                <w:szCs w:val="16"/>
              </w:rPr>
              <w:fldChar w:fldCharType="separate"/>
            </w:r>
            <w:r w:rsidR="00C160F0" w:rsidRPr="00C160F0">
              <w:rPr>
                <w:rStyle w:val="FootnoteReference"/>
              </w:rPr>
              <w:t>8</w:t>
            </w:r>
            <w:r w:rsidRPr="00107AC2">
              <w:rPr>
                <w:rFonts w:cs="Arial"/>
                <w:color w:val="000000" w:themeColor="text1"/>
                <w:szCs w:val="16"/>
              </w:rPr>
              <w:fldChar w:fldCharType="end"/>
            </w:r>
          </w:p>
        </w:tc>
        <w:tc>
          <w:tcPr>
            <w:tcW w:w="896" w:type="pct"/>
            <w:shd w:val="clear" w:color="auto" w:fill="auto"/>
            <w:vAlign w:val="center"/>
          </w:tcPr>
          <w:p w14:paraId="2A4E8BA5" w14:textId="01157060" w:rsidR="000D0D16" w:rsidRPr="00781112" w:rsidRDefault="000D0D16" w:rsidP="000D0D16">
            <w:pPr>
              <w:jc w:val="center"/>
              <w:rPr>
                <w:rFonts w:cs="Arial"/>
                <w:color w:val="000000" w:themeColor="text1"/>
                <w:szCs w:val="16"/>
              </w:rPr>
            </w:pPr>
            <w:r w:rsidRPr="00242D8A">
              <w:rPr>
                <w:rFonts w:cs="Arial"/>
                <w:color w:val="000000" w:themeColor="text1"/>
                <w:szCs w:val="16"/>
              </w:rPr>
              <w:t>55</w:t>
            </w:r>
          </w:p>
        </w:tc>
        <w:tc>
          <w:tcPr>
            <w:tcW w:w="500" w:type="pct"/>
            <w:shd w:val="clear" w:color="auto" w:fill="auto"/>
            <w:vAlign w:val="center"/>
          </w:tcPr>
          <w:p w14:paraId="2250005A" w14:textId="360EA34B" w:rsidR="000D0D16" w:rsidRPr="00781112" w:rsidRDefault="000D0D16" w:rsidP="000D0D16">
            <w:pPr>
              <w:jc w:val="center"/>
              <w:rPr>
                <w:rFonts w:cs="Arial"/>
                <w:color w:val="000000" w:themeColor="text1"/>
                <w:szCs w:val="16"/>
              </w:rPr>
            </w:pPr>
          </w:p>
        </w:tc>
        <w:tc>
          <w:tcPr>
            <w:tcW w:w="500" w:type="pct"/>
            <w:shd w:val="clear" w:color="auto" w:fill="auto"/>
            <w:vAlign w:val="center"/>
          </w:tcPr>
          <w:p w14:paraId="722A3424" w14:textId="1E3CD777" w:rsidR="000D0D16" w:rsidRPr="00781112" w:rsidRDefault="00C160F0" w:rsidP="000D0D16">
            <w:pPr>
              <w:jc w:val="center"/>
              <w:rPr>
                <w:rFonts w:cs="Arial"/>
                <w:color w:val="000000" w:themeColor="text1"/>
                <w:szCs w:val="16"/>
              </w:rPr>
            </w:pPr>
            <w:r w:rsidRPr="00FD108C">
              <w:rPr>
                <w:rFonts w:cs="Arial"/>
                <w:color w:val="000000" w:themeColor="text1"/>
                <w:szCs w:val="16"/>
              </w:rPr>
              <w:t>x</w:t>
            </w:r>
            <w:r w:rsidRPr="00FD108C">
              <w:rPr>
                <w:rFonts w:cs="Arial"/>
                <w:color w:val="000000" w:themeColor="text1"/>
                <w:szCs w:val="16"/>
              </w:rPr>
              <w:fldChar w:fldCharType="begin"/>
            </w:r>
            <w:r w:rsidRPr="00FD108C">
              <w:rPr>
                <w:rFonts w:cs="Arial"/>
                <w:color w:val="000000" w:themeColor="text1"/>
                <w:szCs w:val="16"/>
              </w:rPr>
              <w:instrText xml:space="preserve"> NOTEREF _Ref141966424 \f \h </w:instrText>
            </w:r>
            <w:r>
              <w:rPr>
                <w:rFonts w:cs="Arial"/>
                <w:color w:val="000000" w:themeColor="text1"/>
                <w:szCs w:val="16"/>
              </w:rPr>
              <w:instrText xml:space="preserve"> \* MERGEFORMAT </w:instrText>
            </w:r>
            <w:r w:rsidRPr="00FD108C">
              <w:rPr>
                <w:rFonts w:cs="Arial"/>
                <w:color w:val="000000" w:themeColor="text1"/>
                <w:szCs w:val="16"/>
              </w:rPr>
            </w:r>
            <w:r w:rsidRPr="00FD108C">
              <w:rPr>
                <w:rFonts w:cs="Arial"/>
                <w:color w:val="000000" w:themeColor="text1"/>
                <w:szCs w:val="16"/>
              </w:rPr>
              <w:fldChar w:fldCharType="separate"/>
            </w:r>
            <w:r w:rsidRPr="00C160F0">
              <w:rPr>
                <w:rStyle w:val="FootnoteReference"/>
              </w:rPr>
              <w:t>8</w:t>
            </w:r>
            <w:r w:rsidRPr="00FD108C">
              <w:rPr>
                <w:rFonts w:cs="Arial"/>
                <w:color w:val="000000" w:themeColor="text1"/>
                <w:szCs w:val="16"/>
              </w:rPr>
              <w:fldChar w:fldCharType="end"/>
            </w:r>
          </w:p>
        </w:tc>
        <w:tc>
          <w:tcPr>
            <w:tcW w:w="500" w:type="pct"/>
            <w:shd w:val="clear" w:color="auto" w:fill="auto"/>
          </w:tcPr>
          <w:p w14:paraId="581F32CD" w14:textId="1FAE4630" w:rsidR="000D0D16" w:rsidRPr="00781112" w:rsidRDefault="000D0D16" w:rsidP="000D0D16">
            <w:pPr>
              <w:jc w:val="center"/>
              <w:rPr>
                <w:rFonts w:cs="Arial"/>
                <w:color w:val="000000" w:themeColor="text1"/>
                <w:szCs w:val="16"/>
              </w:rPr>
            </w:pPr>
            <w:r w:rsidRPr="009205AB">
              <w:rPr>
                <w:rFonts w:cs="Arial"/>
                <w:color w:val="000000" w:themeColor="text1"/>
                <w:szCs w:val="16"/>
              </w:rPr>
              <w:t>x</w:t>
            </w:r>
            <w:r w:rsidRPr="009205AB">
              <w:rPr>
                <w:rFonts w:cs="Arial"/>
                <w:color w:val="000000" w:themeColor="text1"/>
                <w:szCs w:val="16"/>
              </w:rPr>
              <w:fldChar w:fldCharType="begin"/>
            </w:r>
            <w:r w:rsidRPr="009205AB">
              <w:rPr>
                <w:rFonts w:cs="Arial"/>
                <w:color w:val="000000" w:themeColor="text1"/>
                <w:szCs w:val="16"/>
              </w:rPr>
              <w:instrText xml:space="preserve"> NOTEREF _Ref141966424 \f \h </w:instrText>
            </w:r>
            <w:r w:rsidRPr="009205AB">
              <w:rPr>
                <w:rFonts w:cs="Arial"/>
                <w:color w:val="000000" w:themeColor="text1"/>
                <w:szCs w:val="16"/>
              </w:rPr>
            </w:r>
            <w:r w:rsidRPr="009205AB">
              <w:rPr>
                <w:rFonts w:cs="Arial"/>
                <w:color w:val="000000" w:themeColor="text1"/>
                <w:szCs w:val="16"/>
              </w:rPr>
              <w:fldChar w:fldCharType="separate"/>
            </w:r>
            <w:r w:rsidR="00C160F0" w:rsidRPr="00C160F0">
              <w:rPr>
                <w:rStyle w:val="FootnoteReference"/>
              </w:rPr>
              <w:t>8</w:t>
            </w:r>
            <w:r w:rsidRPr="009205AB">
              <w:rPr>
                <w:rFonts w:cs="Arial"/>
                <w:color w:val="000000" w:themeColor="text1"/>
                <w:szCs w:val="16"/>
              </w:rPr>
              <w:fldChar w:fldCharType="end"/>
            </w:r>
          </w:p>
        </w:tc>
        <w:tc>
          <w:tcPr>
            <w:tcW w:w="500" w:type="pct"/>
            <w:shd w:val="clear" w:color="auto" w:fill="auto"/>
            <w:vAlign w:val="center"/>
          </w:tcPr>
          <w:p w14:paraId="3FECC7B3" w14:textId="2C921A8F"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0D0D16" w:rsidRPr="00781112" w:rsidRDefault="000D0D16" w:rsidP="000D0D16">
            <w:pPr>
              <w:jc w:val="center"/>
              <w:rPr>
                <w:rFonts w:cs="Arial"/>
                <w:color w:val="000000" w:themeColor="text1"/>
                <w:szCs w:val="16"/>
              </w:rPr>
            </w:pPr>
            <w:r w:rsidRPr="00781112">
              <w:rPr>
                <w:rFonts w:cs="Arial"/>
                <w:color w:val="000000" w:themeColor="text1"/>
                <w:szCs w:val="16"/>
              </w:rPr>
              <w:t>N/A</w:t>
            </w:r>
          </w:p>
        </w:tc>
      </w:tr>
    </w:tbl>
    <w:p w14:paraId="222383CE" w14:textId="77777777" w:rsidR="00B03F63" w:rsidRDefault="00B03F63" w:rsidP="00B03F63">
      <w:pPr>
        <w:spacing w:before="0" w:after="200" w:line="276" w:lineRule="auto"/>
        <w:rPr>
          <w:b/>
          <w:color w:val="000000" w:themeColor="text1"/>
        </w:rPr>
      </w:pPr>
    </w:p>
    <w:p w14:paraId="3C6B4961" w14:textId="3FE07CE0" w:rsidR="00497DE4" w:rsidRPr="00B03F63" w:rsidRDefault="00497DE4" w:rsidP="00B03F63">
      <w:pPr>
        <w:spacing w:before="0" w:after="200" w:line="276" w:lineRule="auto"/>
        <w:rPr>
          <w:color w:val="000000" w:themeColor="text1"/>
        </w:rPr>
      </w:pPr>
      <w:r w:rsidRPr="00781112">
        <w:rPr>
          <w:b/>
          <w:color w:val="000000" w:themeColor="text1"/>
        </w:rPr>
        <w:t>Regulatory Information</w:t>
      </w:r>
      <w:r w:rsidR="00B03F63">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https://vide.vi/blog/1949-school-report-card.html</w:t>
      </w:r>
      <w:r w:rsidRPr="00781112">
        <w:rPr>
          <w:rFonts w:cs="Arial"/>
          <w:color w:val="000000" w:themeColor="text1"/>
          <w:szCs w:val="16"/>
        </w:rPr>
        <w:br/>
      </w:r>
      <w:r w:rsidRPr="00781112">
        <w:rPr>
          <w:rFonts w:cs="Arial"/>
          <w:color w:val="000000" w:themeColor="text1"/>
          <w:szCs w:val="16"/>
        </w:rPr>
        <w:br/>
        <w:t xml:space="preserve">Instructions: </w:t>
      </w:r>
      <w:r w:rsidRPr="00781112">
        <w:rPr>
          <w:rFonts w:cs="Arial"/>
          <w:color w:val="000000" w:themeColor="text1"/>
          <w:szCs w:val="16"/>
        </w:rPr>
        <w:br/>
        <w:t>Click on or paste the link provided above</w:t>
      </w:r>
      <w:r w:rsidRPr="00781112">
        <w:rPr>
          <w:rFonts w:cs="Arial"/>
          <w:color w:val="000000" w:themeColor="text1"/>
          <w:szCs w:val="16"/>
        </w:rPr>
        <w:br/>
        <w:t>You will arrive at the School Report Card page</w:t>
      </w:r>
      <w:r w:rsidRPr="00781112">
        <w:rPr>
          <w:rFonts w:cs="Arial"/>
          <w:color w:val="000000" w:themeColor="text1"/>
          <w:szCs w:val="16"/>
        </w:rPr>
        <w:br/>
        <w:t xml:space="preserve"> Scroll to the bottom of the page and click on Transitional Report Card (School Year 2014-15 to 2021-2022)</w:t>
      </w:r>
      <w:r w:rsidRPr="00781112">
        <w:rPr>
          <w:rFonts w:cs="Arial"/>
          <w:color w:val="000000" w:themeColor="text1"/>
          <w:szCs w:val="16"/>
        </w:rPr>
        <w:br/>
        <w:t>You will then arrive at the page that says Public Reports, scroll down until you see the heading Transitional Report Card</w:t>
      </w:r>
    </w:p>
    <w:p w14:paraId="2BE473B4" w14:textId="77777777" w:rsidR="00053391" w:rsidRPr="00781112" w:rsidRDefault="00053391" w:rsidP="004369B2">
      <w:pPr>
        <w:rPr>
          <w:b/>
          <w:color w:val="000000" w:themeColor="text1"/>
        </w:rPr>
      </w:pPr>
      <w:bookmarkStart w:id="22" w:name="_Toc382082367"/>
      <w:bookmarkStart w:id="2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 xml:space="preserve">Virgin Islands did not provide data for FFY 2020. Virgin Islands must provide the required data for FFY 2021 in the FFY 2021 SPP/APR. </w:t>
      </w:r>
      <w:r w:rsidRPr="00781112">
        <w:rPr>
          <w:rFonts w:cs="Arial"/>
          <w:color w:val="000000" w:themeColor="text1"/>
          <w:szCs w:val="16"/>
        </w:rPr>
        <w:br/>
      </w:r>
      <w:r w:rsidRPr="00781112">
        <w:rPr>
          <w:rFonts w:cs="Arial"/>
          <w:color w:val="000000" w:themeColor="text1"/>
          <w:szCs w:val="16"/>
        </w:rPr>
        <w:br/>
        <w:t>In the FFY 2021 APR Virgin Islands must also provide baseline data and targets for FFY 2021-2025, as required by the Measurement Table.</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0A2C83" w:rsidP="000A2C83">
      <w:pPr>
        <w:rPr>
          <w:rFonts w:cs="Arial"/>
          <w:color w:val="000000" w:themeColor="text1"/>
          <w:szCs w:val="16"/>
        </w:rPr>
      </w:pPr>
    </w:p>
    <w:p w14:paraId="40E83F51" w14:textId="68FFF50F" w:rsidR="00053391" w:rsidRPr="00781112" w:rsidRDefault="00573F6C" w:rsidP="008645AD">
      <w:pPr>
        <w:pStyle w:val="Heading2"/>
      </w:pPr>
      <w:r w:rsidRPr="00781112">
        <w:lastRenderedPageBreak/>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Virgin Islands has revised the baseline for this indicator, using data from FFY 2021 for Grade 4 Reading and Grade 4 Math, and OSEP accepts that revision.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The Virgin Islands has revised the baseline for this indicator, using data from FFY 2022 for Grade 8 Reading and FFY 2023 for High School Reading, and data from FFY 2022 for Grade 8 Math and FFY 2023 for High School Math, but OSEP cannot accept those revisions because these data have not yet been collected and reported.  Therefore, OSEP could not accept Virgin Islands' targets for Grade 8 Reading and High School Reading, and Grade 8 Math and High School Math. </w:t>
      </w:r>
      <w:r w:rsidRPr="00781112">
        <w:rPr>
          <w:rFonts w:cs="Arial"/>
          <w:color w:val="000000" w:themeColor="text1"/>
          <w:szCs w:val="16"/>
          <w:shd w:val="clear" w:color="auto" w:fill="FFFFFF"/>
        </w:rPr>
        <w:br/>
        <w:t xml:space="preserve">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Virgin Islands did not provide baseline data for Grade 8 Reading and Math and High School Reading and Math, and targets for FFYs 2021 through 2025 for Grade 8 Reading and Math and High School Reading and Math, as required by the Measurement Table. The Virgin Islands must provide the required baseline and targets through FFY 2025 in the FFY 2022 SPP/APR. </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2"/>
      <w:bookmarkEnd w:id="2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4" w:name="_Toc384383330"/>
      <w:bookmarkStart w:id="25" w:name="_Toc392159282"/>
      <w:bookmarkStart w:id="2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F03E6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37980312" w:rsidR="00537221" w:rsidRPr="00781112" w:rsidRDefault="00F03E64" w:rsidP="00F03E64">
            <w:pPr>
              <w:spacing w:before="0" w:after="0"/>
              <w:jc w:val="center"/>
              <w:rPr>
                <w:color w:val="000000" w:themeColor="text1"/>
              </w:rPr>
            </w:pPr>
            <w:r>
              <w:rPr>
                <w:color w:val="000000" w:themeColor="text1"/>
              </w:rPr>
              <w:t>x</w:t>
            </w:r>
            <w:bookmarkStart w:id="27" w:name="_Ref141182126"/>
            <w:r>
              <w:rPr>
                <w:rStyle w:val="FootnoteReference"/>
                <w:color w:val="000000" w:themeColor="text1"/>
              </w:rPr>
              <w:footnoteReference w:id="10"/>
            </w:r>
            <w:bookmarkEnd w:id="27"/>
          </w:p>
        </w:tc>
      </w:tr>
      <w:tr w:rsidR="00F03E64" w:rsidRPr="00781112" w14:paraId="1C24E702" w14:textId="77777777" w:rsidTr="00F03E64">
        <w:trPr>
          <w:trHeight w:val="368"/>
        </w:trPr>
        <w:tc>
          <w:tcPr>
            <w:tcW w:w="736" w:type="pct"/>
            <w:vAlign w:val="center"/>
          </w:tcPr>
          <w:p w14:paraId="678970EB" w14:textId="77777777" w:rsidR="00F03E64" w:rsidRPr="00781112" w:rsidRDefault="00F03E64" w:rsidP="00F03E6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F03E64" w:rsidRPr="00781112" w:rsidRDefault="00F03E64" w:rsidP="00F03E6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BC767D1" w:rsidR="00F03E64" w:rsidRPr="00781112" w:rsidRDefault="00F03E64" w:rsidP="00F03E64">
            <w:pPr>
              <w:spacing w:before="0" w:after="0"/>
              <w:jc w:val="center"/>
              <w:rPr>
                <w:rFonts w:cs="Arial"/>
                <w:color w:val="000000" w:themeColor="text1"/>
                <w:szCs w:val="16"/>
              </w:rPr>
            </w:pPr>
            <w:r w:rsidRPr="008C313C">
              <w:rPr>
                <w:color w:val="000000" w:themeColor="text1"/>
              </w:rPr>
              <w:t>x</w:t>
            </w:r>
            <w:r>
              <w:rPr>
                <w:color w:val="000000" w:themeColor="text1"/>
              </w:rPr>
              <w:fldChar w:fldCharType="begin"/>
            </w:r>
            <w:r>
              <w:rPr>
                <w:color w:val="000000" w:themeColor="text1"/>
              </w:rPr>
              <w:instrText xml:space="preserve"> NOTEREF _Ref141182126 \f \h  \* MERGEFORMAT </w:instrText>
            </w:r>
            <w:r>
              <w:rPr>
                <w:color w:val="000000" w:themeColor="text1"/>
              </w:rPr>
            </w:r>
            <w:r>
              <w:rPr>
                <w:color w:val="000000" w:themeColor="text1"/>
              </w:rPr>
              <w:fldChar w:fldCharType="separate"/>
            </w:r>
            <w:r w:rsidR="00C160F0" w:rsidRPr="00C160F0">
              <w:rPr>
                <w:rStyle w:val="FootnoteReference"/>
              </w:rPr>
              <w:t>13</w:t>
            </w:r>
            <w:r>
              <w:rPr>
                <w:color w:val="000000" w:themeColor="text1"/>
              </w:rPr>
              <w:fldChar w:fldCharType="end"/>
            </w:r>
          </w:p>
        </w:tc>
      </w:tr>
      <w:tr w:rsidR="00F03E64" w:rsidRPr="00781112" w14:paraId="59B71803" w14:textId="77777777" w:rsidTr="00F03E64">
        <w:trPr>
          <w:trHeight w:val="368"/>
        </w:trPr>
        <w:tc>
          <w:tcPr>
            <w:tcW w:w="736" w:type="pct"/>
            <w:vAlign w:val="center"/>
          </w:tcPr>
          <w:p w14:paraId="4EBEF59E" w14:textId="77777777" w:rsidR="00F03E64" w:rsidRPr="00781112" w:rsidRDefault="00F03E64" w:rsidP="00F03E6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F03E64" w:rsidRPr="00781112" w:rsidRDefault="00F03E64" w:rsidP="00F03E6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F03E64" w:rsidRPr="00781112" w:rsidRDefault="00F03E64" w:rsidP="00F03E6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2BE6A899" w:rsidR="00F03E64" w:rsidRPr="00781112" w:rsidRDefault="00F03E64" w:rsidP="00F03E64">
            <w:pPr>
              <w:spacing w:before="0" w:after="0"/>
              <w:jc w:val="center"/>
              <w:rPr>
                <w:rFonts w:cs="Arial"/>
                <w:color w:val="000000" w:themeColor="text1"/>
                <w:szCs w:val="16"/>
              </w:rPr>
            </w:pPr>
            <w:r w:rsidRPr="00CD65B1">
              <w:rPr>
                <w:color w:val="000000" w:themeColor="text1"/>
              </w:rPr>
              <w:t>x</w:t>
            </w:r>
            <w:r w:rsidRPr="00CD65B1">
              <w:rPr>
                <w:color w:val="000000" w:themeColor="text1"/>
              </w:rPr>
              <w:fldChar w:fldCharType="begin"/>
            </w:r>
            <w:r w:rsidRPr="00CD65B1">
              <w:rPr>
                <w:color w:val="000000" w:themeColor="text1"/>
              </w:rPr>
              <w:instrText xml:space="preserve"> NOTEREF _Ref141182126 \f \h </w:instrText>
            </w:r>
            <w:r>
              <w:rPr>
                <w:color w:val="000000" w:themeColor="text1"/>
              </w:rPr>
              <w:instrText xml:space="preserve"> \* MERGEFORMAT </w:instrText>
            </w:r>
            <w:r w:rsidRPr="00CD65B1">
              <w:rPr>
                <w:color w:val="000000" w:themeColor="text1"/>
              </w:rPr>
            </w:r>
            <w:r w:rsidRPr="00CD65B1">
              <w:rPr>
                <w:color w:val="000000" w:themeColor="text1"/>
              </w:rPr>
              <w:fldChar w:fldCharType="separate"/>
            </w:r>
            <w:r w:rsidR="00C160F0" w:rsidRPr="00C160F0">
              <w:rPr>
                <w:rStyle w:val="FootnoteReference"/>
              </w:rPr>
              <w:t>13</w:t>
            </w:r>
            <w:r w:rsidRPr="00CD65B1">
              <w:rPr>
                <w:color w:val="000000" w:themeColor="text1"/>
              </w:rPr>
              <w:fldChar w:fldCharType="end"/>
            </w:r>
          </w:p>
        </w:tc>
      </w:tr>
      <w:tr w:rsidR="00F03E64" w:rsidRPr="00781112" w14:paraId="05A06BC9" w14:textId="77777777" w:rsidTr="00F03E64">
        <w:trPr>
          <w:trHeight w:val="368"/>
        </w:trPr>
        <w:tc>
          <w:tcPr>
            <w:tcW w:w="736" w:type="pct"/>
            <w:vAlign w:val="center"/>
          </w:tcPr>
          <w:p w14:paraId="6020FFAF" w14:textId="77777777" w:rsidR="00F03E64" w:rsidRPr="00781112" w:rsidRDefault="00F03E64" w:rsidP="00F03E6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F03E64" w:rsidRPr="00781112" w:rsidRDefault="00F03E64" w:rsidP="00F03E6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4ADED02C" w:rsidR="00F03E64" w:rsidRPr="00781112" w:rsidRDefault="00F03E64" w:rsidP="00F03E64">
            <w:pPr>
              <w:spacing w:before="0" w:after="0"/>
              <w:jc w:val="center"/>
              <w:rPr>
                <w:rFonts w:cs="Arial"/>
                <w:color w:val="000000" w:themeColor="text1"/>
                <w:szCs w:val="16"/>
              </w:rPr>
            </w:pPr>
            <w:r w:rsidRPr="00CD65B1">
              <w:rPr>
                <w:color w:val="000000" w:themeColor="text1"/>
              </w:rPr>
              <w:t>x</w:t>
            </w:r>
            <w:r w:rsidRPr="00CD65B1">
              <w:rPr>
                <w:color w:val="000000" w:themeColor="text1"/>
              </w:rPr>
              <w:fldChar w:fldCharType="begin"/>
            </w:r>
            <w:r w:rsidRPr="00CD65B1">
              <w:rPr>
                <w:color w:val="000000" w:themeColor="text1"/>
              </w:rPr>
              <w:instrText xml:space="preserve"> NOTEREF _Ref141182126 \f \h </w:instrText>
            </w:r>
            <w:r>
              <w:rPr>
                <w:color w:val="000000" w:themeColor="text1"/>
              </w:rPr>
              <w:instrText xml:space="preserve"> \* MERGEFORMAT </w:instrText>
            </w:r>
            <w:r w:rsidRPr="00CD65B1">
              <w:rPr>
                <w:color w:val="000000" w:themeColor="text1"/>
              </w:rPr>
            </w:r>
            <w:r w:rsidRPr="00CD65B1">
              <w:rPr>
                <w:color w:val="000000" w:themeColor="text1"/>
              </w:rPr>
              <w:fldChar w:fldCharType="separate"/>
            </w:r>
            <w:r w:rsidR="00C160F0" w:rsidRPr="00C160F0">
              <w:rPr>
                <w:rStyle w:val="FootnoteReference"/>
              </w:rPr>
              <w:t>13</w:t>
            </w:r>
            <w:r w:rsidRPr="00CD65B1">
              <w:rPr>
                <w:color w:val="000000" w:themeColor="text1"/>
              </w:rPr>
              <w:fldChar w:fldCharType="end"/>
            </w:r>
          </w:p>
        </w:tc>
      </w:tr>
      <w:tr w:rsidR="00537221" w:rsidRPr="00781112" w14:paraId="086B388C" w14:textId="77777777" w:rsidTr="00F03E6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F03E64">
            <w:pPr>
              <w:spacing w:before="0" w:after="0"/>
              <w:jc w:val="center"/>
              <w:rPr>
                <w:rFonts w:cs="Arial"/>
                <w:color w:val="000000" w:themeColor="text1"/>
                <w:szCs w:val="16"/>
              </w:rPr>
            </w:pPr>
            <w:r w:rsidRPr="00781112">
              <w:rPr>
                <w:rFonts w:cs="Arial"/>
                <w:color w:val="000000" w:themeColor="text1"/>
                <w:szCs w:val="16"/>
              </w:rPr>
              <w:t>44.44%</w:t>
            </w:r>
          </w:p>
        </w:tc>
      </w:tr>
      <w:tr w:rsidR="00537221" w:rsidRPr="00781112" w14:paraId="43D0DD14" w14:textId="77777777" w:rsidTr="00F03E6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60E4F29C" w:rsidR="00537221" w:rsidRPr="00781112" w:rsidRDefault="00F03E64" w:rsidP="00F03E64">
            <w:pPr>
              <w:spacing w:before="0" w:after="0"/>
              <w:jc w:val="center"/>
              <w:rPr>
                <w:rFonts w:cs="Arial"/>
                <w:color w:val="000000" w:themeColor="text1"/>
                <w:szCs w:val="16"/>
              </w:rPr>
            </w:pPr>
            <w:r w:rsidRPr="008C313C">
              <w:rPr>
                <w:color w:val="000000" w:themeColor="text1"/>
              </w:rPr>
              <w:t>x</w:t>
            </w:r>
            <w:r>
              <w:rPr>
                <w:color w:val="000000" w:themeColor="text1"/>
              </w:rPr>
              <w:fldChar w:fldCharType="begin"/>
            </w:r>
            <w:r>
              <w:rPr>
                <w:color w:val="000000" w:themeColor="text1"/>
              </w:rPr>
              <w:instrText xml:space="preserve"> NOTEREF _Ref141182126 \f \h  \* MERGEFORMAT </w:instrText>
            </w:r>
            <w:r>
              <w:rPr>
                <w:color w:val="000000" w:themeColor="text1"/>
              </w:rPr>
            </w:r>
            <w:r>
              <w:rPr>
                <w:color w:val="000000" w:themeColor="text1"/>
              </w:rPr>
              <w:fldChar w:fldCharType="separate"/>
            </w:r>
            <w:r w:rsidR="00C160F0" w:rsidRPr="00C160F0">
              <w:rPr>
                <w:rStyle w:val="FootnoteReference"/>
              </w:rPr>
              <w:t>13</w:t>
            </w:r>
            <w:r>
              <w:rPr>
                <w:color w:val="000000" w:themeColor="text1"/>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F03E64" w:rsidRPr="00781112" w14:paraId="24016D03" w14:textId="0FC0BA7B" w:rsidTr="00620B20">
        <w:tc>
          <w:tcPr>
            <w:tcW w:w="427" w:type="pct"/>
            <w:shd w:val="clear" w:color="auto" w:fill="auto"/>
            <w:vAlign w:val="center"/>
          </w:tcPr>
          <w:p w14:paraId="6AD78348" w14:textId="77777777"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tcPr>
          <w:p w14:paraId="3451F312" w14:textId="4A3C4794" w:rsidR="00F03E64" w:rsidRPr="00781112" w:rsidRDefault="00F03E64" w:rsidP="00F03E64">
            <w:pPr>
              <w:jc w:val="center"/>
              <w:rPr>
                <w:rFonts w:cs="Arial"/>
                <w:color w:val="000000" w:themeColor="text1"/>
                <w:szCs w:val="16"/>
              </w:rPr>
            </w:pPr>
            <w:r w:rsidRPr="00F31F1C">
              <w:rPr>
                <w:color w:val="000000" w:themeColor="text1"/>
              </w:rPr>
              <w:t>x</w:t>
            </w:r>
            <w:r w:rsidRPr="00F31F1C">
              <w:rPr>
                <w:color w:val="000000" w:themeColor="text1"/>
              </w:rPr>
              <w:fldChar w:fldCharType="begin"/>
            </w:r>
            <w:r w:rsidRPr="00F31F1C">
              <w:rPr>
                <w:color w:val="000000" w:themeColor="text1"/>
              </w:rPr>
              <w:instrText xml:space="preserve"> NOTEREF _Ref141182126 \f \h </w:instrText>
            </w:r>
            <w:r w:rsidRPr="00F31F1C">
              <w:rPr>
                <w:color w:val="000000" w:themeColor="text1"/>
              </w:rPr>
            </w:r>
            <w:r w:rsidRPr="00F31F1C">
              <w:rPr>
                <w:color w:val="000000" w:themeColor="text1"/>
              </w:rPr>
              <w:fldChar w:fldCharType="separate"/>
            </w:r>
            <w:r w:rsidR="00C160F0" w:rsidRPr="00C160F0">
              <w:rPr>
                <w:rStyle w:val="FootnoteReference"/>
              </w:rPr>
              <w:t>13</w:t>
            </w:r>
            <w:r w:rsidRPr="00F31F1C">
              <w:rPr>
                <w:color w:val="000000" w:themeColor="text1"/>
              </w:rPr>
              <w:fldChar w:fldCharType="end"/>
            </w:r>
          </w:p>
        </w:tc>
        <w:tc>
          <w:tcPr>
            <w:tcW w:w="659" w:type="pct"/>
            <w:vAlign w:val="center"/>
          </w:tcPr>
          <w:p w14:paraId="1A23D563" w14:textId="56F68959" w:rsidR="00F03E64" w:rsidRPr="00781112" w:rsidRDefault="00F03E64" w:rsidP="00F03E64">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6BBDE651" w14:textId="47B65FE0" w:rsidR="00F03E64" w:rsidRPr="00781112" w:rsidRDefault="00F03E64" w:rsidP="00F03E64">
            <w:pPr>
              <w:jc w:val="center"/>
              <w:rPr>
                <w:rFonts w:cs="Arial"/>
                <w:color w:val="000000" w:themeColor="text1"/>
                <w:szCs w:val="16"/>
              </w:rPr>
            </w:pPr>
            <w:r w:rsidRPr="00781112">
              <w:rPr>
                <w:rFonts w:cs="Arial"/>
                <w:color w:val="000000" w:themeColor="text1"/>
                <w:szCs w:val="16"/>
              </w:rPr>
              <w:t>60.50%</w:t>
            </w:r>
          </w:p>
        </w:tc>
        <w:tc>
          <w:tcPr>
            <w:tcW w:w="659" w:type="pct"/>
            <w:vAlign w:val="center"/>
          </w:tcPr>
          <w:p w14:paraId="5A275577" w14:textId="6DCA94CB" w:rsidR="00F03E64" w:rsidRPr="00781112" w:rsidRDefault="00F03E64" w:rsidP="00F03E64">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3206928B" w14:textId="11EAF098" w:rsidR="00F03E64" w:rsidRPr="00781112" w:rsidRDefault="00F03E64" w:rsidP="00F03E64">
            <w:pPr>
              <w:jc w:val="center"/>
              <w:rPr>
                <w:rFonts w:cs="Arial"/>
                <w:color w:val="000000" w:themeColor="text1"/>
                <w:szCs w:val="16"/>
              </w:rPr>
            </w:pPr>
            <w:r w:rsidRPr="00781112">
              <w:rPr>
                <w:rFonts w:cs="Arial"/>
                <w:color w:val="000000" w:themeColor="text1"/>
                <w:szCs w:val="16"/>
              </w:rPr>
              <w:t>61.50%</w:t>
            </w:r>
          </w:p>
        </w:tc>
      </w:tr>
      <w:tr w:rsidR="00F03E64" w:rsidRPr="00781112" w14:paraId="4229AE62" w14:textId="33381C2A" w:rsidTr="00620B20">
        <w:tc>
          <w:tcPr>
            <w:tcW w:w="427" w:type="pct"/>
            <w:shd w:val="clear" w:color="auto" w:fill="auto"/>
            <w:vAlign w:val="center"/>
          </w:tcPr>
          <w:p w14:paraId="65BFCE1A" w14:textId="0D697A5F"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tcPr>
          <w:p w14:paraId="1D5B4183" w14:textId="0592CABE" w:rsidR="00F03E64" w:rsidRPr="00781112" w:rsidRDefault="00F03E64" w:rsidP="00F03E64">
            <w:pPr>
              <w:jc w:val="center"/>
              <w:rPr>
                <w:rFonts w:cs="Arial"/>
                <w:color w:val="000000" w:themeColor="text1"/>
                <w:szCs w:val="16"/>
              </w:rPr>
            </w:pPr>
            <w:r w:rsidRPr="00F31F1C">
              <w:rPr>
                <w:color w:val="000000" w:themeColor="text1"/>
              </w:rPr>
              <w:t>x</w:t>
            </w:r>
            <w:r w:rsidRPr="00F31F1C">
              <w:rPr>
                <w:color w:val="000000" w:themeColor="text1"/>
              </w:rPr>
              <w:fldChar w:fldCharType="begin"/>
            </w:r>
            <w:r w:rsidRPr="00F31F1C">
              <w:rPr>
                <w:color w:val="000000" w:themeColor="text1"/>
              </w:rPr>
              <w:instrText xml:space="preserve"> NOTEREF _Ref141182126 \f \h </w:instrText>
            </w:r>
            <w:r w:rsidRPr="00F31F1C">
              <w:rPr>
                <w:color w:val="000000" w:themeColor="text1"/>
              </w:rPr>
            </w:r>
            <w:r w:rsidRPr="00F31F1C">
              <w:rPr>
                <w:color w:val="000000" w:themeColor="text1"/>
              </w:rPr>
              <w:fldChar w:fldCharType="separate"/>
            </w:r>
            <w:r w:rsidR="00C160F0" w:rsidRPr="00C160F0">
              <w:rPr>
                <w:rStyle w:val="FootnoteReference"/>
              </w:rPr>
              <w:t>13</w:t>
            </w:r>
            <w:r w:rsidRPr="00F31F1C">
              <w:rPr>
                <w:color w:val="000000" w:themeColor="text1"/>
              </w:rPr>
              <w:fldChar w:fldCharType="end"/>
            </w:r>
          </w:p>
        </w:tc>
        <w:tc>
          <w:tcPr>
            <w:tcW w:w="659" w:type="pct"/>
            <w:vAlign w:val="center"/>
          </w:tcPr>
          <w:p w14:paraId="200F306C" w14:textId="40F15380" w:rsidR="00F03E64" w:rsidRPr="00781112" w:rsidRDefault="00F03E64" w:rsidP="00F03E64">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01C155DC" w14:textId="32FC3C15" w:rsidR="00F03E64" w:rsidRPr="00781112" w:rsidRDefault="00F03E64" w:rsidP="00F03E64">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31A2EE92" w14:textId="183FF0A7" w:rsidR="00F03E64" w:rsidRPr="00781112" w:rsidRDefault="00F03E64" w:rsidP="00F03E64">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52A72D95" w14:textId="51822CAD" w:rsidR="00F03E64" w:rsidRPr="00781112" w:rsidRDefault="00F03E64" w:rsidP="00F03E64">
            <w:pPr>
              <w:jc w:val="center"/>
              <w:rPr>
                <w:rFonts w:cs="Arial"/>
                <w:color w:val="000000" w:themeColor="text1"/>
                <w:szCs w:val="16"/>
              </w:rPr>
            </w:pPr>
            <w:r w:rsidRPr="00781112">
              <w:rPr>
                <w:rFonts w:cs="Arial"/>
                <w:color w:val="000000" w:themeColor="text1"/>
                <w:szCs w:val="16"/>
              </w:rPr>
              <w:t>5.00%</w:t>
            </w:r>
          </w:p>
        </w:tc>
      </w:tr>
      <w:tr w:rsidR="00F03E64" w:rsidRPr="00781112" w14:paraId="53D446D4" w14:textId="31EA6E11" w:rsidTr="00620B20">
        <w:tc>
          <w:tcPr>
            <w:tcW w:w="427" w:type="pct"/>
            <w:shd w:val="clear" w:color="auto" w:fill="auto"/>
            <w:vAlign w:val="center"/>
          </w:tcPr>
          <w:p w14:paraId="5413BB65" w14:textId="22884284"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tcPr>
          <w:p w14:paraId="3520F380" w14:textId="6B78838F" w:rsidR="00F03E64" w:rsidRPr="00781112" w:rsidRDefault="00F03E64" w:rsidP="00F03E64">
            <w:pPr>
              <w:jc w:val="center"/>
              <w:rPr>
                <w:rFonts w:cs="Arial"/>
                <w:color w:val="000000" w:themeColor="text1"/>
                <w:szCs w:val="16"/>
              </w:rPr>
            </w:pPr>
            <w:r w:rsidRPr="00F31F1C">
              <w:rPr>
                <w:color w:val="000000" w:themeColor="text1"/>
              </w:rPr>
              <w:t>x</w:t>
            </w:r>
            <w:r w:rsidRPr="00F31F1C">
              <w:rPr>
                <w:color w:val="000000" w:themeColor="text1"/>
              </w:rPr>
              <w:fldChar w:fldCharType="begin"/>
            </w:r>
            <w:r w:rsidRPr="00F31F1C">
              <w:rPr>
                <w:color w:val="000000" w:themeColor="text1"/>
              </w:rPr>
              <w:instrText xml:space="preserve"> NOTEREF _Ref141182126 \f \h </w:instrText>
            </w:r>
            <w:r w:rsidRPr="00F31F1C">
              <w:rPr>
                <w:color w:val="000000" w:themeColor="text1"/>
              </w:rPr>
            </w:r>
            <w:r w:rsidRPr="00F31F1C">
              <w:rPr>
                <w:color w:val="000000" w:themeColor="text1"/>
              </w:rPr>
              <w:fldChar w:fldCharType="separate"/>
            </w:r>
            <w:r w:rsidR="00C160F0" w:rsidRPr="00C160F0">
              <w:rPr>
                <w:rStyle w:val="FootnoteReference"/>
              </w:rPr>
              <w:t>13</w:t>
            </w:r>
            <w:r w:rsidRPr="00F31F1C">
              <w:rPr>
                <w:color w:val="000000" w:themeColor="text1"/>
              </w:rPr>
              <w:fldChar w:fldCharType="end"/>
            </w:r>
          </w:p>
        </w:tc>
        <w:tc>
          <w:tcPr>
            <w:tcW w:w="659" w:type="pct"/>
            <w:vAlign w:val="center"/>
          </w:tcPr>
          <w:p w14:paraId="3305DD14" w14:textId="4DBBF69C" w:rsidR="00F03E64" w:rsidRPr="00781112" w:rsidRDefault="00F03E64" w:rsidP="00F03E64">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02FF2601" w14:textId="545909AE" w:rsidR="00F03E64" w:rsidRPr="00781112" w:rsidRDefault="00F03E64" w:rsidP="00F03E64">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607B9906" w14:textId="6058F884" w:rsidR="00F03E64" w:rsidRPr="00781112" w:rsidRDefault="00F03E64" w:rsidP="00F03E64">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00AA5B51" w14:textId="2B22FFA4" w:rsidR="00F03E64" w:rsidRPr="00781112" w:rsidRDefault="00F03E64" w:rsidP="00F03E64">
            <w:pPr>
              <w:jc w:val="center"/>
              <w:rPr>
                <w:rFonts w:cs="Arial"/>
                <w:color w:val="000000" w:themeColor="text1"/>
                <w:szCs w:val="16"/>
              </w:rPr>
            </w:pPr>
            <w:r w:rsidRPr="00781112">
              <w:rPr>
                <w:rFonts w:cs="Arial"/>
                <w:color w:val="000000" w:themeColor="text1"/>
                <w:szCs w:val="16"/>
              </w:rPr>
              <w:t>5.00%</w:t>
            </w:r>
          </w:p>
        </w:tc>
      </w:tr>
      <w:tr w:rsidR="00F03E64" w:rsidRPr="00781112" w14:paraId="4D7E1CB4" w14:textId="31C0C80F" w:rsidTr="00620B20">
        <w:tc>
          <w:tcPr>
            <w:tcW w:w="427" w:type="pct"/>
            <w:shd w:val="clear" w:color="auto" w:fill="auto"/>
            <w:vAlign w:val="center"/>
          </w:tcPr>
          <w:p w14:paraId="3E17FC71" w14:textId="77777777"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F03E64" w:rsidRPr="00781112" w:rsidRDefault="00F03E64" w:rsidP="00F03E64">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tcPr>
          <w:p w14:paraId="5B4F37F7" w14:textId="095BE90F" w:rsidR="00F03E64" w:rsidRPr="00781112" w:rsidRDefault="00F03E64" w:rsidP="00F03E64">
            <w:pPr>
              <w:jc w:val="center"/>
              <w:rPr>
                <w:rFonts w:cs="Arial"/>
                <w:color w:val="000000" w:themeColor="text1"/>
                <w:szCs w:val="16"/>
              </w:rPr>
            </w:pPr>
            <w:r w:rsidRPr="00F31F1C">
              <w:rPr>
                <w:color w:val="000000" w:themeColor="text1"/>
              </w:rPr>
              <w:t>x</w:t>
            </w:r>
            <w:r w:rsidRPr="00F31F1C">
              <w:rPr>
                <w:color w:val="000000" w:themeColor="text1"/>
              </w:rPr>
              <w:fldChar w:fldCharType="begin"/>
            </w:r>
            <w:r w:rsidRPr="00F31F1C">
              <w:rPr>
                <w:color w:val="000000" w:themeColor="text1"/>
              </w:rPr>
              <w:instrText xml:space="preserve"> NOTEREF _Ref141182126 \f \h </w:instrText>
            </w:r>
            <w:r w:rsidRPr="00F31F1C">
              <w:rPr>
                <w:color w:val="000000" w:themeColor="text1"/>
              </w:rPr>
            </w:r>
            <w:r w:rsidRPr="00F31F1C">
              <w:rPr>
                <w:color w:val="000000" w:themeColor="text1"/>
              </w:rPr>
              <w:fldChar w:fldCharType="separate"/>
            </w:r>
            <w:r w:rsidR="00C160F0" w:rsidRPr="00C160F0">
              <w:rPr>
                <w:rStyle w:val="FootnoteReference"/>
              </w:rPr>
              <w:t>13</w:t>
            </w:r>
            <w:r w:rsidRPr="00F31F1C">
              <w:rPr>
                <w:color w:val="000000" w:themeColor="text1"/>
              </w:rPr>
              <w:fldChar w:fldCharType="end"/>
            </w:r>
          </w:p>
        </w:tc>
        <w:tc>
          <w:tcPr>
            <w:tcW w:w="659" w:type="pct"/>
            <w:vAlign w:val="center"/>
          </w:tcPr>
          <w:p w14:paraId="5BCC413B" w14:textId="09A05E02" w:rsidR="00F03E64" w:rsidRPr="00781112" w:rsidRDefault="00F03E64" w:rsidP="00F03E64">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45EF5FCE" w14:textId="00D7D29B" w:rsidR="00F03E64" w:rsidRPr="00781112" w:rsidRDefault="00F03E64" w:rsidP="00F03E64">
            <w:pPr>
              <w:jc w:val="center"/>
              <w:rPr>
                <w:rFonts w:cs="Arial"/>
                <w:color w:val="000000" w:themeColor="text1"/>
                <w:szCs w:val="16"/>
              </w:rPr>
            </w:pPr>
            <w:r w:rsidRPr="00781112">
              <w:rPr>
                <w:rFonts w:cs="Arial"/>
                <w:color w:val="000000" w:themeColor="text1"/>
                <w:szCs w:val="16"/>
              </w:rPr>
              <w:t>60.50%</w:t>
            </w:r>
          </w:p>
        </w:tc>
        <w:tc>
          <w:tcPr>
            <w:tcW w:w="659" w:type="pct"/>
            <w:vAlign w:val="center"/>
          </w:tcPr>
          <w:p w14:paraId="68AE213E" w14:textId="4ECF4085" w:rsidR="00F03E64" w:rsidRPr="00781112" w:rsidRDefault="00F03E64" w:rsidP="00F03E64">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7B3E2D7F" w14:textId="73124E34" w:rsidR="00F03E64" w:rsidRPr="00781112" w:rsidRDefault="00F03E64" w:rsidP="00F03E64">
            <w:pPr>
              <w:jc w:val="center"/>
              <w:rPr>
                <w:rFonts w:cs="Arial"/>
                <w:color w:val="000000" w:themeColor="text1"/>
                <w:szCs w:val="16"/>
              </w:rPr>
            </w:pPr>
            <w:r w:rsidRPr="00781112">
              <w:rPr>
                <w:rFonts w:cs="Arial"/>
                <w:color w:val="000000" w:themeColor="text1"/>
                <w:szCs w:val="16"/>
              </w:rPr>
              <w:t>61.50%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44.44%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45.50%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46.50%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26088B57" w:rsidR="00B14519" w:rsidRPr="00781112" w:rsidRDefault="00F03E64" w:rsidP="00D13592">
            <w:pPr>
              <w:jc w:val="center"/>
              <w:rPr>
                <w:rFonts w:cs="Arial"/>
                <w:color w:val="000000" w:themeColor="text1"/>
                <w:szCs w:val="16"/>
              </w:rPr>
            </w:pPr>
            <w:r w:rsidRPr="008C313C">
              <w:rPr>
                <w:color w:val="000000" w:themeColor="text1"/>
              </w:rPr>
              <w:t>x</w:t>
            </w:r>
            <w:r>
              <w:rPr>
                <w:color w:val="000000" w:themeColor="text1"/>
              </w:rPr>
              <w:fldChar w:fldCharType="begin"/>
            </w:r>
            <w:r>
              <w:rPr>
                <w:color w:val="000000" w:themeColor="text1"/>
              </w:rPr>
              <w:instrText xml:space="preserve"> NOTEREF _Ref141182126 \f \h </w:instrText>
            </w:r>
            <w:r>
              <w:rPr>
                <w:color w:val="000000" w:themeColor="text1"/>
              </w:rPr>
            </w:r>
            <w:r>
              <w:rPr>
                <w:color w:val="000000" w:themeColor="text1"/>
              </w:rPr>
              <w:fldChar w:fldCharType="separate"/>
            </w:r>
            <w:r w:rsidR="00C160F0" w:rsidRPr="00C160F0">
              <w:rPr>
                <w:rStyle w:val="FootnoteReference"/>
              </w:rPr>
              <w:t>13</w:t>
            </w:r>
            <w:r>
              <w:rPr>
                <w:color w:val="000000" w:themeColor="text1"/>
              </w:rPr>
              <w:fldChar w:fldCharType="end"/>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4.00%</w:t>
            </w:r>
          </w:p>
        </w:tc>
      </w:tr>
    </w:tbl>
    <w:p w14:paraId="4166C0E8" w14:textId="77777777" w:rsidR="002E7CCF" w:rsidRDefault="002E7CCF" w:rsidP="002E7CCF">
      <w:pPr>
        <w:spacing w:before="0" w:after="200" w:line="276" w:lineRule="auto"/>
        <w:rPr>
          <w:b/>
          <w:color w:val="000000" w:themeColor="text1"/>
        </w:rPr>
      </w:pPr>
    </w:p>
    <w:p w14:paraId="2261CE05" w14:textId="1E0349E4" w:rsidR="002D145D" w:rsidRPr="002E7CCF" w:rsidRDefault="002D145D" w:rsidP="002E7CCF">
      <w:pPr>
        <w:spacing w:before="0" w:after="200" w:line="276" w:lineRule="auto"/>
        <w:rPr>
          <w:b/>
          <w:color w:val="000000" w:themeColor="text1"/>
        </w:rPr>
      </w:pPr>
      <w:r w:rsidRPr="00781112">
        <w:rPr>
          <w:b/>
          <w:color w:val="000000" w:themeColor="text1"/>
        </w:rPr>
        <w:t xml:space="preserve">Targets: Description of Stakeholder Input </w:t>
      </w:r>
      <w:r w:rsidR="002B7490" w:rsidRPr="00781112">
        <w:rPr>
          <w:rFonts w:cs="Arial"/>
          <w:color w:val="000000" w:themeColor="text1"/>
          <w:szCs w:val="16"/>
        </w:rPr>
        <w:br/>
        <w:t xml:space="preserve">The VIDE/SOSE reconvened its Cluster Stakeholders group members specifically for Indicators 3, 5, and 17 </w:t>
      </w:r>
      <w:proofErr w:type="gramStart"/>
      <w:r w:rsidR="002B7490" w:rsidRPr="00781112">
        <w:rPr>
          <w:rFonts w:cs="Arial"/>
          <w:color w:val="000000" w:themeColor="text1"/>
          <w:szCs w:val="16"/>
        </w:rPr>
        <w:t>in order to</w:t>
      </w:r>
      <w:proofErr w:type="gramEnd"/>
      <w:r w:rsidR="002B7490" w:rsidRPr="00781112">
        <w:rPr>
          <w:rFonts w:cs="Arial"/>
          <w:color w:val="000000" w:themeColor="text1"/>
          <w:szCs w:val="16"/>
        </w:rPr>
        <w:t xml:space="preserve"> review and recommend targets that demonstrate improvements for this indicator over the 5-year targets of this SPP/APR. As with other cluster indicators, the State carefully selected the members of this group which includes and is not limited to parents/guardians of preschool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 The State Cluster Stakeholders used the data collected and reported for this indicator to build a framework for building capacity within the State Curriculum and Instructions Literacy Improvement Plan and the VIDE School-Wide Strategic Improvement Plan designed to improve literacy outcomes for ELA and increase the proficiency rates in reading comprehension for children with disabilities in grades 3 as specified in the State Improvement Measurable Results. The Cluster Stakeholders reviewed the baseline data collected and reported for this indicator and made recommendations on the targets for improvement over the next 5 years of data collection for Reading and Math in grades 4, grades 8, and grades 11. The Stakeholders verified the data collected and reported for this indicator and agreed to only use the baseline data reported to revise and propose new target data over the next 5 years that will represent an improvement over the baseline data for Reading and Math in grades 4, grades 8, and grades 11. Furthermore, the Stakeholders agreed to remove the targets presented during this APR submission and made clarification as required by OSEP Response. The Stakeholders agreed that the data entered as (0) is valid and reliable data for Reading grades 8, and grades 11, and for Math grades 11. Moreover, the Stakeholders agreed and proposed new target data for these measurements that will demonstrate improvement over the baseline data. The Stakeholders agreed that data for FFY 2020 SPP/APR were not available to report on the FFY 2021 SPP/APR as the VIDE requested a waiver as required under section 8401(b) of the ESEA, as amended. The Assessments administered by the VIDE during the FFY 2020 SPP/APR were only administered for informational purposes. Thus, this resulted in the VIDE/SOSE's inability to have baseline and target data for this indicator on the gap in proficiency rate (grade-level academic achievement standards). </w:t>
      </w:r>
      <w:r w:rsidR="002B7490" w:rsidRPr="00781112">
        <w:rPr>
          <w:rFonts w:cs="Arial"/>
          <w:color w:val="000000" w:themeColor="text1"/>
          <w:szCs w:val="16"/>
        </w:rPr>
        <w:br/>
      </w:r>
      <w:r w:rsidR="002B7490" w:rsidRPr="00781112">
        <w:rPr>
          <w:rFonts w:cs="Arial"/>
          <w:color w:val="000000" w:themeColor="text1"/>
          <w:szCs w:val="16"/>
        </w:rPr>
        <w:br/>
      </w:r>
      <w:r w:rsidR="002B7490" w:rsidRPr="00781112">
        <w:rPr>
          <w:rFonts w:cs="Arial"/>
          <w:color w:val="000000" w:themeColor="text1"/>
          <w:szCs w:val="16"/>
        </w:rPr>
        <w:br/>
        <w:t xml:space="preserve">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3, 5, and 17 (SSIP). The Cluster Stakeholders for this indicator were reintroduced to the methodology and measurements which closely looks at the overall proficiency of children with IEPs against alternate academic achievement standards. </w:t>
      </w:r>
    </w:p>
    <w:p w14:paraId="4A15E54A" w14:textId="77777777" w:rsidR="00B8751C" w:rsidRDefault="00B8751C">
      <w:pPr>
        <w:rPr>
          <w:b/>
          <w:color w:val="000000" w:themeColor="text1"/>
        </w:rPr>
      </w:pPr>
    </w:p>
    <w:p w14:paraId="24250FC6" w14:textId="77777777" w:rsidR="002E7CCF" w:rsidRPr="00781112" w:rsidRDefault="002E7CCF">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F03E64">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1F02A2A" w:rsidR="005A486A" w:rsidRPr="00781112" w:rsidRDefault="00F03E64" w:rsidP="00F03E64">
            <w:pPr>
              <w:jc w:val="center"/>
              <w:rPr>
                <w:b/>
                <w:color w:val="000000" w:themeColor="text1"/>
              </w:rPr>
            </w:pPr>
            <w:r>
              <w:rPr>
                <w:color w:val="000000" w:themeColor="text1"/>
              </w:rPr>
              <w:t>x</w:t>
            </w:r>
            <w:bookmarkStart w:id="28" w:name="_Ref141182178"/>
            <w:r>
              <w:rPr>
                <w:rStyle w:val="FootnoteReference"/>
                <w:color w:val="000000" w:themeColor="text1"/>
              </w:rPr>
              <w:footnoteReference w:id="11"/>
            </w:r>
            <w:bookmarkEnd w:id="28"/>
          </w:p>
        </w:tc>
        <w:tc>
          <w:tcPr>
            <w:tcW w:w="2700" w:type="dxa"/>
            <w:shd w:val="clear" w:color="auto" w:fill="auto"/>
            <w:vAlign w:val="center"/>
          </w:tcPr>
          <w:p w14:paraId="1DFC3C40" w14:textId="5833F145" w:rsidR="005A486A" w:rsidRPr="00781112" w:rsidRDefault="005A486A" w:rsidP="00F03E64">
            <w:pPr>
              <w:jc w:val="center"/>
              <w:rPr>
                <w:b/>
                <w:color w:val="000000" w:themeColor="text1"/>
              </w:rPr>
            </w:pPr>
            <w:r w:rsidRPr="00781112">
              <w:rPr>
                <w:color w:val="000000" w:themeColor="text1"/>
              </w:rPr>
              <w:t>9</w:t>
            </w:r>
          </w:p>
        </w:tc>
        <w:tc>
          <w:tcPr>
            <w:tcW w:w="2700" w:type="dxa"/>
            <w:shd w:val="clear" w:color="auto" w:fill="auto"/>
            <w:vAlign w:val="center"/>
          </w:tcPr>
          <w:p w14:paraId="70A0184C" w14:textId="30D6467F" w:rsidR="005A486A" w:rsidRPr="00781112" w:rsidRDefault="00F03E64" w:rsidP="00F03E64">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_Ref141182178 \f \h  \* MERGEFORMAT </w:instrText>
            </w:r>
            <w:r>
              <w:rPr>
                <w:color w:val="000000" w:themeColor="text1"/>
              </w:rPr>
            </w:r>
            <w:r>
              <w:rPr>
                <w:color w:val="000000" w:themeColor="text1"/>
              </w:rPr>
              <w:fldChar w:fldCharType="separate"/>
            </w:r>
            <w:r w:rsidR="00C160F0" w:rsidRPr="00C160F0">
              <w:rPr>
                <w:rStyle w:val="FootnoteReference"/>
              </w:rPr>
              <w:t>14</w:t>
            </w:r>
            <w:r>
              <w:rPr>
                <w:color w:val="000000" w:themeColor="text1"/>
              </w:rPr>
              <w:fldChar w:fldCharType="end"/>
            </w:r>
          </w:p>
        </w:tc>
      </w:tr>
      <w:tr w:rsidR="00F03E64" w:rsidRPr="00781112" w14:paraId="3BE009FE" w14:textId="48A19AF7" w:rsidTr="00F03E64">
        <w:tc>
          <w:tcPr>
            <w:tcW w:w="2695" w:type="dxa"/>
            <w:shd w:val="clear" w:color="auto" w:fill="auto"/>
          </w:tcPr>
          <w:p w14:paraId="3D43994F" w14:textId="3B46415A" w:rsidR="00F03E64" w:rsidRPr="00781112" w:rsidRDefault="00F03E64" w:rsidP="00F03E64">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275B5154" w:rsidR="00F03E64" w:rsidRPr="00781112" w:rsidRDefault="00F03E64" w:rsidP="00F03E64">
            <w:pPr>
              <w:jc w:val="center"/>
              <w:rPr>
                <w:b/>
                <w:color w:val="000000" w:themeColor="text1"/>
              </w:rPr>
            </w:pPr>
            <w:r w:rsidRPr="00637644">
              <w:rPr>
                <w:color w:val="000000" w:themeColor="text1"/>
              </w:rPr>
              <w:t>x</w:t>
            </w:r>
            <w:r w:rsidRPr="00637644">
              <w:rPr>
                <w:color w:val="000000" w:themeColor="text1"/>
              </w:rPr>
              <w:fldChar w:fldCharType="begin"/>
            </w:r>
            <w:r w:rsidRPr="00637644">
              <w:rPr>
                <w:color w:val="000000" w:themeColor="text1"/>
              </w:rPr>
              <w:instrText xml:space="preserve"> NOTEREF _Ref141182178 \f \h </w:instrText>
            </w:r>
            <w:r>
              <w:rPr>
                <w:color w:val="000000" w:themeColor="text1"/>
              </w:rPr>
              <w:instrText xml:space="preserve"> \* MERGEFORMAT </w:instrText>
            </w:r>
            <w:r w:rsidRPr="00637644">
              <w:rPr>
                <w:color w:val="000000" w:themeColor="text1"/>
              </w:rPr>
            </w:r>
            <w:r w:rsidRPr="00637644">
              <w:rPr>
                <w:color w:val="000000" w:themeColor="text1"/>
              </w:rPr>
              <w:fldChar w:fldCharType="separate"/>
            </w:r>
            <w:r w:rsidR="00C160F0" w:rsidRPr="00C160F0">
              <w:rPr>
                <w:rStyle w:val="FootnoteReference"/>
              </w:rPr>
              <w:t>14</w:t>
            </w:r>
            <w:r w:rsidRPr="00637644">
              <w:rPr>
                <w:color w:val="000000" w:themeColor="text1"/>
              </w:rPr>
              <w:fldChar w:fldCharType="end"/>
            </w:r>
          </w:p>
        </w:tc>
        <w:tc>
          <w:tcPr>
            <w:tcW w:w="2700" w:type="dxa"/>
            <w:shd w:val="clear" w:color="auto" w:fill="auto"/>
            <w:vAlign w:val="center"/>
          </w:tcPr>
          <w:p w14:paraId="47E25E0D" w14:textId="754BB929" w:rsidR="00F03E64" w:rsidRPr="00781112" w:rsidRDefault="00F03E64" w:rsidP="00F03E64">
            <w:pPr>
              <w:jc w:val="center"/>
              <w:rPr>
                <w:b/>
                <w:color w:val="000000" w:themeColor="text1"/>
              </w:rPr>
            </w:pPr>
            <w:r w:rsidRPr="00637644">
              <w:rPr>
                <w:color w:val="000000" w:themeColor="text1"/>
              </w:rPr>
              <w:t>x</w:t>
            </w:r>
            <w:r w:rsidRPr="00637644">
              <w:rPr>
                <w:color w:val="000000" w:themeColor="text1"/>
              </w:rPr>
              <w:fldChar w:fldCharType="begin"/>
            </w:r>
            <w:r w:rsidRPr="00637644">
              <w:rPr>
                <w:color w:val="000000" w:themeColor="text1"/>
              </w:rPr>
              <w:instrText xml:space="preserve"> NOTEREF _Ref141182178 \f \h </w:instrText>
            </w:r>
            <w:r>
              <w:rPr>
                <w:color w:val="000000" w:themeColor="text1"/>
              </w:rPr>
              <w:instrText xml:space="preserve"> \* MERGEFORMAT </w:instrText>
            </w:r>
            <w:r w:rsidRPr="00637644">
              <w:rPr>
                <w:color w:val="000000" w:themeColor="text1"/>
              </w:rPr>
            </w:r>
            <w:r w:rsidRPr="00637644">
              <w:rPr>
                <w:color w:val="000000" w:themeColor="text1"/>
              </w:rPr>
              <w:fldChar w:fldCharType="separate"/>
            </w:r>
            <w:r w:rsidR="00C160F0" w:rsidRPr="00C160F0">
              <w:rPr>
                <w:rStyle w:val="FootnoteReference"/>
              </w:rPr>
              <w:t>14</w:t>
            </w:r>
            <w:r w:rsidRPr="00637644">
              <w:rPr>
                <w:color w:val="000000" w:themeColor="text1"/>
              </w:rPr>
              <w:fldChar w:fldCharType="end"/>
            </w:r>
          </w:p>
        </w:tc>
        <w:tc>
          <w:tcPr>
            <w:tcW w:w="2700" w:type="dxa"/>
            <w:shd w:val="clear" w:color="auto" w:fill="auto"/>
            <w:vAlign w:val="center"/>
          </w:tcPr>
          <w:p w14:paraId="523F025F" w14:textId="750B5C31" w:rsidR="00F03E64" w:rsidRPr="00781112" w:rsidRDefault="00F03E64" w:rsidP="00F03E64">
            <w:pPr>
              <w:jc w:val="center"/>
              <w:rPr>
                <w:b/>
                <w:color w:val="000000" w:themeColor="text1"/>
              </w:rPr>
            </w:pPr>
            <w:r w:rsidRPr="00637644">
              <w:rPr>
                <w:color w:val="000000" w:themeColor="text1"/>
              </w:rPr>
              <w:t>x</w:t>
            </w:r>
            <w:r w:rsidRPr="00637644">
              <w:rPr>
                <w:color w:val="000000" w:themeColor="text1"/>
              </w:rPr>
              <w:fldChar w:fldCharType="begin"/>
            </w:r>
            <w:r w:rsidRPr="00637644">
              <w:rPr>
                <w:color w:val="000000" w:themeColor="text1"/>
              </w:rPr>
              <w:instrText xml:space="preserve"> NOTEREF _Ref141182178 \f \h </w:instrText>
            </w:r>
            <w:r>
              <w:rPr>
                <w:color w:val="000000" w:themeColor="text1"/>
              </w:rPr>
              <w:instrText xml:space="preserve"> \* MERGEFORMAT </w:instrText>
            </w:r>
            <w:r w:rsidRPr="00637644">
              <w:rPr>
                <w:color w:val="000000" w:themeColor="text1"/>
              </w:rPr>
            </w:r>
            <w:r w:rsidRPr="00637644">
              <w:rPr>
                <w:color w:val="000000" w:themeColor="text1"/>
              </w:rPr>
              <w:fldChar w:fldCharType="separate"/>
            </w:r>
            <w:r w:rsidR="00C160F0" w:rsidRPr="00C160F0">
              <w:rPr>
                <w:rStyle w:val="FootnoteReference"/>
              </w:rPr>
              <w:t>14</w:t>
            </w:r>
            <w:r w:rsidRPr="00637644">
              <w:rPr>
                <w:color w:val="000000" w:themeColor="text1"/>
              </w:rPr>
              <w:fldChar w:fldCharType="end"/>
            </w:r>
          </w:p>
        </w:tc>
      </w:tr>
    </w:tbl>
    <w:p w14:paraId="68D3A7BC" w14:textId="77777777" w:rsidR="002E7CCF" w:rsidRDefault="002E7CCF" w:rsidP="00286BDF">
      <w:pPr>
        <w:rPr>
          <w:rFonts w:cs="Arial"/>
          <w:b/>
          <w:color w:val="000000" w:themeColor="text1"/>
          <w:szCs w:val="16"/>
        </w:rPr>
      </w:pPr>
    </w:p>
    <w:p w14:paraId="31899BDA" w14:textId="7F367FD9"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39B25940" w14:textId="77777777" w:rsidR="002E7CCF" w:rsidRPr="00781112" w:rsidRDefault="002E7CCF"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F03E64" w:rsidRPr="00781112" w14:paraId="33333988" w14:textId="77777777" w:rsidTr="00F03E64">
        <w:tc>
          <w:tcPr>
            <w:tcW w:w="2695" w:type="dxa"/>
            <w:shd w:val="clear" w:color="auto" w:fill="auto"/>
          </w:tcPr>
          <w:p w14:paraId="7DC36ACB" w14:textId="0A898DD0" w:rsidR="00F03E64" w:rsidRPr="00781112" w:rsidRDefault="00F03E64" w:rsidP="00F03E64">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4FDCBF35" w:rsidR="00F03E64" w:rsidRPr="00781112" w:rsidRDefault="00F03E64" w:rsidP="00F03E64">
            <w:pPr>
              <w:jc w:val="center"/>
              <w:rPr>
                <w:b/>
                <w:color w:val="000000" w:themeColor="text1"/>
              </w:rPr>
            </w:pPr>
            <w:r w:rsidRPr="008E0D93">
              <w:rPr>
                <w:color w:val="000000" w:themeColor="text1"/>
              </w:rPr>
              <w:t>x</w:t>
            </w:r>
            <w:r w:rsidRPr="008E0D93">
              <w:rPr>
                <w:color w:val="000000" w:themeColor="text1"/>
              </w:rPr>
              <w:fldChar w:fldCharType="begin"/>
            </w:r>
            <w:r w:rsidRPr="008E0D93">
              <w:rPr>
                <w:color w:val="000000" w:themeColor="text1"/>
              </w:rPr>
              <w:instrText xml:space="preserve"> NOTEREF _Ref141182178 \f \h </w:instrText>
            </w:r>
            <w:r>
              <w:rPr>
                <w:color w:val="000000" w:themeColor="text1"/>
              </w:rPr>
              <w:instrText xml:space="preserve"> \* MERGEFORMAT </w:instrText>
            </w:r>
            <w:r w:rsidRPr="008E0D93">
              <w:rPr>
                <w:color w:val="000000" w:themeColor="text1"/>
              </w:rPr>
            </w:r>
            <w:r w:rsidRPr="008E0D93">
              <w:rPr>
                <w:color w:val="000000" w:themeColor="text1"/>
              </w:rPr>
              <w:fldChar w:fldCharType="separate"/>
            </w:r>
            <w:r w:rsidR="00C160F0" w:rsidRPr="00C160F0">
              <w:rPr>
                <w:rStyle w:val="FootnoteReference"/>
              </w:rPr>
              <w:t>14</w:t>
            </w:r>
            <w:r w:rsidRPr="008E0D93">
              <w:rPr>
                <w:color w:val="000000" w:themeColor="text1"/>
              </w:rPr>
              <w:fldChar w:fldCharType="end"/>
            </w:r>
          </w:p>
        </w:tc>
        <w:tc>
          <w:tcPr>
            <w:tcW w:w="2700" w:type="dxa"/>
            <w:shd w:val="clear" w:color="auto" w:fill="auto"/>
            <w:vAlign w:val="center"/>
          </w:tcPr>
          <w:p w14:paraId="07947D7E" w14:textId="50342908" w:rsidR="00F03E64" w:rsidRPr="00781112" w:rsidRDefault="00F03E64" w:rsidP="00F03E64">
            <w:pPr>
              <w:jc w:val="center"/>
              <w:rPr>
                <w:b/>
                <w:color w:val="000000" w:themeColor="text1"/>
              </w:rPr>
            </w:pPr>
            <w:r w:rsidRPr="00781112">
              <w:rPr>
                <w:color w:val="000000" w:themeColor="text1"/>
              </w:rPr>
              <w:t>9</w:t>
            </w:r>
          </w:p>
        </w:tc>
        <w:tc>
          <w:tcPr>
            <w:tcW w:w="2700" w:type="dxa"/>
            <w:shd w:val="clear" w:color="auto" w:fill="auto"/>
            <w:vAlign w:val="center"/>
          </w:tcPr>
          <w:p w14:paraId="669EEFA3" w14:textId="62A03463" w:rsidR="00F03E64" w:rsidRPr="00781112" w:rsidRDefault="00F03E64" w:rsidP="00F03E64">
            <w:pPr>
              <w:jc w:val="center"/>
              <w:rPr>
                <w:b/>
                <w:color w:val="000000" w:themeColor="text1"/>
              </w:rPr>
            </w:pPr>
            <w:r w:rsidRPr="009D1E0B">
              <w:rPr>
                <w:color w:val="000000" w:themeColor="text1"/>
              </w:rPr>
              <w:t>x</w:t>
            </w:r>
            <w:r w:rsidRPr="009D1E0B">
              <w:rPr>
                <w:color w:val="000000" w:themeColor="text1"/>
              </w:rPr>
              <w:fldChar w:fldCharType="begin"/>
            </w:r>
            <w:r w:rsidRPr="009D1E0B">
              <w:rPr>
                <w:color w:val="000000" w:themeColor="text1"/>
              </w:rPr>
              <w:instrText xml:space="preserve"> NOTEREF _Ref141182178 \f \h </w:instrText>
            </w:r>
            <w:r>
              <w:rPr>
                <w:color w:val="000000" w:themeColor="text1"/>
              </w:rPr>
              <w:instrText xml:space="preserve"> \* MERGEFORMAT </w:instrText>
            </w:r>
            <w:r w:rsidRPr="009D1E0B">
              <w:rPr>
                <w:color w:val="000000" w:themeColor="text1"/>
              </w:rPr>
            </w:r>
            <w:r w:rsidRPr="009D1E0B">
              <w:rPr>
                <w:color w:val="000000" w:themeColor="text1"/>
              </w:rPr>
              <w:fldChar w:fldCharType="separate"/>
            </w:r>
            <w:r w:rsidR="00C160F0" w:rsidRPr="00C160F0">
              <w:rPr>
                <w:rStyle w:val="FootnoteReference"/>
              </w:rPr>
              <w:t>14</w:t>
            </w:r>
            <w:r w:rsidRPr="009D1E0B">
              <w:rPr>
                <w:color w:val="000000" w:themeColor="text1"/>
              </w:rPr>
              <w:fldChar w:fldCharType="end"/>
            </w:r>
          </w:p>
        </w:tc>
      </w:tr>
      <w:tr w:rsidR="00F03E64" w:rsidRPr="00781112" w14:paraId="7E58498F" w14:textId="77777777" w:rsidTr="00F03E64">
        <w:tc>
          <w:tcPr>
            <w:tcW w:w="2695" w:type="dxa"/>
            <w:shd w:val="clear" w:color="auto" w:fill="auto"/>
          </w:tcPr>
          <w:p w14:paraId="4F32E0BC" w14:textId="3249207F" w:rsidR="00F03E64" w:rsidRPr="00781112" w:rsidRDefault="00F03E64" w:rsidP="00F03E64">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37069587" w:rsidR="00F03E64" w:rsidRPr="00781112" w:rsidRDefault="00F03E64" w:rsidP="00F03E64">
            <w:pPr>
              <w:jc w:val="center"/>
              <w:rPr>
                <w:b/>
                <w:color w:val="000000" w:themeColor="text1"/>
              </w:rPr>
            </w:pPr>
            <w:r w:rsidRPr="008E0D93">
              <w:rPr>
                <w:color w:val="000000" w:themeColor="text1"/>
              </w:rPr>
              <w:t>x</w:t>
            </w:r>
            <w:r w:rsidRPr="008E0D93">
              <w:rPr>
                <w:color w:val="000000" w:themeColor="text1"/>
              </w:rPr>
              <w:fldChar w:fldCharType="begin"/>
            </w:r>
            <w:r w:rsidRPr="008E0D93">
              <w:rPr>
                <w:color w:val="000000" w:themeColor="text1"/>
              </w:rPr>
              <w:instrText xml:space="preserve"> NOTEREF _Ref141182178 \f \h </w:instrText>
            </w:r>
            <w:r>
              <w:rPr>
                <w:color w:val="000000" w:themeColor="text1"/>
              </w:rPr>
              <w:instrText xml:space="preserve"> \* MERGEFORMAT </w:instrText>
            </w:r>
            <w:r w:rsidRPr="008E0D93">
              <w:rPr>
                <w:color w:val="000000" w:themeColor="text1"/>
              </w:rPr>
            </w:r>
            <w:r w:rsidRPr="008E0D93">
              <w:rPr>
                <w:color w:val="000000" w:themeColor="text1"/>
              </w:rPr>
              <w:fldChar w:fldCharType="separate"/>
            </w:r>
            <w:r w:rsidR="00C160F0" w:rsidRPr="00C160F0">
              <w:rPr>
                <w:rStyle w:val="FootnoteReference"/>
              </w:rPr>
              <w:t>14</w:t>
            </w:r>
            <w:r w:rsidRPr="008E0D93">
              <w:rPr>
                <w:color w:val="000000" w:themeColor="text1"/>
              </w:rPr>
              <w:fldChar w:fldCharType="end"/>
            </w:r>
          </w:p>
        </w:tc>
        <w:tc>
          <w:tcPr>
            <w:tcW w:w="2700" w:type="dxa"/>
            <w:shd w:val="clear" w:color="auto" w:fill="auto"/>
            <w:vAlign w:val="center"/>
          </w:tcPr>
          <w:p w14:paraId="6F4311F8" w14:textId="57481F37" w:rsidR="00F03E64" w:rsidRPr="00781112" w:rsidRDefault="00F03E64" w:rsidP="00F03E64">
            <w:pPr>
              <w:jc w:val="center"/>
              <w:rPr>
                <w:b/>
                <w:color w:val="000000" w:themeColor="text1"/>
              </w:rPr>
            </w:pPr>
            <w:r w:rsidRPr="00781112">
              <w:rPr>
                <w:color w:val="000000" w:themeColor="text1"/>
              </w:rPr>
              <w:t>4</w:t>
            </w:r>
          </w:p>
        </w:tc>
        <w:tc>
          <w:tcPr>
            <w:tcW w:w="2700" w:type="dxa"/>
            <w:shd w:val="clear" w:color="auto" w:fill="auto"/>
            <w:vAlign w:val="center"/>
          </w:tcPr>
          <w:p w14:paraId="7B154B01" w14:textId="12A33489" w:rsidR="00F03E64" w:rsidRPr="00781112" w:rsidRDefault="00F03E64" w:rsidP="00F03E64">
            <w:pPr>
              <w:jc w:val="center"/>
              <w:rPr>
                <w:b/>
                <w:color w:val="000000" w:themeColor="text1"/>
              </w:rPr>
            </w:pPr>
            <w:r w:rsidRPr="009D1E0B">
              <w:rPr>
                <w:color w:val="000000" w:themeColor="text1"/>
              </w:rPr>
              <w:t>x</w:t>
            </w:r>
            <w:r w:rsidRPr="009D1E0B">
              <w:rPr>
                <w:color w:val="000000" w:themeColor="text1"/>
              </w:rPr>
              <w:fldChar w:fldCharType="begin"/>
            </w:r>
            <w:r w:rsidRPr="009D1E0B">
              <w:rPr>
                <w:color w:val="000000" w:themeColor="text1"/>
              </w:rPr>
              <w:instrText xml:space="preserve"> NOTEREF _Ref141182178 \f \h </w:instrText>
            </w:r>
            <w:r>
              <w:rPr>
                <w:color w:val="000000" w:themeColor="text1"/>
              </w:rPr>
              <w:instrText xml:space="preserve"> \* MERGEFORMAT </w:instrText>
            </w:r>
            <w:r w:rsidRPr="009D1E0B">
              <w:rPr>
                <w:color w:val="000000" w:themeColor="text1"/>
              </w:rPr>
            </w:r>
            <w:r w:rsidRPr="009D1E0B">
              <w:rPr>
                <w:color w:val="000000" w:themeColor="text1"/>
              </w:rPr>
              <w:fldChar w:fldCharType="separate"/>
            </w:r>
            <w:r w:rsidR="00C160F0" w:rsidRPr="00C160F0">
              <w:rPr>
                <w:rStyle w:val="FootnoteReference"/>
              </w:rPr>
              <w:t>14</w:t>
            </w:r>
            <w:r w:rsidRPr="009D1E0B">
              <w:rPr>
                <w:color w:val="000000" w:themeColor="text1"/>
              </w:rPr>
              <w:fldChar w:fldCharType="end"/>
            </w:r>
          </w:p>
        </w:tc>
      </w:tr>
    </w:tbl>
    <w:p w14:paraId="56C37F05" w14:textId="77777777" w:rsidR="00241BD0" w:rsidRPr="00781112" w:rsidRDefault="00241BD0" w:rsidP="004369B2">
      <w:pPr>
        <w:rPr>
          <w:color w:val="000000" w:themeColor="text1"/>
        </w:rPr>
      </w:pPr>
    </w:p>
    <w:p w14:paraId="35C6036A" w14:textId="77777777" w:rsidR="002E7CCF" w:rsidRDefault="002E7CCF">
      <w:pPr>
        <w:spacing w:before="0" w:after="200" w:line="276" w:lineRule="auto"/>
        <w:rPr>
          <w:b/>
          <w:color w:val="000000" w:themeColor="text1"/>
        </w:rPr>
      </w:pPr>
      <w:r>
        <w:rPr>
          <w:b/>
          <w:color w:val="000000" w:themeColor="text1"/>
        </w:rPr>
        <w:br w:type="page"/>
      </w:r>
    </w:p>
    <w:p w14:paraId="0E0A129D" w14:textId="3CDAED15"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F03E64">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F03E64" w:rsidRPr="00781112" w14:paraId="318B8AAD" w14:textId="77777777" w:rsidTr="00F03E64">
        <w:tc>
          <w:tcPr>
            <w:tcW w:w="323" w:type="pct"/>
            <w:shd w:val="clear" w:color="auto" w:fill="auto"/>
            <w:vAlign w:val="center"/>
          </w:tcPr>
          <w:p w14:paraId="4BD3A1A0" w14:textId="77777777" w:rsidR="00F03E64" w:rsidRPr="00781112" w:rsidRDefault="00F03E64" w:rsidP="00F03E64">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25CF8587" w:rsidR="00F03E64" w:rsidRPr="00781112" w:rsidRDefault="00F03E64" w:rsidP="00F03E64">
            <w:pPr>
              <w:jc w:val="center"/>
              <w:rPr>
                <w:rFonts w:cs="Arial"/>
                <w:color w:val="000000" w:themeColor="text1"/>
                <w:szCs w:val="16"/>
              </w:rPr>
            </w:pPr>
            <w:r w:rsidRPr="0097333A">
              <w:rPr>
                <w:color w:val="000000" w:themeColor="text1"/>
              </w:rPr>
              <w:t>x</w:t>
            </w:r>
            <w:bookmarkStart w:id="29" w:name="_Ref141182236"/>
            <w:r>
              <w:rPr>
                <w:rStyle w:val="FootnoteReference"/>
                <w:color w:val="000000" w:themeColor="text1"/>
              </w:rPr>
              <w:footnoteReference w:id="12"/>
            </w:r>
            <w:bookmarkEnd w:id="29"/>
          </w:p>
        </w:tc>
        <w:tc>
          <w:tcPr>
            <w:tcW w:w="636" w:type="pct"/>
            <w:shd w:val="clear" w:color="auto" w:fill="auto"/>
          </w:tcPr>
          <w:p w14:paraId="5740CA80" w14:textId="1A23331B" w:rsidR="00F03E64" w:rsidRPr="00781112" w:rsidRDefault="00F03E64" w:rsidP="00F03E64">
            <w:pPr>
              <w:jc w:val="center"/>
              <w:rPr>
                <w:rFonts w:cs="Arial"/>
                <w:color w:val="000000" w:themeColor="text1"/>
                <w:szCs w:val="16"/>
              </w:rPr>
            </w:pPr>
            <w:r w:rsidRPr="0097333A">
              <w:rPr>
                <w:color w:val="000000" w:themeColor="text1"/>
              </w:rPr>
              <w:t>x</w:t>
            </w:r>
            <w:r>
              <w:rPr>
                <w:color w:val="000000" w:themeColor="text1"/>
              </w:rPr>
              <w:fldChar w:fldCharType="begin"/>
            </w:r>
            <w:r>
              <w:rPr>
                <w:color w:val="000000" w:themeColor="text1"/>
              </w:rPr>
              <w:instrText xml:space="preserve"> NOTEREF _Ref141182236 \f \h </w:instrText>
            </w:r>
            <w:r>
              <w:rPr>
                <w:color w:val="000000" w:themeColor="text1"/>
              </w:rPr>
            </w:r>
            <w:r>
              <w:rPr>
                <w:color w:val="000000" w:themeColor="text1"/>
              </w:rPr>
              <w:fldChar w:fldCharType="separate"/>
            </w:r>
            <w:r w:rsidR="00C160F0" w:rsidRPr="00C160F0">
              <w:rPr>
                <w:rStyle w:val="FootnoteReference"/>
              </w:rPr>
              <w:t>15</w:t>
            </w:r>
            <w:r>
              <w:rPr>
                <w:color w:val="000000" w:themeColor="text1"/>
              </w:rPr>
              <w:fldChar w:fldCharType="end"/>
            </w:r>
          </w:p>
        </w:tc>
        <w:tc>
          <w:tcPr>
            <w:tcW w:w="528" w:type="pct"/>
            <w:shd w:val="clear" w:color="auto" w:fill="auto"/>
          </w:tcPr>
          <w:p w14:paraId="6BA58310" w14:textId="391F367C" w:rsidR="00F03E64" w:rsidRPr="00781112" w:rsidRDefault="00F03E64" w:rsidP="00F03E64">
            <w:pPr>
              <w:jc w:val="center"/>
              <w:rPr>
                <w:rFonts w:cs="Arial"/>
                <w:color w:val="000000" w:themeColor="text1"/>
                <w:szCs w:val="16"/>
              </w:rPr>
            </w:pPr>
          </w:p>
        </w:tc>
        <w:tc>
          <w:tcPr>
            <w:tcW w:w="741" w:type="pct"/>
            <w:shd w:val="clear" w:color="auto" w:fill="auto"/>
          </w:tcPr>
          <w:p w14:paraId="47A1F29A" w14:textId="536C4349"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487" w:type="pct"/>
            <w:shd w:val="clear" w:color="auto" w:fill="auto"/>
          </w:tcPr>
          <w:p w14:paraId="2AE4C61A" w14:textId="7B5E355C"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589" w:type="pct"/>
            <w:shd w:val="clear" w:color="auto" w:fill="auto"/>
          </w:tcPr>
          <w:p w14:paraId="2590AA37" w14:textId="2B2E3DAE"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39DEC07F" w14:textId="70B28667"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r>
      <w:tr w:rsidR="00F03E64" w:rsidRPr="00781112" w14:paraId="52B173E5" w14:textId="77777777" w:rsidTr="00F03E64">
        <w:tc>
          <w:tcPr>
            <w:tcW w:w="323" w:type="pct"/>
            <w:shd w:val="clear" w:color="auto" w:fill="auto"/>
            <w:vAlign w:val="center"/>
          </w:tcPr>
          <w:p w14:paraId="5153CDB6" w14:textId="77777777" w:rsidR="00F03E64" w:rsidRPr="00781112" w:rsidRDefault="00F03E64" w:rsidP="00F03E64">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68321590" w:rsidR="00F03E64" w:rsidRPr="00781112" w:rsidRDefault="00F03E64" w:rsidP="00F03E64">
            <w:pPr>
              <w:jc w:val="center"/>
              <w:rPr>
                <w:rFonts w:cs="Arial"/>
                <w:color w:val="000000" w:themeColor="text1"/>
                <w:szCs w:val="16"/>
              </w:rPr>
            </w:pPr>
            <w:r w:rsidRPr="00EA1629">
              <w:rPr>
                <w:color w:val="000000" w:themeColor="text1"/>
              </w:rPr>
              <w:t>x</w:t>
            </w:r>
            <w:r w:rsidRPr="00EA1629">
              <w:rPr>
                <w:color w:val="000000" w:themeColor="text1"/>
              </w:rPr>
              <w:fldChar w:fldCharType="begin"/>
            </w:r>
            <w:r w:rsidRPr="00EA1629">
              <w:rPr>
                <w:color w:val="000000" w:themeColor="text1"/>
              </w:rPr>
              <w:instrText xml:space="preserve"> NOTEREF _Ref141182236 \f \h </w:instrText>
            </w:r>
            <w:r w:rsidRPr="00EA1629">
              <w:rPr>
                <w:color w:val="000000" w:themeColor="text1"/>
              </w:rPr>
            </w:r>
            <w:r w:rsidRPr="00EA1629">
              <w:rPr>
                <w:color w:val="000000" w:themeColor="text1"/>
              </w:rPr>
              <w:fldChar w:fldCharType="separate"/>
            </w:r>
            <w:r w:rsidR="00C160F0" w:rsidRPr="00C160F0">
              <w:rPr>
                <w:rStyle w:val="FootnoteReference"/>
              </w:rPr>
              <w:t>15</w:t>
            </w:r>
            <w:r w:rsidRPr="00EA1629">
              <w:rPr>
                <w:color w:val="000000" w:themeColor="text1"/>
              </w:rPr>
              <w:fldChar w:fldCharType="end"/>
            </w:r>
          </w:p>
        </w:tc>
        <w:tc>
          <w:tcPr>
            <w:tcW w:w="636" w:type="pct"/>
            <w:shd w:val="clear" w:color="auto" w:fill="auto"/>
          </w:tcPr>
          <w:p w14:paraId="1BCB466D" w14:textId="5DD60E0B" w:rsidR="00F03E64" w:rsidRPr="00781112" w:rsidRDefault="00F03E64" w:rsidP="00F03E64">
            <w:pPr>
              <w:jc w:val="center"/>
              <w:rPr>
                <w:rFonts w:cs="Arial"/>
                <w:color w:val="000000" w:themeColor="text1"/>
                <w:szCs w:val="16"/>
              </w:rPr>
            </w:pPr>
            <w:r>
              <w:rPr>
                <w:rFonts w:cs="Arial"/>
                <w:color w:val="000000"/>
                <w:szCs w:val="16"/>
              </w:rPr>
              <w:t>9</w:t>
            </w:r>
          </w:p>
        </w:tc>
        <w:tc>
          <w:tcPr>
            <w:tcW w:w="528" w:type="pct"/>
            <w:shd w:val="clear" w:color="auto" w:fill="auto"/>
          </w:tcPr>
          <w:p w14:paraId="60597E0A" w14:textId="4D673C7B" w:rsidR="00F03E64" w:rsidRPr="00781112" w:rsidRDefault="00F03E64" w:rsidP="00F03E64">
            <w:pPr>
              <w:jc w:val="center"/>
              <w:rPr>
                <w:rFonts w:cs="Arial"/>
                <w:color w:val="000000" w:themeColor="text1"/>
                <w:szCs w:val="16"/>
              </w:rPr>
            </w:pPr>
          </w:p>
        </w:tc>
        <w:tc>
          <w:tcPr>
            <w:tcW w:w="741" w:type="pct"/>
            <w:shd w:val="clear" w:color="auto" w:fill="auto"/>
          </w:tcPr>
          <w:p w14:paraId="6445398C" w14:textId="64721AFD"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487" w:type="pct"/>
            <w:shd w:val="clear" w:color="auto" w:fill="auto"/>
          </w:tcPr>
          <w:p w14:paraId="4EBD899F" w14:textId="08824869"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589" w:type="pct"/>
            <w:shd w:val="clear" w:color="auto" w:fill="auto"/>
          </w:tcPr>
          <w:p w14:paraId="585589D4" w14:textId="6C3ED8A0"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64956786" w14:textId="4047CECE"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r>
      <w:tr w:rsidR="00F03E64" w:rsidRPr="00781112" w14:paraId="3EA2EA1E" w14:textId="77777777" w:rsidTr="00F03E64">
        <w:tc>
          <w:tcPr>
            <w:tcW w:w="323" w:type="pct"/>
            <w:shd w:val="clear" w:color="auto" w:fill="auto"/>
            <w:vAlign w:val="center"/>
          </w:tcPr>
          <w:p w14:paraId="7CB7E776" w14:textId="77777777" w:rsidR="00F03E64" w:rsidRPr="00781112" w:rsidRDefault="00F03E64" w:rsidP="00F03E64">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09209839" w:rsidR="00F03E64" w:rsidRPr="00781112" w:rsidRDefault="00F03E64" w:rsidP="00F03E64">
            <w:pPr>
              <w:jc w:val="center"/>
              <w:rPr>
                <w:rFonts w:cs="Arial"/>
                <w:color w:val="000000" w:themeColor="text1"/>
                <w:szCs w:val="16"/>
              </w:rPr>
            </w:pPr>
            <w:r w:rsidRPr="00EA1629">
              <w:rPr>
                <w:color w:val="000000" w:themeColor="text1"/>
              </w:rPr>
              <w:t>x</w:t>
            </w:r>
            <w:r w:rsidRPr="00EA1629">
              <w:rPr>
                <w:color w:val="000000" w:themeColor="text1"/>
              </w:rPr>
              <w:fldChar w:fldCharType="begin"/>
            </w:r>
            <w:r w:rsidRPr="00EA1629">
              <w:rPr>
                <w:color w:val="000000" w:themeColor="text1"/>
              </w:rPr>
              <w:instrText xml:space="preserve"> NOTEREF _Ref141182236 \f \h </w:instrText>
            </w:r>
            <w:r w:rsidRPr="00EA1629">
              <w:rPr>
                <w:color w:val="000000" w:themeColor="text1"/>
              </w:rPr>
            </w:r>
            <w:r w:rsidRPr="00EA1629">
              <w:rPr>
                <w:color w:val="000000" w:themeColor="text1"/>
              </w:rPr>
              <w:fldChar w:fldCharType="separate"/>
            </w:r>
            <w:r w:rsidR="00C160F0" w:rsidRPr="00C160F0">
              <w:rPr>
                <w:rStyle w:val="FootnoteReference"/>
              </w:rPr>
              <w:t>15</w:t>
            </w:r>
            <w:r w:rsidRPr="00EA1629">
              <w:rPr>
                <w:color w:val="000000" w:themeColor="text1"/>
              </w:rPr>
              <w:fldChar w:fldCharType="end"/>
            </w:r>
          </w:p>
        </w:tc>
        <w:tc>
          <w:tcPr>
            <w:tcW w:w="636" w:type="pct"/>
            <w:shd w:val="clear" w:color="auto" w:fill="auto"/>
          </w:tcPr>
          <w:p w14:paraId="0F212AA6" w14:textId="427C7F66" w:rsidR="00F03E64" w:rsidRPr="00781112" w:rsidRDefault="00F03E64" w:rsidP="00F03E64">
            <w:pPr>
              <w:jc w:val="center"/>
              <w:rPr>
                <w:rFonts w:cs="Arial"/>
                <w:color w:val="000000" w:themeColor="text1"/>
                <w:szCs w:val="16"/>
              </w:rPr>
            </w:pPr>
            <w:r w:rsidRPr="0097333A">
              <w:rPr>
                <w:color w:val="000000" w:themeColor="text1"/>
              </w:rPr>
              <w:t>x</w:t>
            </w:r>
            <w:r>
              <w:rPr>
                <w:color w:val="000000" w:themeColor="text1"/>
              </w:rPr>
              <w:fldChar w:fldCharType="begin"/>
            </w:r>
            <w:r>
              <w:rPr>
                <w:color w:val="000000" w:themeColor="text1"/>
              </w:rPr>
              <w:instrText xml:space="preserve"> NOTEREF _Ref141182236 \f \h </w:instrText>
            </w:r>
            <w:r>
              <w:rPr>
                <w:color w:val="000000" w:themeColor="text1"/>
              </w:rPr>
            </w:r>
            <w:r>
              <w:rPr>
                <w:color w:val="000000" w:themeColor="text1"/>
              </w:rPr>
              <w:fldChar w:fldCharType="separate"/>
            </w:r>
            <w:r w:rsidR="00C160F0" w:rsidRPr="00C160F0">
              <w:rPr>
                <w:rStyle w:val="FootnoteReference"/>
              </w:rPr>
              <w:t>15</w:t>
            </w:r>
            <w:r>
              <w:rPr>
                <w:color w:val="000000" w:themeColor="text1"/>
              </w:rPr>
              <w:fldChar w:fldCharType="end"/>
            </w:r>
          </w:p>
        </w:tc>
        <w:tc>
          <w:tcPr>
            <w:tcW w:w="528" w:type="pct"/>
            <w:shd w:val="clear" w:color="auto" w:fill="auto"/>
          </w:tcPr>
          <w:p w14:paraId="066DE90A" w14:textId="5EE6838D" w:rsidR="00F03E64" w:rsidRPr="00781112" w:rsidRDefault="00F03E64" w:rsidP="00F03E64">
            <w:pPr>
              <w:jc w:val="center"/>
              <w:rPr>
                <w:rFonts w:cs="Arial"/>
                <w:color w:val="000000" w:themeColor="text1"/>
                <w:szCs w:val="16"/>
              </w:rPr>
            </w:pPr>
          </w:p>
        </w:tc>
        <w:tc>
          <w:tcPr>
            <w:tcW w:w="741" w:type="pct"/>
            <w:shd w:val="clear" w:color="auto" w:fill="auto"/>
          </w:tcPr>
          <w:p w14:paraId="4191EA17" w14:textId="3D304AD7"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487" w:type="pct"/>
            <w:shd w:val="clear" w:color="auto" w:fill="auto"/>
          </w:tcPr>
          <w:p w14:paraId="15CE5CCF" w14:textId="00B3EB55" w:rsidR="00F03E64" w:rsidRPr="00781112" w:rsidRDefault="00F03E64" w:rsidP="00F03E64">
            <w:pPr>
              <w:jc w:val="center"/>
              <w:rPr>
                <w:rFonts w:cs="Arial"/>
                <w:color w:val="000000" w:themeColor="text1"/>
                <w:szCs w:val="16"/>
              </w:rPr>
            </w:pPr>
            <w:r w:rsidRPr="00223F41">
              <w:rPr>
                <w:color w:val="000000" w:themeColor="text1"/>
              </w:rPr>
              <w:t>x</w:t>
            </w:r>
            <w:r w:rsidRPr="00223F41">
              <w:rPr>
                <w:color w:val="000000" w:themeColor="text1"/>
              </w:rPr>
              <w:fldChar w:fldCharType="begin"/>
            </w:r>
            <w:r w:rsidRPr="00223F41">
              <w:rPr>
                <w:color w:val="000000" w:themeColor="text1"/>
              </w:rPr>
              <w:instrText xml:space="preserve"> NOTEREF _Ref141182236 \f \h </w:instrText>
            </w:r>
            <w:r w:rsidRPr="00223F41">
              <w:rPr>
                <w:color w:val="000000" w:themeColor="text1"/>
              </w:rPr>
            </w:r>
            <w:r w:rsidRPr="00223F41">
              <w:rPr>
                <w:color w:val="000000" w:themeColor="text1"/>
              </w:rPr>
              <w:fldChar w:fldCharType="separate"/>
            </w:r>
            <w:r w:rsidR="00C160F0" w:rsidRPr="00C160F0">
              <w:rPr>
                <w:rStyle w:val="FootnoteReference"/>
              </w:rPr>
              <w:t>15</w:t>
            </w:r>
            <w:r w:rsidRPr="00223F41">
              <w:rPr>
                <w:color w:val="000000" w:themeColor="text1"/>
              </w:rPr>
              <w:fldChar w:fldCharType="end"/>
            </w:r>
          </w:p>
        </w:tc>
        <w:tc>
          <w:tcPr>
            <w:tcW w:w="589" w:type="pct"/>
            <w:shd w:val="clear" w:color="auto" w:fill="auto"/>
          </w:tcPr>
          <w:p w14:paraId="28CB2C9E" w14:textId="4F0EF91A"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157B84D0" w14:textId="0B58E631"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F03E64">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F03E64" w:rsidRPr="00781112" w14:paraId="08D65837" w14:textId="77777777" w:rsidTr="00511309">
        <w:tc>
          <w:tcPr>
            <w:tcW w:w="323" w:type="pct"/>
            <w:shd w:val="clear" w:color="auto" w:fill="auto"/>
            <w:vAlign w:val="center"/>
          </w:tcPr>
          <w:p w14:paraId="76903C3F" w14:textId="77777777" w:rsidR="00F03E64" w:rsidRPr="00781112" w:rsidRDefault="00F03E64" w:rsidP="00F03E64">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6642EB5" w14:textId="1157CB76" w:rsidR="00F03E64" w:rsidRPr="00781112" w:rsidRDefault="00F03E64" w:rsidP="00F03E64">
            <w:pPr>
              <w:jc w:val="center"/>
              <w:rPr>
                <w:rFonts w:cs="Arial"/>
                <w:color w:val="000000" w:themeColor="text1"/>
                <w:szCs w:val="16"/>
              </w:rPr>
            </w:pPr>
            <w:r w:rsidRPr="005F47EE">
              <w:rPr>
                <w:color w:val="000000" w:themeColor="text1"/>
              </w:rPr>
              <w:t>x</w:t>
            </w:r>
            <w:r w:rsidRPr="005F47EE">
              <w:rPr>
                <w:color w:val="000000" w:themeColor="text1"/>
              </w:rPr>
              <w:fldChar w:fldCharType="begin"/>
            </w:r>
            <w:r w:rsidRPr="005F47EE">
              <w:rPr>
                <w:color w:val="000000" w:themeColor="text1"/>
              </w:rPr>
              <w:instrText xml:space="preserve"> NOTEREF _Ref141182236 \f \h </w:instrText>
            </w:r>
            <w:r w:rsidRPr="005F47EE">
              <w:rPr>
                <w:color w:val="000000" w:themeColor="text1"/>
              </w:rPr>
            </w:r>
            <w:r w:rsidRPr="005F47EE">
              <w:rPr>
                <w:color w:val="000000" w:themeColor="text1"/>
              </w:rPr>
              <w:fldChar w:fldCharType="separate"/>
            </w:r>
            <w:r w:rsidR="00C160F0" w:rsidRPr="00C160F0">
              <w:rPr>
                <w:rStyle w:val="FootnoteReference"/>
              </w:rPr>
              <w:t>15</w:t>
            </w:r>
            <w:r w:rsidRPr="005F47EE">
              <w:rPr>
                <w:color w:val="000000" w:themeColor="text1"/>
              </w:rPr>
              <w:fldChar w:fldCharType="end"/>
            </w:r>
          </w:p>
        </w:tc>
        <w:tc>
          <w:tcPr>
            <w:tcW w:w="635" w:type="pct"/>
            <w:shd w:val="clear" w:color="auto" w:fill="auto"/>
          </w:tcPr>
          <w:p w14:paraId="1C6085EF" w14:textId="70252E74" w:rsidR="00F03E64" w:rsidRPr="00781112" w:rsidRDefault="00F03E64" w:rsidP="00F03E64">
            <w:pPr>
              <w:jc w:val="center"/>
              <w:rPr>
                <w:rFonts w:cs="Arial"/>
                <w:color w:val="000000" w:themeColor="text1"/>
                <w:szCs w:val="16"/>
              </w:rPr>
            </w:pPr>
            <w:r w:rsidRPr="005F47EE">
              <w:rPr>
                <w:color w:val="000000" w:themeColor="text1"/>
              </w:rPr>
              <w:t>x</w:t>
            </w:r>
            <w:r w:rsidRPr="005F47EE">
              <w:rPr>
                <w:color w:val="000000" w:themeColor="text1"/>
              </w:rPr>
              <w:fldChar w:fldCharType="begin"/>
            </w:r>
            <w:r w:rsidRPr="005F47EE">
              <w:rPr>
                <w:color w:val="000000" w:themeColor="text1"/>
              </w:rPr>
              <w:instrText xml:space="preserve"> NOTEREF _Ref141182236 \f \h </w:instrText>
            </w:r>
            <w:r w:rsidRPr="005F47EE">
              <w:rPr>
                <w:color w:val="000000" w:themeColor="text1"/>
              </w:rPr>
            </w:r>
            <w:r w:rsidRPr="005F47EE">
              <w:rPr>
                <w:color w:val="000000" w:themeColor="text1"/>
              </w:rPr>
              <w:fldChar w:fldCharType="separate"/>
            </w:r>
            <w:r w:rsidR="00C160F0" w:rsidRPr="00C160F0">
              <w:rPr>
                <w:rStyle w:val="FootnoteReference"/>
              </w:rPr>
              <w:t>15</w:t>
            </w:r>
            <w:r w:rsidRPr="005F47EE">
              <w:rPr>
                <w:color w:val="000000" w:themeColor="text1"/>
              </w:rPr>
              <w:fldChar w:fldCharType="end"/>
            </w:r>
          </w:p>
        </w:tc>
        <w:tc>
          <w:tcPr>
            <w:tcW w:w="528" w:type="pct"/>
            <w:shd w:val="clear" w:color="auto" w:fill="auto"/>
            <w:vAlign w:val="center"/>
          </w:tcPr>
          <w:p w14:paraId="3DFEF3CC" w14:textId="273D8D28" w:rsidR="00F03E64" w:rsidRPr="00781112" w:rsidRDefault="00F03E64" w:rsidP="00F03E64">
            <w:pPr>
              <w:jc w:val="center"/>
              <w:rPr>
                <w:rFonts w:cs="Arial"/>
                <w:color w:val="000000" w:themeColor="text1"/>
                <w:szCs w:val="16"/>
              </w:rPr>
            </w:pPr>
          </w:p>
        </w:tc>
        <w:tc>
          <w:tcPr>
            <w:tcW w:w="739" w:type="pct"/>
            <w:shd w:val="clear" w:color="auto" w:fill="auto"/>
          </w:tcPr>
          <w:p w14:paraId="78DBA801" w14:textId="5D741382" w:rsidR="00F03E64" w:rsidRPr="00781112" w:rsidRDefault="00F03E64" w:rsidP="00F03E64">
            <w:pPr>
              <w:jc w:val="center"/>
              <w:rPr>
                <w:rFonts w:cs="Arial"/>
                <w:color w:val="000000" w:themeColor="text1"/>
                <w:szCs w:val="16"/>
              </w:rPr>
            </w:pPr>
            <w:r w:rsidRPr="00002FB8">
              <w:rPr>
                <w:color w:val="000000" w:themeColor="text1"/>
              </w:rPr>
              <w:t>x</w:t>
            </w:r>
            <w:r w:rsidRPr="00002FB8">
              <w:rPr>
                <w:color w:val="000000" w:themeColor="text1"/>
              </w:rPr>
              <w:fldChar w:fldCharType="begin"/>
            </w:r>
            <w:r w:rsidRPr="00002FB8">
              <w:rPr>
                <w:color w:val="000000" w:themeColor="text1"/>
              </w:rPr>
              <w:instrText xml:space="preserve"> NOTEREF _Ref141182236 \f \h </w:instrText>
            </w:r>
            <w:r w:rsidRPr="00002FB8">
              <w:rPr>
                <w:color w:val="000000" w:themeColor="text1"/>
              </w:rPr>
            </w:r>
            <w:r w:rsidRPr="00002FB8">
              <w:rPr>
                <w:color w:val="000000" w:themeColor="text1"/>
              </w:rPr>
              <w:fldChar w:fldCharType="separate"/>
            </w:r>
            <w:r w:rsidR="00C160F0" w:rsidRPr="00C160F0">
              <w:rPr>
                <w:rStyle w:val="FootnoteReference"/>
              </w:rPr>
              <w:t>15</w:t>
            </w:r>
            <w:r w:rsidRPr="00002FB8">
              <w:rPr>
                <w:color w:val="000000" w:themeColor="text1"/>
              </w:rPr>
              <w:fldChar w:fldCharType="end"/>
            </w:r>
          </w:p>
        </w:tc>
        <w:tc>
          <w:tcPr>
            <w:tcW w:w="487" w:type="pct"/>
            <w:shd w:val="clear" w:color="auto" w:fill="auto"/>
          </w:tcPr>
          <w:p w14:paraId="1DC938D5" w14:textId="491D5218" w:rsidR="00F03E64" w:rsidRPr="00781112" w:rsidRDefault="00F03E64" w:rsidP="00F03E64">
            <w:pPr>
              <w:jc w:val="center"/>
              <w:rPr>
                <w:rFonts w:cs="Arial"/>
                <w:color w:val="000000" w:themeColor="text1"/>
                <w:szCs w:val="16"/>
              </w:rPr>
            </w:pPr>
            <w:r w:rsidRPr="00002FB8">
              <w:rPr>
                <w:color w:val="000000" w:themeColor="text1"/>
              </w:rPr>
              <w:t>x</w:t>
            </w:r>
            <w:r w:rsidRPr="00002FB8">
              <w:rPr>
                <w:color w:val="000000" w:themeColor="text1"/>
              </w:rPr>
              <w:fldChar w:fldCharType="begin"/>
            </w:r>
            <w:r w:rsidRPr="00002FB8">
              <w:rPr>
                <w:color w:val="000000" w:themeColor="text1"/>
              </w:rPr>
              <w:instrText xml:space="preserve"> NOTEREF _Ref141182236 \f \h </w:instrText>
            </w:r>
            <w:r w:rsidRPr="00002FB8">
              <w:rPr>
                <w:color w:val="000000" w:themeColor="text1"/>
              </w:rPr>
            </w:r>
            <w:r w:rsidRPr="00002FB8">
              <w:rPr>
                <w:color w:val="000000" w:themeColor="text1"/>
              </w:rPr>
              <w:fldChar w:fldCharType="separate"/>
            </w:r>
            <w:r w:rsidR="00C160F0" w:rsidRPr="00C160F0">
              <w:rPr>
                <w:rStyle w:val="FootnoteReference"/>
              </w:rPr>
              <w:t>15</w:t>
            </w:r>
            <w:r w:rsidRPr="00002FB8">
              <w:rPr>
                <w:color w:val="000000" w:themeColor="text1"/>
              </w:rPr>
              <w:fldChar w:fldCharType="end"/>
            </w:r>
          </w:p>
        </w:tc>
        <w:tc>
          <w:tcPr>
            <w:tcW w:w="589" w:type="pct"/>
            <w:shd w:val="clear" w:color="auto" w:fill="auto"/>
            <w:vAlign w:val="center"/>
          </w:tcPr>
          <w:p w14:paraId="4B9610A1" w14:textId="71C9791E"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F03E64">
        <w:tc>
          <w:tcPr>
            <w:tcW w:w="323"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w:t>
            </w:r>
          </w:p>
        </w:tc>
        <w:tc>
          <w:tcPr>
            <w:tcW w:w="635"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w:t>
            </w:r>
          </w:p>
        </w:tc>
        <w:tc>
          <w:tcPr>
            <w:tcW w:w="528"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39"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44.44%</w:t>
            </w:r>
          </w:p>
        </w:tc>
        <w:tc>
          <w:tcPr>
            <w:tcW w:w="487"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44.44%</w:t>
            </w:r>
          </w:p>
        </w:tc>
        <w:tc>
          <w:tcPr>
            <w:tcW w:w="589"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F03E64" w:rsidRPr="00781112" w14:paraId="6F15E001" w14:textId="77777777" w:rsidTr="003C7ABA">
        <w:tc>
          <w:tcPr>
            <w:tcW w:w="323" w:type="pct"/>
            <w:shd w:val="clear" w:color="auto" w:fill="auto"/>
            <w:vAlign w:val="center"/>
          </w:tcPr>
          <w:p w14:paraId="40D4F498" w14:textId="77777777" w:rsidR="00F03E64" w:rsidRPr="00781112" w:rsidRDefault="00F03E64" w:rsidP="00F03E64">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F03E64" w:rsidRPr="00781112" w:rsidDel="00DE5045" w:rsidRDefault="00F03E64" w:rsidP="00F03E64">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04E343D4" w:rsidR="00F03E64" w:rsidRPr="00781112" w:rsidRDefault="00F03E64" w:rsidP="00F03E64">
            <w:pPr>
              <w:jc w:val="center"/>
              <w:rPr>
                <w:rFonts w:cs="Arial"/>
                <w:color w:val="000000" w:themeColor="text1"/>
                <w:szCs w:val="16"/>
              </w:rPr>
            </w:pPr>
            <w:r w:rsidRPr="00B201A1">
              <w:rPr>
                <w:color w:val="000000" w:themeColor="text1"/>
              </w:rPr>
              <w:t>x</w:t>
            </w:r>
            <w:r w:rsidRPr="00B201A1">
              <w:rPr>
                <w:color w:val="000000" w:themeColor="text1"/>
              </w:rPr>
              <w:fldChar w:fldCharType="begin"/>
            </w:r>
            <w:r w:rsidRPr="00B201A1">
              <w:rPr>
                <w:color w:val="000000" w:themeColor="text1"/>
              </w:rPr>
              <w:instrText xml:space="preserve"> NOTEREF _Ref141182236 \f \h </w:instrText>
            </w:r>
            <w:r w:rsidRPr="00B201A1">
              <w:rPr>
                <w:color w:val="000000" w:themeColor="text1"/>
              </w:rPr>
            </w:r>
            <w:r w:rsidRPr="00B201A1">
              <w:rPr>
                <w:color w:val="000000" w:themeColor="text1"/>
              </w:rPr>
              <w:fldChar w:fldCharType="separate"/>
            </w:r>
            <w:r w:rsidR="00C160F0" w:rsidRPr="00C160F0">
              <w:rPr>
                <w:rStyle w:val="FootnoteReference"/>
              </w:rPr>
              <w:t>15</w:t>
            </w:r>
            <w:r w:rsidRPr="00B201A1">
              <w:rPr>
                <w:color w:val="000000" w:themeColor="text1"/>
              </w:rPr>
              <w:fldChar w:fldCharType="end"/>
            </w:r>
          </w:p>
        </w:tc>
        <w:tc>
          <w:tcPr>
            <w:tcW w:w="635" w:type="pct"/>
            <w:shd w:val="clear" w:color="auto" w:fill="auto"/>
          </w:tcPr>
          <w:p w14:paraId="6C88DEC2" w14:textId="1DADDF14" w:rsidR="00F03E64" w:rsidRPr="00781112" w:rsidRDefault="00F03E64" w:rsidP="00F03E64">
            <w:pPr>
              <w:jc w:val="center"/>
              <w:rPr>
                <w:rFonts w:cs="Arial"/>
                <w:color w:val="000000" w:themeColor="text1"/>
                <w:szCs w:val="16"/>
              </w:rPr>
            </w:pPr>
            <w:r w:rsidRPr="00B201A1">
              <w:rPr>
                <w:color w:val="000000" w:themeColor="text1"/>
              </w:rPr>
              <w:t>x</w:t>
            </w:r>
            <w:r w:rsidRPr="00B201A1">
              <w:rPr>
                <w:color w:val="000000" w:themeColor="text1"/>
              </w:rPr>
              <w:fldChar w:fldCharType="begin"/>
            </w:r>
            <w:r w:rsidRPr="00B201A1">
              <w:rPr>
                <w:color w:val="000000" w:themeColor="text1"/>
              </w:rPr>
              <w:instrText xml:space="preserve"> NOTEREF _Ref141182236 \f \h </w:instrText>
            </w:r>
            <w:r w:rsidRPr="00B201A1">
              <w:rPr>
                <w:color w:val="000000" w:themeColor="text1"/>
              </w:rPr>
            </w:r>
            <w:r w:rsidRPr="00B201A1">
              <w:rPr>
                <w:color w:val="000000" w:themeColor="text1"/>
              </w:rPr>
              <w:fldChar w:fldCharType="separate"/>
            </w:r>
            <w:r w:rsidR="00C160F0" w:rsidRPr="00C160F0">
              <w:rPr>
                <w:rStyle w:val="FootnoteReference"/>
              </w:rPr>
              <w:t>15</w:t>
            </w:r>
            <w:r w:rsidRPr="00B201A1">
              <w:rPr>
                <w:color w:val="000000" w:themeColor="text1"/>
              </w:rPr>
              <w:fldChar w:fldCharType="end"/>
            </w:r>
          </w:p>
        </w:tc>
        <w:tc>
          <w:tcPr>
            <w:tcW w:w="528" w:type="pct"/>
            <w:shd w:val="clear" w:color="auto" w:fill="auto"/>
            <w:vAlign w:val="center"/>
          </w:tcPr>
          <w:p w14:paraId="59D699CF" w14:textId="460A79FA" w:rsidR="00F03E64" w:rsidRPr="00781112" w:rsidRDefault="00F03E64" w:rsidP="00F03E64">
            <w:pPr>
              <w:jc w:val="center"/>
              <w:rPr>
                <w:rFonts w:cs="Arial"/>
                <w:color w:val="000000" w:themeColor="text1"/>
                <w:szCs w:val="16"/>
              </w:rPr>
            </w:pPr>
          </w:p>
        </w:tc>
        <w:tc>
          <w:tcPr>
            <w:tcW w:w="739" w:type="pct"/>
            <w:shd w:val="clear" w:color="auto" w:fill="auto"/>
          </w:tcPr>
          <w:p w14:paraId="18D7723E" w14:textId="3253CB8C" w:rsidR="00F03E64" w:rsidRPr="00781112" w:rsidRDefault="00F03E64" w:rsidP="00F03E64">
            <w:pPr>
              <w:jc w:val="center"/>
              <w:rPr>
                <w:rFonts w:cs="Arial"/>
                <w:color w:val="000000" w:themeColor="text1"/>
                <w:szCs w:val="16"/>
              </w:rPr>
            </w:pPr>
            <w:r w:rsidRPr="0020602F">
              <w:rPr>
                <w:color w:val="000000" w:themeColor="text1"/>
              </w:rPr>
              <w:t>x</w:t>
            </w:r>
            <w:r w:rsidRPr="0020602F">
              <w:rPr>
                <w:color w:val="000000" w:themeColor="text1"/>
              </w:rPr>
              <w:fldChar w:fldCharType="begin"/>
            </w:r>
            <w:r w:rsidRPr="0020602F">
              <w:rPr>
                <w:color w:val="000000" w:themeColor="text1"/>
              </w:rPr>
              <w:instrText xml:space="preserve"> NOTEREF _Ref141182236 \f \h </w:instrText>
            </w:r>
            <w:r w:rsidRPr="0020602F">
              <w:rPr>
                <w:color w:val="000000" w:themeColor="text1"/>
              </w:rPr>
            </w:r>
            <w:r w:rsidRPr="0020602F">
              <w:rPr>
                <w:color w:val="000000" w:themeColor="text1"/>
              </w:rPr>
              <w:fldChar w:fldCharType="separate"/>
            </w:r>
            <w:r w:rsidR="00C160F0" w:rsidRPr="00C160F0">
              <w:rPr>
                <w:rStyle w:val="FootnoteReference"/>
              </w:rPr>
              <w:t>15</w:t>
            </w:r>
            <w:r w:rsidRPr="0020602F">
              <w:rPr>
                <w:color w:val="000000" w:themeColor="text1"/>
              </w:rPr>
              <w:fldChar w:fldCharType="end"/>
            </w:r>
          </w:p>
        </w:tc>
        <w:tc>
          <w:tcPr>
            <w:tcW w:w="487" w:type="pct"/>
            <w:shd w:val="clear" w:color="auto" w:fill="auto"/>
          </w:tcPr>
          <w:p w14:paraId="1C467869" w14:textId="53B48610" w:rsidR="00F03E64" w:rsidRPr="00781112" w:rsidRDefault="00F03E64" w:rsidP="00F03E64">
            <w:pPr>
              <w:jc w:val="center"/>
              <w:rPr>
                <w:rFonts w:cs="Arial"/>
                <w:color w:val="000000" w:themeColor="text1"/>
                <w:szCs w:val="16"/>
              </w:rPr>
            </w:pPr>
            <w:r w:rsidRPr="0020602F">
              <w:rPr>
                <w:color w:val="000000" w:themeColor="text1"/>
              </w:rPr>
              <w:t>x</w:t>
            </w:r>
            <w:r w:rsidRPr="0020602F">
              <w:rPr>
                <w:color w:val="000000" w:themeColor="text1"/>
              </w:rPr>
              <w:fldChar w:fldCharType="begin"/>
            </w:r>
            <w:r w:rsidRPr="0020602F">
              <w:rPr>
                <w:color w:val="000000" w:themeColor="text1"/>
              </w:rPr>
              <w:instrText xml:space="preserve"> NOTEREF _Ref141182236 \f \h </w:instrText>
            </w:r>
            <w:r w:rsidRPr="0020602F">
              <w:rPr>
                <w:color w:val="000000" w:themeColor="text1"/>
              </w:rPr>
            </w:r>
            <w:r w:rsidRPr="0020602F">
              <w:rPr>
                <w:color w:val="000000" w:themeColor="text1"/>
              </w:rPr>
              <w:fldChar w:fldCharType="separate"/>
            </w:r>
            <w:r w:rsidR="00C160F0" w:rsidRPr="00C160F0">
              <w:rPr>
                <w:rStyle w:val="FootnoteReference"/>
              </w:rPr>
              <w:t>15</w:t>
            </w:r>
            <w:r w:rsidRPr="0020602F">
              <w:rPr>
                <w:color w:val="000000" w:themeColor="text1"/>
              </w:rPr>
              <w:fldChar w:fldCharType="end"/>
            </w:r>
          </w:p>
        </w:tc>
        <w:tc>
          <w:tcPr>
            <w:tcW w:w="589" w:type="pct"/>
            <w:shd w:val="clear" w:color="auto" w:fill="auto"/>
            <w:vAlign w:val="center"/>
          </w:tcPr>
          <w:p w14:paraId="56861D59" w14:textId="0856E80D"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F03E64" w:rsidRPr="00781112" w:rsidRDefault="00F03E64" w:rsidP="00F03E64">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1FD3EE14" w14:textId="524D6CF7" w:rsidR="000A5A2E" w:rsidRPr="00781112" w:rsidRDefault="002E7CCF" w:rsidP="004369B2">
      <w:pPr>
        <w:rPr>
          <w:color w:val="000000" w:themeColor="text1"/>
        </w:rPr>
      </w:pPr>
      <w:r>
        <w:rPr>
          <w:color w:val="000000" w:themeColor="text1"/>
        </w:rPr>
        <w:br/>
      </w:r>
      <w:r w:rsidR="000A5A2E"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https://vide.vi/blog/1949-school-report-card.html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Instructions: </w:t>
      </w:r>
      <w:r w:rsidRPr="00781112">
        <w:rPr>
          <w:rFonts w:cs="Arial"/>
          <w:color w:val="000000" w:themeColor="text1"/>
          <w:szCs w:val="16"/>
          <w:shd w:val="clear" w:color="auto" w:fill="FFFFFF"/>
        </w:rPr>
        <w:br/>
        <w:t>Click on or paste the link provided above</w:t>
      </w:r>
      <w:r w:rsidRPr="00781112">
        <w:rPr>
          <w:rFonts w:cs="Arial"/>
          <w:color w:val="000000" w:themeColor="text1"/>
          <w:szCs w:val="16"/>
          <w:shd w:val="clear" w:color="auto" w:fill="FFFFFF"/>
        </w:rPr>
        <w:br/>
        <w:t>You will arrive at the School Report Card page</w:t>
      </w:r>
      <w:r w:rsidRPr="00781112">
        <w:rPr>
          <w:rFonts w:cs="Arial"/>
          <w:color w:val="000000" w:themeColor="text1"/>
          <w:szCs w:val="16"/>
          <w:shd w:val="clear" w:color="auto" w:fill="FFFFFF"/>
        </w:rPr>
        <w:br/>
        <w:t>Scroll to the bottom of the page and click on Transitional Report Card (School Year 2014-15 to 2021-2022)</w:t>
      </w:r>
      <w:r w:rsidRPr="00781112">
        <w:rPr>
          <w:rFonts w:cs="Arial"/>
          <w:color w:val="000000" w:themeColor="text1"/>
          <w:szCs w:val="16"/>
          <w:shd w:val="clear" w:color="auto" w:fill="FFFFFF"/>
        </w:rPr>
        <w:br/>
        <w:t>You will then arrive at the page that says Public Reports, scroll down until you see the heading Transitional Report Card</w:t>
      </w:r>
    </w:p>
    <w:p w14:paraId="25AFD217" w14:textId="02A68C4B" w:rsidR="00F03E64" w:rsidRPr="00F03E64" w:rsidRDefault="00796DC0" w:rsidP="000E33D0">
      <w:pPr>
        <w:rPr>
          <w:b/>
          <w:color w:val="000000" w:themeColor="text1"/>
        </w:rPr>
      </w:pPr>
      <w:r w:rsidRPr="00781112">
        <w:rPr>
          <w:b/>
          <w:color w:val="000000" w:themeColor="text1"/>
        </w:rPr>
        <w:t>Provide additional information about this indicator (optional)</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 xml:space="preserve">Virgin Islands did not provide data for FFY 2020. Virgin Islands must provide the required data for FFY 2021 in the FFY 2021 SPP/APR. </w:t>
      </w:r>
      <w:r w:rsidRPr="00781112">
        <w:rPr>
          <w:rFonts w:cs="Arial"/>
          <w:color w:val="000000" w:themeColor="text1"/>
          <w:szCs w:val="16"/>
        </w:rPr>
        <w:br/>
      </w:r>
      <w:r w:rsidRPr="00781112">
        <w:rPr>
          <w:rFonts w:cs="Arial"/>
          <w:color w:val="000000" w:themeColor="text1"/>
          <w:szCs w:val="16"/>
        </w:rPr>
        <w:br/>
        <w:t>In the FFY 2021 SPP/APR  Virgin Islands must also provide baseline data and targets for FFY 2021-2025, as required by the Measurement Table.</w:t>
      </w:r>
    </w:p>
    <w:p w14:paraId="692529F8" w14:textId="51C80CF9" w:rsidR="00F03E64" w:rsidRPr="00F03E64" w:rsidRDefault="007639D7" w:rsidP="000A2C83">
      <w:pPr>
        <w:rPr>
          <w:b/>
          <w:color w:val="000000" w:themeColor="text1"/>
        </w:rPr>
      </w:pPr>
      <w:r>
        <w:rPr>
          <w:b/>
          <w:color w:val="000000" w:themeColor="text1"/>
        </w:rPr>
        <w:t>Response to actions required in FFY 2020 SPP/APR</w:t>
      </w:r>
    </w:p>
    <w:p w14:paraId="1E98E6A2" w14:textId="3C798D76" w:rsidR="00796DC0" w:rsidRPr="00781112" w:rsidRDefault="00573F6C" w:rsidP="008645AD">
      <w:pPr>
        <w:pStyle w:val="Heading2"/>
      </w:pPr>
      <w:r w:rsidRPr="00781112">
        <w:t>3C - OSEP Response</w:t>
      </w:r>
    </w:p>
    <w:p w14:paraId="742F0548" w14:textId="4A60D8EF"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Virgin Islands has revised the baseline for this indicator, using data from FFY 2021, and OSEP accepts that revision.</w:t>
      </w:r>
      <w:r w:rsidRPr="00781112">
        <w:rPr>
          <w:rFonts w:cs="Arial"/>
          <w:color w:val="000000" w:themeColor="text1"/>
          <w:szCs w:val="16"/>
          <w:shd w:val="clear" w:color="auto" w:fill="FFFFFF"/>
        </w:rPr>
        <w:br/>
        <w:t>The Virgin Islands revised its targets for this indicator for FFY 2021 through FFY 2025, and OSEP accepts those targets.</w:t>
      </w:r>
    </w:p>
    <w:p w14:paraId="5933CC1B" w14:textId="7F5A29FA" w:rsidR="00A63347" w:rsidRPr="002E7CCF" w:rsidRDefault="00573F6C" w:rsidP="002E7CCF">
      <w:pPr>
        <w:pStyle w:val="Heading2"/>
      </w:pPr>
      <w:r w:rsidRPr="00781112">
        <w:t>3C - Required Actions</w:t>
      </w:r>
      <w:r w:rsidR="00A63347"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10.72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15.18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27.58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5.36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6.08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4.69</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10.72</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10.50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10.50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15.18</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14.50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14.50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27.58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5.36</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5.10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5.10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6.08</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5.90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5.90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5.50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5.50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4.69</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4.50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4.50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4.30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4.10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br/>
        <w:t xml:space="preserve">The VIDE/SOSE reconvened its Cluster Stakeholders group members specifically for Indicators 3, 5, and 17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review and recommend targets that demonstrate improvements for this indicator over the 5-year targets of this SPP/APR. As with other cluster indicators, the State carefully selected the members of this group which includes and is not limited to parents/guardians of preschool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 The State Cluster Stakeholders used the data collected and reported for this indicator to build a framework for building capacity within the State Curriculum and Instructions Literacy Improvement Plan and the VIDE School-Wide Strategic Improvement Plan designed to improve literacy outcomes for ELA and increase the proficiency rates in reading comprehension for children with disabilities in grades 3 as specified in the State Improvement Measurable Results. The Cluster Stakeholders reviewed the baseline data collected and reported for this indicator and made recommendations on the targets for improvement over the next 5 years of data collection for Reading and Math in grades 4, grades 8, and grades 11. The Stakeholders verified the data collected and reported for this indicator and agreed to only use the baseline data reported to revise and propose new target data over the next 5 years that will represent an improvement over the baseline data for Reading and Math in grades 4, grades 8, and grades 11. Furthermore, the Stakeholders agreed to remove the targets presented during this APR submission and made clarification as required by OSEP Response. The Stakeholders agreed that the data entered as (0) is valid and reliable data for Math grades 4, grades 8, and grades 11. Moreover, the Stakeholders agreed and proposed new target data for these measurements that will demonstrate improvement over the baseline data. The Stakeholders agreed that data for FFY 2020 SPP/APR were not available to report on the FFY 2021 SPP/APR as the VIDE requested a waiver as required under section 8401(b) of the ESEA, as amended. The Assessments administered by the VIDE during the FFY 2020 SPP/APR were only administered for informational purposes. Thus, this resulted in the VIDE/SOSE's inability to have baseline and target data for this indicator on the gap in proficiency rate (grade-level academic achievement standards).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3, 5, and 17 (SSIP). The Cluster Stakeholders for this indicator were reintroduced to the methodology and measurements which closely looks at the overall gap in proficiency rates for children with IEPs and for all students against grade-level academic achievement standards. </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725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686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572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r>
      <w:tr w:rsidR="00AB212D" w:rsidRPr="00781112" w14:paraId="62D84F5E" w14:textId="77777777" w:rsidTr="005B5A9D">
        <w:tc>
          <w:tcPr>
            <w:tcW w:w="1749" w:type="pct"/>
            <w:shd w:val="clear" w:color="auto" w:fill="auto"/>
          </w:tcPr>
          <w:p w14:paraId="51DEDF27" w14:textId="69ADBF80" w:rsidR="00AB212D" w:rsidRPr="00181070" w:rsidRDefault="00AB212D" w:rsidP="00AB212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tcPr>
          <w:p w14:paraId="6E23C4D0" w14:textId="26C0C4C4" w:rsidR="00AB212D" w:rsidRPr="00781112" w:rsidRDefault="00AB212D" w:rsidP="00AB212D">
            <w:pPr>
              <w:spacing w:before="240"/>
              <w:jc w:val="center"/>
              <w:rPr>
                <w:rFonts w:cs="Arial"/>
                <w:color w:val="000000" w:themeColor="text1"/>
                <w:szCs w:val="16"/>
              </w:rPr>
            </w:pPr>
            <w:r w:rsidRPr="00AA19F8">
              <w:rPr>
                <w:rFonts w:cs="Arial"/>
                <w:color w:val="000000" w:themeColor="text1"/>
                <w:szCs w:val="16"/>
              </w:rPr>
              <w:t>x</w:t>
            </w:r>
            <w:bookmarkStart w:id="30" w:name="_Ref141168257"/>
            <w:r>
              <w:rPr>
                <w:rStyle w:val="FootnoteReference"/>
                <w:rFonts w:cs="Arial"/>
                <w:color w:val="000000" w:themeColor="text1"/>
                <w:szCs w:val="16"/>
              </w:rPr>
              <w:footnoteReference w:id="13"/>
            </w:r>
            <w:bookmarkEnd w:id="30"/>
          </w:p>
        </w:tc>
        <w:tc>
          <w:tcPr>
            <w:tcW w:w="1084" w:type="pct"/>
            <w:shd w:val="clear" w:color="auto" w:fill="auto"/>
          </w:tcPr>
          <w:p w14:paraId="6D42641C" w14:textId="4F87E33C" w:rsidR="00AB212D" w:rsidRPr="00781112" w:rsidRDefault="00AB212D" w:rsidP="00AB212D">
            <w:pPr>
              <w:spacing w:before="240"/>
              <w:jc w:val="center"/>
              <w:rPr>
                <w:rFonts w:cs="Arial"/>
                <w:color w:val="000000" w:themeColor="text1"/>
                <w:szCs w:val="16"/>
              </w:rPr>
            </w:pPr>
            <w:r w:rsidRPr="00AA19F8">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_Ref141168257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16</w:t>
            </w:r>
            <w:r>
              <w:rPr>
                <w:rFonts w:cs="Arial"/>
                <w:color w:val="000000" w:themeColor="text1"/>
                <w:szCs w:val="16"/>
              </w:rPr>
              <w:fldChar w:fldCharType="end"/>
            </w:r>
          </w:p>
        </w:tc>
        <w:tc>
          <w:tcPr>
            <w:tcW w:w="1084" w:type="pct"/>
            <w:shd w:val="clear" w:color="auto" w:fill="auto"/>
          </w:tcPr>
          <w:p w14:paraId="27076C73" w14:textId="2B256351" w:rsidR="00AB212D" w:rsidRPr="00781112" w:rsidRDefault="00AB212D" w:rsidP="00AB212D">
            <w:pPr>
              <w:spacing w:before="240"/>
              <w:jc w:val="center"/>
              <w:rPr>
                <w:rFonts w:cs="Arial"/>
                <w:color w:val="000000" w:themeColor="text1"/>
                <w:szCs w:val="16"/>
              </w:rPr>
            </w:pPr>
            <w:r w:rsidRPr="00AA19F8">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_Ref141168257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16</w:t>
            </w:r>
            <w:r>
              <w:rPr>
                <w:rFonts w:cs="Arial"/>
                <w:color w:val="000000" w:themeColor="text1"/>
                <w:szCs w:val="16"/>
              </w:rPr>
              <w:fldChar w:fldCharType="end"/>
            </w:r>
          </w:p>
        </w:tc>
      </w:tr>
      <w:tr w:rsidR="00AB212D" w:rsidRPr="00781112" w14:paraId="058A4E65" w14:textId="77777777" w:rsidTr="005B5A9D">
        <w:tc>
          <w:tcPr>
            <w:tcW w:w="1749" w:type="pct"/>
            <w:shd w:val="clear" w:color="auto" w:fill="auto"/>
          </w:tcPr>
          <w:p w14:paraId="439EF49E" w14:textId="1EC71838" w:rsidR="00AB212D" w:rsidRPr="00181070" w:rsidRDefault="00AB212D" w:rsidP="00AB212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tcPr>
          <w:p w14:paraId="441B205F" w14:textId="545FF131"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5FB5C795" w14:textId="7FB4CBAC"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5BB68E9F" w14:textId="55F694BF"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r>
      <w:tr w:rsidR="00AB212D" w:rsidRPr="00781112" w14:paraId="1AC72B75" w14:textId="77777777" w:rsidTr="005B5A9D">
        <w:tc>
          <w:tcPr>
            <w:tcW w:w="1749" w:type="pct"/>
            <w:shd w:val="clear" w:color="auto" w:fill="auto"/>
          </w:tcPr>
          <w:p w14:paraId="0A914ADA" w14:textId="357C6FCD" w:rsidR="00AB212D" w:rsidRPr="00781112" w:rsidRDefault="00AB212D" w:rsidP="00AB212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tcPr>
          <w:p w14:paraId="02F1489E" w14:textId="6FB5489D"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7D7B8A72" w14:textId="18AF9816"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077B2856" w14:textId="236A50F2"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r>
      <w:tr w:rsidR="00AB212D" w:rsidRPr="00781112" w14:paraId="0F3AF372" w14:textId="77777777" w:rsidTr="005B5A9D">
        <w:tc>
          <w:tcPr>
            <w:tcW w:w="1749" w:type="pct"/>
            <w:shd w:val="clear" w:color="auto" w:fill="auto"/>
          </w:tcPr>
          <w:p w14:paraId="65DAF487" w14:textId="01D9D6A1" w:rsidR="00AB212D" w:rsidRPr="00781112" w:rsidRDefault="00AB212D" w:rsidP="00AB212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tcPr>
          <w:p w14:paraId="1BE3D4C2" w14:textId="40B01C4C"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0E65D7AB" w14:textId="3F3A54EB"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c>
          <w:tcPr>
            <w:tcW w:w="1084" w:type="pct"/>
            <w:shd w:val="clear" w:color="auto" w:fill="auto"/>
          </w:tcPr>
          <w:p w14:paraId="740F6FA5" w14:textId="3BD895E3" w:rsidR="00AB212D" w:rsidRPr="00781112" w:rsidRDefault="00AB212D" w:rsidP="00AB212D">
            <w:pPr>
              <w:spacing w:before="240"/>
              <w:jc w:val="center"/>
              <w:rPr>
                <w:rFonts w:cs="Arial"/>
                <w:color w:val="000000" w:themeColor="text1"/>
                <w:szCs w:val="16"/>
              </w:rPr>
            </w:pPr>
            <w:r w:rsidRPr="00E179DF">
              <w:rPr>
                <w:rFonts w:cs="Arial"/>
                <w:color w:val="000000" w:themeColor="text1"/>
                <w:szCs w:val="16"/>
              </w:rPr>
              <w:t>x</w:t>
            </w:r>
            <w:r w:rsidRPr="00E179DF">
              <w:rPr>
                <w:rFonts w:cs="Arial"/>
                <w:color w:val="000000" w:themeColor="text1"/>
                <w:szCs w:val="16"/>
              </w:rPr>
              <w:fldChar w:fldCharType="begin"/>
            </w:r>
            <w:r w:rsidRPr="00E179DF">
              <w:rPr>
                <w:rFonts w:cs="Arial"/>
                <w:color w:val="000000" w:themeColor="text1"/>
                <w:szCs w:val="16"/>
              </w:rPr>
              <w:instrText xml:space="preserve"> NOTEREF _Ref141168257 \f \h </w:instrText>
            </w:r>
            <w:r w:rsidRPr="00E179DF">
              <w:rPr>
                <w:rFonts w:cs="Arial"/>
                <w:color w:val="000000" w:themeColor="text1"/>
                <w:szCs w:val="16"/>
              </w:rPr>
            </w:r>
            <w:r w:rsidRPr="00E179DF">
              <w:rPr>
                <w:rFonts w:cs="Arial"/>
                <w:color w:val="000000" w:themeColor="text1"/>
                <w:szCs w:val="16"/>
              </w:rPr>
              <w:fldChar w:fldCharType="separate"/>
            </w:r>
            <w:r w:rsidR="00C160F0" w:rsidRPr="00C160F0">
              <w:rPr>
                <w:rStyle w:val="FootnoteReference"/>
              </w:rPr>
              <w:t>16</w:t>
            </w:r>
            <w:r w:rsidRPr="00E179DF">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728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691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576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r>
      <w:tr w:rsidR="00AB212D" w:rsidRPr="00781112" w14:paraId="3DF51785" w14:textId="77777777" w:rsidTr="004441CF">
        <w:tc>
          <w:tcPr>
            <w:tcW w:w="1749" w:type="pct"/>
            <w:shd w:val="clear" w:color="auto" w:fill="auto"/>
          </w:tcPr>
          <w:p w14:paraId="4795E661" w14:textId="39A6BCFA" w:rsidR="00AB212D" w:rsidRPr="00781112" w:rsidRDefault="00AB212D" w:rsidP="00AB212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tcPr>
          <w:p w14:paraId="5CB3E7A3" w14:textId="7EFAE91F" w:rsidR="00AB212D" w:rsidRPr="00781112" w:rsidRDefault="00AB212D" w:rsidP="00AB212D">
            <w:pPr>
              <w:spacing w:before="240"/>
              <w:jc w:val="center"/>
              <w:rPr>
                <w:rFonts w:cs="Arial"/>
                <w:color w:val="000000" w:themeColor="text1"/>
                <w:szCs w:val="16"/>
              </w:rPr>
            </w:pPr>
            <w:r w:rsidRPr="00AE0DD5">
              <w:rPr>
                <w:rFonts w:cs="Arial"/>
                <w:color w:val="000000" w:themeColor="text1"/>
                <w:szCs w:val="16"/>
              </w:rPr>
              <w:t>x</w:t>
            </w:r>
            <w:r w:rsidRPr="00AE0DD5">
              <w:rPr>
                <w:rFonts w:cs="Arial"/>
                <w:color w:val="000000" w:themeColor="text1"/>
                <w:szCs w:val="16"/>
              </w:rPr>
              <w:fldChar w:fldCharType="begin"/>
            </w:r>
            <w:r w:rsidRPr="00AE0DD5">
              <w:rPr>
                <w:rFonts w:cs="Arial"/>
                <w:color w:val="000000" w:themeColor="text1"/>
                <w:szCs w:val="16"/>
              </w:rPr>
              <w:instrText xml:space="preserve"> NOTEREF _Ref141168257 \f \h </w:instrText>
            </w:r>
            <w:r w:rsidRPr="00AE0DD5">
              <w:rPr>
                <w:rFonts w:cs="Arial"/>
                <w:color w:val="000000" w:themeColor="text1"/>
                <w:szCs w:val="16"/>
              </w:rPr>
            </w:r>
            <w:r w:rsidRPr="00AE0DD5">
              <w:rPr>
                <w:rFonts w:cs="Arial"/>
                <w:color w:val="000000" w:themeColor="text1"/>
                <w:szCs w:val="16"/>
              </w:rPr>
              <w:fldChar w:fldCharType="separate"/>
            </w:r>
            <w:r w:rsidR="00C160F0" w:rsidRPr="00C160F0">
              <w:rPr>
                <w:rStyle w:val="FootnoteReference"/>
              </w:rPr>
              <w:t>16</w:t>
            </w:r>
            <w:r w:rsidRPr="00AE0DD5">
              <w:rPr>
                <w:rFonts w:cs="Arial"/>
                <w:color w:val="000000" w:themeColor="text1"/>
                <w:szCs w:val="16"/>
              </w:rPr>
              <w:fldChar w:fldCharType="end"/>
            </w:r>
          </w:p>
        </w:tc>
        <w:tc>
          <w:tcPr>
            <w:tcW w:w="1083" w:type="pct"/>
            <w:shd w:val="clear" w:color="auto" w:fill="auto"/>
          </w:tcPr>
          <w:p w14:paraId="7CCA2E3B" w14:textId="7ACE4B49" w:rsidR="00AB212D" w:rsidRPr="00781112" w:rsidRDefault="00AB212D" w:rsidP="00AB212D">
            <w:pPr>
              <w:spacing w:before="240"/>
              <w:jc w:val="center"/>
              <w:rPr>
                <w:rFonts w:cs="Arial"/>
                <w:color w:val="000000" w:themeColor="text1"/>
                <w:szCs w:val="16"/>
              </w:rPr>
            </w:pPr>
            <w:r w:rsidRPr="00AE0DD5">
              <w:rPr>
                <w:rFonts w:cs="Arial"/>
                <w:color w:val="000000" w:themeColor="text1"/>
                <w:szCs w:val="16"/>
              </w:rPr>
              <w:t>x</w:t>
            </w:r>
            <w:r w:rsidRPr="00AE0DD5">
              <w:rPr>
                <w:rFonts w:cs="Arial"/>
                <w:color w:val="000000" w:themeColor="text1"/>
                <w:szCs w:val="16"/>
              </w:rPr>
              <w:fldChar w:fldCharType="begin"/>
            </w:r>
            <w:r w:rsidRPr="00AE0DD5">
              <w:rPr>
                <w:rFonts w:cs="Arial"/>
                <w:color w:val="000000" w:themeColor="text1"/>
                <w:szCs w:val="16"/>
              </w:rPr>
              <w:instrText xml:space="preserve"> NOTEREF _Ref141168257 \f \h </w:instrText>
            </w:r>
            <w:r w:rsidRPr="00AE0DD5">
              <w:rPr>
                <w:rFonts w:cs="Arial"/>
                <w:color w:val="000000" w:themeColor="text1"/>
                <w:szCs w:val="16"/>
              </w:rPr>
            </w:r>
            <w:r w:rsidRPr="00AE0DD5">
              <w:rPr>
                <w:rFonts w:cs="Arial"/>
                <w:color w:val="000000" w:themeColor="text1"/>
                <w:szCs w:val="16"/>
              </w:rPr>
              <w:fldChar w:fldCharType="separate"/>
            </w:r>
            <w:r w:rsidR="00C160F0" w:rsidRPr="00C160F0">
              <w:rPr>
                <w:rStyle w:val="FootnoteReference"/>
              </w:rPr>
              <w:t>16</w:t>
            </w:r>
            <w:r w:rsidRPr="00AE0DD5">
              <w:rPr>
                <w:rFonts w:cs="Arial"/>
                <w:color w:val="000000" w:themeColor="text1"/>
                <w:szCs w:val="16"/>
              </w:rPr>
              <w:fldChar w:fldCharType="end"/>
            </w:r>
          </w:p>
        </w:tc>
        <w:tc>
          <w:tcPr>
            <w:tcW w:w="1084" w:type="pct"/>
            <w:shd w:val="clear" w:color="auto" w:fill="auto"/>
          </w:tcPr>
          <w:p w14:paraId="735C7B5A" w14:textId="572B27A1" w:rsidR="00AB212D" w:rsidRPr="00781112" w:rsidRDefault="00AB212D" w:rsidP="00AB212D">
            <w:pPr>
              <w:spacing w:before="240"/>
              <w:jc w:val="center"/>
              <w:rPr>
                <w:rFonts w:cs="Arial"/>
                <w:color w:val="000000" w:themeColor="text1"/>
                <w:szCs w:val="16"/>
              </w:rPr>
            </w:pPr>
            <w:r w:rsidRPr="00AE0DD5">
              <w:rPr>
                <w:rFonts w:cs="Arial"/>
                <w:color w:val="000000" w:themeColor="text1"/>
                <w:szCs w:val="16"/>
              </w:rPr>
              <w:t>x</w:t>
            </w:r>
            <w:r w:rsidRPr="00AE0DD5">
              <w:rPr>
                <w:rFonts w:cs="Arial"/>
                <w:color w:val="000000" w:themeColor="text1"/>
                <w:szCs w:val="16"/>
              </w:rPr>
              <w:fldChar w:fldCharType="begin"/>
            </w:r>
            <w:r w:rsidRPr="00AE0DD5">
              <w:rPr>
                <w:rFonts w:cs="Arial"/>
                <w:color w:val="000000" w:themeColor="text1"/>
                <w:szCs w:val="16"/>
              </w:rPr>
              <w:instrText xml:space="preserve"> NOTEREF _Ref141168257 \f \h </w:instrText>
            </w:r>
            <w:r w:rsidRPr="00AE0DD5">
              <w:rPr>
                <w:rFonts w:cs="Arial"/>
                <w:color w:val="000000" w:themeColor="text1"/>
                <w:szCs w:val="16"/>
              </w:rPr>
            </w:r>
            <w:r w:rsidRPr="00AE0DD5">
              <w:rPr>
                <w:rFonts w:cs="Arial"/>
                <w:color w:val="000000" w:themeColor="text1"/>
                <w:szCs w:val="16"/>
              </w:rPr>
              <w:fldChar w:fldCharType="separate"/>
            </w:r>
            <w:r w:rsidR="00C160F0" w:rsidRPr="00C160F0">
              <w:rPr>
                <w:rStyle w:val="FootnoteReference"/>
              </w:rPr>
              <w:t>16</w:t>
            </w:r>
            <w:r w:rsidRPr="00AE0DD5">
              <w:rPr>
                <w:rFonts w:cs="Arial"/>
                <w:color w:val="000000" w:themeColor="text1"/>
                <w:szCs w:val="16"/>
              </w:rPr>
              <w:fldChar w:fldCharType="end"/>
            </w:r>
          </w:p>
        </w:tc>
      </w:tr>
      <w:tr w:rsidR="00AB212D" w:rsidRPr="00781112" w14:paraId="07844546" w14:textId="77777777" w:rsidTr="004441CF">
        <w:tc>
          <w:tcPr>
            <w:tcW w:w="1749" w:type="pct"/>
            <w:shd w:val="clear" w:color="auto" w:fill="auto"/>
          </w:tcPr>
          <w:p w14:paraId="47D524EB" w14:textId="56F8E4CC" w:rsidR="00AB212D" w:rsidRPr="00781112" w:rsidRDefault="00AB212D" w:rsidP="00AB212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tcPr>
          <w:p w14:paraId="56F62AFB" w14:textId="1DDA6FA7" w:rsidR="00AB212D" w:rsidRPr="00781112" w:rsidRDefault="00AB212D" w:rsidP="00AB212D">
            <w:pPr>
              <w:spacing w:before="240"/>
              <w:jc w:val="center"/>
              <w:rPr>
                <w:rFonts w:cs="Arial"/>
                <w:color w:val="000000" w:themeColor="text1"/>
                <w:szCs w:val="16"/>
              </w:rPr>
            </w:pPr>
            <w:r w:rsidRPr="002607AF">
              <w:rPr>
                <w:rFonts w:cs="Arial"/>
                <w:color w:val="000000" w:themeColor="text1"/>
                <w:szCs w:val="16"/>
              </w:rPr>
              <w:t>x</w:t>
            </w:r>
            <w:bookmarkStart w:id="31" w:name="_Ref141168337"/>
            <w:r>
              <w:rPr>
                <w:rStyle w:val="FootnoteReference"/>
                <w:rFonts w:cs="Arial"/>
                <w:color w:val="000000" w:themeColor="text1"/>
                <w:szCs w:val="16"/>
              </w:rPr>
              <w:footnoteReference w:id="14"/>
            </w:r>
            <w:bookmarkEnd w:id="31"/>
          </w:p>
        </w:tc>
        <w:tc>
          <w:tcPr>
            <w:tcW w:w="1083" w:type="pct"/>
            <w:shd w:val="clear" w:color="auto" w:fill="auto"/>
          </w:tcPr>
          <w:p w14:paraId="3CDBB055" w14:textId="2D9C2BEC" w:rsidR="00AB212D" w:rsidRPr="00781112" w:rsidRDefault="00AB212D" w:rsidP="00AB212D">
            <w:pPr>
              <w:spacing w:before="240"/>
              <w:jc w:val="center"/>
              <w:rPr>
                <w:rFonts w:cs="Arial"/>
                <w:color w:val="000000" w:themeColor="text1"/>
                <w:szCs w:val="16"/>
              </w:rPr>
            </w:pPr>
            <w:r w:rsidRPr="002607AF">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_Ref141168337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17</w:t>
            </w:r>
            <w:r>
              <w:rPr>
                <w:rFonts w:cs="Arial"/>
                <w:color w:val="000000" w:themeColor="text1"/>
                <w:szCs w:val="16"/>
              </w:rPr>
              <w:fldChar w:fldCharType="end"/>
            </w:r>
          </w:p>
        </w:tc>
        <w:tc>
          <w:tcPr>
            <w:tcW w:w="1084" w:type="pct"/>
            <w:shd w:val="clear" w:color="auto" w:fill="auto"/>
          </w:tcPr>
          <w:p w14:paraId="53087BDA" w14:textId="5B4DCDCE" w:rsidR="00AB212D" w:rsidRPr="00781112" w:rsidRDefault="00AB212D" w:rsidP="00AB212D">
            <w:pPr>
              <w:spacing w:before="240"/>
              <w:jc w:val="center"/>
              <w:rPr>
                <w:rFonts w:cs="Arial"/>
                <w:color w:val="000000" w:themeColor="text1"/>
                <w:szCs w:val="16"/>
              </w:rPr>
            </w:pPr>
            <w:r w:rsidRPr="002607AF">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_Ref141168337 \f \h </w:instrText>
            </w:r>
            <w:r>
              <w:rPr>
                <w:rFonts w:cs="Arial"/>
                <w:color w:val="000000" w:themeColor="text1"/>
                <w:szCs w:val="16"/>
              </w:rPr>
            </w:r>
            <w:r>
              <w:rPr>
                <w:rFonts w:cs="Arial"/>
                <w:color w:val="000000" w:themeColor="text1"/>
                <w:szCs w:val="16"/>
              </w:rPr>
              <w:fldChar w:fldCharType="separate"/>
            </w:r>
            <w:r w:rsidR="00C160F0" w:rsidRPr="00C160F0">
              <w:rPr>
                <w:rStyle w:val="FootnoteReference"/>
              </w:rPr>
              <w:t>17</w:t>
            </w:r>
            <w:r>
              <w:rPr>
                <w:rFonts w:cs="Arial"/>
                <w:color w:val="000000" w:themeColor="text1"/>
                <w:szCs w:val="16"/>
              </w:rPr>
              <w:fldChar w:fldCharType="end"/>
            </w:r>
          </w:p>
        </w:tc>
      </w:tr>
      <w:tr w:rsidR="00AB212D" w:rsidRPr="00781112" w14:paraId="0A3B43B6" w14:textId="77777777" w:rsidTr="004441CF">
        <w:tc>
          <w:tcPr>
            <w:tcW w:w="1749" w:type="pct"/>
            <w:shd w:val="clear" w:color="auto" w:fill="auto"/>
          </w:tcPr>
          <w:p w14:paraId="78623131" w14:textId="1D0B9916" w:rsidR="00AB212D" w:rsidRPr="00781112" w:rsidRDefault="00AB212D" w:rsidP="00AB212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tcPr>
          <w:p w14:paraId="6A062FCA" w14:textId="52DD4634"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c>
          <w:tcPr>
            <w:tcW w:w="1083" w:type="pct"/>
            <w:shd w:val="clear" w:color="auto" w:fill="auto"/>
          </w:tcPr>
          <w:p w14:paraId="0A64567E" w14:textId="0DDB2816"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c>
          <w:tcPr>
            <w:tcW w:w="1084" w:type="pct"/>
            <w:shd w:val="clear" w:color="auto" w:fill="auto"/>
          </w:tcPr>
          <w:p w14:paraId="4656C7C9" w14:textId="2B9D9CC0"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r>
      <w:tr w:rsidR="00AB212D" w:rsidRPr="00781112" w14:paraId="7854C881" w14:textId="77777777" w:rsidTr="004441CF">
        <w:tc>
          <w:tcPr>
            <w:tcW w:w="1749" w:type="pct"/>
            <w:shd w:val="clear" w:color="auto" w:fill="auto"/>
          </w:tcPr>
          <w:p w14:paraId="11893D61" w14:textId="60FC961E" w:rsidR="00AB212D" w:rsidRPr="00781112" w:rsidRDefault="00AB212D" w:rsidP="00AB212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tcPr>
          <w:p w14:paraId="59046EB4" w14:textId="58933389"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c>
          <w:tcPr>
            <w:tcW w:w="1083" w:type="pct"/>
            <w:shd w:val="clear" w:color="auto" w:fill="auto"/>
          </w:tcPr>
          <w:p w14:paraId="1A17DFA3" w14:textId="222CFB0B"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c>
          <w:tcPr>
            <w:tcW w:w="1084" w:type="pct"/>
            <w:shd w:val="clear" w:color="auto" w:fill="auto"/>
          </w:tcPr>
          <w:p w14:paraId="20EB2770" w14:textId="32A79A88" w:rsidR="00AB212D" w:rsidRPr="00781112" w:rsidRDefault="00AB212D" w:rsidP="00AB212D">
            <w:pPr>
              <w:spacing w:before="240"/>
              <w:jc w:val="center"/>
              <w:rPr>
                <w:rFonts w:cs="Arial"/>
                <w:color w:val="000000" w:themeColor="text1"/>
                <w:szCs w:val="16"/>
              </w:rPr>
            </w:pPr>
            <w:r w:rsidRPr="00055139">
              <w:rPr>
                <w:rFonts w:cs="Arial"/>
                <w:color w:val="000000" w:themeColor="text1"/>
                <w:szCs w:val="16"/>
              </w:rPr>
              <w:t>x</w:t>
            </w:r>
            <w:r w:rsidRPr="00055139">
              <w:rPr>
                <w:rFonts w:cs="Arial"/>
                <w:color w:val="000000" w:themeColor="text1"/>
                <w:szCs w:val="16"/>
              </w:rPr>
              <w:fldChar w:fldCharType="begin"/>
            </w:r>
            <w:r w:rsidRPr="00055139">
              <w:rPr>
                <w:rFonts w:cs="Arial"/>
                <w:color w:val="000000" w:themeColor="text1"/>
                <w:szCs w:val="16"/>
              </w:rPr>
              <w:instrText xml:space="preserve"> NOTEREF _Ref141168337 \f \h </w:instrText>
            </w:r>
            <w:r w:rsidRPr="00055139">
              <w:rPr>
                <w:rFonts w:cs="Arial"/>
                <w:color w:val="000000" w:themeColor="text1"/>
                <w:szCs w:val="16"/>
              </w:rPr>
            </w:r>
            <w:r w:rsidRPr="00055139">
              <w:rPr>
                <w:rFonts w:cs="Arial"/>
                <w:color w:val="000000" w:themeColor="text1"/>
                <w:szCs w:val="16"/>
              </w:rPr>
              <w:fldChar w:fldCharType="separate"/>
            </w:r>
            <w:r w:rsidR="00C160F0" w:rsidRPr="00C160F0">
              <w:rPr>
                <w:rStyle w:val="FootnoteReference"/>
              </w:rPr>
              <w:t>17</w:t>
            </w:r>
            <w:r w:rsidRPr="00055139">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AB212D" w:rsidRPr="00781112" w14:paraId="190DF2EB" w14:textId="77777777" w:rsidTr="00082E96">
        <w:tc>
          <w:tcPr>
            <w:tcW w:w="331" w:type="pct"/>
            <w:shd w:val="clear" w:color="auto" w:fill="auto"/>
            <w:vAlign w:val="center"/>
          </w:tcPr>
          <w:p w14:paraId="3AAB1776"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62E01C76"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812" w:type="pct"/>
            <w:shd w:val="clear" w:color="auto" w:fill="auto"/>
          </w:tcPr>
          <w:p w14:paraId="3354BCD4" w14:textId="4AB0B887"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516" w:type="pct"/>
            <w:shd w:val="clear" w:color="auto" w:fill="auto"/>
            <w:vAlign w:val="center"/>
          </w:tcPr>
          <w:p w14:paraId="54DCE3E3" w14:textId="767528A8" w:rsidR="00AB212D" w:rsidRPr="00781112" w:rsidRDefault="00AB212D" w:rsidP="00AB212D">
            <w:pPr>
              <w:jc w:val="center"/>
              <w:rPr>
                <w:rFonts w:cs="Arial"/>
                <w:color w:val="000000" w:themeColor="text1"/>
                <w:szCs w:val="16"/>
              </w:rPr>
            </w:pPr>
          </w:p>
        </w:tc>
        <w:tc>
          <w:tcPr>
            <w:tcW w:w="517" w:type="pct"/>
            <w:shd w:val="clear" w:color="auto" w:fill="auto"/>
            <w:vAlign w:val="center"/>
          </w:tcPr>
          <w:p w14:paraId="391F5142" w14:textId="770A7FE0" w:rsidR="00AB212D" w:rsidRPr="00781112" w:rsidRDefault="00AB212D" w:rsidP="00AB212D">
            <w:pPr>
              <w:jc w:val="center"/>
              <w:rPr>
                <w:rFonts w:cs="Arial"/>
                <w:color w:val="000000" w:themeColor="text1"/>
                <w:szCs w:val="16"/>
              </w:rPr>
            </w:pPr>
            <w:r w:rsidRPr="00781112">
              <w:rPr>
                <w:rFonts w:cs="Arial"/>
                <w:color w:val="000000" w:themeColor="text1"/>
                <w:szCs w:val="16"/>
              </w:rPr>
              <w:t>10.72</w:t>
            </w:r>
          </w:p>
        </w:tc>
        <w:tc>
          <w:tcPr>
            <w:tcW w:w="517" w:type="pct"/>
            <w:shd w:val="clear" w:color="auto" w:fill="auto"/>
            <w:vAlign w:val="center"/>
          </w:tcPr>
          <w:p w14:paraId="017D29FF" w14:textId="59A06573" w:rsidR="00AB212D" w:rsidRPr="00781112" w:rsidRDefault="00AB212D" w:rsidP="00AB212D">
            <w:pPr>
              <w:jc w:val="center"/>
              <w:rPr>
                <w:rFonts w:cs="Arial"/>
                <w:color w:val="000000" w:themeColor="text1"/>
                <w:szCs w:val="16"/>
              </w:rPr>
            </w:pPr>
            <w:r w:rsidRPr="00781112">
              <w:rPr>
                <w:rFonts w:cs="Arial"/>
                <w:color w:val="000000" w:themeColor="text1"/>
                <w:szCs w:val="16"/>
              </w:rPr>
              <w:t>10.72</w:t>
            </w:r>
          </w:p>
        </w:tc>
        <w:tc>
          <w:tcPr>
            <w:tcW w:w="517" w:type="pct"/>
            <w:shd w:val="clear" w:color="auto" w:fill="auto"/>
            <w:vAlign w:val="center"/>
          </w:tcPr>
          <w:p w14:paraId="39C0C705" w14:textId="1211FD2B"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r w:rsidR="00AB212D" w:rsidRPr="00781112" w14:paraId="4FDDF1FC" w14:textId="77777777" w:rsidTr="00082E96">
        <w:tc>
          <w:tcPr>
            <w:tcW w:w="331" w:type="pct"/>
            <w:shd w:val="clear" w:color="auto" w:fill="auto"/>
            <w:vAlign w:val="center"/>
          </w:tcPr>
          <w:p w14:paraId="472CE57B"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78A3EED4"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812" w:type="pct"/>
            <w:shd w:val="clear" w:color="auto" w:fill="auto"/>
          </w:tcPr>
          <w:p w14:paraId="375F78DA" w14:textId="440E2869"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516" w:type="pct"/>
            <w:shd w:val="clear" w:color="auto" w:fill="auto"/>
            <w:vAlign w:val="center"/>
          </w:tcPr>
          <w:p w14:paraId="64AC26EC" w14:textId="4F9A3CF6" w:rsidR="00AB212D" w:rsidRPr="00781112" w:rsidRDefault="00AB212D" w:rsidP="00AB212D">
            <w:pPr>
              <w:jc w:val="center"/>
              <w:rPr>
                <w:rFonts w:cs="Arial"/>
                <w:color w:val="000000" w:themeColor="text1"/>
                <w:szCs w:val="16"/>
              </w:rPr>
            </w:pPr>
          </w:p>
        </w:tc>
        <w:tc>
          <w:tcPr>
            <w:tcW w:w="517" w:type="pct"/>
            <w:shd w:val="clear" w:color="auto" w:fill="auto"/>
            <w:vAlign w:val="center"/>
          </w:tcPr>
          <w:p w14:paraId="3B5E22DF" w14:textId="033CD131" w:rsidR="00AB212D" w:rsidRPr="00781112" w:rsidRDefault="00AB212D" w:rsidP="00AB212D">
            <w:pPr>
              <w:jc w:val="center"/>
              <w:rPr>
                <w:rFonts w:cs="Arial"/>
                <w:color w:val="000000" w:themeColor="text1"/>
                <w:szCs w:val="16"/>
              </w:rPr>
            </w:pPr>
            <w:r w:rsidRPr="00781112">
              <w:rPr>
                <w:rFonts w:cs="Arial"/>
                <w:color w:val="000000" w:themeColor="text1"/>
                <w:szCs w:val="16"/>
              </w:rPr>
              <w:t>15.18</w:t>
            </w:r>
          </w:p>
        </w:tc>
        <w:tc>
          <w:tcPr>
            <w:tcW w:w="517" w:type="pct"/>
            <w:shd w:val="clear" w:color="auto" w:fill="auto"/>
            <w:vAlign w:val="center"/>
          </w:tcPr>
          <w:p w14:paraId="256C9782" w14:textId="4BEEC361" w:rsidR="00AB212D" w:rsidRPr="00781112" w:rsidRDefault="00AB212D" w:rsidP="00AB212D">
            <w:pPr>
              <w:jc w:val="center"/>
              <w:rPr>
                <w:rFonts w:cs="Arial"/>
                <w:color w:val="000000" w:themeColor="text1"/>
                <w:szCs w:val="16"/>
              </w:rPr>
            </w:pPr>
            <w:r w:rsidRPr="00781112">
              <w:rPr>
                <w:rFonts w:cs="Arial"/>
                <w:color w:val="000000" w:themeColor="text1"/>
                <w:szCs w:val="16"/>
              </w:rPr>
              <w:t>15.18</w:t>
            </w:r>
          </w:p>
        </w:tc>
        <w:tc>
          <w:tcPr>
            <w:tcW w:w="517" w:type="pct"/>
            <w:shd w:val="clear" w:color="auto" w:fill="auto"/>
            <w:vAlign w:val="center"/>
          </w:tcPr>
          <w:p w14:paraId="51FD2F8A" w14:textId="67567519"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r w:rsidR="00AB212D" w:rsidRPr="00781112" w14:paraId="4A60F932" w14:textId="77777777" w:rsidTr="00082E96">
        <w:tc>
          <w:tcPr>
            <w:tcW w:w="331" w:type="pct"/>
            <w:shd w:val="clear" w:color="auto" w:fill="auto"/>
            <w:vAlign w:val="center"/>
          </w:tcPr>
          <w:p w14:paraId="109942AA"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6E312579"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812" w:type="pct"/>
            <w:shd w:val="clear" w:color="auto" w:fill="auto"/>
          </w:tcPr>
          <w:p w14:paraId="1276E93C" w14:textId="6E779149" w:rsidR="00AB212D" w:rsidRPr="00781112" w:rsidRDefault="00AB212D" w:rsidP="00AB212D">
            <w:pPr>
              <w:jc w:val="center"/>
              <w:rPr>
                <w:rFonts w:cs="Arial"/>
                <w:color w:val="000000" w:themeColor="text1"/>
                <w:szCs w:val="16"/>
              </w:rPr>
            </w:pPr>
            <w:r w:rsidRPr="00D86B3F">
              <w:rPr>
                <w:rFonts w:cs="Arial"/>
                <w:color w:val="000000" w:themeColor="text1"/>
                <w:szCs w:val="16"/>
              </w:rPr>
              <w:t>x</w:t>
            </w:r>
            <w:r w:rsidRPr="00D86B3F">
              <w:rPr>
                <w:rFonts w:cs="Arial"/>
                <w:color w:val="000000" w:themeColor="text1"/>
                <w:szCs w:val="16"/>
              </w:rPr>
              <w:fldChar w:fldCharType="begin"/>
            </w:r>
            <w:r w:rsidRPr="00D86B3F">
              <w:rPr>
                <w:rFonts w:cs="Arial"/>
                <w:color w:val="000000" w:themeColor="text1"/>
                <w:szCs w:val="16"/>
              </w:rPr>
              <w:instrText xml:space="preserve"> NOTEREF _Ref141168337 \f \h </w:instrText>
            </w:r>
            <w:r w:rsidRPr="00D86B3F">
              <w:rPr>
                <w:rFonts w:cs="Arial"/>
                <w:color w:val="000000" w:themeColor="text1"/>
                <w:szCs w:val="16"/>
              </w:rPr>
            </w:r>
            <w:r w:rsidRPr="00D86B3F">
              <w:rPr>
                <w:rFonts w:cs="Arial"/>
                <w:color w:val="000000" w:themeColor="text1"/>
                <w:szCs w:val="16"/>
              </w:rPr>
              <w:fldChar w:fldCharType="separate"/>
            </w:r>
            <w:r w:rsidR="00C160F0" w:rsidRPr="00C160F0">
              <w:rPr>
                <w:rStyle w:val="FootnoteReference"/>
              </w:rPr>
              <w:t>17</w:t>
            </w:r>
            <w:r w:rsidRPr="00D86B3F">
              <w:rPr>
                <w:rFonts w:cs="Arial"/>
                <w:color w:val="000000" w:themeColor="text1"/>
                <w:szCs w:val="16"/>
              </w:rPr>
              <w:fldChar w:fldCharType="end"/>
            </w:r>
          </w:p>
        </w:tc>
        <w:tc>
          <w:tcPr>
            <w:tcW w:w="516" w:type="pct"/>
            <w:shd w:val="clear" w:color="auto" w:fill="auto"/>
            <w:vAlign w:val="center"/>
          </w:tcPr>
          <w:p w14:paraId="76DE5213" w14:textId="3C97B5A2" w:rsidR="00AB212D" w:rsidRPr="00781112" w:rsidRDefault="00AB212D" w:rsidP="00AB212D">
            <w:pPr>
              <w:jc w:val="center"/>
              <w:rPr>
                <w:rFonts w:cs="Arial"/>
                <w:color w:val="000000" w:themeColor="text1"/>
                <w:szCs w:val="16"/>
              </w:rPr>
            </w:pPr>
          </w:p>
        </w:tc>
        <w:tc>
          <w:tcPr>
            <w:tcW w:w="517" w:type="pct"/>
            <w:shd w:val="clear" w:color="auto" w:fill="auto"/>
            <w:vAlign w:val="center"/>
          </w:tcPr>
          <w:p w14:paraId="49FF9458" w14:textId="166D5425" w:rsidR="00AB212D" w:rsidRPr="00781112" w:rsidRDefault="00AB212D" w:rsidP="00AB212D">
            <w:pPr>
              <w:jc w:val="center"/>
              <w:rPr>
                <w:rFonts w:cs="Arial"/>
                <w:color w:val="000000" w:themeColor="text1"/>
                <w:szCs w:val="16"/>
              </w:rPr>
            </w:pPr>
            <w:r w:rsidRPr="00781112">
              <w:rPr>
                <w:rFonts w:cs="Arial"/>
                <w:color w:val="000000" w:themeColor="text1"/>
                <w:szCs w:val="16"/>
              </w:rPr>
              <w:t>27.58</w:t>
            </w:r>
          </w:p>
        </w:tc>
        <w:tc>
          <w:tcPr>
            <w:tcW w:w="517" w:type="pct"/>
            <w:shd w:val="clear" w:color="auto" w:fill="auto"/>
            <w:vAlign w:val="center"/>
          </w:tcPr>
          <w:p w14:paraId="6CEACE1B" w14:textId="242A6B31" w:rsidR="00AB212D" w:rsidRPr="00781112" w:rsidRDefault="00AB212D" w:rsidP="00AB212D">
            <w:pPr>
              <w:jc w:val="center"/>
              <w:rPr>
                <w:rFonts w:cs="Arial"/>
                <w:color w:val="000000" w:themeColor="text1"/>
                <w:szCs w:val="16"/>
              </w:rPr>
            </w:pPr>
            <w:r w:rsidRPr="00781112">
              <w:rPr>
                <w:rFonts w:cs="Arial"/>
                <w:color w:val="000000" w:themeColor="text1"/>
                <w:szCs w:val="16"/>
              </w:rPr>
              <w:t>27.58</w:t>
            </w:r>
          </w:p>
        </w:tc>
        <w:tc>
          <w:tcPr>
            <w:tcW w:w="517" w:type="pct"/>
            <w:shd w:val="clear" w:color="auto" w:fill="auto"/>
            <w:vAlign w:val="center"/>
          </w:tcPr>
          <w:p w14:paraId="06F1CF5C" w14:textId="7AA9C548"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AB212D" w:rsidRPr="00781112" w14:paraId="37123996" w14:textId="77777777" w:rsidTr="009E5B60">
        <w:tc>
          <w:tcPr>
            <w:tcW w:w="331" w:type="pct"/>
            <w:shd w:val="clear" w:color="auto" w:fill="auto"/>
            <w:vAlign w:val="center"/>
          </w:tcPr>
          <w:p w14:paraId="689B01B1"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tcPr>
          <w:p w14:paraId="26A57F7A" w14:textId="7C0D80F2"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834" w:type="pct"/>
            <w:shd w:val="clear" w:color="auto" w:fill="auto"/>
          </w:tcPr>
          <w:p w14:paraId="361835CD" w14:textId="2D18C59E"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508" w:type="pct"/>
            <w:shd w:val="clear" w:color="auto" w:fill="auto"/>
            <w:vAlign w:val="center"/>
          </w:tcPr>
          <w:p w14:paraId="59D4C214" w14:textId="5AA8261A" w:rsidR="00AB212D" w:rsidRPr="00781112" w:rsidRDefault="00AB212D" w:rsidP="00AB212D">
            <w:pPr>
              <w:jc w:val="center"/>
              <w:rPr>
                <w:rFonts w:cs="Arial"/>
                <w:color w:val="000000" w:themeColor="text1"/>
                <w:szCs w:val="16"/>
              </w:rPr>
            </w:pPr>
          </w:p>
        </w:tc>
        <w:tc>
          <w:tcPr>
            <w:tcW w:w="508" w:type="pct"/>
            <w:shd w:val="clear" w:color="auto" w:fill="auto"/>
            <w:vAlign w:val="center"/>
          </w:tcPr>
          <w:p w14:paraId="5226537A" w14:textId="04AA78B1" w:rsidR="00AB212D" w:rsidRPr="00781112" w:rsidRDefault="00AB212D" w:rsidP="00AB212D">
            <w:pPr>
              <w:jc w:val="center"/>
              <w:rPr>
                <w:rFonts w:cs="Arial"/>
                <w:color w:val="000000" w:themeColor="text1"/>
                <w:szCs w:val="16"/>
              </w:rPr>
            </w:pPr>
            <w:r w:rsidRPr="00781112">
              <w:rPr>
                <w:rFonts w:cs="Arial"/>
                <w:color w:val="000000" w:themeColor="text1"/>
                <w:szCs w:val="16"/>
              </w:rPr>
              <w:t>5.36</w:t>
            </w:r>
          </w:p>
        </w:tc>
        <w:tc>
          <w:tcPr>
            <w:tcW w:w="508" w:type="pct"/>
            <w:shd w:val="clear" w:color="auto" w:fill="auto"/>
            <w:vAlign w:val="center"/>
          </w:tcPr>
          <w:p w14:paraId="235D63D6" w14:textId="6BEC0204" w:rsidR="00AB212D" w:rsidRPr="00781112" w:rsidRDefault="00AB212D" w:rsidP="00AB212D">
            <w:pPr>
              <w:jc w:val="center"/>
              <w:rPr>
                <w:rFonts w:cs="Arial"/>
                <w:color w:val="000000" w:themeColor="text1"/>
                <w:szCs w:val="16"/>
              </w:rPr>
            </w:pPr>
            <w:r w:rsidRPr="00781112">
              <w:rPr>
                <w:rFonts w:cs="Arial"/>
                <w:color w:val="000000" w:themeColor="text1"/>
                <w:szCs w:val="16"/>
              </w:rPr>
              <w:t>5.36</w:t>
            </w:r>
          </w:p>
        </w:tc>
        <w:tc>
          <w:tcPr>
            <w:tcW w:w="508" w:type="pct"/>
            <w:shd w:val="clear" w:color="auto" w:fill="auto"/>
            <w:vAlign w:val="center"/>
          </w:tcPr>
          <w:p w14:paraId="50CBCD87" w14:textId="7E9D9F0C"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r w:rsidR="00AB212D" w:rsidRPr="00781112" w14:paraId="0DE5EFED" w14:textId="77777777" w:rsidTr="009E5B60">
        <w:tc>
          <w:tcPr>
            <w:tcW w:w="331" w:type="pct"/>
            <w:shd w:val="clear" w:color="auto" w:fill="auto"/>
            <w:vAlign w:val="center"/>
          </w:tcPr>
          <w:p w14:paraId="51380788"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tcPr>
          <w:p w14:paraId="4288B43D" w14:textId="2A62020F"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834" w:type="pct"/>
            <w:shd w:val="clear" w:color="auto" w:fill="auto"/>
          </w:tcPr>
          <w:p w14:paraId="11774D79" w14:textId="0CF5D41E"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508" w:type="pct"/>
            <w:shd w:val="clear" w:color="auto" w:fill="auto"/>
            <w:vAlign w:val="center"/>
          </w:tcPr>
          <w:p w14:paraId="28E3CF1C" w14:textId="69751C29" w:rsidR="00AB212D" w:rsidRPr="00781112" w:rsidRDefault="00AB212D" w:rsidP="00AB212D">
            <w:pPr>
              <w:jc w:val="center"/>
              <w:rPr>
                <w:rFonts w:cs="Arial"/>
                <w:color w:val="000000" w:themeColor="text1"/>
                <w:szCs w:val="16"/>
              </w:rPr>
            </w:pPr>
          </w:p>
        </w:tc>
        <w:tc>
          <w:tcPr>
            <w:tcW w:w="508" w:type="pct"/>
            <w:shd w:val="clear" w:color="auto" w:fill="auto"/>
            <w:vAlign w:val="center"/>
          </w:tcPr>
          <w:p w14:paraId="468D28D5" w14:textId="3BD9025E" w:rsidR="00AB212D" w:rsidRPr="00781112" w:rsidRDefault="00AB212D" w:rsidP="00AB212D">
            <w:pPr>
              <w:jc w:val="center"/>
              <w:rPr>
                <w:rFonts w:cs="Arial"/>
                <w:color w:val="000000" w:themeColor="text1"/>
                <w:szCs w:val="16"/>
              </w:rPr>
            </w:pPr>
            <w:r w:rsidRPr="00781112">
              <w:rPr>
                <w:rFonts w:cs="Arial"/>
                <w:color w:val="000000" w:themeColor="text1"/>
                <w:szCs w:val="16"/>
              </w:rPr>
              <w:t>6.08</w:t>
            </w:r>
          </w:p>
        </w:tc>
        <w:tc>
          <w:tcPr>
            <w:tcW w:w="508" w:type="pct"/>
            <w:shd w:val="clear" w:color="auto" w:fill="auto"/>
            <w:vAlign w:val="center"/>
          </w:tcPr>
          <w:p w14:paraId="30644E0B" w14:textId="37C215BA" w:rsidR="00AB212D" w:rsidRPr="00781112" w:rsidRDefault="00AB212D" w:rsidP="00AB212D">
            <w:pPr>
              <w:jc w:val="center"/>
              <w:rPr>
                <w:rFonts w:cs="Arial"/>
                <w:color w:val="000000" w:themeColor="text1"/>
                <w:szCs w:val="16"/>
              </w:rPr>
            </w:pPr>
            <w:r w:rsidRPr="00781112">
              <w:rPr>
                <w:rFonts w:cs="Arial"/>
                <w:color w:val="000000" w:themeColor="text1"/>
                <w:szCs w:val="16"/>
              </w:rPr>
              <w:t>6.08</w:t>
            </w:r>
          </w:p>
        </w:tc>
        <w:tc>
          <w:tcPr>
            <w:tcW w:w="508" w:type="pct"/>
            <w:shd w:val="clear" w:color="auto" w:fill="auto"/>
            <w:vAlign w:val="center"/>
          </w:tcPr>
          <w:p w14:paraId="1312CD99" w14:textId="5541B25D"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r w:rsidR="00AB212D" w:rsidRPr="00781112" w14:paraId="36AFD504" w14:textId="77777777" w:rsidTr="009E5B60">
        <w:tc>
          <w:tcPr>
            <w:tcW w:w="331" w:type="pct"/>
            <w:shd w:val="clear" w:color="auto" w:fill="auto"/>
            <w:vAlign w:val="center"/>
          </w:tcPr>
          <w:p w14:paraId="4932227A" w14:textId="77777777" w:rsidR="00AB212D" w:rsidRPr="00781112" w:rsidRDefault="00AB212D" w:rsidP="00AB212D">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AB212D" w:rsidRPr="00781112" w:rsidDel="00DE5045" w:rsidRDefault="00AB212D" w:rsidP="00AB212D">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tcPr>
          <w:p w14:paraId="6C585469" w14:textId="4DD72E22"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834" w:type="pct"/>
            <w:shd w:val="clear" w:color="auto" w:fill="auto"/>
          </w:tcPr>
          <w:p w14:paraId="13AB3928" w14:textId="5311A0C6" w:rsidR="00AB212D" w:rsidRPr="00781112" w:rsidRDefault="00AB212D" w:rsidP="00AB212D">
            <w:pPr>
              <w:jc w:val="center"/>
              <w:rPr>
                <w:rFonts w:cs="Arial"/>
                <w:color w:val="000000" w:themeColor="text1"/>
                <w:szCs w:val="16"/>
              </w:rPr>
            </w:pPr>
            <w:r w:rsidRPr="00A54881">
              <w:rPr>
                <w:rFonts w:cs="Arial"/>
                <w:color w:val="000000" w:themeColor="text1"/>
                <w:szCs w:val="16"/>
              </w:rPr>
              <w:t>x</w:t>
            </w:r>
            <w:r w:rsidRPr="00A54881">
              <w:rPr>
                <w:rFonts w:cs="Arial"/>
                <w:color w:val="000000" w:themeColor="text1"/>
                <w:szCs w:val="16"/>
              </w:rPr>
              <w:fldChar w:fldCharType="begin"/>
            </w:r>
            <w:r w:rsidRPr="00A54881">
              <w:rPr>
                <w:rFonts w:cs="Arial"/>
                <w:color w:val="000000" w:themeColor="text1"/>
                <w:szCs w:val="16"/>
              </w:rPr>
              <w:instrText xml:space="preserve"> NOTEREF _Ref141168337 \f \h </w:instrText>
            </w:r>
            <w:r w:rsidRPr="00A54881">
              <w:rPr>
                <w:rFonts w:cs="Arial"/>
                <w:color w:val="000000" w:themeColor="text1"/>
                <w:szCs w:val="16"/>
              </w:rPr>
            </w:r>
            <w:r w:rsidRPr="00A54881">
              <w:rPr>
                <w:rFonts w:cs="Arial"/>
                <w:color w:val="000000" w:themeColor="text1"/>
                <w:szCs w:val="16"/>
              </w:rPr>
              <w:fldChar w:fldCharType="separate"/>
            </w:r>
            <w:r w:rsidR="00C160F0" w:rsidRPr="00C160F0">
              <w:rPr>
                <w:rStyle w:val="FootnoteReference"/>
              </w:rPr>
              <w:t>17</w:t>
            </w:r>
            <w:r w:rsidRPr="00A54881">
              <w:rPr>
                <w:rFonts w:cs="Arial"/>
                <w:color w:val="000000" w:themeColor="text1"/>
                <w:szCs w:val="16"/>
              </w:rPr>
              <w:fldChar w:fldCharType="end"/>
            </w:r>
          </w:p>
        </w:tc>
        <w:tc>
          <w:tcPr>
            <w:tcW w:w="508" w:type="pct"/>
            <w:shd w:val="clear" w:color="auto" w:fill="auto"/>
            <w:vAlign w:val="center"/>
          </w:tcPr>
          <w:p w14:paraId="2ABC747F" w14:textId="158D9570" w:rsidR="00AB212D" w:rsidRPr="00781112" w:rsidRDefault="00AB212D" w:rsidP="00AB212D">
            <w:pPr>
              <w:jc w:val="center"/>
              <w:rPr>
                <w:rFonts w:cs="Arial"/>
                <w:color w:val="000000" w:themeColor="text1"/>
                <w:szCs w:val="16"/>
              </w:rPr>
            </w:pPr>
          </w:p>
        </w:tc>
        <w:tc>
          <w:tcPr>
            <w:tcW w:w="508" w:type="pct"/>
            <w:shd w:val="clear" w:color="auto" w:fill="auto"/>
            <w:vAlign w:val="center"/>
          </w:tcPr>
          <w:p w14:paraId="1ACDF21F" w14:textId="6248B4E9" w:rsidR="00AB212D" w:rsidRPr="00781112" w:rsidRDefault="00AB212D" w:rsidP="00AB212D">
            <w:pPr>
              <w:jc w:val="center"/>
              <w:rPr>
                <w:rFonts w:cs="Arial"/>
                <w:color w:val="000000" w:themeColor="text1"/>
                <w:szCs w:val="16"/>
              </w:rPr>
            </w:pPr>
            <w:r w:rsidRPr="00781112">
              <w:rPr>
                <w:rFonts w:cs="Arial"/>
                <w:color w:val="000000" w:themeColor="text1"/>
                <w:szCs w:val="16"/>
              </w:rPr>
              <w:t>4.69</w:t>
            </w:r>
          </w:p>
        </w:tc>
        <w:tc>
          <w:tcPr>
            <w:tcW w:w="508" w:type="pct"/>
            <w:shd w:val="clear" w:color="auto" w:fill="auto"/>
            <w:vAlign w:val="center"/>
          </w:tcPr>
          <w:p w14:paraId="69CE5BC3" w14:textId="39D166D6" w:rsidR="00AB212D" w:rsidRPr="00781112" w:rsidRDefault="00AB212D" w:rsidP="00AB212D">
            <w:pPr>
              <w:jc w:val="center"/>
              <w:rPr>
                <w:rFonts w:cs="Arial"/>
                <w:color w:val="000000" w:themeColor="text1"/>
                <w:szCs w:val="16"/>
              </w:rPr>
            </w:pPr>
            <w:r w:rsidRPr="00781112">
              <w:rPr>
                <w:rFonts w:cs="Arial"/>
                <w:color w:val="000000" w:themeColor="text1"/>
                <w:szCs w:val="16"/>
              </w:rPr>
              <w:t>4.69</w:t>
            </w:r>
          </w:p>
        </w:tc>
        <w:tc>
          <w:tcPr>
            <w:tcW w:w="508" w:type="pct"/>
            <w:shd w:val="clear" w:color="auto" w:fill="auto"/>
            <w:vAlign w:val="center"/>
          </w:tcPr>
          <w:p w14:paraId="2CA33323" w14:textId="59FD6DC7"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AB212D" w:rsidRPr="00781112" w:rsidRDefault="00AB212D" w:rsidP="00AB212D">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Virgin Islands did not provide data for FFY 2020. Virgin Islands must provide the required data for FFY 2021 in the FFY 2021 SPP/APR. </w:t>
      </w:r>
      <w:r w:rsidRPr="00781112">
        <w:rPr>
          <w:rFonts w:cs="Arial"/>
          <w:color w:val="000000" w:themeColor="text1"/>
          <w:szCs w:val="16"/>
        </w:rPr>
        <w:br/>
      </w:r>
      <w:r w:rsidRPr="00781112">
        <w:rPr>
          <w:rFonts w:cs="Arial"/>
          <w:color w:val="000000" w:themeColor="text1"/>
          <w:szCs w:val="16"/>
        </w:rPr>
        <w:br/>
        <w:t>In the FFY 2021 SPP/APR  Virgin Islands must also provide baseline data and targets for FFY 2021-2025, as required by the Measurement Table.</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Virgin Islands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Virgin Islands revised its FFY 2021 through FFY 2025 targets for this indicator, and OSEP accepts those targets.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24"/>
      <w:bookmarkEnd w:id="25"/>
    </w:p>
    <w:p w14:paraId="6B24B370" w14:textId="77777777" w:rsidR="006E5AE4" w:rsidRPr="00781112" w:rsidRDefault="006E5AE4" w:rsidP="00A018D4">
      <w:pPr>
        <w:rPr>
          <w:color w:val="000000" w:themeColor="text1"/>
          <w:szCs w:val="20"/>
        </w:rPr>
      </w:pPr>
      <w:bookmarkStart w:id="32" w:name="_Toc384383331"/>
      <w:bookmarkStart w:id="33"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4" w:name="_Toc384383332"/>
      <w:bookmarkStart w:id="35" w:name="_Toc392159284"/>
      <w:bookmarkEnd w:id="32"/>
      <w:bookmarkEnd w:id="33"/>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50.00%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50.00%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50.00%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50.00%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For FFY 2021 (School Year 2021/22) the VIDE/SOSE continues its collaboration with the State's Indicator clusters which concentrates on analyzing data, up-scaling strategies, and improving/meeting targets for specific indicators. This collaboration ensures that each cluster of indicators has expert representativeness in all areas and, especially, child/grade-specific outcomes. For instance, the VIDE/SOSE’s Stakeholders group for this cluster of indicators are 4A, 4B, 9, and 10. The Cluster Stakeholders for this indicator were reintroduced to the methodology, measurements and historical data on the rates of suspension/expulsion/significant discrepancy, As with other cluster indicators, the State carefully selected the members of this group which includes and is not limited to parents/guardians, special education and related services providers, district and school administrators, district directors of special education, planning research and evaluation, school counselors, content area specialists, grade-level, educational diagnostic team members. Stakeholders for this specific cluster were introduced to disaggregated data by race, and ethnicity to determine if any discrepancies are occurring in the rates of long-term suspension and or expulsions of children with IEPs; moreover this cluster were introduced to data by child count used by the State to determine if any disproportionate representation of racial or ethnic groups in specific disability categories as well as any districts identification of race and ethnic groups is the results of inappropriate identification.</w:t>
      </w:r>
    </w:p>
    <w:p w14:paraId="2AE297AB" w14:textId="77777777" w:rsidR="007E6F97" w:rsidRPr="00781112" w:rsidRDefault="007E6F97" w:rsidP="004369B2">
      <w:pPr>
        <w:rPr>
          <w:color w:val="000000" w:themeColor="text1"/>
        </w:rPr>
      </w:pPr>
    </w:p>
    <w:bookmarkEnd w:id="34"/>
    <w:bookmarkEnd w:id="35"/>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VIDE/SOSE defines significant discrepancy by using a rate ratio methodology that compares the rate of suspensions and expulsions of greater than 10 days in a school year for children with IEPs in each district (LEA) to the rate of suspensions and expulsions of greater than 10 days in a school year for children without IEPs in that same district. A significant discrepancy exists when the rate ratio is 2.0 or greater for any district. The VIDE/SOSE does not use a minimum "n" size and includes all students with disabilities in all grades within each of the two districts. </w:t>
      </w:r>
    </w:p>
    <w:p w14:paraId="47F07052" w14:textId="77777777" w:rsidR="00BB504D" w:rsidRPr="00781112" w:rsidRDefault="00BB504D" w:rsidP="004369B2">
      <w:pPr>
        <w:rPr>
          <w:b/>
          <w:color w:val="000000" w:themeColor="text1"/>
        </w:rPr>
      </w:pPr>
      <w:bookmarkStart w:id="36" w:name="_Toc384383334"/>
      <w:bookmarkStart w:id="37"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count of students with disabilities data </w:t>
      </w:r>
      <w:proofErr w:type="gramStart"/>
      <w:r w:rsidRPr="00781112">
        <w:rPr>
          <w:rFonts w:cs="Arial"/>
          <w:color w:val="000000" w:themeColor="text1"/>
          <w:szCs w:val="16"/>
        </w:rPr>
        <w:t>are</w:t>
      </w:r>
      <w:proofErr w:type="gramEnd"/>
      <w:r w:rsidRPr="00781112">
        <w:rPr>
          <w:rFonts w:cs="Arial"/>
          <w:color w:val="000000" w:themeColor="text1"/>
          <w:szCs w:val="16"/>
        </w:rPr>
        <w:t xml:space="preserve"> used for this specific indicator and  is obtained from the December 1, </w:t>
      </w:r>
      <w:proofErr w:type="gramStart"/>
      <w:r w:rsidRPr="00781112">
        <w:rPr>
          <w:rFonts w:cs="Arial"/>
          <w:color w:val="000000" w:themeColor="text1"/>
          <w:szCs w:val="16"/>
        </w:rPr>
        <w:t>2020</w:t>
      </w:r>
      <w:proofErr w:type="gramEnd"/>
      <w:r w:rsidRPr="00781112">
        <w:rPr>
          <w:rFonts w:cs="Arial"/>
          <w:color w:val="000000" w:themeColor="text1"/>
          <w:szCs w:val="16"/>
        </w:rPr>
        <w:t xml:space="preserve">  618 Child Count Data for Children with Disabilities. The Districts also report discipline data to the VIDE using the Territory's Student Information System, Power School. The Territory's Student Information System is managed by the VIDE Office of Planning, Research &amp; Evaluation (PRE) and includes a variety of edit checks to ensure accuracy of submitted data. All ethnic groups of students (African Americans/Blacks; Hispanic/Latinos; Whites; Two or More Races (Multi-Race); Pacific Islanders; Native Americans; Asians) are included in the discipline data count of students who are suspended and/or expelled for greater than 10 days in the school year (2020-2021). The VIDE/SOSE compares its suspension removals of greater than 10 days of Special Education students to the rate students without disabilities are suspended. No ethnic groups are excluded from the calculations of students suspended or expelled during the school year 2020-2021. The State verifies the reliability and accuracy of the State's lag Year data through automated verification checks through its database.</w:t>
      </w:r>
      <w:r w:rsidRPr="00781112">
        <w:rPr>
          <w:rFonts w:cs="Arial"/>
          <w:color w:val="000000" w:themeColor="text1"/>
          <w:szCs w:val="16"/>
        </w:rPr>
        <w:br/>
      </w:r>
      <w:r w:rsidRPr="00781112">
        <w:rPr>
          <w:rFonts w:cs="Arial"/>
          <w:color w:val="000000" w:themeColor="text1"/>
          <w:szCs w:val="16"/>
        </w:rPr>
        <w:br/>
        <w:t xml:space="preserve">Discipline data from this system are utilized to satisfy 618 data collection which is reported via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Reporting System by Disability Category (OSEP030) and captured on the Report of Children with Disabilities (IDEA) Unilaterally Removed or Suspended/Expelled for More than 10 Days) for the School Year 2020-2021. As part of its general supervisory responsibilities, the State conducted a virtual desk audit for FFY 2021 of students suspended for greater than 10 days in the School Year of 2020-2021.</w:t>
      </w:r>
    </w:p>
    <w:bookmarkEnd w:id="36"/>
    <w:bookmarkEnd w:id="37"/>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discipline data report used for this indicator is taken from the EDFacts FS006 data submission “Child with Disabilities (IDEA) Suspensions/Expulsions”. This submission captures the cumulative length of removals of students with disabilities and reports a count of students by race/ethnicity who were subject to suspensions/expulsions greater than 10 days. It reports a separate count of students with removals greater than 10 days based on whether the removal was out-of-school (used for this indicator) or in-school.</w:t>
      </w:r>
      <w:r w:rsidRPr="00781112">
        <w:rPr>
          <w:rFonts w:cs="Arial"/>
          <w:color w:val="000000" w:themeColor="text1"/>
          <w:szCs w:val="16"/>
        </w:rPr>
        <w:br/>
      </w:r>
      <w:r w:rsidRPr="00781112">
        <w:rPr>
          <w:rFonts w:cs="Arial"/>
          <w:color w:val="000000" w:themeColor="text1"/>
          <w:szCs w:val="16"/>
        </w:rPr>
        <w:br/>
        <w:t xml:space="preserve">As part of its general supervisory responsibilities, the VIDE/SOSE conducted a virtual desk audit of all students suspended for greater than 10 days in school year 2020-2021 in preparation for the February 1, 2023 APR submission. The discipline data for the reported school year 2020-2021 reported that no student was suspended for greater than 10 days in the reported school year 2020-2021 for neither District 1 (St. Thomas/St. John) nor District 2 (St. Croix). Thus, the VIDE/SOSE did not identify nor issue and findings of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Section 300.170(b). </w:t>
      </w:r>
      <w:r w:rsidRPr="00781112">
        <w:rPr>
          <w:rFonts w:cs="Arial"/>
          <w:color w:val="000000" w:themeColor="text1"/>
          <w:szCs w:val="16"/>
        </w:rPr>
        <w:br/>
      </w:r>
      <w:r w:rsidRPr="00781112">
        <w:rPr>
          <w:rFonts w:cs="Arial"/>
          <w:color w:val="000000" w:themeColor="text1"/>
          <w:szCs w:val="16"/>
        </w:rPr>
        <w:br/>
        <w:t xml:space="preserve">As best practice, and to ensure that the Districts continue to be compliant with the IDEA regulations and implement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in conformity therewith, the VIDE/SOSE conducted a technical assistance training on Manifestation Determination for the newly hired Dean of Students assigned to the junior high and high school level. At that October 2022 Dean of Student Policy Training, participants received the VIDE/SOSE’s Suspension and Expulsion Administrator’s Checklist that was implemented by the State during school year 2012-2013, as well as the IDEA Regulations on Suspension and Expulsion.</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8" w:name="_Toc381956335"/>
      <w:bookmarkStart w:id="39" w:name="_Toc384383336"/>
      <w:bookmarkStart w:id="40"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C9E00A4" w14:textId="77777777" w:rsidR="002E7CCF" w:rsidRDefault="002E7CCF" w:rsidP="004369B2">
      <w:pPr>
        <w:rPr>
          <w:b/>
          <w:color w:val="000000" w:themeColor="text1"/>
        </w:rPr>
      </w:pPr>
    </w:p>
    <w:p w14:paraId="6809AF49" w14:textId="41094B64"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38"/>
      <w:bookmarkEnd w:id="39"/>
      <w:bookmarkEnd w:id="40"/>
    </w:p>
    <w:p w14:paraId="1BA30D93" w14:textId="77777777" w:rsidR="008637F8" w:rsidRPr="00781112" w:rsidRDefault="008637F8" w:rsidP="00A018D4">
      <w:pPr>
        <w:rPr>
          <w:color w:val="000000" w:themeColor="text1"/>
          <w:szCs w:val="20"/>
        </w:rPr>
      </w:pPr>
      <w:bookmarkStart w:id="41" w:name="_Toc384383338"/>
      <w:bookmarkStart w:id="42"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2A44092" w14:textId="77777777" w:rsidR="002E7CCF" w:rsidRPr="00781112" w:rsidRDefault="002E7CCF"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1E4B9499" w14:textId="77777777" w:rsidR="002E7CCF" w:rsidRDefault="002E7CCF" w:rsidP="004369B2">
      <w:pPr>
        <w:rPr>
          <w:b/>
          <w:color w:val="000000" w:themeColor="text1"/>
        </w:rPr>
      </w:pPr>
    </w:p>
    <w:p w14:paraId="069D75E9" w14:textId="748B47BA"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41"/>
    <w:bookmarkEnd w:id="42"/>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43"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VIDE/SOSE defines significant discrepancy by using a rate ratio methodology that compares the rates of suspensions and expulsions of greater than 10 days in a school year for children with disabilities by race and ethnicity in each LEA to the rates of suspensions and expulsions for all children without disabilities, within the same LEA.</w:t>
      </w:r>
      <w:r w:rsidRPr="00781112">
        <w:rPr>
          <w:rFonts w:cs="Arial"/>
          <w:color w:val="000000" w:themeColor="text1"/>
          <w:szCs w:val="16"/>
        </w:rPr>
        <w:br/>
      </w:r>
      <w:r w:rsidRPr="00781112">
        <w:rPr>
          <w:rFonts w:cs="Arial"/>
          <w:color w:val="000000" w:themeColor="text1"/>
          <w:szCs w:val="16"/>
        </w:rPr>
        <w:br/>
        <w:t>A district is deemed to be significantly discrepant when (1) the ratio of the district's suspension/expulsion rates for children with disabilities from any racial or ethnic group is at a rate of 2.0 higher than the suspension rate for all children without disabilities (IEPs), in that same district; and (2) it policies, procedures or practices contributes to the significant discrepancy and do not comply with requirements relating to the development and implementation of IEPs, the use of positive behavioral intervention and supports, and procedural safeguards.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DATA SOURCES</w:t>
      </w:r>
      <w:r w:rsidRPr="00781112">
        <w:rPr>
          <w:rFonts w:cs="Arial"/>
          <w:color w:val="000000" w:themeColor="text1"/>
          <w:szCs w:val="16"/>
        </w:rPr>
        <w:br/>
      </w:r>
      <w:r w:rsidRPr="00781112">
        <w:rPr>
          <w:rFonts w:cs="Arial"/>
          <w:color w:val="000000" w:themeColor="text1"/>
          <w:szCs w:val="16"/>
        </w:rPr>
        <w:br/>
        <w:t>The Discipline Data used for this indicator are taken from the EDFacts FS006 data submission “Child with Disabilities (IDEA) Suspensions/Expulsions” submission which captures the data for the overall student population in the rate of suspension/expulsion of students with IEPs in six racial/ethnic groups. The percentage of students with IEPs suspended for greater than 10 days in the school year (2020-2021) are then compared to the overall student population for suspension/expulsion in that same district. This reporting captures a separate count of students with removals greater than 10 days based on whether the removal was out-of-school (data used for this indicator) or in-school suspension. The Territory's Student Information System is managed by the VIDE Office of Planning, Research &amp; Evaluation (PRE) and includes a variety of edit checks to ensure accuracy of submitted data. The State verifies the reliability and accuracy of the State's data through automated verification checks through its databases.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As part of its general supervisory responsibilities, the State conducted a desk audit of students suspended for greater than 10 days in the School Year of 2020-2021. The discipline data which is used in determining significant discrepancy for the FFY 2021 SPP/APR due February 1, 2023, revealed that neither District 1 (St. Thomas/St. John) nor District 2 (St. Croix) had students suspended/expelled for greater than 10 days. Thus, the State did not identify nor issue any findings of non-compliance with Part B requirements for this specific indicator. </w:t>
      </w:r>
      <w:r w:rsidRPr="00781112">
        <w:rPr>
          <w:rFonts w:cs="Arial"/>
          <w:color w:val="000000" w:themeColor="text1"/>
          <w:szCs w:val="16"/>
        </w:rPr>
        <w:br/>
      </w:r>
      <w:r w:rsidRPr="00781112">
        <w:rPr>
          <w:rFonts w:cs="Arial"/>
          <w:color w:val="000000" w:themeColor="text1"/>
          <w:szCs w:val="16"/>
        </w:rPr>
        <w:br/>
        <w:t xml:space="preserve">Accordingly, and to ensure that the Districts continue to be compliant with the IDEA regulations and implement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in conformity therewith, the VIDE/SOSE conducted a technical assistance training on Manifestation Determination for the newly hired Dean of Students assigned to the Territory’s junior high and high school level. At that October 2022 Dean of Student Policy Training, the VIDE/SOSE’s Suspension and Expulsion Administrator’s Checklist that was implemented by the State during school year 2012-2013, and the IDEA Regulations on Suspension and Expulsion were distributed to the attendees, which also included school administrators.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6"/>
      <w:bookmarkEnd w:id="43"/>
    </w:p>
    <w:p w14:paraId="52AD89A1" w14:textId="77777777" w:rsidR="00775845" w:rsidRPr="00781112" w:rsidRDefault="00775845" w:rsidP="00A018D4">
      <w:pPr>
        <w:rPr>
          <w:color w:val="000000" w:themeColor="text1"/>
          <w:szCs w:val="20"/>
        </w:rPr>
      </w:pPr>
      <w:bookmarkStart w:id="44"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4"/>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58.89%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57.60%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58.89%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21.37%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20.30%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18.19%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19.61%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22.38%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21.37%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20.30%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2.63%</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2.63%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58.89%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58.89%</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59.00%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20.30%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20.30%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20.00%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20.00%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20.00%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2.63%</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2.63%</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2.60%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2.60%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For FFY 2021 (School Year 2021/22) 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3, 5, and 17 (SSIP). The Cluster Stakeholders for this indicator were reintroduced to the methodology and measurements which closely looks at the overall participation rate of children with IEPs. As with other cluster indicators, the State carefully selected the members of this group which includes and is not limited to parents/guardians of 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946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525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199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525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946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58.89%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58.89%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946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20.30%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20.30%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21.04%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946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2.63%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2.63%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2.64%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 xml:space="preserve">The VIDE/SOSE can attribute this slippage to not meeting the target for Measurement A  for FFY 2021(School Year 2021/22). Furthermore, the reason for slippage can also be attributed to the Individualized Education Program (IEP) teams’ members agreeing that the academic and functional needs of these children were unable to be met in Measurement A of this indicator. As such, services in Measurement B and C of this specific Indicator </w:t>
            </w:r>
            <w:proofErr w:type="gramStart"/>
            <w:r w:rsidRPr="00781112">
              <w:rPr>
                <w:color w:val="000000" w:themeColor="text1"/>
              </w:rPr>
              <w:t>was</w:t>
            </w:r>
            <w:proofErr w:type="gramEnd"/>
            <w:r w:rsidRPr="00781112">
              <w:rPr>
                <w:color w:val="000000" w:themeColor="text1"/>
              </w:rPr>
              <w:t xml:space="preserve"> the most suitable setting, which captures the number of school-aged children with IEPs aged five (5) to include five (5) year olds in kindergarten through 21 were in the regular class for more than 80% of the school day.</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Measurement A: During FFY 2021, (December 1, 2021, Child Count) five hundred and twenty-five (525) or (55.49%) out of nine hundred and forty-six children of children with IEPs aged children with IEPs aged five (5) to include five (5) year olds in kindergarten through 21 were in the regular class for more than 80% of the school day. The VIDE/SOSE did not meet the target for FFY 2021 of 58.89% by 3.39%. </w:t>
      </w:r>
      <w:proofErr w:type="gramStart"/>
      <w:r w:rsidRPr="00781112">
        <w:rPr>
          <w:rFonts w:cs="Arial"/>
          <w:color w:val="000000" w:themeColor="text1"/>
          <w:szCs w:val="16"/>
        </w:rPr>
        <w:t>Thus</w:t>
      </w:r>
      <w:proofErr w:type="gramEnd"/>
      <w:r w:rsidRPr="00781112">
        <w:rPr>
          <w:rFonts w:cs="Arial"/>
          <w:color w:val="000000" w:themeColor="text1"/>
          <w:szCs w:val="16"/>
        </w:rPr>
        <w:t xml:space="preserve"> resulting in slippage for Measurement A of this Indicator. </w:t>
      </w:r>
      <w:r w:rsidRPr="00781112">
        <w:rPr>
          <w:rFonts w:cs="Arial"/>
          <w:color w:val="000000" w:themeColor="text1"/>
          <w:szCs w:val="16"/>
        </w:rPr>
        <w:br/>
      </w:r>
      <w:r w:rsidRPr="00781112">
        <w:rPr>
          <w:rFonts w:cs="Arial"/>
          <w:color w:val="000000" w:themeColor="text1"/>
          <w:szCs w:val="16"/>
        </w:rPr>
        <w:br/>
        <w:t xml:space="preserve">Measurement B: During FFY 2021, (December 1, 2021, Child Count) one hundred and ninety-nine (21.03%) out of nine hundred and forty-six (946) of children with IEPs aged five (5) to include five (5) year olds in kindergarten through twenty-one (21) were in the regular class less than 40% of the school day. The VIDE/SOSE did not meet the target for FFY 2021 of 20.30% and 20% by 0.74. </w:t>
      </w:r>
      <w:proofErr w:type="gramStart"/>
      <w:r w:rsidRPr="00781112">
        <w:rPr>
          <w:rFonts w:cs="Arial"/>
          <w:color w:val="000000" w:themeColor="text1"/>
          <w:szCs w:val="16"/>
        </w:rPr>
        <w:t>Thus</w:t>
      </w:r>
      <w:proofErr w:type="gramEnd"/>
      <w:r w:rsidRPr="00781112">
        <w:rPr>
          <w:rFonts w:cs="Arial"/>
          <w:color w:val="000000" w:themeColor="text1"/>
          <w:szCs w:val="16"/>
        </w:rPr>
        <w:t xml:space="preserve"> as per OSEP’s guidelines, there is no slippage for Measurement B of this Indicator. </w:t>
      </w:r>
      <w:r w:rsidRPr="00781112">
        <w:rPr>
          <w:rFonts w:cs="Arial"/>
          <w:color w:val="000000" w:themeColor="text1"/>
          <w:szCs w:val="16"/>
        </w:rPr>
        <w:br/>
      </w:r>
      <w:r w:rsidRPr="00781112">
        <w:rPr>
          <w:rFonts w:cs="Arial"/>
          <w:color w:val="000000" w:themeColor="text1"/>
          <w:szCs w:val="16"/>
        </w:rPr>
        <w:br/>
        <w:t xml:space="preserve">Measurement C: During FFY 2021, (December 1, 2021, Child Count) twenty-five (25) or (2.64%) out of nine hundred and forty-six (946) children with IEPs aged five (5) to include five (5) year olds in kindergarten through twenty-one (21) were in separate schools, residential facilities, or homebound/hospital placements. The VIDE/SOSE met the target for FFY 2021 of 2.63%. </w:t>
      </w:r>
      <w:proofErr w:type="gramStart"/>
      <w:r w:rsidRPr="00781112">
        <w:rPr>
          <w:rFonts w:cs="Arial"/>
          <w:color w:val="000000" w:themeColor="text1"/>
          <w:szCs w:val="16"/>
        </w:rPr>
        <w:t>Thus</w:t>
      </w:r>
      <w:proofErr w:type="gramEnd"/>
      <w:r w:rsidRPr="00781112">
        <w:rPr>
          <w:rFonts w:cs="Arial"/>
          <w:color w:val="000000" w:themeColor="text1"/>
          <w:szCs w:val="16"/>
        </w:rPr>
        <w:t xml:space="preserve"> as per OSEP’s guidelines, there is no slippage for Measurement C of this Indicator. </w:t>
      </w:r>
      <w:r w:rsidRPr="00781112">
        <w:rPr>
          <w:rFonts w:cs="Arial"/>
          <w:color w:val="000000" w:themeColor="text1"/>
          <w:szCs w:val="16"/>
        </w:rPr>
        <w:br/>
        <w:t xml:space="preserve">The VIDE/SOSE did not meet its target for FFY 2021, (December 1, 2021, Child Count Data) the number of school-aged children with IEPs aged 5 (kindergarten) through twenty-one (21) for Measurement B and C. the VIDE/SOSE data for FFY 2021, is lower when compared to the data for FFY2018 and 2019 for measurement B of this Indicator. Likewise, for Measurement C the VIDE/SOSE data for FFY 2021 is lower when compared to the data reported for FF2016 through 2018.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45"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5"/>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94.00%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94.00%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94.50%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91.67%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91.27%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81.11%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98.72%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1.28%</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7.14%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12.22%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For FFY 2021(School Year 2021/22) the VIDE/SOSE continue to gather comprehensive stakeholder input on the performance and targets of the reconfigured Indicators into, Indicator Clusters (6 and 7) stakeholder group members, to ensure that there is a repetitiveness across all indicators which includes and is not limited to parents/guardian of preschool children receiving special education and related services, district and school administrators, district directors of special education, school counselors, preschool special and regular education teachers (preschool,), content area specialists, grade-level, educational diagnostic team members, and outside linking agencies.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97.44%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97.44%</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97.44%</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97.44%</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97.50%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97.50%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1.28%</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1.28%</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1.25%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1.25%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1.25%</w:t>
            </w:r>
          </w:p>
        </w:tc>
      </w:tr>
    </w:tbl>
    <w:p w14:paraId="27170CED" w14:textId="772C81FC" w:rsidR="00E428BD" w:rsidRDefault="00E428BD" w:rsidP="004369B2">
      <w:pPr>
        <w:rPr>
          <w:color w:val="000000" w:themeColor="text1"/>
        </w:rPr>
      </w:pPr>
      <w:bookmarkStart w:id="46" w:name="_Toc382082378"/>
      <w:bookmarkStart w:id="47"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67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6C024B4D" w14:textId="72E3AF53" w:rsidR="00D16730" w:rsidRPr="002E7CCF"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67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98.72%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76.12%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67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1.28%</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67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1.28%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22.39%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The VIDE/SOSE can attribute the slippage for Measurement A of this Indicator to not meeting the target for FFY 2021(School Year 2021/22). Furthermore, the reason for slippage can also be attributed to the Individualized Education Program (IEP) teams’ members agreeing that the academic and functional needs of these children were unable to be met in Measurements A of this indicator. As such, services in Measurement B of this specific Indicator was the most suitable setting, which captures the number three (3) through five (5) (excluding children aged 5 who are in kindergarten) who were in a regular early childhood program and receiving the majority of special education and related services in the regular early childhood program.  Further, due to the lingering effects of the COVID-19 Pandemic </w:t>
      </w:r>
      <w:proofErr w:type="gramStart"/>
      <w:r w:rsidRPr="00781112">
        <w:rPr>
          <w:rFonts w:cs="Arial"/>
          <w:color w:val="000000" w:themeColor="text1"/>
          <w:szCs w:val="16"/>
        </w:rPr>
        <w:t>a large number of</w:t>
      </w:r>
      <w:proofErr w:type="gramEnd"/>
      <w:r w:rsidRPr="00781112">
        <w:rPr>
          <w:rFonts w:cs="Arial"/>
          <w:color w:val="000000" w:themeColor="text1"/>
          <w:szCs w:val="16"/>
        </w:rPr>
        <w:t xml:space="preserve"> parents and guardians of preschool children elected to have services provided in the home environment for FFY 2021 ( 2021/22).   </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The VIDE/SOSE can attribute this slippage to not meeting the target for Measurements A and C of the Indicator for FFY 2021(School Year 2021/22). Furthermore, the reason for slippage can also be attributed to the Individualized Education Program (IEP) teams’ members agreeing that the academic and functional needs of these children were unable to be met in Measurements A of this indicator. As such, services in Measurement C of this specific indicator were the most suitable setting. Further, due to the lingering effects of the COVID-19 Pandemic </w:t>
      </w:r>
      <w:proofErr w:type="gramStart"/>
      <w:r w:rsidRPr="00781112">
        <w:rPr>
          <w:rFonts w:cs="Arial"/>
          <w:color w:val="000000" w:themeColor="text1"/>
          <w:szCs w:val="16"/>
        </w:rPr>
        <w:t>a large number of</w:t>
      </w:r>
      <w:proofErr w:type="gramEnd"/>
      <w:r w:rsidRPr="00781112">
        <w:rPr>
          <w:rFonts w:cs="Arial"/>
          <w:color w:val="000000" w:themeColor="text1"/>
          <w:szCs w:val="16"/>
        </w:rPr>
        <w:t xml:space="preserve"> parents and guardians of preschool children elected to have services provided in the home environment for FFY 2021 (2021/22). The VIDE/SOSE will continue to work closely with District Offices of Special Education to ensure the utilization of the most effective strategies to enhance the performance of this Indicator; namely, measurement 6A.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Measurement A: During FFY 2021, (School Year 2021/22) fifty-one (51) out of sixty-seven (67) or (76.12%) of children with IEPs aged three (3) through five (5) (excluding children aged 5 who are in kindergarten) were in a regular early childhood program and receiving the majority of special education and related services in the regular early childhood program. The VIDE/SOSE did not meet and exceed the target for FFY 2021 of 97.44% by 21.32% for Measurement 6A of this Indicator. </w:t>
      </w:r>
      <w:proofErr w:type="gramStart"/>
      <w:r w:rsidRPr="00781112">
        <w:rPr>
          <w:rFonts w:cs="Arial"/>
          <w:color w:val="000000" w:themeColor="text1"/>
          <w:szCs w:val="16"/>
        </w:rPr>
        <w:t>Thus</w:t>
      </w:r>
      <w:proofErr w:type="gramEnd"/>
      <w:r w:rsidRPr="00781112">
        <w:rPr>
          <w:rFonts w:cs="Arial"/>
          <w:color w:val="000000" w:themeColor="text1"/>
          <w:szCs w:val="16"/>
        </w:rPr>
        <w:t xml:space="preserve"> resulting in slippage for Measurement A of this Indicator. </w:t>
      </w:r>
      <w:r w:rsidRPr="00781112">
        <w:rPr>
          <w:rFonts w:cs="Arial"/>
          <w:color w:val="000000" w:themeColor="text1"/>
          <w:szCs w:val="16"/>
        </w:rPr>
        <w:br/>
      </w:r>
      <w:r w:rsidRPr="00781112">
        <w:rPr>
          <w:rFonts w:cs="Arial"/>
          <w:color w:val="000000" w:themeColor="text1"/>
          <w:szCs w:val="16"/>
        </w:rPr>
        <w:br/>
        <w:t>Measurement B: During FFY 2021, zero (0) out of sixty-seven (67) or (0%) of children with IEPs aged three (3) through five (5) (excluding children aged 5 who are in kindergarten) were in a regular early childhood program and receiving the majority of special education and related services in a separate special education class. The VIDE/SOSE met and exceeded the target for FFY 2021 of 1.28% for Measurement 6B of this Indicator.</w:t>
      </w:r>
      <w:r w:rsidRPr="00781112">
        <w:rPr>
          <w:rFonts w:cs="Arial"/>
          <w:color w:val="000000" w:themeColor="text1"/>
          <w:szCs w:val="16"/>
        </w:rPr>
        <w:br/>
        <w:t xml:space="preserve"> </w:t>
      </w:r>
      <w:r w:rsidRPr="00781112">
        <w:rPr>
          <w:rFonts w:cs="Arial"/>
          <w:color w:val="000000" w:themeColor="text1"/>
          <w:szCs w:val="16"/>
        </w:rPr>
        <w:br/>
        <w:t xml:space="preserve">Measurement C: During FF 2021, eleven (15) out of sixty-seven (67) or (22.39%) of children with IEPs aged three (3) through five (5) (excluding children aged 5 who are in kindergarten) were receiving special education and related services in the home. The VIDE/SOSE did not meet and exceed the target for FFY 2021 of 97.44% by 21.11% for Measurement 6C of this Indicator. </w:t>
      </w:r>
      <w:r w:rsidRPr="00781112">
        <w:rPr>
          <w:rFonts w:cs="Arial"/>
          <w:color w:val="000000" w:themeColor="text1"/>
          <w:szCs w:val="16"/>
        </w:rPr>
        <w:br/>
      </w:r>
      <w:r w:rsidRPr="00781112">
        <w:rPr>
          <w:rFonts w:cs="Arial"/>
          <w:color w:val="000000" w:themeColor="text1"/>
          <w:szCs w:val="16"/>
        </w:rPr>
        <w:br/>
        <w:t xml:space="preserve">For the FFY 2021 (School Year 2021-22) VIDE/SOSE had more than ten (10) children receiving special education and related services in the home, as such is establishing a baseline for Measurement C for this Indicator. </w:t>
      </w:r>
      <w:r w:rsidRPr="00781112">
        <w:rPr>
          <w:rFonts w:cs="Arial"/>
          <w:color w:val="000000" w:themeColor="text1"/>
          <w:szCs w:val="16"/>
        </w:rPr>
        <w:br/>
        <w:t xml:space="preserve">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OSEP notes that for sub-indicator 6C, the Virgin Islands reported 15 children with IEPs aged 3 through 5 served while in its narrative the Virgin Islands reported that "eleven" children were served. Additionally, the Virgin Islands reported, "The VIDE/SOSE did not meet and exceed the target for FFY 2021 of 97.44% by 21.11% for Measurement 6C of this Indicator." OSEP notes the target for Measurement 6C of this Indicator is 0%.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Virgin Islands must ensure the data reported in the data table are consistent with its narrative for this indicator. </w:t>
      </w: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46"/>
      <w:bookmarkEnd w:id="47"/>
    </w:p>
    <w:p w14:paraId="1404DCF9" w14:textId="77777777" w:rsidR="00531E54" w:rsidRPr="00781112" w:rsidRDefault="00531E54" w:rsidP="00A018D4">
      <w:pPr>
        <w:rPr>
          <w:color w:val="000000" w:themeColor="text1"/>
          <w:szCs w:val="20"/>
        </w:rPr>
      </w:pPr>
      <w:bookmarkStart w:id="48"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8"/>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62.50%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54.78%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62.50%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57.14%</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57.14%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65.22%</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72.22%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65.22%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56.25%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75.56%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56.25%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40.00%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40.50%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40.50%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40.50%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41.00%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62.50%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62.50%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63.50%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40.00%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40.00%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40.50%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40.50%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41.00%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57.14%</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57.14%</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57.50%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57.50%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58.00%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65.20%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65.20%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65.20%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65.50%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65.50%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56.30%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56.30%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56.30%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56.50%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56.50%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For FFY 2021(School Year 2021/22) the VIDE/SOSE continue to gather comprehensive stakeholder input on the performance and targets of the reconfigured Indicators into, Indicator Clusters (6 and 7) stakeholder group members, to ensure that there is a repetitiveness across all indicators which includes and is not limited to parents/guardian of preschool children receiving special education and related services, district and school administrators, district directors of special education, school counselors, preschool special and regular education teachers (preschool,), content area specialists, grade-level, educational diagnostic team members, and outside linking agencies. </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2.22%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13.33%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31.11%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51.11%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40.00%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40.00%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84.09%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62.50%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62.50%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53.33%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5.00%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42.50%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2.50%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79.49%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6.67%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8.89%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22.22%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44.44%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17.78%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65.22%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81.08%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56.25%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56.30%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62.22%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The VIDE/SOSE can attribute this slippage to not meeting the target for Measurement Summary Statements A2 and B2 for FFY 2021(School Year 2021/22) and the switch back to in-personal learning versus that of home/virtual instruction.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The VIDE/SOSE can attribute this slippage to not meeting the target for Measurement Summary B2 for FFY 2021(School Year 2021/22)</w:t>
            </w:r>
            <w:proofErr w:type="spellStart"/>
            <w:r w:rsidRPr="00781112">
              <w:rPr>
                <w:rFonts w:cs="Arial"/>
                <w:color w:val="000000" w:themeColor="text1"/>
                <w:szCs w:val="16"/>
              </w:rPr>
              <w:t>nd</w:t>
            </w:r>
            <w:proofErr w:type="spellEnd"/>
            <w:r w:rsidRPr="00781112">
              <w:rPr>
                <w:rFonts w:cs="Arial"/>
                <w:color w:val="000000" w:themeColor="text1"/>
                <w:szCs w:val="16"/>
              </w:rPr>
              <w:t xml:space="preserve"> the switch back to in-personal learning versus that of home/virtual instruction.</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9" w:name="_Toc382082381"/>
      <w:bookmarkStart w:id="50"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In previous years, the Virgin Islands Department of Human Services, Head Start Program (VIDOHHSP) utilized the Child Observation Records (“COR”) and online collection data system to obtain the performance (entrance and exit) for all preschool children with Individualized Education Programs (IEPs) enrolled in Head Start Preschool Programs. The COR utilized a zero (0)-five (5) -point scale for scoring; however, in the school year 2020-21, the VIDOHHSP switched to the COR advantage which utilizes a zero (0) to seven (7) point level scoring range. As such the VIDE/SOSE for FFY 2021 (School Year 2021/22) will continue to report data from the COR Advantage online system. Preschool Personnel extracts entry and exit data from the online system for each preschool child attending the Head Start Program receives special education and related services, once the extraction is complete the disaggregated data is forwarded to the VIDE/SOSE for data analysis and tabulation and tabulation and analyze the data for this indicator. In addition, the VIDOHHSP noted that children who participate in Early Head Start programs are expected to enter Preschool programs at Level Three (3). Moreover, the VIDOHHS Preschool programs noted that children exiting Head Start Programs and considered to be ready for Kindergarten ready should be at a Level five (5) or six (6). Listed below are the levels and the accompanying age of functioning for each of the levels.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Level </w:t>
      </w:r>
      <w:r w:rsidRPr="00781112">
        <w:rPr>
          <w:rFonts w:cs="Arial"/>
          <w:color w:val="000000" w:themeColor="text1"/>
          <w:szCs w:val="16"/>
        </w:rPr>
        <w:tab/>
      </w:r>
      <w:r w:rsidRPr="00781112">
        <w:rPr>
          <w:rFonts w:cs="Arial"/>
          <w:color w:val="000000" w:themeColor="text1"/>
          <w:szCs w:val="16"/>
        </w:rPr>
        <w:tab/>
      </w:r>
      <w:r w:rsidRPr="00781112">
        <w:rPr>
          <w:rFonts w:cs="Arial"/>
          <w:color w:val="000000" w:themeColor="text1"/>
          <w:szCs w:val="16"/>
        </w:rPr>
        <w:tab/>
        <w:t xml:space="preserve">Functioning age level </w:t>
      </w:r>
      <w:r w:rsidRPr="00781112">
        <w:rPr>
          <w:rFonts w:cs="Arial"/>
          <w:color w:val="000000" w:themeColor="text1"/>
          <w:szCs w:val="16"/>
        </w:rPr>
        <w:br/>
      </w:r>
      <w:r w:rsidRPr="00781112">
        <w:rPr>
          <w:rFonts w:cs="Arial"/>
          <w:color w:val="000000" w:themeColor="text1"/>
          <w:szCs w:val="16"/>
        </w:rPr>
        <w:br/>
        <w:t>Zero (0)</w:t>
      </w:r>
      <w:r w:rsidRPr="00781112">
        <w:rPr>
          <w:rFonts w:cs="Arial"/>
          <w:color w:val="000000" w:themeColor="text1"/>
          <w:szCs w:val="16"/>
        </w:rPr>
        <w:tab/>
      </w:r>
      <w:r w:rsidRPr="00781112">
        <w:rPr>
          <w:rFonts w:cs="Arial"/>
          <w:color w:val="000000" w:themeColor="text1"/>
          <w:szCs w:val="16"/>
        </w:rPr>
        <w:tab/>
      </w:r>
      <w:r w:rsidRPr="00781112">
        <w:rPr>
          <w:rFonts w:cs="Arial"/>
          <w:color w:val="000000" w:themeColor="text1"/>
          <w:szCs w:val="16"/>
        </w:rPr>
        <w:tab/>
        <w:t xml:space="preserve">Infant </w:t>
      </w:r>
      <w:r w:rsidRPr="00781112">
        <w:rPr>
          <w:rFonts w:cs="Arial"/>
          <w:color w:val="000000" w:themeColor="text1"/>
          <w:szCs w:val="16"/>
        </w:rPr>
        <w:br/>
        <w:t>One (1)   One-year-old</w:t>
      </w:r>
      <w:r w:rsidRPr="00781112">
        <w:rPr>
          <w:rFonts w:cs="Arial"/>
          <w:color w:val="000000" w:themeColor="text1"/>
          <w:szCs w:val="16"/>
        </w:rPr>
        <w:br/>
        <w:t xml:space="preserve">Two (2) </w:t>
      </w:r>
      <w:r w:rsidRPr="00781112">
        <w:rPr>
          <w:rFonts w:cs="Arial"/>
          <w:color w:val="000000" w:themeColor="text1"/>
          <w:szCs w:val="16"/>
        </w:rPr>
        <w:tab/>
      </w:r>
      <w:r w:rsidRPr="00781112">
        <w:rPr>
          <w:rFonts w:cs="Arial"/>
          <w:color w:val="000000" w:themeColor="text1"/>
          <w:szCs w:val="16"/>
        </w:rPr>
        <w:tab/>
        <w:t xml:space="preserve">Two-year-old </w:t>
      </w:r>
      <w:r w:rsidRPr="00781112">
        <w:rPr>
          <w:rFonts w:cs="Arial"/>
          <w:color w:val="000000" w:themeColor="text1"/>
          <w:szCs w:val="16"/>
        </w:rPr>
        <w:br/>
        <w:t>Three (3)  Three-year-old</w:t>
      </w:r>
      <w:r w:rsidRPr="00781112">
        <w:rPr>
          <w:rFonts w:cs="Arial"/>
          <w:color w:val="000000" w:themeColor="text1"/>
          <w:szCs w:val="16"/>
        </w:rPr>
        <w:br/>
        <w:t>Four (4)   Four-year-old</w:t>
      </w:r>
      <w:r w:rsidRPr="00781112">
        <w:rPr>
          <w:rFonts w:cs="Arial"/>
          <w:color w:val="000000" w:themeColor="text1"/>
          <w:szCs w:val="16"/>
        </w:rPr>
        <w:br/>
        <w:t>Five (5)   Five-year-old</w:t>
      </w:r>
      <w:r w:rsidRPr="00781112">
        <w:rPr>
          <w:rFonts w:cs="Arial"/>
          <w:color w:val="000000" w:themeColor="text1"/>
          <w:szCs w:val="16"/>
        </w:rPr>
        <w:br/>
        <w:t xml:space="preserve">Six (6) </w:t>
      </w:r>
      <w:r w:rsidRPr="00781112">
        <w:rPr>
          <w:rFonts w:cs="Arial"/>
          <w:color w:val="000000" w:themeColor="text1"/>
          <w:szCs w:val="16"/>
        </w:rPr>
        <w:tab/>
      </w:r>
      <w:r w:rsidRPr="00781112">
        <w:rPr>
          <w:rFonts w:cs="Arial"/>
          <w:color w:val="000000" w:themeColor="text1"/>
          <w:szCs w:val="16"/>
        </w:rPr>
        <w:tab/>
      </w:r>
      <w:r w:rsidRPr="00781112">
        <w:rPr>
          <w:rFonts w:cs="Arial"/>
          <w:color w:val="000000" w:themeColor="text1"/>
          <w:szCs w:val="16"/>
        </w:rPr>
        <w:tab/>
        <w:t xml:space="preserve">Six-year-old </w:t>
      </w:r>
      <w:r w:rsidRPr="00781112">
        <w:rPr>
          <w:rFonts w:cs="Arial"/>
          <w:color w:val="000000" w:themeColor="text1"/>
          <w:szCs w:val="16"/>
        </w:rPr>
        <w:br/>
        <w:t xml:space="preserve">Seven (7) </w:t>
      </w:r>
      <w:r w:rsidRPr="00781112">
        <w:rPr>
          <w:rFonts w:cs="Arial"/>
          <w:color w:val="000000" w:themeColor="text1"/>
          <w:szCs w:val="16"/>
        </w:rPr>
        <w:tab/>
      </w:r>
      <w:r w:rsidRPr="00781112">
        <w:rPr>
          <w:rFonts w:cs="Arial"/>
          <w:color w:val="000000" w:themeColor="text1"/>
          <w:szCs w:val="16"/>
        </w:rPr>
        <w:tab/>
        <w:t xml:space="preserve">Seven-year-old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Virgin Islands attribute the reason for slippage for Outcomes A, Summary Statement 2, and Outcome B Summary Statement 2 to the in-personal learning versus the home/virtual instruction. </w:t>
      </w:r>
      <w:r w:rsidRPr="00781112">
        <w:rPr>
          <w:rFonts w:cs="Arial"/>
          <w:color w:val="000000" w:themeColor="text1"/>
          <w:szCs w:val="16"/>
        </w:rPr>
        <w:br/>
        <w:t>Additionally, five (5) children did not meet the 60% threshold. Although this is the case the Virgin Islands did capture data for all forty-five children.</w:t>
      </w:r>
      <w:r w:rsidRPr="00781112">
        <w:rPr>
          <w:rFonts w:cs="Arial"/>
          <w:color w:val="000000" w:themeColor="text1"/>
          <w:szCs w:val="16"/>
        </w:rPr>
        <w:br/>
      </w:r>
      <w:r w:rsidRPr="00781112">
        <w:rPr>
          <w:rFonts w:cs="Arial"/>
          <w:color w:val="000000" w:themeColor="text1"/>
          <w:szCs w:val="16"/>
        </w:rPr>
        <w:br/>
        <w:t>The VIDE/SOSE defines “comparable to same-age peers” as the approximate capabilities of children of a given age, across a variety of settings and situations, by however those capabilities can be demonstrated. Functioning comparable to same-age level peers is not to be determined by only a single score on a norm-referenced test or any other single assessment, although such scores when used in conjunction with other sources of information could inform a decision on the child’s status with regard to an outcome or how much progress a child has made. This definition was adopted from the Early Childhood Outcomes Center (ECO).</w:t>
      </w:r>
      <w:r w:rsidRPr="00781112">
        <w:rPr>
          <w:rFonts w:cs="Arial"/>
          <w:color w:val="000000" w:themeColor="text1"/>
          <w:szCs w:val="16"/>
        </w:rPr>
        <w:br/>
      </w:r>
      <w:r w:rsidRPr="00781112">
        <w:rPr>
          <w:rFonts w:cs="Arial"/>
          <w:color w:val="000000" w:themeColor="text1"/>
          <w:szCs w:val="16"/>
        </w:rPr>
        <w:br/>
        <w:t xml:space="preserve">For FFY 2021 (School Year 2021/22) the VIDE/SOSE continued to work closely with Early Childhood Technical Assistance (“ECTA Center”), SRI Education a Division of International Research Center, and the Virgin Islands Department of Human Services, Head Start Programs (VIDOHHSP), to fulfill the data collection and tabulation for this Indicator.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In reporting the percent of preschoolers aged 3 through 5 who were functioning within age expectations in each outcome area by the time they turned 6 years of age or exited the program, the Virgin Islands reported 45 as the denominator in outcome A, 40 as the denominator in outcome B, and 45 as the denominator in outcome C. Additionally, the Virgin Islands reported 45 preschool children aged 3 through 5 with IEPs were assessed. The Virgin Islands explained the discrepancy.</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Virgin Islands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49"/>
      <w:bookmarkEnd w:id="50"/>
    </w:p>
    <w:p w14:paraId="66FBCA03" w14:textId="77777777" w:rsidR="00B654C1" w:rsidRPr="00781112" w:rsidRDefault="00B654C1" w:rsidP="00A018D4">
      <w:pPr>
        <w:rPr>
          <w:color w:val="000000" w:themeColor="text1"/>
          <w:szCs w:val="20"/>
        </w:rPr>
      </w:pPr>
      <w:bookmarkStart w:id="51"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2"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2"/>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51"/>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For FFY 2021(School Year 2021/22) the VIDE/SOSE continue to gather comprehensive stakeholder input on the performance and targets of the reconfigured Indicators into, Indicator Clusters (8, 11, and 12) stakeholder group members, to ensure that there is a repetitiveness across all indicators which includes and is not limited to parents/guardian of children receiving special education and related services, district and school administrators, school counselors, special and regular education teachers(preschool, elementary, junior and senior high), grade-level and content area specialist and outside linking agencies.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79.71%</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84.68%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84.66%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79.71%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2E7CCF">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2E7CCF">
            <w:pPr>
              <w:jc w:val="center"/>
              <w:rPr>
                <w:rFonts w:cs="Arial"/>
                <w:color w:val="000000" w:themeColor="text1"/>
                <w:szCs w:val="16"/>
              </w:rPr>
            </w:pPr>
            <w:r w:rsidRPr="00781112">
              <w:rPr>
                <w:rFonts w:cs="Arial"/>
                <w:color w:val="000000" w:themeColor="text1"/>
                <w:szCs w:val="16"/>
              </w:rPr>
              <w:t>77.00%</w:t>
            </w:r>
          </w:p>
        </w:tc>
        <w:tc>
          <w:tcPr>
            <w:tcW w:w="902" w:type="pct"/>
            <w:vAlign w:val="center"/>
          </w:tcPr>
          <w:p w14:paraId="01493DF6" w14:textId="39FAD961" w:rsidR="00B14519" w:rsidRPr="00781112" w:rsidRDefault="00B14519" w:rsidP="002E7CCF">
            <w:pPr>
              <w:spacing w:before="0" w:after="200" w:line="276" w:lineRule="auto"/>
              <w:jc w:val="center"/>
            </w:pPr>
            <w:r w:rsidRPr="00781112">
              <w:rPr>
                <w:color w:val="000000" w:themeColor="text1"/>
                <w:szCs w:val="16"/>
              </w:rPr>
              <w:t>77.50%</w:t>
            </w:r>
          </w:p>
        </w:tc>
        <w:tc>
          <w:tcPr>
            <w:tcW w:w="902" w:type="pct"/>
            <w:vAlign w:val="center"/>
          </w:tcPr>
          <w:p w14:paraId="71DAA89B" w14:textId="5FDD553A" w:rsidR="00B14519" w:rsidRPr="00781112" w:rsidRDefault="00B14519" w:rsidP="002E7CCF">
            <w:pPr>
              <w:spacing w:before="0" w:after="200" w:line="276" w:lineRule="auto"/>
              <w:jc w:val="center"/>
            </w:pPr>
            <w:r w:rsidRPr="00781112">
              <w:rPr>
                <w:color w:val="000000" w:themeColor="text1"/>
                <w:szCs w:val="16"/>
              </w:rPr>
              <w:t>78.00%</w:t>
            </w:r>
          </w:p>
        </w:tc>
        <w:tc>
          <w:tcPr>
            <w:tcW w:w="902" w:type="pct"/>
            <w:vAlign w:val="center"/>
          </w:tcPr>
          <w:p w14:paraId="6C8342E2" w14:textId="3FBC30A4" w:rsidR="00B14519" w:rsidRPr="00781112" w:rsidRDefault="00B14519" w:rsidP="002E7CCF">
            <w:pPr>
              <w:spacing w:before="0" w:after="200" w:line="276" w:lineRule="auto"/>
              <w:jc w:val="center"/>
            </w:pPr>
            <w:r w:rsidRPr="00781112">
              <w:rPr>
                <w:color w:val="000000" w:themeColor="text1"/>
                <w:szCs w:val="16"/>
              </w:rPr>
              <w:t>78.00%</w:t>
            </w:r>
          </w:p>
        </w:tc>
        <w:tc>
          <w:tcPr>
            <w:tcW w:w="902" w:type="pct"/>
            <w:vAlign w:val="center"/>
          </w:tcPr>
          <w:p w14:paraId="02A9D828" w14:textId="4D6EC210" w:rsidR="00B14519" w:rsidRPr="00781112" w:rsidRDefault="00B14519" w:rsidP="002E7CCF">
            <w:pPr>
              <w:spacing w:before="0" w:after="200" w:line="276" w:lineRule="auto"/>
              <w:jc w:val="center"/>
            </w:pPr>
            <w:r w:rsidRPr="00781112">
              <w:rPr>
                <w:color w:val="000000" w:themeColor="text1"/>
                <w:szCs w:val="16"/>
              </w:rPr>
              <w:t>78.50%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330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79.71%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78.76%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FFY 2021(School Year 2021/22) The VIDE/SOSE continued to utilize one survey instrument to collect data for children ages three (3) –five (5) (five-year-olds not in kindergarten) and six (6) through twenty-one (21)-including) (five-year-olds in kindergarten). The VIDE/SOSE generates a contact listing utilizing the State Student Management System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and EDPlan ), to ensure that the data is valid and reliable, for all parents/guardians of children receiving special education and related services that include each child’s age which is the determining factor to discern the specific related questions (e.g., a child that is three-years-old his/her parent will be asked those questions specifically for preschool and the same for school-aged children.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906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46.25%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46.25%</w:t>
            </w:r>
          </w:p>
        </w:tc>
      </w:tr>
      <w:bookmarkEnd w:id="5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For FFY 2021(School Year 2021/22) The VIDE/SOSE has not identified any specific group that has been underrepresented. The VIDE/SOSE has a response rate of 46.25% which represents the total number of parents/guardians of children with disabilities who responded to the survey. The VIDE/SOSE will work closely to increase the response rate. As such, the language is revised to “Although ECC attempts to contact every parent/guardian in the Territory who has a child with a disability, there are parents and families who, (a) refuse to respond to the survey, (b) cannot be reached by telephone, (c) moved, (d) failed to update telephone numbers; and (e) do not complete the survey or are unable to complete the survey." Moreover, the VIDE/SOSE will work closely with the District Offices of Special Education to UVI/ECC, and its Division of Public Relations to promote the collection of these data by using its public service campaigns.</w:t>
      </w:r>
      <w:r w:rsidRPr="0061205F">
        <w:rPr>
          <w:rFonts w:cs="Arial"/>
          <w:bCs/>
          <w:color w:val="000000" w:themeColor="text1"/>
          <w:szCs w:val="16"/>
        </w:rPr>
        <w:br/>
      </w:r>
      <w:r w:rsidRPr="0061205F">
        <w:rPr>
          <w:rFonts w:cs="Arial"/>
          <w:bCs/>
          <w:color w:val="000000" w:themeColor="text1"/>
          <w:szCs w:val="16"/>
        </w:rPr>
        <w:br/>
        <w:t>Additionally, the Virgin Islands activated the radio button to signify that the survey instrument is NOT</w:t>
      </w:r>
      <w:r w:rsidRPr="0061205F">
        <w:rPr>
          <w:rFonts w:cs="Arial"/>
          <w:bCs/>
          <w:color w:val="000000" w:themeColor="text1"/>
          <w:szCs w:val="16"/>
        </w:rPr>
        <w:br/>
        <w:t xml:space="preserve">NEW or REVISED. </w:t>
      </w:r>
      <w:r w:rsidRPr="0061205F">
        <w:rPr>
          <w:rFonts w:cs="Arial"/>
          <w:bCs/>
          <w:color w:val="000000" w:themeColor="text1"/>
          <w:szCs w:val="16"/>
        </w:rPr>
        <w:br/>
        <w:t xml:space="preserv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4" w:name="_Hlk81486999"/>
      <w:r w:rsidRPr="0061205F">
        <w:rPr>
          <w:rFonts w:cs="Arial"/>
          <w:b/>
          <w:color w:val="000000" w:themeColor="text1"/>
          <w:szCs w:val="16"/>
        </w:rPr>
        <w:t>of the response rate including any nonresponse bias that was identified,</w:t>
      </w:r>
      <w:bookmarkEnd w:id="5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Background information </w:t>
      </w:r>
      <w:r>
        <w:rPr>
          <w:rFonts w:cs="Arial"/>
          <w:szCs w:val="16"/>
        </w:rPr>
        <w:br/>
      </w:r>
      <w:r>
        <w:rPr>
          <w:rFonts w:cs="Arial"/>
          <w:szCs w:val="16"/>
        </w:rPr>
        <w:br/>
      </w:r>
      <w:r>
        <w:rPr>
          <w:rFonts w:cs="Arial"/>
          <w:szCs w:val="16"/>
        </w:rPr>
        <w:br/>
        <w:t xml:space="preserve">The University of the Virgin Islands (UVI), Eastern Caribbean Center (ECC) has conducted the VIDE’s parent satisfaction survey since the beginning of the State Performance Plan (SPP). </w:t>
      </w:r>
      <w:r>
        <w:rPr>
          <w:rFonts w:cs="Arial"/>
          <w:szCs w:val="16"/>
        </w:rPr>
        <w:br/>
        <w:t xml:space="preserve">The VIDE procured services and </w:t>
      </w:r>
      <w:proofErr w:type="gramStart"/>
      <w:r>
        <w:rPr>
          <w:rFonts w:cs="Arial"/>
          <w:szCs w:val="16"/>
        </w:rPr>
        <w:t>entered into</w:t>
      </w:r>
      <w:proofErr w:type="gramEnd"/>
      <w:r>
        <w:rPr>
          <w:rFonts w:cs="Arial"/>
          <w:szCs w:val="16"/>
        </w:rPr>
        <w:t xml:space="preserve"> its ninth (9th) Memorandum of Understanding (MOU) with the ECC to perform the FFY 2020, parental satisfaction survey. Moreover, the VIDE/SOSE has maintained the services of the University of the Virgin Islands, Eastern Caribbean Center (UVI/ECC) for the quality and expertise demonstrated throughout the years. As such, the VIDE entered into a Memorandum of Understanding (MOU) with the University of the Virgin Islands, Eastern Caribbean Center (UVI/ECC) to conduct telephonic surveys for the collection analysis and generation and public reporting of the results of Indicator 8 “Percent of parents with a child receiving special education services who report that schools facilitated parent involvement as a means of improving services and results for children with disabilities”. </w:t>
      </w:r>
      <w:r>
        <w:rPr>
          <w:rFonts w:cs="Arial"/>
          <w:szCs w:val="16"/>
        </w:rPr>
        <w:br/>
      </w:r>
      <w:r>
        <w:rPr>
          <w:rFonts w:cs="Arial"/>
          <w:szCs w:val="16"/>
        </w:rPr>
        <w:br/>
        <w:t xml:space="preserve">Process/Procedures/Methods </w:t>
      </w:r>
      <w:r>
        <w:rPr>
          <w:rFonts w:cs="Arial"/>
          <w:szCs w:val="16"/>
        </w:rPr>
        <w:br/>
        <w:t xml:space="preserve">Each parent of a child, ages three (3) through five (5) and ages six (6) through twenty-one (21), is called and encouraged to respond to the survey. Although ECC attempts to contact every parent/guardian in the Territory who has a child with a disability, there are parents and families who, (a) refuse to respond to the survey, (b) cannot be reached by telephone, (c) moved, (d) failed to update telephone numbers; and (e) do not complete the survey or are unable to complete the survey. For FFY 2018, as in the past, the parents who responded to the survey are representative of the racial, ethnic, and socioeconomic groups that make up the United States Virgin Islands. </w:t>
      </w:r>
      <w:r>
        <w:rPr>
          <w:rFonts w:cs="Arial"/>
          <w:szCs w:val="16"/>
        </w:rPr>
        <w:br/>
      </w:r>
      <w:r>
        <w:rPr>
          <w:rFonts w:cs="Arial"/>
          <w:szCs w:val="16"/>
        </w:rPr>
        <w:br/>
        <w:t xml:space="preserve">Composition </w:t>
      </w:r>
      <w:r>
        <w:rPr>
          <w:rFonts w:cs="Arial"/>
          <w:szCs w:val="16"/>
        </w:rPr>
        <w:br/>
        <w:t>Every parent/guardian of a preschool child, aged three (3) through five (5) and aged school-aged child aged six (6) through twenty-one (21) is contacted via telephonic contact and is encouraged to respond to the survey. In essence, for FFY 2021, as in previous Federal Fiscal reporting years, the parents surveyed and responded are representative of the demographic of children receiving special education and related services in the United States Virgin Islands.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5" w:name="_Hlk112070690"/>
      <w:bookmarkStart w:id="56"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5"/>
    <w:bookmarkEnd w:id="56"/>
    <w:p w14:paraId="513A1FE6" w14:textId="77777777" w:rsidR="00090132" w:rsidRDefault="00090132" w:rsidP="006F6351">
      <w:pPr>
        <w:rPr>
          <w:b/>
          <w:bCs/>
        </w:rPr>
      </w:pPr>
      <w:r w:rsidRPr="000A2B9F">
        <w:rPr>
          <w:bCs/>
          <w:color w:val="000000" w:themeColor="text1"/>
        </w:rPr>
        <w:t xml:space="preserve">For FFY 2021(School Year 2021/22), the VIDE/SOSE’s analysis revealed that the demographics of the parents responding are representative of the demographics of children and youth receiving special education services in the United States Virgin Islands.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VIDE/SOSE clarification to OSEP response</w:t>
      </w:r>
      <w:r w:rsidRPr="00781112">
        <w:rPr>
          <w:rFonts w:cs="Arial"/>
          <w:color w:val="000000" w:themeColor="text1"/>
          <w:szCs w:val="16"/>
        </w:rPr>
        <w:br/>
      </w:r>
      <w:r w:rsidRPr="00781112">
        <w:rPr>
          <w:rFonts w:cs="Arial"/>
          <w:color w:val="000000" w:themeColor="text1"/>
          <w:szCs w:val="16"/>
        </w:rPr>
        <w:br/>
        <w:t xml:space="preserve">The VIDE/SOSE has a response rate of 46.25% which represents the total </w:t>
      </w:r>
      <w:r w:rsidRPr="00781112">
        <w:rPr>
          <w:rFonts w:cs="Arial"/>
          <w:color w:val="000000" w:themeColor="text1"/>
          <w:szCs w:val="16"/>
        </w:rPr>
        <w:br/>
        <w:t xml:space="preserve">number of parents/guardians of children with disabilities who responded to the survey. The VIDE/SOSE will </w:t>
      </w:r>
      <w:r w:rsidRPr="00781112">
        <w:rPr>
          <w:rFonts w:cs="Arial"/>
          <w:color w:val="000000" w:themeColor="text1"/>
          <w:szCs w:val="16"/>
        </w:rPr>
        <w:br/>
        <w:t xml:space="preserve">work closely to increase the response rate.  As such, the language is revised to “Although ECC attempts to </w:t>
      </w:r>
      <w:r w:rsidRPr="00781112">
        <w:rPr>
          <w:rFonts w:cs="Arial"/>
          <w:color w:val="000000" w:themeColor="text1"/>
          <w:szCs w:val="16"/>
        </w:rPr>
        <w:br/>
        <w:t xml:space="preserve">contact every parent/guardian in the Territory who has a child with a disability, there are parents and </w:t>
      </w:r>
      <w:r w:rsidRPr="00781112">
        <w:rPr>
          <w:rFonts w:cs="Arial"/>
          <w:color w:val="000000" w:themeColor="text1"/>
          <w:szCs w:val="16"/>
        </w:rPr>
        <w:br/>
        <w:t xml:space="preserve">families who, (a) refuse to respond to the survey, (b) cannot be reached by telephone, (c) moved, (d) failed </w:t>
      </w:r>
      <w:r w:rsidRPr="00781112">
        <w:rPr>
          <w:rFonts w:cs="Arial"/>
          <w:color w:val="000000" w:themeColor="text1"/>
          <w:szCs w:val="16"/>
        </w:rPr>
        <w:br/>
        <w:t xml:space="preserve">to update telephone numbers; and (e) do not complete the survey or are unable to complete the survey." </w:t>
      </w:r>
      <w:r w:rsidRPr="00781112">
        <w:rPr>
          <w:rFonts w:cs="Arial"/>
          <w:color w:val="000000" w:themeColor="text1"/>
          <w:szCs w:val="16"/>
        </w:rPr>
        <w:br/>
        <w:t xml:space="preserve">Moreover, the VIDE/SOSE will work closely with the district offices of Special Education to UVI/ECC, and </w:t>
      </w:r>
      <w:r w:rsidRPr="00781112">
        <w:rPr>
          <w:rFonts w:cs="Arial"/>
          <w:color w:val="000000" w:themeColor="text1"/>
          <w:szCs w:val="16"/>
        </w:rPr>
        <w:br/>
        <w:t>its public relations division to promote the collection of these data by using its public service campaigns.</w:t>
      </w:r>
      <w:r w:rsidRPr="00781112">
        <w:rPr>
          <w:rFonts w:cs="Arial"/>
          <w:color w:val="000000" w:themeColor="text1"/>
          <w:szCs w:val="16"/>
        </w:rPr>
        <w:br/>
      </w:r>
      <w:r w:rsidRPr="00781112">
        <w:rPr>
          <w:rFonts w:cs="Arial"/>
          <w:color w:val="000000" w:themeColor="text1"/>
          <w:szCs w:val="16"/>
        </w:rPr>
        <w:br/>
        <w:t>Additionally, the Virgin Islands activated the radio button to signify that the survey instrument is NOT</w:t>
      </w:r>
      <w:r w:rsidRPr="00781112">
        <w:rPr>
          <w:rFonts w:cs="Arial"/>
          <w:color w:val="000000" w:themeColor="text1"/>
          <w:szCs w:val="16"/>
        </w:rPr>
        <w:br/>
        <w:t xml:space="preserve">NEW or REVISED.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Background information </w:t>
      </w:r>
      <w:r w:rsidRPr="00781112">
        <w:rPr>
          <w:rFonts w:cs="Arial"/>
          <w:color w:val="000000" w:themeColor="text1"/>
          <w:szCs w:val="16"/>
        </w:rPr>
        <w:br/>
      </w:r>
      <w:r w:rsidRPr="00781112">
        <w:rPr>
          <w:rFonts w:cs="Arial"/>
          <w:color w:val="000000" w:themeColor="text1"/>
          <w:szCs w:val="16"/>
        </w:rPr>
        <w:br/>
        <w:t xml:space="preserve">The University of the Virgin Islands (UVI), Eastern Caribbean Center (ECC) has conducted the VIDE’s parent satisfaction survey since the beginning of the State Performance Plan (SPP). The VIDE procured services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its ninth (9th) Memorandum of Understanding (MOU) with the ECC to perform the FFY 2021 (School Year 2021/22), parental satisfaction survey. Moreover, the VIDE/SOSE has maintained the services of the University of the Virgin Islands, Eastern Caribbean Center (UVI/ECC) for the quality and expertise demonstrated throughout the years. As such, the VIDE entered into a Memorandum of Understanding (MOU) with the University of the Virgin Islands, Eastern Caribbean Center (UVI/ECC) to conduct telephonic surveys for the collection analysis and generation and public reporting of the results of Indicator 8 “Percent of parents with a child receiving special education services who report that schools facilitated parent involvement as a means of improving services and results for children with disabilities”. </w:t>
      </w:r>
      <w:r w:rsidRPr="00781112">
        <w:rPr>
          <w:rFonts w:cs="Arial"/>
          <w:color w:val="000000" w:themeColor="text1"/>
          <w:szCs w:val="16"/>
        </w:rPr>
        <w:br/>
      </w:r>
      <w:r w:rsidRPr="00781112">
        <w:rPr>
          <w:rFonts w:cs="Arial"/>
          <w:color w:val="000000" w:themeColor="text1"/>
          <w:szCs w:val="16"/>
        </w:rPr>
        <w:br/>
        <w:t xml:space="preserve">Process/Procedures/Methods </w:t>
      </w:r>
      <w:r w:rsidRPr="00781112">
        <w:rPr>
          <w:rFonts w:cs="Arial"/>
          <w:color w:val="000000" w:themeColor="text1"/>
          <w:szCs w:val="16"/>
        </w:rPr>
        <w:br/>
      </w:r>
      <w:r w:rsidRPr="00781112">
        <w:rPr>
          <w:rFonts w:cs="Arial"/>
          <w:color w:val="000000" w:themeColor="text1"/>
          <w:szCs w:val="16"/>
        </w:rPr>
        <w:br/>
        <w:t xml:space="preserve">Each parent of a child, ages three (3) through five (5) and ages six (6) through twenty-one (21), is called and encouraged to respond to the survey. Although ECC contacts every parent/guardian in the Territory who has a child with a disability, there are parents and families who, (a) refuse to respond to the survey, (b) cannot be reached by telephone, (c) moved, (d) failed to update telephone numbers; and (e) do not complete the survey or are unable to complete the survey. For FFY 2021 (School Year 2021/22), as in the receiving special education and related services in the United States Virgin Islands as in past FYYs, the parents who responded to the survey are representative of the demographic of children and youth racial, </w:t>
      </w:r>
      <w:proofErr w:type="gramStart"/>
      <w:r w:rsidRPr="00781112">
        <w:rPr>
          <w:rFonts w:cs="Arial"/>
          <w:color w:val="000000" w:themeColor="text1"/>
          <w:szCs w:val="16"/>
        </w:rPr>
        <w:t>ethnic</w:t>
      </w:r>
      <w:proofErr w:type="gramEnd"/>
      <w:r w:rsidRPr="00781112">
        <w:rPr>
          <w:rFonts w:cs="Arial"/>
          <w:color w:val="000000" w:themeColor="text1"/>
          <w:szCs w:val="16"/>
        </w:rPr>
        <w:t xml:space="preserve"> and socioeconomic groups that make up the United States Virgin Islands. </w:t>
      </w:r>
      <w:r w:rsidRPr="00781112">
        <w:rPr>
          <w:rFonts w:cs="Arial"/>
          <w:color w:val="000000" w:themeColor="text1"/>
          <w:szCs w:val="16"/>
        </w:rPr>
        <w:br/>
      </w:r>
      <w:r w:rsidRPr="00781112">
        <w:rPr>
          <w:rFonts w:cs="Arial"/>
          <w:color w:val="000000" w:themeColor="text1"/>
          <w:szCs w:val="16"/>
        </w:rPr>
        <w:br/>
        <w:t xml:space="preserve">The survey is conducted using strict standards that require the interviewer to make calls at varying times of the day, including calls during daytime hours, evening hours, weekends, and holidays. Each interviewer has a script, which is rehearsed several times during training, with each person at the training taking turns both conducting and responding to the survey. This is done to ensure that all survey takers are reading the script accurately and fluently. In addition, there are a prescribed number of attempts that must be made before the parent or guardian is considered a “non-responder.” No less than ten (10) attempts must be made on various days and at different times, before survey takers may consider a parent or guardian a “non-responder.” Telephone calls are made in this way to maximize the chances of reaching parents and guardians. This ensures all parents of children receiving special education and related services are contacted, which eliminates any chance of nonresponse biases. </w:t>
      </w:r>
      <w:r w:rsidRPr="00781112">
        <w:rPr>
          <w:rFonts w:cs="Arial"/>
          <w:color w:val="000000" w:themeColor="text1"/>
          <w:szCs w:val="16"/>
        </w:rPr>
        <w:br/>
      </w:r>
      <w:r w:rsidRPr="00781112">
        <w:rPr>
          <w:rFonts w:cs="Arial"/>
          <w:color w:val="000000" w:themeColor="text1"/>
          <w:szCs w:val="16"/>
        </w:rPr>
        <w:br/>
        <w:t xml:space="preserve">Each parent of a child, ages three (3) through five (5) and ages six (6) through twenty-one (21), is called and encouraged to respond to the survey. Although ECC contacts every parent/guardian in the Territory who has a child with a disability, there are parents and families who, (a) refuse to respond to the survey, (b) cannot be reached by telephone, (c) moved, (d) failed to update telephone numbers, and (e) do not complete the survey or are unable to complete the survey. </w:t>
      </w:r>
      <w:r w:rsidRPr="00781112">
        <w:rPr>
          <w:rFonts w:cs="Arial"/>
          <w:color w:val="000000" w:themeColor="text1"/>
          <w:szCs w:val="16"/>
        </w:rPr>
        <w:br/>
      </w:r>
      <w:r w:rsidRPr="00781112">
        <w:rPr>
          <w:rFonts w:cs="Arial"/>
          <w:color w:val="000000" w:themeColor="text1"/>
          <w:szCs w:val="16"/>
        </w:rPr>
        <w:br/>
        <w:t>For FFY 2021(School Year 2021-22) The VIDE/SOSE has not identified any specific group that has been underrepresented.</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Virgin Islands did not report the response </w:t>
      </w:r>
      <w:proofErr w:type="gramStart"/>
      <w:r w:rsidRPr="00781112">
        <w:rPr>
          <w:rFonts w:cs="Arial"/>
          <w:color w:val="000000" w:themeColor="text1"/>
          <w:szCs w:val="16"/>
        </w:rPr>
        <w:t>rate</w:t>
      </w:r>
      <w:proofErr w:type="gramEnd"/>
      <w:r w:rsidRPr="00781112">
        <w:rPr>
          <w:rFonts w:cs="Arial"/>
          <w:color w:val="000000" w:themeColor="text1"/>
          <w:szCs w:val="16"/>
        </w:rPr>
        <w:t xml:space="preserve"> or the metric used to determine representativeness. In the FFY 2021 SPP/APR,  Virgin Islands must report the information, as required by the Measurement Table.</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To meet the requirements and to address the required actions, the VIDE/SOSE reconvened its stakeholders for this indicator to review the data for FFY 2020. The stakeholders for this cluster were tasked with an analysis of the FFY 2020 data and identifying the response rate, representativeness of the demographic of responders, and metric used in the calculations of representativeness for responders as required by OSEP in its FFY 2020 required actions. The analysis of the FFY 2020 data determined that 100% of target responders responded to the survey. The Stakeholders further disaggregated the data to determine the rate of representativeness and this analysis looked at the aggregate numbers of children in each disability category, race/ethnicity, and gender of all children with disabilities. The analysis compared the rate of responders for each of the approved categories for representativeness. The category of respondents in the disability categories of Specific Learning Disability, Autism, Developmental Delayed, Intellectual Disability, Speech or Language Impairment, and Other Health Impairments were all analyzed for representativeness using a differentiated ratio of over/under-representation. All other disability categories with less than thirty (30) were extracted from the analysis. In the category of race/ethnicity, the analysis captured that the total percent of responders in the approved disability categories were in the Black/African American (not Hispanic). Further analysis showed that all the other ethnic categories as approved by stakeholders responded to the survey. The analysis for the gender of all responders in the approved disability categories all targeted responders responded to the survey. Based on the analysis of all the responders in the approved disability categories, race/ethnicity, and gender, the responders to the demographic of children for whom parents responded and are representative of the demographic of children receiving special education services in the United States Virgin Islands.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Virgin Islands revised its targets for FFY 2021 through 2025 for this indicator. However, OSEP cannot accept those targets because the Virgin Islands did not describe its stakeholder input process for revising its targets, as required by the FFY 2021 Part B SPP/APR General Instructions.</w:t>
      </w:r>
      <w:r w:rsidRPr="00781112">
        <w:rPr>
          <w:rFonts w:cs="Arial"/>
          <w:color w:val="000000" w:themeColor="text1"/>
          <w:szCs w:val="16"/>
        </w:rPr>
        <w:br/>
      </w:r>
      <w:r w:rsidRPr="00781112">
        <w:rPr>
          <w:rFonts w:cs="Arial"/>
          <w:color w:val="000000" w:themeColor="text1"/>
          <w:szCs w:val="16"/>
        </w:rPr>
        <w:br/>
        <w:t xml:space="preserve">The Virgin Islands did not include a description of the demographic categories used in its analysis to determine whether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The Virgin Islands did not describe the metric used to determine representativeness,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The Virgin Islands did not provide targets. The Virgin Islands must provide the required targets through FFY 2025 in the FFY 2022 SPP/APR, including a description of the stakeholder input process for revising its targets.</w:t>
      </w:r>
      <w:r w:rsidRPr="00781112">
        <w:rPr>
          <w:rFonts w:cs="Arial"/>
          <w:color w:val="000000" w:themeColor="text1"/>
          <w:szCs w:val="16"/>
        </w:rPr>
        <w:br/>
      </w:r>
      <w:r w:rsidRPr="00781112">
        <w:rPr>
          <w:rFonts w:cs="Arial"/>
          <w:color w:val="000000" w:themeColor="text1"/>
          <w:szCs w:val="16"/>
        </w:rPr>
        <w:br/>
        <w:t>In the FFY 2022 SPP/APR, the Virgin Islands must report the demographic categories used in its analysis to determine whether the demographics of the parents responding are representative of the demographics of children receiving special education services. In addition, the Virgin Islands must report the metric used to determine representativeness.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57" w:name="_Toc384383343"/>
      <w:bookmarkStart w:id="5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9" w:name="_Toc384383344"/>
      <w:bookmarkStart w:id="60" w:name="_Toc392159312"/>
      <w:bookmarkEnd w:id="57"/>
      <w:bookmarkEnd w:id="5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9"/>
      <w:bookmarkEnd w:id="60"/>
    </w:tbl>
    <w:p w14:paraId="153DAAD9" w14:textId="77777777" w:rsidR="002E7CCF" w:rsidRDefault="002E7CCF">
      <w:pPr>
        <w:rPr>
          <w:b/>
          <w:color w:val="000000" w:themeColor="text1"/>
        </w:rPr>
      </w:pPr>
    </w:p>
    <w:p w14:paraId="3A7A9D9B" w14:textId="77777777" w:rsidR="002E7CCF" w:rsidRDefault="002E7CCF">
      <w:pPr>
        <w:spacing w:before="0" w:after="200" w:line="276" w:lineRule="auto"/>
        <w:rPr>
          <w:b/>
          <w:color w:val="000000" w:themeColor="text1"/>
        </w:rPr>
      </w:pPr>
      <w:r>
        <w:rPr>
          <w:b/>
          <w:color w:val="000000" w:themeColor="text1"/>
        </w:rPr>
        <w:br w:type="page"/>
      </w:r>
    </w:p>
    <w:p w14:paraId="77101B89" w14:textId="79CFF86E"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61" w:name="_Hlk494459610"/>
      <w:r w:rsidRPr="00781112">
        <w:rPr>
          <w:rFonts w:cs="Arial"/>
          <w:color w:val="000000" w:themeColor="text1"/>
          <w:szCs w:val="16"/>
        </w:rPr>
        <w:t>The VIDE/SOSE defines disproportionate representation using a relative difference in composition calculation, comparing children with disabilities in racial/ethnic groups to the population of children without disabilities in that same district. The population examined is for any student identified as eligible for special education in each race or ethnic group. Data of one school year (2021-2022) is aggregated in all racial/ethnic groups for all children aged 5 who are in kindergarten in addition to children aged 6 through 21 who are served under IDEA.</w:t>
      </w:r>
      <w:r w:rsidRPr="00781112">
        <w:rPr>
          <w:rFonts w:cs="Arial"/>
          <w:color w:val="000000" w:themeColor="text1"/>
          <w:szCs w:val="16"/>
        </w:rPr>
        <w:br/>
      </w:r>
      <w:r w:rsidRPr="00781112">
        <w:rPr>
          <w:rFonts w:cs="Arial"/>
          <w:color w:val="000000" w:themeColor="text1"/>
          <w:szCs w:val="16"/>
        </w:rPr>
        <w:br/>
        <w:t>DATA SOURCE</w:t>
      </w:r>
      <w:r w:rsidRPr="00781112">
        <w:rPr>
          <w:rFonts w:cs="Arial"/>
          <w:color w:val="000000" w:themeColor="text1"/>
          <w:szCs w:val="16"/>
        </w:rPr>
        <w:br/>
      </w:r>
      <w:r w:rsidRPr="00781112">
        <w:rPr>
          <w:rFonts w:cs="Arial"/>
          <w:color w:val="000000" w:themeColor="text1"/>
          <w:szCs w:val="16"/>
        </w:rPr>
        <w:br/>
        <w:t xml:space="preserve">The data sources for this Indicator is Public School Student enrollment data for All Students by Race and Ethnicity dated September 30, 2021 from PRE, and data collected under IDEA Section 618 – Child Count dated December 1, 2021 (Report of Children with Disabilities Receiving Special Education Under Part B of the Individuals with Disabilities Education Act, as Amended 2004). </w:t>
      </w:r>
      <w:r w:rsidRPr="00781112">
        <w:rPr>
          <w:rFonts w:cs="Arial"/>
          <w:color w:val="000000" w:themeColor="text1"/>
          <w:szCs w:val="16"/>
        </w:rPr>
        <w:br/>
      </w:r>
      <w:r w:rsidRPr="00781112">
        <w:rPr>
          <w:rFonts w:cs="Arial"/>
          <w:color w:val="000000" w:themeColor="text1"/>
          <w:szCs w:val="16"/>
        </w:rPr>
        <w:br/>
        <w:t xml:space="preserve">The 618 Child Count data are collected via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the VIDE/SOSE Special Education Data Management System and reported to the United States Department of Education (USDOE), Office of Special Education Programs (OSEP) via the EDFacts online electronic reporting system. Public School Student Enrollment data from the Division of Planning Research Evaluation (PRE) captured on September 30, 2021 and Special Education data captured on the December 1, 2021 Annual Child Count, were used in determining whether or not the two districts (District 1: St. Thomas/St. John) and (District 2: St. Croix) were identified with disproportionate representation of racial and ethnic groups in special education and related services that is the result of inappropriate identification. </w:t>
      </w:r>
      <w:r w:rsidRPr="00781112">
        <w:rPr>
          <w:rFonts w:cs="Arial"/>
          <w:color w:val="000000" w:themeColor="text1"/>
          <w:szCs w:val="16"/>
        </w:rPr>
        <w:br/>
      </w:r>
      <w:r w:rsidRPr="00781112">
        <w:rPr>
          <w:rFonts w:cs="Arial"/>
          <w:color w:val="000000" w:themeColor="text1"/>
          <w:szCs w:val="16"/>
        </w:rPr>
        <w:br/>
        <w:t>Disproportionate Representation is present in any district where the relative difference in composition for any race or ethnic group in comparison to the total population of non-disabled students in that same district is 20% or more. The VIDE/SOSE uses a minimum “n “ of 10, which means that there must be at least 10 students in that specific racial and ethnic group.</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r>
      <w:r w:rsidRPr="00781112">
        <w:rPr>
          <w:rFonts w:cs="Arial"/>
          <w:color w:val="000000" w:themeColor="text1"/>
          <w:szCs w:val="16"/>
        </w:rPr>
        <w:br/>
        <w:t>The methodology for determining disproportionate representation is 1) the percent of students by race who are enrolled in the district; 2) compare those percentages to the percent of students of each race or ethnicity that is identified for special education; and 3) indicate that if the identification of any race or ethnicity for special education is greater than 20% of that race or ethnic groups representation in the enrollment. If that race or ethnic group is greater than 20%, then that race is identified as having disproportionate representation.</w:t>
      </w:r>
      <w:r w:rsidRPr="00781112">
        <w:rPr>
          <w:rFonts w:cs="Arial"/>
          <w:color w:val="000000" w:themeColor="text1"/>
          <w:szCs w:val="16"/>
        </w:rPr>
        <w:br/>
      </w:r>
      <w:r w:rsidRPr="00781112">
        <w:rPr>
          <w:rFonts w:cs="Arial"/>
          <w:color w:val="000000" w:themeColor="text1"/>
          <w:szCs w:val="16"/>
        </w:rPr>
        <w:br/>
        <w:t>The Relative differences in racial/ethnic composition comparison:</w:t>
      </w:r>
      <w:r w:rsidRPr="00781112">
        <w:rPr>
          <w:rFonts w:cs="Arial"/>
          <w:color w:val="000000" w:themeColor="text1"/>
          <w:szCs w:val="16"/>
        </w:rPr>
        <w:br/>
      </w:r>
      <w:r w:rsidRPr="00781112">
        <w:rPr>
          <w:rFonts w:cs="Arial"/>
          <w:color w:val="000000" w:themeColor="text1"/>
          <w:szCs w:val="16"/>
        </w:rPr>
        <w:br/>
        <w:t>A= Number of children in disability category from a racial/ethnic group ÷ Total # of children in the district in that particular disability category x 100 = %</w:t>
      </w:r>
      <w:r w:rsidRPr="00781112">
        <w:rPr>
          <w:rFonts w:cs="Arial"/>
          <w:color w:val="000000" w:themeColor="text1"/>
          <w:szCs w:val="16"/>
        </w:rPr>
        <w:br/>
        <w:t xml:space="preserve">B= Number of students from a racial/ethnic group enrolled in district ÷ Total number of all students enrolled in district x 100 = %. </w:t>
      </w:r>
      <w:r w:rsidRPr="00781112">
        <w:rPr>
          <w:rFonts w:cs="Arial"/>
          <w:color w:val="000000" w:themeColor="text1"/>
          <w:szCs w:val="16"/>
        </w:rPr>
        <w:br/>
      </w:r>
      <w:r w:rsidRPr="00781112">
        <w:rPr>
          <w:rFonts w:cs="Arial"/>
          <w:color w:val="000000" w:themeColor="text1"/>
          <w:szCs w:val="16"/>
        </w:rPr>
        <w:br/>
        <w:t xml:space="preserve">Disproportionate Representation (Overrepresentation) = Relative difference in composition exceeds 20%. </w:t>
      </w:r>
      <w:r w:rsidRPr="00781112">
        <w:rPr>
          <w:rFonts w:cs="Arial"/>
          <w:color w:val="000000" w:themeColor="text1"/>
          <w:szCs w:val="16"/>
        </w:rPr>
        <w:br/>
      </w:r>
      <w:r w:rsidRPr="00781112">
        <w:rPr>
          <w:rFonts w:cs="Arial"/>
          <w:color w:val="000000" w:themeColor="text1"/>
          <w:szCs w:val="16"/>
        </w:rPr>
        <w:br/>
        <w:t xml:space="preserve">Note: Calculations are completed for only those disability eligibility categories and racial/ethnic categories that meet the minimum “n” size of 10. </w:t>
      </w:r>
    </w:p>
    <w:bookmarkEnd w:id="61"/>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br/>
        <w:t xml:space="preserve">Utilizing the Child Count data and the approved methodology, the State determined that District 1 (St. Thomas/St. John) meets the minimum “n” of 10 children/students with disabilities receiving special education and related services for African American/Black students, White </w:t>
      </w:r>
      <w:proofErr w:type="gramStart"/>
      <w:r w:rsidRPr="00781112">
        <w:rPr>
          <w:rFonts w:cs="Arial"/>
          <w:color w:val="000000" w:themeColor="text1"/>
          <w:szCs w:val="16"/>
        </w:rPr>
        <w:t>students</w:t>
      </w:r>
      <w:proofErr w:type="gramEnd"/>
      <w:r w:rsidRPr="00781112">
        <w:rPr>
          <w:rFonts w:cs="Arial"/>
          <w:color w:val="000000" w:themeColor="text1"/>
          <w:szCs w:val="16"/>
        </w:rPr>
        <w:t xml:space="preserve"> and Hispanic/Latino students. The only racial/ethnic group with a relative difference that exceeded the 20% threshold were White children/students when compared with all non-disabled students enrolled in the St. Thomas/St. John district.</w:t>
      </w:r>
      <w:r w:rsidRPr="00781112">
        <w:rPr>
          <w:rFonts w:cs="Arial"/>
          <w:color w:val="000000" w:themeColor="text1"/>
          <w:szCs w:val="16"/>
        </w:rPr>
        <w:br/>
      </w:r>
      <w:r w:rsidRPr="00781112">
        <w:rPr>
          <w:rFonts w:cs="Arial"/>
          <w:color w:val="000000" w:themeColor="text1"/>
          <w:szCs w:val="16"/>
        </w:rPr>
        <w:br/>
        <w:t xml:space="preserve">For exceeding the 20% threshold for White children/students, District 1 (St. Thomas/St. John) was required to complete the Facilitated Self-Analysis that addresses the following areas: Curriculum and Instruction/General Education Interventions; Child Find; Referral for Evaluation; Evaluation; Eligibility and Placement; and Procedural Safeguards. Following receipt of the District’s analysis, the State reviewed the District’s responses to ensure that the District was compliant with IDEA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in each of the areas addressed. After careful review, the State concurred with the District’s assessment that the over representation of White children/students was not due to inappropriate identification nor noncompliance with IDEA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w:t>
      </w:r>
      <w:r w:rsidRPr="00781112">
        <w:rPr>
          <w:rFonts w:cs="Arial"/>
          <w:color w:val="000000" w:themeColor="text1"/>
          <w:szCs w:val="16"/>
        </w:rPr>
        <w:br/>
      </w:r>
      <w:r w:rsidRPr="00781112">
        <w:rPr>
          <w:rFonts w:cs="Arial"/>
          <w:color w:val="000000" w:themeColor="text1"/>
          <w:szCs w:val="16"/>
        </w:rPr>
        <w:br/>
        <w:t xml:space="preserve">District 2 (St. Croix). The State has determined that District 2 meets the minimum “n” of 10 children with disabilities receiving special education and related services in the following racial/ethnic </w:t>
      </w:r>
      <w:proofErr w:type="gramStart"/>
      <w:r w:rsidRPr="00781112">
        <w:rPr>
          <w:rFonts w:cs="Arial"/>
          <w:color w:val="000000" w:themeColor="text1"/>
          <w:szCs w:val="16"/>
        </w:rPr>
        <w:t>categories;</w:t>
      </w:r>
      <w:proofErr w:type="gramEnd"/>
      <w:r w:rsidRPr="00781112">
        <w:rPr>
          <w:rFonts w:cs="Arial"/>
          <w:color w:val="000000" w:themeColor="text1"/>
          <w:szCs w:val="16"/>
        </w:rPr>
        <w:t xml:space="preserve"> African American/Black, More than one Race (Multi-Race), Hispanic/Latino and White. The racial/ethnic groups with a relative difference that exceeded the 20% threshold were White students, and Two or More (Multi-Race). Based on the calculation for determining disproportionate representation of racial and ethnic groups in special education and related services that may be the result of inappropriate identification, the St. Croix district was required to complete the Facilitated Self-Analysis (FSA) that addresses the following areas: Curriculum and Instruction/General Education Interventions; Child Find; Referral for Evaluation; Evaluation; Eligibility and Placement; and Procedural Safeguards. Subsequently, the State reviewed the St. Croix District’s responses on the FSA and determined that the District is compliant with IDEA relative to policies, practices, and procedures in each of the areas addressed.</w:t>
      </w:r>
    </w:p>
    <w:p w14:paraId="3B71A72A" w14:textId="77777777" w:rsidR="00DF1529" w:rsidRPr="00781112" w:rsidRDefault="00DF1529" w:rsidP="00DF1529">
      <w:pPr>
        <w:rPr>
          <w:rFonts w:cs="Arial"/>
          <w:b/>
          <w:color w:val="000000" w:themeColor="text1"/>
          <w:szCs w:val="16"/>
        </w:rPr>
      </w:pPr>
      <w:bookmarkStart w:id="62" w:name="_Toc381956337"/>
      <w:bookmarkStart w:id="63" w:name="_Toc384383347"/>
      <w:bookmarkStart w:id="64"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Based on the calculation for determining disproportionate representation of racial and ethnic groups in special education and related services that may </w:t>
      </w:r>
      <w:proofErr w:type="spellStart"/>
      <w:r w:rsidRPr="00781112">
        <w:rPr>
          <w:rFonts w:cs="Arial"/>
          <w:color w:val="000000" w:themeColor="text1"/>
          <w:szCs w:val="16"/>
        </w:rPr>
        <w:t>beg</w:t>
      </w:r>
      <w:proofErr w:type="spellEnd"/>
      <w:r w:rsidRPr="00781112">
        <w:rPr>
          <w:rFonts w:cs="Arial"/>
          <w:color w:val="000000" w:themeColor="text1"/>
          <w:szCs w:val="16"/>
        </w:rPr>
        <w:t xml:space="preserve"> the result of inappropriate identification, both districts were required to complete the Facilitated Self Analysis (FSA) that addresses the following areas: Curriculum and Instruction/General Education Interventions; Child Find; Referral for Evaluation; Evaluation; Eligibility and Placement; and Procedural Safeguards. Subsequently, the State reviewed the District’s’ responses to the FSA and determined that District 1 and District 2 are compliant with IDEA relative to policies, practices, and procedures in each of the areas addressed.</w:t>
      </w:r>
      <w:r w:rsidRPr="00781112">
        <w:rPr>
          <w:rFonts w:cs="Arial"/>
          <w:color w:val="000000" w:themeColor="text1"/>
          <w:szCs w:val="16"/>
        </w:rPr>
        <w:br/>
      </w:r>
      <w:r w:rsidRPr="00781112">
        <w:rPr>
          <w:rFonts w:cs="Arial"/>
          <w:color w:val="000000" w:themeColor="text1"/>
          <w:szCs w:val="16"/>
        </w:rPr>
        <w:br/>
        <w:t>In addition to the Facilitated Self Analysis, the VIDE/SOSE Compliance Unit conducted a desk audit of student files, using the Student Management System to verify that the files contained evidence that the disproportionate representation identified is not a result of inappropriate identification in the specific racial/ethnic categories.</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Virgin Islands did not revise its baseline using FFY 2020 data, as required due to a change in the Measurement Table. Virgin Islands must revise its baseline, using FFY 2020 data, in the FFY 2021 SPP/APR. </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The VIDE/SOSE revised its baseline using the FFY 2020 data as required by OSEP.</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Virgin Island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62"/>
      <w:bookmarkEnd w:id="63"/>
      <w:bookmarkEnd w:id="64"/>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65" w:name="_Toc384383348"/>
      <w:bookmarkStart w:id="66"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0BA7BB0" w14:textId="77777777" w:rsidR="002E7CCF" w:rsidRPr="00781112" w:rsidRDefault="002E7CCF" w:rsidP="00286BDF">
      <w:pPr>
        <w:rPr>
          <w:rFonts w:cs="Arial"/>
          <w:color w:val="000000" w:themeColor="text1"/>
          <w:szCs w:val="16"/>
        </w:rPr>
      </w:pPr>
    </w:p>
    <w:p w14:paraId="307820E6" w14:textId="2418F86F" w:rsidR="00B70FBF" w:rsidRPr="00781112" w:rsidRDefault="009F64D5" w:rsidP="008645AD">
      <w:pPr>
        <w:pStyle w:val="Heading2"/>
      </w:pPr>
      <w:bookmarkStart w:id="67" w:name="_Toc384383349"/>
      <w:bookmarkStart w:id="68" w:name="_Toc392159317"/>
      <w:bookmarkEnd w:id="65"/>
      <w:bookmarkEnd w:id="66"/>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7"/>
      <w:bookmarkEnd w:id="68"/>
    </w:tbl>
    <w:p w14:paraId="1840A66A" w14:textId="77777777" w:rsidR="00BA687C" w:rsidRPr="00781112" w:rsidRDefault="00BA687C" w:rsidP="004369B2">
      <w:pPr>
        <w:rPr>
          <w:color w:val="000000" w:themeColor="text1"/>
        </w:rPr>
      </w:pPr>
    </w:p>
    <w:p w14:paraId="6376E1F1" w14:textId="77777777" w:rsidR="002E7CCF" w:rsidRDefault="002E7CCF" w:rsidP="004369B2">
      <w:pPr>
        <w:rPr>
          <w:b/>
          <w:color w:val="000000" w:themeColor="text1"/>
        </w:rPr>
      </w:pPr>
    </w:p>
    <w:p w14:paraId="618FFFDA" w14:textId="0CFD10B7" w:rsidR="007A3964" w:rsidRPr="00781112" w:rsidRDefault="007A3964" w:rsidP="004369B2">
      <w:pPr>
        <w:rPr>
          <w:color w:val="000000" w:themeColor="text1"/>
        </w:rPr>
      </w:pPr>
      <w:r w:rsidRPr="00781112">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9" w:name="_Hlk20258880"/>
      <w:r w:rsidRPr="00781112">
        <w:rPr>
          <w:rFonts w:cs="Arial"/>
          <w:color w:val="000000" w:themeColor="text1"/>
          <w:szCs w:val="16"/>
        </w:rPr>
        <w:t>YES</w:t>
      </w:r>
    </w:p>
    <w:bookmarkEnd w:id="69"/>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VIDE/SOSE defines disproportionate representation using a relative difference in composition calculation, comparing children with disabilities in racial/ethnic groups to the population of children without disabilities in that same district. Data of one school year (school year 2021-2022) is aggregated across all disability categories in racial/ethnic groups for all children aged 5 who are enrolled in kindergarten in addition to children aged 6 through 21 who are served under IDEA. Disproportionate Representation is present in any district where the relative difference in composition for children with disabilities in any race or ethnic group in comparison to the total population of non-disabled students in that same district is 20% or more. The VIDE/SOSE uses a minimum "n" of 10. Calculations are completed only for those eligibilities and racial/ethnic categories that meet the minimum “n” size of 10. In other words, there must be at least 10 students in the specific disability category in the district </w:t>
      </w:r>
      <w:proofErr w:type="gramStart"/>
      <w:r w:rsidRPr="00781112">
        <w:rPr>
          <w:rFonts w:cs="Arial"/>
          <w:color w:val="000000" w:themeColor="text1"/>
          <w:szCs w:val="16"/>
        </w:rPr>
        <w:t>in order for</w:t>
      </w:r>
      <w:proofErr w:type="gramEnd"/>
      <w:r w:rsidRPr="00781112">
        <w:rPr>
          <w:rFonts w:cs="Arial"/>
          <w:color w:val="000000" w:themeColor="text1"/>
          <w:szCs w:val="16"/>
        </w:rPr>
        <w:t xml:space="preserve"> the relative difference in composition to be calculated. </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r>
      <w:r w:rsidRPr="00781112">
        <w:rPr>
          <w:rFonts w:cs="Arial"/>
          <w:color w:val="000000" w:themeColor="text1"/>
          <w:szCs w:val="16"/>
        </w:rPr>
        <w:br/>
        <w:t>The VIDE/SOSE utilized one year of data (Public School Student Enrollment data for School Year 2021-2022) from PRE and data from the December 1, 2021 Child Count, together with the relative difference in composition calculation, to determine whether or not the districts were identified with disproportionate representation of racial and ethnic groups in specific disability categories that is the result of inappropriate identification. A district is flagged as having disproportionate representation when it exceeds the 20% threshold in one of the six disabling categories when compared to other non-disabled children in that same ethnic group. Calculations are completed for those eligibilities and racial/ethnic categories that meet the minimum "n" size of 10. Therefore, no districts were excluded as a result of using a minimum "n" of 10.</w:t>
      </w:r>
      <w:r w:rsidRPr="00781112">
        <w:rPr>
          <w:rFonts w:cs="Arial"/>
          <w:color w:val="000000" w:themeColor="text1"/>
          <w:szCs w:val="16"/>
        </w:rPr>
        <w:br/>
      </w:r>
      <w:r w:rsidRPr="00781112">
        <w:rPr>
          <w:rFonts w:cs="Arial"/>
          <w:color w:val="000000" w:themeColor="text1"/>
          <w:szCs w:val="16"/>
        </w:rPr>
        <w:br/>
        <w:t>DATA SOURCE</w:t>
      </w:r>
      <w:r w:rsidRPr="00781112">
        <w:rPr>
          <w:rFonts w:cs="Arial"/>
          <w:color w:val="000000" w:themeColor="text1"/>
          <w:szCs w:val="16"/>
        </w:rPr>
        <w:br/>
      </w:r>
      <w:r w:rsidRPr="00781112">
        <w:rPr>
          <w:rFonts w:cs="Arial"/>
          <w:color w:val="000000" w:themeColor="text1"/>
          <w:szCs w:val="16"/>
        </w:rPr>
        <w:br/>
        <w:t>The data source for this indicator are the Public School Student Enrollment Data for All Students by Race and Ethnicity captured on September 30, 2021 and the December 1, 2021 Child Count data collected under IDEA Section 618 (Report of Children with Disabilities Receiving Special Education Under Part B of the Individuals with Disabilities Education Act, as Amended 200). The 618 Child Count data are collected via the VIDE/SOSE's Student Data Management System (</w:t>
      </w:r>
      <w:proofErr w:type="spellStart"/>
      <w:r w:rsidRPr="00781112">
        <w:rPr>
          <w:rFonts w:cs="Arial"/>
          <w:color w:val="000000" w:themeColor="text1"/>
          <w:szCs w:val="16"/>
        </w:rPr>
        <w:t>Goalview</w:t>
      </w:r>
      <w:proofErr w:type="spellEnd"/>
      <w:r w:rsidRPr="00781112">
        <w:rPr>
          <w:rFonts w:cs="Arial"/>
          <w:color w:val="000000" w:themeColor="text1"/>
          <w:szCs w:val="16"/>
        </w:rPr>
        <w:t>) and reported to the United States Department of Education, Office of Special Education, via the EDFacts online electronic reporting system. The public school enrollment data from the Division of Planning Research Evaluation (PRE) captured on September 30, 2021, and the special education data captured on December 1, 2021, along with the approved methodology stated above, are used in determining whether or not the district was identified with disproportionate representation of racial and ethnic groups in special education and related services that is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District 1: Using the criteria stated above, District 1 (St. Thomas/St. John) had the minimum "n" of ten (10) African American/Black student in three of the four (4) disability categories, however, it was found not to have an over representation in any racial/ethnic groups in a specific disability category. None of the racial and ethnic groups exceeded the 20% threshold of Over Representation in the disability categories. </w:t>
      </w:r>
      <w:r w:rsidRPr="00781112">
        <w:rPr>
          <w:rFonts w:cs="Arial"/>
          <w:color w:val="000000" w:themeColor="text1"/>
          <w:szCs w:val="16"/>
        </w:rPr>
        <w:br/>
        <w:t xml:space="preserve"> </w:t>
      </w:r>
      <w:r w:rsidRPr="00781112">
        <w:rPr>
          <w:rFonts w:cs="Arial"/>
          <w:color w:val="000000" w:themeColor="text1"/>
          <w:szCs w:val="16"/>
        </w:rPr>
        <w:br/>
        <w:t>District 2 (St. Croix): Based on the calculation for determining disproportionate over representation of racial and ethnic groups in specific disability categories, District 2 was found to have over representation of Hispanic/Latino in the disability category of specific learning disabilities and over representation in the disability category of intellectual learning disabilities. The racial and ethnic group of Multi-Race (Two or More Races) had over representation in the disability category of autism.</w:t>
      </w:r>
    </w:p>
    <w:p w14:paraId="1FCF1BF3" w14:textId="77777777" w:rsidR="00DF1529" w:rsidRPr="00781112" w:rsidRDefault="00DF1529" w:rsidP="00DF1529">
      <w:pPr>
        <w:rPr>
          <w:rFonts w:cs="Arial"/>
          <w:b/>
          <w:color w:val="000000" w:themeColor="text1"/>
          <w:szCs w:val="16"/>
        </w:rPr>
      </w:pPr>
      <w:bookmarkStart w:id="70" w:name="_Toc381956338"/>
      <w:bookmarkStart w:id="71" w:name="_Toc384383352"/>
      <w:bookmarkStart w:id="72"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According to the State's Compliance Monitoring Procedures Manual, once a district is flagged as having exceeded the 20% relative threshold resulting in disproportionate over-representation, they are required to complete the Facilitated Self Analysis that addresses the following areas: Curriculum and Instruction/General Education Interventions; Child Find; Referral for Evaluation; Evaluation; Eligibility and Placement; and Procedural Safeguards. Following receipt of the District’s analysis, the State then reviews the District’s responses to ensure that the District was compliant with IDEA policies, practices, and procedures in each of the areas addressed. </w:t>
      </w:r>
      <w:r w:rsidRPr="00781112">
        <w:rPr>
          <w:rFonts w:cs="Arial"/>
          <w:color w:val="000000" w:themeColor="text1"/>
          <w:szCs w:val="16"/>
        </w:rPr>
        <w:br/>
      </w:r>
      <w:r w:rsidRPr="00781112">
        <w:rPr>
          <w:rFonts w:cs="Arial"/>
          <w:color w:val="000000" w:themeColor="text1"/>
          <w:szCs w:val="16"/>
        </w:rPr>
        <w:br/>
        <w:t>The VIDE/SOSE reviewed District 2's response to the FSA and concluded that the identified over-representation of both the Hispanic/Latino ethnic group in the disability category of special learning disabilities and over-representation in the disability category of intellectual learning disabilities was not due to inappropriate identification. Likewise, for the racial and ethnic group of Multi-Race (Two or More Races) in the disability category of autism, the over-representation was not due to inappropriate identification.</w:t>
      </w:r>
      <w:r w:rsidRPr="00781112">
        <w:rPr>
          <w:rFonts w:cs="Arial"/>
          <w:color w:val="000000" w:themeColor="text1"/>
          <w:szCs w:val="16"/>
        </w:rPr>
        <w:br/>
      </w:r>
      <w:r w:rsidRPr="00781112">
        <w:rPr>
          <w:rFonts w:cs="Arial"/>
          <w:color w:val="000000" w:themeColor="text1"/>
          <w:szCs w:val="16"/>
        </w:rPr>
        <w:br/>
        <w:t>The VIDE/SOSE Compliance Unit conducted a desk audit of student files using the Student Management System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to verify that the files contained evidence that the disproportionate over-representation identified in the specific disability categories are not a result of inappropriate identification.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541667A" w14:textId="77777777" w:rsidR="002E7CCF" w:rsidRDefault="002E7CCF" w:rsidP="004369B2">
      <w:pPr>
        <w:rPr>
          <w:b/>
          <w:color w:val="000000" w:themeColor="text1"/>
        </w:rPr>
      </w:pPr>
    </w:p>
    <w:p w14:paraId="60BB42FC" w14:textId="358332D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Virgin Islands did not revise its baseline using FFY 2020 data, as required due to a change in the Measurement Table. Virgin Islands must revise its baseline, using FFY 2020 data, in the FFY 2021 SPP/APR. </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VIDE/SOSE revised its baseline using the FFY 2020 data as required by OSEP.</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Virgin Island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70"/>
      <w:bookmarkEnd w:id="71"/>
      <w:bookmarkEnd w:id="72"/>
    </w:p>
    <w:p w14:paraId="4F5D642D" w14:textId="77777777" w:rsidR="00E119B0" w:rsidRPr="00781112" w:rsidRDefault="00E119B0" w:rsidP="00A018D4">
      <w:pPr>
        <w:rPr>
          <w:color w:val="000000" w:themeColor="text1"/>
          <w:szCs w:val="20"/>
        </w:rPr>
      </w:pPr>
      <w:bookmarkStart w:id="73" w:name="_Toc384383353"/>
      <w:bookmarkStart w:id="7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4C8CAFF" w14:textId="77777777" w:rsidR="002E7CCF" w:rsidRPr="00781112" w:rsidRDefault="002E7CCF" w:rsidP="00286BDF">
      <w:pPr>
        <w:rPr>
          <w:rFonts w:cs="Arial"/>
          <w:color w:val="000000" w:themeColor="text1"/>
          <w:szCs w:val="16"/>
        </w:rPr>
      </w:pPr>
    </w:p>
    <w:p w14:paraId="4CA3F78B" w14:textId="72C271DF" w:rsidR="00DB20BC" w:rsidRPr="00781112" w:rsidRDefault="00C22B92" w:rsidP="00123D76">
      <w:pPr>
        <w:pStyle w:val="Heading2"/>
      </w:pPr>
      <w:bookmarkStart w:id="75" w:name="_Toc384383354"/>
      <w:bookmarkStart w:id="76" w:name="_Toc392159322"/>
      <w:bookmarkEnd w:id="73"/>
      <w:bookmarkEnd w:id="7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1.20%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90.48%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75"/>
    <w:bookmarkEnd w:id="76"/>
    <w:p w14:paraId="1304D563" w14:textId="77777777" w:rsidR="002E7CCF" w:rsidRDefault="002E7CCF">
      <w:pPr>
        <w:spacing w:before="0" w:after="200" w:line="276" w:lineRule="auto"/>
        <w:rPr>
          <w:b/>
          <w:color w:val="000000" w:themeColor="text1"/>
        </w:rPr>
      </w:pPr>
      <w:r>
        <w:rPr>
          <w:b/>
          <w:color w:val="000000" w:themeColor="text1"/>
        </w:rPr>
        <w:br w:type="page"/>
      </w:r>
    </w:p>
    <w:p w14:paraId="3FAEB3AB" w14:textId="39051509"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State’s established timeline for an initial evaluation is 45 days and is consistent with the IDEA federal regulations at 20 U.S.C. 1416(a)(3)(B).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students whose parental consent was received during the period of July 1, 2021 -June 30, 2022, were evaluated within the 45-day state-established timeline.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used for this specific indicator are obtained from two primary sources: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/EDPlan (student data management system), and Monthly Initial Evaluation Reports received from the Districts of all children referred for initial evaluation. The VIDE/SOSE captures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data elements for each child in an internal, self-calculating worksheet. The VIDE/SOSE uses this worksheet to compare the information in both data sets to ensure that the monthly initial evaluation reports and </w:t>
      </w:r>
      <w:proofErr w:type="spellStart"/>
      <w:r w:rsidRPr="00781112">
        <w:rPr>
          <w:rFonts w:cs="Arial"/>
          <w:color w:val="000000" w:themeColor="text1"/>
          <w:szCs w:val="16"/>
        </w:rPr>
        <w:t>Goalview</w:t>
      </w:r>
      <w:proofErr w:type="spellEnd"/>
      <w:r w:rsidRPr="00781112">
        <w:rPr>
          <w:rFonts w:cs="Arial"/>
          <w:color w:val="000000" w:themeColor="text1"/>
          <w:szCs w:val="16"/>
        </w:rPr>
        <w:t>/EDPlan are consistent and have the same demographical and eligibility determination information as reported.</w:t>
      </w:r>
    </w:p>
    <w:p w14:paraId="4F981BFF" w14:textId="77777777" w:rsidR="00C86164" w:rsidRPr="00781112" w:rsidRDefault="00C86164" w:rsidP="00C86164">
      <w:pPr>
        <w:rPr>
          <w:rFonts w:cs="Arial"/>
          <w:b/>
          <w:color w:val="000000" w:themeColor="text1"/>
          <w:szCs w:val="16"/>
        </w:rPr>
      </w:pPr>
      <w:bookmarkStart w:id="77" w:name="_Toc381956339"/>
      <w:bookmarkStart w:id="78" w:name="_Toc384383357"/>
      <w:bookmarkStart w:id="79"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The VIDE/SOSE continues to provide support to the LEA Director and EDC personnel during the transition period (from </w:t>
      </w:r>
      <w:proofErr w:type="spellStart"/>
      <w:r w:rsidRPr="00781112">
        <w:rPr>
          <w:rFonts w:cs="Arial"/>
          <w:color w:val="000000" w:themeColor="text1"/>
          <w:szCs w:val="16"/>
        </w:rPr>
        <w:t>Goalview</w:t>
      </w:r>
      <w:proofErr w:type="spellEnd"/>
      <w:r w:rsidRPr="00781112">
        <w:rPr>
          <w:rFonts w:cs="Arial"/>
          <w:color w:val="000000" w:themeColor="text1"/>
          <w:szCs w:val="16"/>
        </w:rPr>
        <w:t>) to EDPlan) to aid with the navigation of the new online student management system, specifically, archiving/uploading student-level data/documents to ensure student information is uploaded in the correct category within the student management system. This support will alleviate the VIDE/SOSE's inaccessibility of accessing the electronic records for the six (6) children inadvertently reported in the FFY 2020. Furthermore, the VIDE/SOSE was able to access hard copies of the student records of the six (6) children whose electronic records were noted as unavailable and determined that eligibility was determined for all six (6) children within the State established timeline of 45 days for an initial evaluation consistent with the IDEA federal regulations at 20 U.S.C. 1416(a)(3)(B). For this reason, the VIDE/SOSE did not identify any findings of non-compliance.</w:t>
      </w:r>
      <w:r w:rsidRPr="00781112">
        <w:rPr>
          <w:rFonts w:cs="Arial"/>
          <w:color w:val="000000" w:themeColor="text1"/>
          <w:szCs w:val="16"/>
        </w:rPr>
        <w:br/>
      </w:r>
      <w:r w:rsidRPr="00781112">
        <w:rPr>
          <w:rFonts w:cs="Arial"/>
          <w:color w:val="000000" w:themeColor="text1"/>
          <w:szCs w:val="16"/>
        </w:rPr>
        <w:br/>
        <w:t xml:space="preserve">Based on the review of the updated data submitted monthly and completion of the transition to the new online student management system ("EDPlan"). the VIDE/SOSE </w:t>
      </w:r>
      <w:proofErr w:type="gramStart"/>
      <w:r w:rsidRPr="00781112">
        <w:rPr>
          <w:rFonts w:cs="Arial"/>
          <w:color w:val="000000" w:themeColor="text1"/>
          <w:szCs w:val="16"/>
        </w:rPr>
        <w:t>is able to</w:t>
      </w:r>
      <w:proofErr w:type="gramEnd"/>
      <w:r w:rsidRPr="00781112">
        <w:rPr>
          <w:rFonts w:cs="Arial"/>
          <w:color w:val="000000" w:themeColor="text1"/>
          <w:szCs w:val="16"/>
        </w:rPr>
        <w:t xml:space="preserve"> verify that the district in question is uploading the necessary student-level data in the new student management system("EDPlan"). </w:t>
      </w:r>
      <w:r w:rsidRPr="00781112">
        <w:rPr>
          <w:rFonts w:cs="Arial"/>
          <w:color w:val="000000" w:themeColor="text1"/>
          <w:szCs w:val="16"/>
        </w:rPr>
        <w:br/>
      </w:r>
      <w:r w:rsidRPr="00781112">
        <w:rPr>
          <w:rFonts w:cs="Arial"/>
          <w:color w:val="000000" w:themeColor="text1"/>
          <w:szCs w:val="16"/>
        </w:rPr>
        <w:br/>
        <w:t xml:space="preserve">As part of its monitoring activities for the reporting period of July 1, 2021, thru June 30, 2022, the compliance monitoring unit conducted a desk audit to verify that the data reported for the 46 students, territory-wide were accurate, valid, and reliable. </w:t>
      </w:r>
      <w:r w:rsidRPr="00781112">
        <w:rPr>
          <w:rFonts w:cs="Arial"/>
          <w:color w:val="000000" w:themeColor="text1"/>
          <w:szCs w:val="16"/>
        </w:rPr>
        <w:br/>
      </w:r>
      <w:r w:rsidRPr="00781112">
        <w:rPr>
          <w:rFonts w:cs="Arial"/>
          <w:color w:val="000000" w:themeColor="text1"/>
          <w:szCs w:val="16"/>
        </w:rPr>
        <w:br/>
        <w:t xml:space="preserve">District 1 (St. Thomas/St. John) - a total of fourteen (14) children were referred for initial evaluation during the period of July 1, 2021, to June 30, 2022. Of that total, 5 of the children referred did not qualify for special education services; 1 child is listed as inactive; 1 child who was evaluated has since exited and is no longer receiving special education services. Of the 14 children referred for initial evaluation, all were evaluated within the state-established timeline of 45 days. </w:t>
      </w:r>
      <w:r w:rsidRPr="00781112">
        <w:rPr>
          <w:rFonts w:cs="Arial"/>
          <w:color w:val="000000" w:themeColor="text1"/>
          <w:szCs w:val="16"/>
        </w:rPr>
        <w:br/>
      </w:r>
      <w:r w:rsidRPr="00781112">
        <w:rPr>
          <w:rFonts w:cs="Arial"/>
          <w:color w:val="000000" w:themeColor="text1"/>
          <w:szCs w:val="16"/>
        </w:rPr>
        <w:br/>
        <w:t xml:space="preserve">District 2 (St. Croix) - a total of thirty-two (32) children were referred for initial evaluation during the period of July 1, 2021, thru June 30, 2022. Of that total: 2 children did not qualify for special education services; 1 child is a speech-only student; 1 child was a transfer student who was timely evaluated. Of the 32 children referred for initial evaluation, all were evaluated within the state-established timeline of 45 days.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10D5AB80" w14:textId="77777777" w:rsidR="002E7CCF" w:rsidRDefault="002E7CCF">
      <w:pPr>
        <w:spacing w:before="0" w:after="200" w:line="276" w:lineRule="auto"/>
        <w:rPr>
          <w:b/>
          <w:color w:val="000000" w:themeColor="text1"/>
        </w:rPr>
      </w:pPr>
      <w:r>
        <w:rPr>
          <w:b/>
          <w:color w:val="000000" w:themeColor="text1"/>
        </w:rPr>
        <w:br w:type="page"/>
      </w:r>
    </w:p>
    <w:p w14:paraId="3D219E0E" w14:textId="1A6E3436"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Virgin Islands reported less than 100% compliance for FFY 2020, Virgin Islands must report on the status of correction of noncompliance identified in FFY 2020 for this indicator. When reporting on the correction of noncompliance, Virgin Islands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Virgin Islands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Virgin Islands did not identify any findings of noncompliance in FFY 2020, although its FFY 2020 data reflect less than 100% compliance, provide an explanation of why Virgin Islands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VIDE/SOSE after careful review of the FFY 2020 data collected through desk audit and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address the required actions for the FFY 2021, it was determined that no findings of noncompliance for FFY 2020 </w:t>
      </w:r>
      <w:proofErr w:type="gramStart"/>
      <w:r w:rsidRPr="00781112">
        <w:rPr>
          <w:rFonts w:cs="Arial"/>
          <w:color w:val="000000" w:themeColor="text1"/>
          <w:szCs w:val="16"/>
        </w:rPr>
        <w:t>is</w:t>
      </w:r>
      <w:proofErr w:type="gramEnd"/>
      <w:r w:rsidRPr="00781112">
        <w:rPr>
          <w:rFonts w:cs="Arial"/>
          <w:color w:val="000000" w:themeColor="text1"/>
          <w:szCs w:val="16"/>
        </w:rPr>
        <w:t xml:space="preserve"> attributed. </w:t>
      </w:r>
      <w:r w:rsidRPr="00781112">
        <w:rPr>
          <w:rFonts w:cs="Arial"/>
          <w:color w:val="000000" w:themeColor="text1"/>
          <w:szCs w:val="16"/>
        </w:rPr>
        <w:br/>
      </w:r>
      <w:r w:rsidRPr="00781112">
        <w:rPr>
          <w:rFonts w:cs="Arial"/>
          <w:color w:val="000000" w:themeColor="text1"/>
          <w:szCs w:val="16"/>
        </w:rPr>
        <w:br/>
        <w:t>Even though the data for this indicator was reported as less than 100%, namely, as noted "the absence of the six (6) children included in (a) that are not in (b)" to address this the VIDE/SOSE further analyzes of the child-specific timeline determined that a discrepancy in the inputting and, specifically, the incorrect spelling of identifiable student information hindered the data collected through desk audit from making a determination on the timeliness of the initial evaluation. To prevent such critical data from hindering the State's ability to issue a finding, the VIDE/SOSE provided one-on-one targeted technical assistance to the specific district supervisors and further required District 1 to submit a CAP to address the issues which led to the incongruent language" level of compliance due to missing electronic records".</w:t>
      </w:r>
      <w:r w:rsidRPr="00781112">
        <w:rPr>
          <w:rFonts w:cs="Arial"/>
          <w:color w:val="000000" w:themeColor="text1"/>
          <w:szCs w:val="16"/>
        </w:rPr>
        <w:br/>
      </w:r>
      <w:r w:rsidRPr="00781112">
        <w:rPr>
          <w:rFonts w:cs="Arial"/>
          <w:color w:val="000000" w:themeColor="text1"/>
          <w:szCs w:val="16"/>
        </w:rPr>
        <w:br/>
        <w:t>The VIDE/SOSE implemented a new student data management system (EDPlan) in School Year 2022-2023 which captures the comprehensive and unique education collection and reporting process (referral, consent, evaluation/reevaluation, eligibility, IEP development, and finalization and exiting data). This new student data system has self-monitoring procedures with built-in-system-generated automated alerts which will assist the districts with any errors in inputting students' demographic information and ensuring the collection of valid and reliable data resulting in meeting compliance while improving results.</w:t>
      </w:r>
      <w:r w:rsidRPr="00781112">
        <w:rPr>
          <w:rFonts w:cs="Arial"/>
          <w:color w:val="000000" w:themeColor="text1"/>
          <w:szCs w:val="16"/>
        </w:rPr>
        <w:br/>
      </w:r>
      <w:r w:rsidRPr="00781112">
        <w:rPr>
          <w:rFonts w:cs="Arial"/>
          <w:color w:val="000000" w:themeColor="text1"/>
          <w:szCs w:val="16"/>
        </w:rPr>
        <w:br/>
        <w:t xml:space="preserve">VIDE/SOSE Clarification to OSEP Response </w:t>
      </w:r>
      <w:r w:rsidRPr="00781112">
        <w:rPr>
          <w:rFonts w:cs="Arial"/>
          <w:color w:val="000000" w:themeColor="text1"/>
          <w:szCs w:val="16"/>
        </w:rPr>
        <w:br/>
      </w:r>
      <w:r w:rsidRPr="00781112">
        <w:rPr>
          <w:rFonts w:cs="Arial"/>
          <w:color w:val="000000" w:themeColor="text1"/>
          <w:szCs w:val="16"/>
        </w:rPr>
        <w:br/>
        <w:t>The VIDE/SOSE has continued to collaborate with the LEA Director and supervisors in the district where the target of 100% was not met for FFY 2020. Subsequent to the filing of the FFY 2020 SPP/APR, the VIDE/SOSE began conducting a desk audit on a bi-monthly basis, of the district’s initial evaluation monthly report to ensure that the LEA is correctly implementing the specific regulatory requirements (</w:t>
      </w:r>
      <w:proofErr w:type="gramStart"/>
      <w:r w:rsidRPr="00781112">
        <w:rPr>
          <w:rFonts w:cs="Arial"/>
          <w:color w:val="000000" w:themeColor="text1"/>
          <w:szCs w:val="16"/>
        </w:rPr>
        <w:t>i.e.</w:t>
      </w:r>
      <w:proofErr w:type="gramEnd"/>
      <w:r w:rsidRPr="00781112">
        <w:rPr>
          <w:rFonts w:cs="Arial"/>
          <w:color w:val="000000" w:themeColor="text1"/>
          <w:szCs w:val="16"/>
        </w:rPr>
        <w:t xml:space="preserve"> achieved 100% compliance) consistent with OSEP Memo 09-02).  If discrepancies are noted, the submission source is notified of the discrepancy and required to verify, correct, and resubmit to the VIDE/SOSE within thirty (30) days, to ensure that the LEA is correctly implementing the specific regulatory requirements (i.e., achieved 100% compliance) consistent with OSEP Memo 09-02. </w:t>
      </w:r>
      <w:r w:rsidRPr="00781112">
        <w:rPr>
          <w:rFonts w:cs="Arial"/>
          <w:color w:val="000000" w:themeColor="text1"/>
          <w:szCs w:val="16"/>
        </w:rPr>
        <w:br/>
      </w:r>
      <w:r w:rsidRPr="00781112">
        <w:rPr>
          <w:rFonts w:cs="Arial"/>
          <w:color w:val="000000" w:themeColor="text1"/>
          <w:szCs w:val="16"/>
        </w:rPr>
        <w:br/>
        <w:t xml:space="preserve">Additionally, the VIDE/SOSE required the LEA to submit a CAP to address the issue which led to the non-compliance and further provided one-on-one targeted technical assistance to the specific </w:t>
      </w:r>
      <w:r w:rsidRPr="00781112">
        <w:rPr>
          <w:rFonts w:cs="Arial"/>
          <w:color w:val="000000" w:themeColor="text1"/>
          <w:szCs w:val="16"/>
        </w:rPr>
        <w:br/>
        <w:t xml:space="preserve">district supervisor. Based on the review of the updated data submitted monthly, coupled with the new student management system which captures the comprehensive education collection and </w:t>
      </w:r>
      <w:r w:rsidRPr="00781112">
        <w:rPr>
          <w:rFonts w:cs="Arial"/>
          <w:color w:val="000000" w:themeColor="text1"/>
          <w:szCs w:val="16"/>
        </w:rPr>
        <w:br/>
        <w:t xml:space="preserve">reporting process, the district is correctly implementing the specific regulatory requirements, consistent with OSEP Memo 09-02.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77"/>
      <w:bookmarkEnd w:id="78"/>
      <w:bookmarkEnd w:id="7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80" w:name="_Toc384383358"/>
      <w:bookmarkStart w:id="8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82" w:name="_Toc384383359"/>
      <w:bookmarkStart w:id="83" w:name="_Toc392159327"/>
      <w:bookmarkEnd w:id="80"/>
      <w:bookmarkEnd w:id="81"/>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82"/>
          <w:bookmarkEnd w:id="83"/>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70.97%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97.56%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97.56%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97.37%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There was one (1) child included in a, who had their IEP developed after age three (3). However, the IEP was developed seven (7) days after the child’s third (3rd), and services commenced eight (8) days after their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84" w:name="_Hlk20318414"/>
      <w:bookmarkEnd w:id="84"/>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br/>
        <w:t xml:space="preserve">The VIDE/SOSE collects data from each Local Education Agency (LEA) on all children referred from the Part C programs prior to age 3 for eligibility determination under the Part B of the Individuals with Disabilities (IDEA). These data are collected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an internal database developed to capture all the data elements for each child referred. The data elements are as follows: (a) child’s name, (b) child’s date of birth, (c) date of transition meeting, (d) date child was determined eligible/not eligible, (e) date of IEP development, and (f) the date when services began/or refused by a parent. </w:t>
      </w:r>
      <w:r w:rsidRPr="00781112">
        <w:rPr>
          <w:rFonts w:cs="Arial"/>
          <w:color w:val="000000" w:themeColor="text1"/>
          <w:szCs w:val="16"/>
        </w:rPr>
        <w:br/>
      </w:r>
      <w:r w:rsidRPr="00781112">
        <w:rPr>
          <w:rFonts w:cs="Arial"/>
          <w:color w:val="000000" w:themeColor="text1"/>
          <w:szCs w:val="16"/>
        </w:rPr>
        <w:br/>
        <w:t>The following is the data source for this indicator (a) the State Monitoring system, (b) State Student Management System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and (c) the State database that house all data for the respective reporting year FFY 2021 (e.g., children born between July 1, 2018, to June 30, 2019).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breakdown for the additional twelve (12) children in "</w:t>
      </w:r>
      <w:proofErr w:type="spellStart"/>
      <w:r w:rsidRPr="00781112">
        <w:rPr>
          <w:rFonts w:cs="Arial"/>
          <w:color w:val="000000" w:themeColor="text1"/>
          <w:szCs w:val="16"/>
        </w:rPr>
        <w:t>D"are</w:t>
      </w:r>
      <w:proofErr w:type="spellEnd"/>
      <w:r w:rsidRPr="00781112">
        <w:rPr>
          <w:rFonts w:cs="Arial"/>
          <w:color w:val="000000" w:themeColor="text1"/>
          <w:szCs w:val="16"/>
        </w:rPr>
        <w:t xml:space="preserve"> as follows: (a) four (4) children's files were closed by Part C programs which were due to the inability to schedule and confirm transition meetings, (b) one (1) child’s family was off-island for an indefinite period of time (c) five (5) children’s parents refused Part B services, and (d) two (2) children’s family moved out of the territory. </w:t>
      </w:r>
      <w:r w:rsidRPr="00781112">
        <w:rPr>
          <w:rFonts w:cs="Arial"/>
          <w:color w:val="000000" w:themeColor="text1"/>
          <w:szCs w:val="16"/>
        </w:rPr>
        <w:br/>
      </w:r>
      <w:r w:rsidRPr="00781112">
        <w:rPr>
          <w:rFonts w:cs="Arial"/>
          <w:color w:val="000000" w:themeColor="text1"/>
          <w:szCs w:val="16"/>
        </w:rPr>
        <w:br/>
        <w:t>In addition, there was one (1) child included in a, who had their IEP developed after age three (3), this IEP was developed seven (7) days after the child’s third (3rd), and services commenced eight (8) days after their third birthday.</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326C0B" w:rsidP="009A755E">
      <w:pPr>
        <w:rPr>
          <w:rFonts w:cs="Arial"/>
          <w:color w:val="000000" w:themeColor="text1"/>
          <w:szCs w:val="16"/>
        </w:rPr>
      </w:pP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Virgin Islands reported less than 100% compliance for FFY 2020, Virgin Islands must report on the status of correction of noncompliance identified in FFY 2020 for this indicator. When reporting on the correction of noncompliance, Virgin Islands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Virgin Islands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Virgin Islands did not identify any findings of noncompliance in FFY 2020, although its FFY 2020 data reflect less than 100% compliance, provide an explanation of why Virgin Islands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Subsequent to its FFY 2020 submission of the SPP/APR, the VIDE/SOSE issued a </w:t>
      </w:r>
      <w:proofErr w:type="gramStart"/>
      <w:r w:rsidRPr="00781112">
        <w:rPr>
          <w:rFonts w:cs="Arial"/>
          <w:color w:val="000000" w:themeColor="text1"/>
          <w:szCs w:val="16"/>
        </w:rPr>
        <w:t>findings</w:t>
      </w:r>
      <w:proofErr w:type="gramEnd"/>
      <w:r w:rsidRPr="00781112">
        <w:rPr>
          <w:rFonts w:cs="Arial"/>
          <w:color w:val="000000" w:themeColor="text1"/>
          <w:szCs w:val="16"/>
        </w:rPr>
        <w:t xml:space="preserve"> for its FFY 2020 ( School Year 2020/21) and FFY 2021 (School Year 2021/2022) for the noncompliance identified in this Indicator. Moreover to address OSEP requirements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Virgin Islands must describe the specific actions that were taken to verify the correction. To address Prong 1, the VIDE/SOSE reviewed the data reported for those children born between July 1, 2018, to June 30, 2019, through the District's monthly Part C to B reports. Based on these data review for FFY 2021, (School Year 2021/22), the LEA in question did not achieve 100% compliance for this Indicator. As such Prong 1, the noncompliance identified in FFY 2020 was not corrected 1 year after identification. The State has not corrected the noncompliance in a timely manner as noted in OSEP's response to required actions. The State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address this reoccurring noncompliance have reinforced its monitoring protocols to include on-site review of child specific data with the LEA and has added an additional layer of weekly reports for the number of children who have been served in Part C and referred to Part B for Part B eligibility determination. The State looks forward to reporting correction of the ongoing noncompliance as it increases its technical assistance and monitoring protocols to ensure the Effective General Supervision Part B/ Early Transition.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Virgin Islands did not report on the actions it took to address the uncorrected noncompliance for this indicator.</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Virgin Islands reported less than 100% compliance for FFY 2021, the Virgin Islands must report on the status of correction of noncompliance identified in FFY 2021 for this indicator. In addition, the Virgin Islands must demonstrate, in the FFY 2022 SPP/APR, that the remaining one uncorrected finding of noncompliance identified in FFY 2020 was corrected. When reporting on the correction of noncompliance, the Virgin Islands must report, in the FFY 2022 SPP/APR, that it has verified that each LEA with findings of noncompliance identified in FFY 2021 and the LEA with remaining noncompliance identified in FFY 2020: (1) is correctly implementing the specific regulatory requirements (i.e., achieved 100% compliance) based on a review of updated data such as data subsequently collected through on-site monitoring or a  data system; and (2) has corrected each individual case of noncompliance, unless the child is no longer within the jurisdiction of the LEA, consistent with OSEP Memo 09-02. In the FFY 2022 SPP/APR, the Virgin Islands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Virgin Islands did not identify any findings of noncompliance in FFY 2021, although its FFY 2021 data reflect less than 100% compliance, provide an explanation of why the Virgin Islands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85" w:name="_Toc384383363"/>
      <w:bookmarkStart w:id="86"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7" w:name="_Toc384383364"/>
      <w:bookmarkStart w:id="88" w:name="_Toc392159332"/>
      <w:bookmarkEnd w:id="85"/>
      <w:bookmarkEnd w:id="86"/>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7"/>
    <w:bookmarkEnd w:id="88"/>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368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368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During FFY 2021 (SY 2021-2022), the VIDE/SOSE collected data from the state student management system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to create an internal spreadsheet consisting of all students with IEPs who are age 14 and over from July 1, 2021, through June 30, 2022. The collection of these data from its inception has always included all children in grades 9-12 (high school) including children 14 years of age and older. The VIDE/SOSE promotes the use of best practices with its LEAs as prescribed by National Technical Assistance Center on Transition (NTACT) and requires the district LEAs to include children in high schools beginning with age 14 and older to ensure each child has an effective IEP that contains each of the required components for secondary transition. </w:t>
      </w:r>
      <w:r w:rsidRPr="00781112">
        <w:rPr>
          <w:rFonts w:cs="Arial"/>
          <w:color w:val="000000" w:themeColor="text1"/>
          <w:szCs w:val="16"/>
        </w:rPr>
        <w:br/>
        <w:t xml:space="preserve">The VIDE/SOSE then reviewed through desk audit, the IEPS of each student listed on the spreadsheet using the National Technical Assistance Center on Transition (NTACT) Indicator 13 checklist for compliance with the regulatory transition requirements. If the required information was not contained in the IEP section of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the VIDE/SOSE reviewed additional documents in the student’s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file to determine if the record contained evidence of compliance with the transition requirements. If any of the required evidence could not be found in the student’s file or in </w:t>
      </w:r>
      <w:proofErr w:type="spellStart"/>
      <w:r w:rsidRPr="00781112">
        <w:rPr>
          <w:rFonts w:cs="Arial"/>
          <w:color w:val="000000" w:themeColor="text1"/>
          <w:szCs w:val="16"/>
        </w:rPr>
        <w:t>GoalView</w:t>
      </w:r>
      <w:proofErr w:type="spellEnd"/>
      <w:r w:rsidRPr="00781112">
        <w:rPr>
          <w:rFonts w:cs="Arial"/>
          <w:color w:val="000000" w:themeColor="text1"/>
          <w:szCs w:val="16"/>
        </w:rPr>
        <w:t xml:space="preserve">, the item on the checklist is marked (“no") for non-compliance. </w:t>
      </w:r>
      <w:r w:rsidRPr="00781112">
        <w:rPr>
          <w:rFonts w:cs="Arial"/>
          <w:color w:val="000000" w:themeColor="text1"/>
          <w:szCs w:val="16"/>
        </w:rPr>
        <w:br/>
        <w:t xml:space="preserve">All 368 IEPs reviewed using the checklist </w:t>
      </w:r>
      <w:proofErr w:type="gramStart"/>
      <w:r w:rsidRPr="00781112">
        <w:rPr>
          <w:rFonts w:cs="Arial"/>
          <w:color w:val="000000" w:themeColor="text1"/>
          <w:szCs w:val="16"/>
        </w:rPr>
        <w:t>were in compliance with</w:t>
      </w:r>
      <w:proofErr w:type="gramEnd"/>
      <w:r w:rsidRPr="00781112">
        <w:rPr>
          <w:rFonts w:cs="Arial"/>
          <w:color w:val="000000" w:themeColor="text1"/>
          <w:szCs w:val="16"/>
        </w:rPr>
        <w:t xml:space="preserve"> the regulatory transition requirements.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89"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During FFY 2021 (SY 2021-2022), the VIDE/SOSE reviewed 368 IEPs and reviewed each IEP to ensure they all contained the elements on the State's Indicator 13 Effective IEPs Checklist for compliance with the regulatory transition requirements. All 368 IEPs met the elements on The State checklist. The checklist was adapted by the NTACT resource center that added as part of the elements evidence that the student was invited to IEP Team meeting where transition services are to be discussed and evidence that, if appropriate, a representative of any participating agency was invited to the IEP Team meeting with the prior consent of the parent or student who has reached the age of majority. The State continues to work closely with the NTACT resource center to ensure that the most effective review of each element on the checklist is maintained. The effective writing of IEPs has continued to improve outcomes for children and youth with disabilities in the four cluster indicators. Moreover, the State's scaling of ongoing professional development through its national affiliates and resource partners continues to be the main catalyst for building capacity for effective student outcomes at the LEA level. The State continues to rely on its national affiliates especially NTACT to guide its members on the most effective practices and structures to improve graduation rates, decrease dropouts, develop quality </w:t>
      </w:r>
      <w:proofErr w:type="gramStart"/>
      <w:r w:rsidRPr="00781112">
        <w:rPr>
          <w:rFonts w:cs="Arial"/>
          <w:color w:val="000000" w:themeColor="text1"/>
          <w:szCs w:val="16"/>
        </w:rPr>
        <w:t>IEPs</w:t>
      </w:r>
      <w:proofErr w:type="gramEnd"/>
      <w:r w:rsidRPr="00781112">
        <w:rPr>
          <w:rFonts w:cs="Arial"/>
          <w:color w:val="000000" w:themeColor="text1"/>
          <w:szCs w:val="16"/>
        </w:rPr>
        <w:t xml:space="preserve"> and transition planning, and more importantly improve post-school outcomes.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89"/>
    </w:p>
    <w:p w14:paraId="22761492" w14:textId="77777777" w:rsidR="005C50DB" w:rsidRPr="00781112" w:rsidRDefault="005C50DB" w:rsidP="00A018D4">
      <w:pPr>
        <w:rPr>
          <w:szCs w:val="20"/>
        </w:rPr>
      </w:pPr>
      <w:bookmarkStart w:id="90"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91"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91"/>
    <w:p w14:paraId="3FE9961A" w14:textId="1EDBA086" w:rsidR="000301BA" w:rsidRPr="00781112" w:rsidRDefault="00172058" w:rsidP="00123D76">
      <w:pPr>
        <w:pStyle w:val="Heading2"/>
      </w:pPr>
      <w:r w:rsidRPr="00781112">
        <w:t>14 - Indicator Data</w:t>
      </w:r>
    </w:p>
    <w:bookmarkEnd w:id="90"/>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24.14%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26.15%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19.51%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73.53%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76.47%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65.85%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82.76%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83.08%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73.17%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19.50%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20.50%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21.00%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21.50%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66.00%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66.50%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67.00%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67.50%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68.00%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77.00%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78.50%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80.50%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During FFY 2021 (School Year 2020-2021), the VIDE/SOSE expanded and reconfigured its stakeholder components with a concentrated focus on indicator clusters to ensure expert representation and analyses in all target areas of this indicator and all indicators in this cluster. This reconfiguration includes but it not limited to the following: parents of students with disabilities, grade level and content experts in secondary transition services, regular and special education personnel, district directors, district coordinators, and supervisors, District Office of Special Education personnel, Educational Diagnostic personnel, private business sector, inter-agency partners, and other outside and linking agencies. The VIDE/SOSE divided the stakeholders into cluster groups. </w:t>
      </w:r>
      <w:r w:rsidRPr="00781112">
        <w:rPr>
          <w:rFonts w:cs="Arial"/>
          <w:color w:val="000000" w:themeColor="text1"/>
          <w:szCs w:val="16"/>
        </w:rPr>
        <w:br/>
        <w:t xml:space="preserve">The VIDE/SOSE reconvened its stakeholders for this indicator to review the data for FFY 2020. The stakeholders for this cluster were tasked with an analysis of the FFY 2020 data. Stakeholders were tasked with identifying areas for improvements geared towards ensuring the representativeness of the demographic of responders, increasing the total number of responders, particularly for underrepresented groups, and identifying potential response bias as well as providing strategies to reduce response bias for youth who had IEPs and were no longer in secondary school. A comparative analysis of Target Leaver and Respondent Representation for all leavers in the FFY 2020 data was carefully reviewed to determine the conditions needed for a higher response rate and reducing response bias. This process allowed stakeholders to select demographic groups for responder’s representativeness as required for FFY 2021. The Stakeholders analysis captured that most responders demonstrated outcomes that were </w:t>
      </w:r>
      <w:proofErr w:type="gramStart"/>
      <w:r w:rsidRPr="00781112">
        <w:rPr>
          <w:rFonts w:cs="Arial"/>
          <w:color w:val="000000" w:themeColor="text1"/>
          <w:szCs w:val="16"/>
        </w:rPr>
        <w:t>effective</w:t>
      </w:r>
      <w:proofErr w:type="gramEnd"/>
      <w:r w:rsidRPr="00781112">
        <w:rPr>
          <w:rFonts w:cs="Arial"/>
          <w:color w:val="000000" w:themeColor="text1"/>
          <w:szCs w:val="16"/>
        </w:rPr>
        <w:t xml:space="preserve"> and it was concluded that effectiveness or positive outcomes contributed to a higher likelihood of responders responding to the survey. The State enters data and analyzes the data for this indicator through the State’s Post School Outcomes Calculator</w:t>
      </w:r>
      <w:proofErr w:type="gramStart"/>
      <w:r w:rsidRPr="00781112">
        <w:rPr>
          <w:rFonts w:cs="Arial"/>
          <w:color w:val="000000" w:themeColor="text1"/>
          <w:szCs w:val="16"/>
        </w:rPr>
        <w:t>, the</w:t>
      </w:r>
      <w:proofErr w:type="gramEnd"/>
      <w:r w:rsidRPr="00781112">
        <w:rPr>
          <w:rFonts w:cs="Arial"/>
          <w:color w:val="000000" w:themeColor="text1"/>
          <w:szCs w:val="16"/>
        </w:rPr>
        <w:t xml:space="preserve"> calculator produces tabular and graphical presentations from data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excel worksheets. The data represent the response rate disaggregated by disability group, gender, race/ethnicity, and exiting modes. The Cluster Stakeholders for this indicator approved the analysis of the demographic of response representativeness by the disability category of Specific Learning Disabled (SLD) and recommended increasing the networking with other transition agencies to provide direct services to students who exit in any other mode other than receiving a high school diploma or certificate of completion.</w:t>
      </w:r>
    </w:p>
    <w:p w14:paraId="4522ADD4" w14:textId="77777777" w:rsidR="00E448E9" w:rsidRPr="00781112" w:rsidRDefault="00E448E9" w:rsidP="004369B2">
      <w:pPr>
        <w:rPr>
          <w:color w:val="000000" w:themeColor="text1"/>
        </w:rPr>
      </w:pPr>
      <w:bookmarkStart w:id="92" w:name="_Toc392159337"/>
    </w:p>
    <w:bookmarkEnd w:id="92"/>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53.41%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19.51%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21.28%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65.85%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65.96%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73.17%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37.96%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53.41%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VIDE/SOSE uses a written survey with multiple choice questions that are mailed with an accompanying letter with the rationale for the questionnaire, which requests that the student or their family complete and returns the survey to the SOSE in a self-addressed, stamped envelope. The SOSE mailed 88 (June 2022), all of whom are representative of the demographics of youth who are no longer in secondary school and had IEPs in effect at the time they left school. These surveys were mailed to students who left school after the end of the 2020-2021 school year (including the summer session). The VIDE/SOSE was able to collect responses from mailed and telephonic surveys for 47 out of the 88 leavers for a 53.41% response rate. The increase of the response rate of 16.47% above FFY 2020 (last year) response rate is attributed to a heightened collaboration with districts, parents, and stakeholders that broaden the scope of data collection for accuracy in contact information for leavers as well as continuous data checks from </w:t>
      </w:r>
      <w:proofErr w:type="gramStart"/>
      <w:r w:rsidRPr="00B551F2">
        <w:t>schools'</w:t>
      </w:r>
      <w:proofErr w:type="gramEnd"/>
      <w:r w:rsidRPr="00B551F2">
        <w:t xml:space="preserve"> for up-to-date student demographics. Despite the increase in the percentage of responders, the VIDE/SOSE will continue to increase its efforts to broaden its networking capacity to encourage parents, students, and other public agencies in the collection of post-school outcomes. The VIDE/SOSE recognizes that changes in exiters demographic information limit its capacity to access a wider audience and reducing unexpected changes would certainly increase the State's ability to widen the data collection and increase the response rate. As previously mentioned, the State will employ the following strategies to increase its capacity to reach a wider audience by (1) accessing in real-time the contact information of exiters who leave before the end of the school year and profiling those exiters who exit schools at the end of the school year, and (2) all parents of a child with a disability in high school will be interviewed to capture accurate demographic information for promoting optimum post-school service delivery options. </w:t>
      </w:r>
      <w:r w:rsidRPr="00B551F2">
        <w:br/>
      </w:r>
      <w:r w:rsidRPr="00B551F2">
        <w:br/>
        <w:t xml:space="preserve">Moreover, the VIDE/SOSE will implement the State Exiting Profile as another strategy that will heighten the VIDE/SOSE collaboration with parents and supporting agencies for seamless delivery of post-school services. Ultimately the VIDE/SOSE will implement these strategies to increase the response rate and reduce under/over-representation among all exiters regardless of disabling condition, ethnicity, and gender. Moreover, the VIDE/SOSE will engage its public relations division to promote the collection of these data by using its advertising campaigns and networks throughout the school calendar year. </w:t>
      </w:r>
      <w:r w:rsidRPr="00B551F2">
        <w:br/>
      </w:r>
      <w:r w:rsidRPr="00B551F2">
        <w:br/>
        <w:t xml:space="preserve">Additionally, high school Special Education teachers will receive weekly reminders through their Student Data Information System portfolio, </w:t>
      </w:r>
      <w:proofErr w:type="spellStart"/>
      <w:r w:rsidRPr="00B551F2">
        <w:t>EdPlan</w:t>
      </w:r>
      <w:proofErr w:type="spellEnd"/>
      <w:r w:rsidRPr="00B551F2">
        <w:t xml:space="preserve"> of the requirements to complete a Student Exiting Profile for all student exiters. The VIDE/SOSE will implement these strategies </w:t>
      </w:r>
      <w:proofErr w:type="gramStart"/>
      <w:r w:rsidRPr="00B551F2">
        <w:t>as a means to</w:t>
      </w:r>
      <w:proofErr w:type="gramEnd"/>
      <w:r w:rsidRPr="00B551F2">
        <w:t xml:space="preserve"> increase the response rate, demonstrate representativeness, and promote a response from all sections of youth who had IEPs and are no longer in high school.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SOSE conducted an item analysis using the State PSO calculator to determine nonresponse bias on gender, graduation/exiting status, race/ethnicity, and disability category of the 47 responders. The SOSE item analysis for all responders produced valuable data and display counts and representativeness for subgroups in each demographic category. For instance, the percentages of the respondents were as follows; from the 47 responders, 29 were in the SLD category for a respondent representation of 61.70%. 61.70% of the SLD respondent representativeness responded from a 52.27% target leaver representation for a 9.43% over-representation. 4 responders from 8 target leavers were in the ED category for a -0.58% negative difference or under-representation. 11 responders from 21 target leavers were in the ID category for a -0.46% negative difference or under-representation. 3 responders were among the 4 disability categories ranging from Autism, Multiple Disabilities, Hearing Impairment, and Other Health Impairments for a respondent representativeness of 6.38% from 14.77% for a -8.39% negative difference or under-representation; The State’s analysis on dropout demonstrated a 14.89% from a 20.45% for a -5.56% negative difference or under-representation. Among those who responded, 53.41% were among the categories enrolled in post-secondary education, competitively employed, and or enrolled in some other post-secondary education, training, or competitively employed. Despite the State's efforts in collecting data from all leavers, the analysis of the responders produced data of over-representation of the SLD category as well as under-representation of the other disability categories grouped together as those numbers combined were smaller. The State's efforts in collecting exiting data from the ED and ID category demonstrates a negative difference below the +/-3%. The State acknowledges that the higher response rate from the SLD category may be attributed to a more positive school outcome and thus in its collection the State employed its maximum efforts to reach all leavers for this reporting year thus improving the response rate as well as a collection of other disability categories to minimize non-response bias. </w:t>
      </w:r>
      <w:r w:rsidRPr="00B551F2">
        <w:br/>
        <w:t>For FFY 2021 the State PSO produced data of the responders and non-</w:t>
      </w:r>
      <w:proofErr w:type="gramStart"/>
      <w:r w:rsidRPr="00B551F2">
        <w:t>responders</w:t>
      </w:r>
      <w:proofErr w:type="gramEnd"/>
      <w:r w:rsidRPr="00B551F2">
        <w:t xml:space="preserve"> groups. Of </w:t>
      </w:r>
      <w:proofErr w:type="gramStart"/>
      <w:r w:rsidRPr="00B551F2">
        <w:t>the majority of</w:t>
      </w:r>
      <w:proofErr w:type="gramEnd"/>
      <w:r w:rsidRPr="00B551F2">
        <w:t xml:space="preserve"> children with disabilities who exited school with an IEP, 80.68% were of the black racial category; 12.5% were Hispanic (not white); 4.55% identified as others; and 2.27% were white. Of the 47 responders, the State’s analysis on race/ethnicity showed that 89.36% of responders were of the black racial category; 17.02% were Hispanic (not white); 2.13% identified as others; and 2.13% were white. The State analysis demonstrated that respondent representation of 8.68% over-representation was in the black racial category; 4.52% were in the Hispanic; and a margin of difference of +/- 3 for the race category others and white showed no difference in representativeness for these racial groups. For FFY 2021, the data collected from all responders in 4 of the 5 disability categories produced no difference in representativeness therefore, no response bias is attributed to this group of responders. The State will continue to increase collaboration with the LEAs to ensure that students and parents are fully engaged in the planning of post-school objectives in the early stages of high school and to ensure that students are given the opportunity to achieve the best outcomes in high schools for effective post-school outcomes. The data analyzed for representativeness of the demographic of SLD students, as approved by stakeholders, and data analyzed for representativeness of the race/ethnicity of students with disability who left high school all these data collected and analyzed are representative of the demographic of youth in the United State Virgin Islands who are no longer in secondary school and had IEPs in effect at the time they left school.</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For FFY 2021 as with previous years, </w:t>
      </w:r>
      <w:proofErr w:type="gramStart"/>
      <w:r w:rsidRPr="008D51F2">
        <w:t>the majority of</w:t>
      </w:r>
      <w:proofErr w:type="gramEnd"/>
      <w:r w:rsidRPr="008D51F2">
        <w:t xml:space="preserve"> children with disabilities who exited school with an IEP, 80.68% were of the black racial category; 12.5% were Hispanic (not white); 4.55% identified as others; and 2.27% were white. Of the 47 responders, the State’s analysis on race/ethnicity showed that 89.36% of responders were of the black racial category; 17.02% were Hispanic (not white); 2.13% identified as others; and 2.13% were white. The State analysis demonstrated that respondent representation of 8.68% over-representation were in the black racial category; 4.52% were in the Hispanic; and a margin of difference of +/- 3 for the race category others and white showed no difference in representativeness for these racial groups. The State analysis for gender demonstrated that 25.53% respondent of 30.68% of target leaver showed a -5.15% negative difference or under-representation were females; 74.47% respondents of 69.32% of target leavers were in the minority/ethnicity category (not white/non-Hispanic) for a 5.15% over-representation. The data collected from all responders in 4 of the 5 disability categories produced no difference in representativeness therefore, the data analyzed for representativeness of the demographic of SLD students, as approved by stakeholders, and data analyzed for representativeness of the race/ethnicity of students with disability who left high school all these data analyzed are representative of the demographic of youth in the United State Virgin Islands who are no longer in secondary school and had IEPs in effect at the time they left school. Moreover, the collection and analysis of exiters for this indicator that demonstrates representativeness of the demographic of youth who are no longer in secondary schools is an ongoing process that has increased the VIDE/SOSE's capacity in the collection of these data. The VIDE/SOSE collection protocols of these data to improve its response rate and reduce under/over-representation of the demographics of youth will require a more robust and direct approach to ensuring that every student exiting high school completes a "Student Exiting Profile" for ensuring the full continuum of services options available.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SOSE conducted an item analysis using the State PSO calculator on gender, graduation/exiting status, race/</w:t>
      </w:r>
      <w:proofErr w:type="gramStart"/>
      <w:r w:rsidRPr="008D51F2">
        <w:rPr>
          <w:b w:val="0"/>
        </w:rPr>
        <w:t>ethnicity</w:t>
      </w:r>
      <w:proofErr w:type="gramEnd"/>
      <w:r w:rsidRPr="008D51F2">
        <w:rPr>
          <w:b w:val="0"/>
        </w:rPr>
        <w:t xml:space="preserve"> and disability category of the 47 responders. The SOSE item analysis for all responders produced valuable data and display counts and representativeness for subgroup in each demographic category. For instance, the percentages of the responder were as follows; from the 47 responders 29 were in the SLD category for a respondent representation of 61.70%. 61.70% of the SLD respondent representativeness responded from a 52.27% target leaver representation for a 9.43% over-representation. 4 responders from 8 target leavers were in the ED category for a -0.58% negative difference or under-representation. 11 responders from 21 target leavers were in the ID category for a -0.46% negative difference or under-representation. 3 responders were among the 4 disability categories ranging from Autism, Multiple Disability, Hearing Impairment, and Other Health Impairments for a respondent representativeness of 6.38% from a 14.77% for a -8.39% negative difference or under-representation; The State’s analysis on dropout demonstrated a 14.89% from a 20.45% for a -5.56% negative difference or under-representation. </w:t>
      </w:r>
      <w:r w:rsidRPr="008D51F2">
        <w:rPr>
          <w:b w:val="0"/>
        </w:rPr>
        <w:br/>
        <w:t xml:space="preserve">For FFY 2021 as with previous years, </w:t>
      </w:r>
      <w:proofErr w:type="gramStart"/>
      <w:r w:rsidRPr="008D51F2">
        <w:rPr>
          <w:b w:val="0"/>
        </w:rPr>
        <w:t>the majority of</w:t>
      </w:r>
      <w:proofErr w:type="gramEnd"/>
      <w:r w:rsidRPr="008D51F2">
        <w:rPr>
          <w:b w:val="0"/>
        </w:rPr>
        <w:t xml:space="preserve"> children with disabilities who exited school with an IEP, 80.68% were of the black racial category; 12.5% were Hispanic (not white); 4.55% identified as others; and 2.27% were white. Of the 47 responders, the State’s analysis on race/ethnicity showed that 89.36% of responders were of the black racial category; 17.02% were Hispanic (not white); 2.13% identified as others; and 2.13% were white. The State analysis demonstrated that respondent representation of 8.68% over-representation were in the black racial category; 4.52% were in the Hispanic; and a margin of difference of +/- 3 for the race category others and white showed no difference in representativeness for these racial groups.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93" w:name="_Toc382082390"/>
      <w:bookmarkStart w:id="94"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In FFY 2021, the VIDE/SOSE obtained demographic information (students’, parent/guardians’ name and contact information, telephone numbers for students and their parents/guardians, date that the student graduated or exited school, and mailing address) from the State student data system (“</w:t>
      </w:r>
      <w:proofErr w:type="spellStart"/>
      <w:r w:rsidRPr="00781112">
        <w:rPr>
          <w:rFonts w:cs="Arial"/>
          <w:color w:val="000000" w:themeColor="text1"/>
          <w:szCs w:val="16"/>
        </w:rPr>
        <w:t>GoalView</w:t>
      </w:r>
      <w:proofErr w:type="spellEnd"/>
      <w:r w:rsidRPr="00781112">
        <w:rPr>
          <w:rFonts w:cs="Arial"/>
          <w:color w:val="000000" w:themeColor="text1"/>
          <w:szCs w:val="16"/>
        </w:rPr>
        <w:t>”) and the Division of Planning, Research, and Evaluation (PR&amp;E). The VIDE/SOSE in June of 2022, one (1) year after students left school, the SOSE mails a survey to every student with an IEP who graduated or otherwise exited school at the end of the 2020-2021 school year (including leavers from the end of 2021 summer session).</w:t>
      </w:r>
      <w:r w:rsidRPr="00781112">
        <w:rPr>
          <w:rFonts w:cs="Arial"/>
          <w:color w:val="000000" w:themeColor="text1"/>
          <w:szCs w:val="16"/>
        </w:rPr>
        <w:br/>
        <w:t>During FFY 2021, the VIDE/SOSE has continued to work closely with the LEA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Virgin Islands did not analyze the response rate to identify potential non-response bias. Virgin Islands must report the required information in the FFY 2021 SPP/APR.  </w:t>
      </w:r>
      <w:r w:rsidRPr="00781112">
        <w:rPr>
          <w:rFonts w:cs="Arial"/>
          <w:color w:val="000000" w:themeColor="text1"/>
          <w:szCs w:val="16"/>
        </w:rPr>
        <w:br/>
      </w:r>
      <w:r w:rsidRPr="00781112">
        <w:rPr>
          <w:rFonts w:cs="Arial"/>
          <w:color w:val="000000" w:themeColor="text1"/>
          <w:szCs w:val="16"/>
        </w:rPr>
        <w:br/>
        <w:t xml:space="preserve">In the FFY 2021 SPP/APR, the State also must report whether the FFY 2021 data are representative of the demographics of youth who are no longer in secondary school and had IEPs in effect at the time they left school, and, if not, the actions Virgin Islands is taking to address this issue. Virgin Islands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For FFY 2021(School Year 2021-2022), the VIDE/SOSE collected and analyzed data from responders (47 out of 88) 53.41% response rate represented an increase in the response rate from the 37.96% response rate of FFY 2020 data. This increase is attributed to a heightened collaboration across the districts to effect transition services that would enable students to exit high school with the best outcomes. Additionally, the collection of this data was collected from students and or parents/family designees. All questions on the survey were administered orally for those surveys completed through telephonic interviews and no questions returned through the mail were left unanswered. </w:t>
      </w:r>
      <w:proofErr w:type="gramStart"/>
      <w:r w:rsidRPr="00781112">
        <w:rPr>
          <w:rFonts w:cs="Arial"/>
          <w:color w:val="000000" w:themeColor="text1"/>
          <w:szCs w:val="16"/>
        </w:rPr>
        <w:t>In the event that</w:t>
      </w:r>
      <w:proofErr w:type="gramEnd"/>
      <w:r w:rsidRPr="00781112">
        <w:rPr>
          <w:rFonts w:cs="Arial"/>
          <w:color w:val="000000" w:themeColor="text1"/>
          <w:szCs w:val="16"/>
        </w:rPr>
        <w:t xml:space="preserve"> questions were left unanswered, the VIDE/SOSE attempts to collect this information by telephonic means. In the U.S. Virgin Islands, the geographic location is germane to all its inhabitants and its composition and accessibility are not a hindrance for its inhabitants. The data collected and analyzed for this indicator demonstrated a 9.43% over-representation in the category of SLD. For FFY 2021, the SLD category had a 52.27 % for target leavers this is the highest number of all target leavers. 61.70% of the SLD respondent responded for a 9.43% over-representation in the U.S. Virgin Islands moreover, the data showed no difference in the representativeness of the demographic of youth in the other 5 disability category. The data collected from all responders in 4 of the 5 disability categories produced no difference in representativeness therefore, no response bias is attributed to these groups of leavers. The data analyzed for representativeness of the demographic of SLD students, as approved by stakeholders, and data analyzed for representativeness of the race/ethnicity of students with disability who left high school all these data analyzed are representative of the demographic of youth in the United State Virgin Islands who are no longer in secondary school and had IEPs in effect at the time they left school.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 xml:space="preserve">The Virgin Islands reported that the response data for this indicator were representative of the demographics of youth who are no longer in secondary school and had IEPs in effect at the time they left school. However, in its narrative, the Virgin Islands reported, "61.70% of the SLD respondent representativeness responded from a 52.27% target leaver representation for a 9.43% over-representation." The Virgin Islands also reported in its narrative, "3 responders were among the 4 disability categories ranging from Autism, Multiple Disability, Hearing Impairment, and Other Health Impairments for a respondent representativeness of 6.38% from a 14.77% for a -8.39% negative difference or under-representation; The State’s analysis on dropout demonstrated a 14.89% from a 20.45% for a -5.56% negative difference or under-representation." Additionally, the Virgin Islands reported in its narrative, "The State analysis demonstrated that respondent representation of 8.68% over-representation were in the black racial category; 4.52% were in the Hispanic; and a margin of difference of +/- 3 for the race category others and white showed no difference in representativeness for these racial groups." Therefore, it is unclear whether the response data was representative.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Virgin Islands must report whether the FFY 2022 data are representative of the demographics of youth who are no longer in secondary school and had IEPs in effect at the time they left school, and, if not, the actions the Virgin Islands is taking to address this issue. The Virgin Islands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93"/>
      <w:bookmarkEnd w:id="94"/>
    </w:p>
    <w:p w14:paraId="7EA31497" w14:textId="77777777" w:rsidR="005B0B58" w:rsidRPr="00781112" w:rsidRDefault="005B0B58" w:rsidP="00A018D4">
      <w:pPr>
        <w:rPr>
          <w:color w:val="000000" w:themeColor="text1"/>
          <w:szCs w:val="20"/>
        </w:rPr>
      </w:pPr>
      <w:bookmarkStart w:id="95" w:name="_Toc381786822"/>
      <w:bookmarkStart w:id="96" w:name="_Toc382731911"/>
      <w:bookmarkStart w:id="97" w:name="_Toc382731912"/>
      <w:bookmarkStart w:id="98" w:name="_Toc392159340"/>
      <w:bookmarkEnd w:id="95"/>
      <w:bookmarkEnd w:id="96"/>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7"/>
    <w:bookmarkEnd w:id="98"/>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99" w:name="_Toc382731913"/>
      <w:bookmarkStart w:id="100"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For FFY 2021 (School Year 2021/22) 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15 and 16. The Cluster Stakeholders for </w:t>
      </w:r>
      <w:proofErr w:type="gramStart"/>
      <w:r w:rsidRPr="00781112">
        <w:rPr>
          <w:rFonts w:cs="Arial"/>
          <w:color w:val="000000" w:themeColor="text1"/>
          <w:szCs w:val="16"/>
        </w:rPr>
        <w:t>this indicators</w:t>
      </w:r>
      <w:proofErr w:type="gramEnd"/>
      <w:r w:rsidRPr="00781112">
        <w:rPr>
          <w:rFonts w:cs="Arial"/>
          <w:color w:val="000000" w:themeColor="text1"/>
          <w:szCs w:val="16"/>
        </w:rPr>
        <w:t xml:space="preserve"> were reintroduced to the methodology and measurements which closely looks at Effective General Supervision Part B/General Supervision, in specific, Dispute Resolution and Mediation. As with other cluster indicators, the State carefully selected the members of this group which includes and is not limited to parents/guardians of 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w:t>
      </w:r>
    </w:p>
    <w:bookmarkEnd w:id="99"/>
    <w:bookmarkEnd w:id="100"/>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3D93E3F7" w14:textId="77777777" w:rsidR="002E7CCF" w:rsidRDefault="002E7CCF">
      <w:pPr>
        <w:spacing w:before="0" w:after="200" w:line="276" w:lineRule="auto"/>
        <w:rPr>
          <w:b/>
          <w:color w:val="000000" w:themeColor="text1"/>
        </w:rPr>
      </w:pPr>
      <w:r>
        <w:rPr>
          <w:b/>
          <w:color w:val="000000" w:themeColor="text1"/>
        </w:rPr>
        <w:br w:type="page"/>
      </w:r>
    </w:p>
    <w:p w14:paraId="0B3CADC6" w14:textId="70210398"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VIDE/SOSE had fewer than 10 resolution sessions for the FFY 2021(School Year 2021/22) APR reporting period. Thus, the VIDE/SOSE is not required to establish baseline or targets if the number of resolution sessions is less than 10.</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Virgin Islands reported fewer than ten resolution sessions held in FFY 2021. The Virgin Islands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101" w:name="_Toc382731916"/>
      <w:bookmarkStart w:id="102"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101"/>
    <w:bookmarkEnd w:id="102"/>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For FFY 2021 (School Year 2021/22) the VIDE/SOSE continues its collaboration with the State's Indicator clusters which concentrates on analyzing data, up-scaling strategies, and improvement targets for specific indicators. This collaboration ensures that each cluster of indicators has expert representativeness in all areas and, especially, child/grade-specific outcomes. For instance, the VIDE/SOSE’s Stakeholders group for this cluster of indicators are 15 and 16. The Cluster Stakeholders for </w:t>
      </w:r>
      <w:proofErr w:type="gramStart"/>
      <w:r w:rsidRPr="00781112">
        <w:rPr>
          <w:rFonts w:cs="Arial"/>
          <w:color w:val="000000" w:themeColor="text1"/>
          <w:szCs w:val="16"/>
        </w:rPr>
        <w:t>this indicators</w:t>
      </w:r>
      <w:proofErr w:type="gramEnd"/>
      <w:r w:rsidRPr="00781112">
        <w:rPr>
          <w:rFonts w:cs="Arial"/>
          <w:color w:val="000000" w:themeColor="text1"/>
          <w:szCs w:val="16"/>
        </w:rPr>
        <w:t xml:space="preserve"> were reintroduced to the methodology and measurements which closely looks at Effective General Supervision Part B/General Supervision, in specific, Dispute Resolution and Mediation. As with other cluster indicators, the State carefully selected the members of this group which includes and is not limited to parents/guardians of l children receiving special education and related services, district and school administrators, district directors of special education, planning research and evaluation, school counselors, preschool special and regular education teachers (preschool,), content area specialists, grade-level, educational diagnostic team members, and outside linking agencies.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81.20%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49156773" w14:textId="77777777" w:rsidR="002E7CCF" w:rsidRDefault="002E7CCF">
      <w:pPr>
        <w:spacing w:before="0" w:after="200" w:line="276" w:lineRule="auto"/>
        <w:rPr>
          <w:b/>
          <w:color w:val="000000" w:themeColor="text1"/>
        </w:rPr>
      </w:pPr>
      <w:r>
        <w:rPr>
          <w:b/>
          <w:color w:val="000000" w:themeColor="text1"/>
        </w:rPr>
        <w:br w:type="page"/>
      </w:r>
    </w:p>
    <w:p w14:paraId="0F09B55F" w14:textId="6D9D5D69"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VIDE/SOSE had fewer than 10 mediation sessions for the FFY 2021(School Year 2021/22) APR reporting period. Thus, the VIDE/SOSE is not required to establish baseline or targets if the number of mediation sessions is less than 10.</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Virgin Islands reported fewer than ten mediations held in FFY 2021. The Virgin Islands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Virgin Islands Department of Education (VIDE), State Office of Special Education’s (SOSE) State Identified Measurable Results (SiMR), is to increase the percentage of third-grade students with disabilities who score proficient or above on state-wide reading and language assessments.</w:t>
      </w:r>
    </w:p>
    <w:p w14:paraId="43CABCA3" w14:textId="77777777" w:rsidR="00AE1972" w:rsidRPr="00781112" w:rsidRDefault="00AE1972" w:rsidP="00AE1972">
      <w:pPr>
        <w:rPr>
          <w:b/>
          <w:bCs/>
        </w:rPr>
      </w:pPr>
      <w:bookmarkStart w:id="103" w:name="_Hlk85195358"/>
      <w:r w:rsidRPr="00781112">
        <w:rPr>
          <w:b/>
          <w:bCs/>
        </w:rPr>
        <w:t>Has the SiMR changed since the last SSIP submission? (yes/no)</w:t>
      </w:r>
    </w:p>
    <w:p w14:paraId="53B392AE" w14:textId="5D60E4A2" w:rsidR="00AE1972" w:rsidRDefault="00AE1972" w:rsidP="00AE1972">
      <w:r w:rsidRPr="00781112">
        <w:t>NO</w:t>
      </w:r>
    </w:p>
    <w:bookmarkEnd w:id="103"/>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VIDE/SOSE is providing the link to its Theory of Action.</w:t>
      </w:r>
      <w:r w:rsidRPr="00781112">
        <w:br/>
      </w:r>
      <w:r w:rsidRPr="00781112">
        <w:br/>
        <w:t>https://vide.vi/our-divisions/special-education/#ssip</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8.61%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11.11%</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11.50%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12.00%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12.50%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13.00%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10</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90</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11.11%</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VIDE/SOSE's data source for FFY 2021 (School Year 2021-22) Year 7 reporting of the SSIP is the Virgin Islands Department of Education, Division of Planning Research Evaluation (PRE), the primary data source for all statewide assessment data for all students including students with disabilities. The VIDE/SOSE in turn collects the raw disaggregated student and school-level data from the division of PRE and the pre-populated data submitted via the EDFacts data platform for file specifications 175 and 178 and the data groups 583,584 and 588), to ascertain the performance of students with disabilities in third-grade, namely those who score proficient or above on state-wide reading and language assessments.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During FFY 2021, (School Year 2021/22) Year 7 reporting of Phase III, the VIDE/SOSE reconvened testing on statewide assessment for all students including students with disabilities. Students in grades 3 through 8 and 11 were tested to ascertain their academic performance on reading, language arts, and math assessments. The Virgin Islands Department of Education, State Office of </w:t>
      </w:r>
      <w:proofErr w:type="gramStart"/>
      <w:r w:rsidRPr="00781112">
        <w:rPr>
          <w:color w:val="000000" w:themeColor="text1"/>
        </w:rPr>
        <w:t>Curriculum</w:t>
      </w:r>
      <w:proofErr w:type="gramEnd"/>
      <w:r w:rsidRPr="00781112">
        <w:rPr>
          <w:color w:val="000000" w:themeColor="text1"/>
        </w:rPr>
        <w:t xml:space="preserve"> and Instruction (C&amp;I), and the Division of Planning Research Evaluation (PRE) are the primary data sources for all statewide assessment data for children with disabilities. The VIDE/SOSE in turn collects the raw disaggregated student and school-level data from the division of PRE and the pre-populated data submitted via the EDFacts data platform for file specifications 175 and 178 and the data groups 583,584 and 588). Moreover, the VIDE/SOSE analyzes the data to ensure completeness, a grouping of proficiency levels, and a tabulation of proficiency rates for students on state-wide reading and language assessments.</w:t>
      </w:r>
      <w:r w:rsidRPr="00781112">
        <w:rPr>
          <w:color w:val="000000" w:themeColor="text1"/>
        </w:rPr>
        <w:br/>
        <w:t xml:space="preserve">Additionally, the territory-wide general assessments in English Language Arts (ELA) and math (Smarter Balanced ELA and math), in this instance, ELA are administered to students in an online format except for those students that require large print or braille booklets based on their Individualized Education Program (IEP). Data for the student’s administered Statewide Assessment are collected utilizing the Online Reporting System (ORS). Further, results are available for access approximately ten (10) days after the student completes their assessment (summative). Access to specific student-level, classroom, and school-wide data is contingent on the role of the individual. For example, teachers' view is restricted to the student and classroom levels, whereas district and school leadership have access to student-specific, classroom, and school-wide data. These data are disaggregated by subgroups, for instance, students with disabilities.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Virgin Islands Department of Education, District Office of Data and Assessments provides the testing schedule for iReady adaptive Diagnostic test. This diagnostic test is utilized to ascertain what specific </w:t>
      </w:r>
      <w:proofErr w:type="gramStart"/>
      <w:r w:rsidRPr="00781112">
        <w:rPr>
          <w:color w:val="000000" w:themeColor="text1"/>
        </w:rPr>
        <w:t>skill</w:t>
      </w:r>
      <w:proofErr w:type="gramEnd"/>
      <w:r w:rsidRPr="00781112">
        <w:rPr>
          <w:color w:val="000000" w:themeColor="text1"/>
        </w:rPr>
        <w:t xml:space="preserve"> </w:t>
      </w:r>
      <w:proofErr w:type="gramStart"/>
      <w:r w:rsidRPr="00781112">
        <w:rPr>
          <w:color w:val="000000" w:themeColor="text1"/>
        </w:rPr>
        <w:t>student</w:t>
      </w:r>
      <w:proofErr w:type="gramEnd"/>
      <w:r w:rsidRPr="00781112">
        <w:rPr>
          <w:color w:val="000000" w:themeColor="text1"/>
        </w:rPr>
        <w:t xml:space="preserve"> needs to cultivate. Thus, testing occurs at the beginning of the school year, mid-year, and end of the School Year (October, January, and May). iReady data for each student are collected and analyzed through the (name of the dashboard) which utilizes results-specific algorithms utilizing historical and current data to identify and or accelerate evidence-based instructional strategies. Trained district and school leadership, and content area specialists/coordinators to extract iReady data to devise student-level, classroom-wide supportive academic and behavioral intervention programs aimed at increasing skill areas such as English Language Arts. In addition, the District Office of Data and Assessments utilizes a data dashboard as the mechanism to triangulate data from district data sources, for example, iReady, and Power School. The dashboard has the capabilities such as extracting attendance and performance data for all subgroups in an array of measurements. Moreover, the Districts Offices of the Superintendents, Curriculum and Instruction Offices of District Data and Assessment team members review iReady Data; following the reviews, the teams conduct data chats with the respective school leaders and school data teams. Professional development (PD) is conducted on district professional development days, </w:t>
      </w:r>
      <w:proofErr w:type="gramStart"/>
      <w:r w:rsidRPr="00781112">
        <w:rPr>
          <w:color w:val="000000" w:themeColor="text1"/>
        </w:rPr>
        <w:t>and also</w:t>
      </w:r>
      <w:proofErr w:type="gramEnd"/>
      <w:r w:rsidRPr="00781112">
        <w:rPr>
          <w:color w:val="000000" w:themeColor="text1"/>
        </w:rPr>
        <w:t xml:space="preserve"> when target professional development is needed. Schools also share and discuss the data chart worksheets with each parent, and in some instances, students on the higher grade level students lead the data chats with their parents.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VIDE/SOSE, existing challenges are evident, particularly with the ongoing stakeholder (internal and external) conversations; relating to the analysis and use of other data points (qualitative and quantitative) that will assist with identifying the following: strengths, challenges, and progress relative to the Coherent Improvement Strategies. These steps are critical in gauging the effectiveness </w:t>
      </w:r>
      <w:proofErr w:type="gramStart"/>
      <w:r w:rsidRPr="00781112">
        <w:rPr>
          <w:color w:val="000000" w:themeColor="text1"/>
        </w:rPr>
        <w:t>of:</w:t>
      </w:r>
      <w:proofErr w:type="gramEnd"/>
      <w:r w:rsidRPr="00781112">
        <w:rPr>
          <w:color w:val="000000" w:themeColor="text1"/>
        </w:rPr>
        <w:t xml:space="preserve"> professional development activities, evidence-based instructional academic and behavioral strategies, and improving student achievement. For these reasons, the VIDE/SOSE recognizes that it must identify action steps that will expeditiously identify areas of student, teacher, and school professional development needs for administrators and school teams. Moreover, there remains a need to restructure existing communication and meeting calendars to facilitate ongoing discussions between district leadership, school leadership, and school data (improvement) teams. </w:t>
      </w:r>
      <w:r w:rsidRPr="00781112">
        <w:rPr>
          <w:color w:val="000000" w:themeColor="text1"/>
        </w:rPr>
        <w:br/>
      </w:r>
      <w:r w:rsidRPr="00781112">
        <w:rPr>
          <w:color w:val="000000" w:themeColor="text1"/>
        </w:rPr>
        <w:br/>
        <w:t>The division of C &amp; I and PRE are aligning the collection and dissemination of data collected through the statewide assessment to better inform stakeholders on the progress of the VIDE Accountability Workbook as it aligns the needs of the VIDE/SOSE evaluation of the SiMR to upscale strategies to achieve the SiMR. The alignment of these 2 divisions to integrate data on statewide assessment into the curriculum will facilitate the collaboration among schools to plot data and conduct data chats that will become the focal point in planning the progress to achieving the SiMR.</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VIDE/SOSE’s current evaluation plan can be accessed on the Virgin Islands Department of Education’s homepage web portal www.vide.vi homepage by first clicking the "Our Divisions" tab, then clicking on Special Education.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 an attempt to improve the infrastructure, and chiefly optimize the collection and reporting capabilities for student level, compliance, results, and Section 616 and Section 618 during FFY 2021, (School Year 2021/22) Year 7 of implementation the VIDE/SOSE commenced with the preparation for the conversion to an improved online web-based special education student data management system (“EDPlan”). The VIDE/SOSE ensured that revisions and upgrades met the requirements of the United States Department of Education (USDOE), Office of Special Education Programs (OSEP), specifically, the following processes and data collection such as referral, consent and evaluation and Individuated Education Program (IEP) information. Moreover, the VIDE/SOSE met weekly with the vendors of EDPlan and discussed questions and concerns, additional needs, and status updates. Further, this student management system provides all documents as mandated by 34 CFR §300.600. The VIDE/SOSE hosted both virtual and onsite training for each LEA, for all State Office of Special Education personnel, administrators, special education teachers, school social workers, psychologists, physical, occupational, and speech and language therapists, system district managers, and paraprofessionals. The VIDE/SOSE revised and disseminated the following special education document; Notice of Procedural Safeguards (various languages), State Office of Special Education Rules, and Special Education Procedural Manual. Moreover, the VIDE/SOSE VIDE/SOSE collected qualitative and quantitative data during its Continuous Results Focused Monitoring System (CIRFMS) virtual monitoring activity for Year 7 of the SSIP’s implementation.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VIDE/SOSE collaboration with internal stakeholders is an ongoing function that informs the progress of the State’s infrastructure to upscale strategies and introduces the best evidence-based practices that will sustain the strategies for achieving the SiMR. In determining the sustainability of the State’s system, a review of the data collected showed the need for optimizing the collection and reporting of student-level data to ensure that students, parents, teachers, and education stakeholders have access to the highest level of valid and reliable data. The VIDE/SOSE utilizes several methods of collecting input for implementing systemic changes. Through its comprehensive strategic review, the State collects data from its stakeholder’s quarterly meetings and combines this with other infrastructure frameworks to evaluate its level of quality standards. The need for integrating specific-student level and grade-level strategies in a central repository has been an essential need in the State’s infrastructure for sustainability and upscaling of the CIS and TOA. The rebranding of the State’s new student data management system is the integration of the most up-to-date data platform for ensuring that all students have scientific-based strategies and goals for achieving grade-level achievement and alternate achievement standards at the school level. The use of a system with the most effective strategies and the highest level of quality control ensures that the user is afforded quality professional development and technical support to ensure best practices and outcomes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Although challenges remain during FFY 2021, (School Year 2021/22) Year 7 of implementation of its SSIP, the VIDE/SOSE remain committed to heightening the level of attainment, improvements, and modifications to the infrastructure that supports the utilization of SSIP initiatives, organizational transformations, implementation of CIS, and increasing the capacity of the VIDE/SOSE's multi-tiered system of supports (RtI and PBIS) which remains the focal point of the VIDE/SOSE. During Year 7, the VIDE/SOSE utilized all available opportunities to continue its collaborative and targeted efforts in analyzing and sustaining short and long-term outcomes, particularly sustainability, and scaling-up up each component in its Logic Models(LM). Further, the VIDE/SOSE is cognizant that it must intensify each infrastructure improvement strategy to achieve the expected outcome (s). Thus, for the reporting of Phase III Year 8 of implementation, the VIDE/SOSE will heighten its collaborative efforts with schools PLCs and report the progress of the CIS with VIDE's CORE Stakeholders. These collaborative opportunities will be used as a mechanism to introduce/reintroduce its Logic Models (LM); to novice and tenured school administrators, coordinators, school improvement team, and CORE stakeholders, with special emphasis on the coherent improvement strategies contained within the LM models. Furthermore, specific emphasis will be placed on connecting, reconnecting, and enhancing stakeholder relationships to include heightening the understanding of the roles all of which are the vehicle for improving and attaining the VIDE/SOSE’s SiMR. The VIDE/SOSE will ensure that it utilizes all collaborative opportunities for PD activities, particularly those relating to supporting, sustaining, and scaling up evidence-based strategies.  More importantly, make certain that selected </w:t>
      </w:r>
      <w:proofErr w:type="gramStart"/>
      <w:r w:rsidRPr="00781112">
        <w:rPr>
          <w:color w:val="000000" w:themeColor="text1"/>
        </w:rPr>
        <w:t>PD’s</w:t>
      </w:r>
      <w:proofErr w:type="gramEnd"/>
      <w:r w:rsidRPr="00781112">
        <w:rPr>
          <w:color w:val="000000" w:themeColor="text1"/>
        </w:rPr>
        <w:t xml:space="preserve"> are meaningful and intentional, as well as aligned with its SSIP’s improvement strategies. Also, the VIDE/SOSE will work to achieve the following: revisit roles (district and school), collaborate with each superintendent in both districts to identify a liaison, engage in dialogue with state and district leaders to solicit CORE SSIP stakeholder committee members, identify and collaborate teams’ roles; and secure and procure contractual services to provide the highest levels of evidence-based professional development instructional strategies. Furthermore, the VIDE/SOSE will continue to use Table D as the major mechanism to assist with all-inclusive planning and execution of PD activities as well as data collection and analysis </w:t>
      </w:r>
      <w:proofErr w:type="gramStart"/>
      <w:r w:rsidRPr="00781112">
        <w:rPr>
          <w:color w:val="000000" w:themeColor="text1"/>
        </w:rPr>
        <w:t>in order to</w:t>
      </w:r>
      <w:proofErr w:type="gramEnd"/>
      <w:r w:rsidRPr="00781112">
        <w:rPr>
          <w:color w:val="000000" w:themeColor="text1"/>
        </w:rPr>
        <w:t xml:space="preserve"> evaluate CIS and anticipated outcomes.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SSIP CIS implementation of the Logic Model activities is the guiding mechanism for continued progress in the implementation of evidence-based practices for FFY 2020 and FFY 2021. Despite the change to a hybrid model during FFY 2020, the State’s implementation of activities is ongoing. To ensure ongoing and scaling up professional development, the State partnered with the Division of C&amp;I and the Regional Educational Laboratory Northeast and Islands (REL. NEI) to provide a series of webinars in both districts that sustain the State’s LM. The webinars focused on strategies to implement high-quality instructional practices for English learners in the general education environment and were presented on a recurring basis. </w:t>
      </w:r>
      <w:r w:rsidRPr="00781112">
        <w:rPr>
          <w:color w:val="000000" w:themeColor="text1"/>
        </w:rPr>
        <w:br/>
      </w:r>
      <w:r w:rsidRPr="00781112">
        <w:rPr>
          <w:color w:val="000000" w:themeColor="text1"/>
        </w:rPr>
        <w:br/>
        <w:t xml:space="preserve">The use of Differentiated Instruction/Learning (DI) in districts’ schools has been the main course of instructional pedagogy supported by schools including pilot schools. The level of implementation with fidelity of this mode of instruction will increase the performance of reading scores and ultimately achieve the State’s SiMR. The State utilizes the LM to evaluate the implementation of DI for evidence of academic growth.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During FFY 2021, (School Year 2021/22) Year 7 the VIDE/SOSE implementation and quality of professional development were still experiencing challenges related to the effects of school closures due to the Pandemic. While restrictions to a full personal learning environment were limited to a hybrid model, the State’s CIS provided for ongoing supportive professional development. The state worked closely with its core stakeholders to ensure the use of evidence-based practices was sustained thus, district schools engaged in using data collection from iReady, and Literacy Interventions (Fountas and Pinnell) to guide schools' implementation of best practices. Additionally, for FFY 2021 the VIDE SIP building Literacy Proficiency in Reading and Language and data platforms are in pre-pandemic mode these platforms will be used by schools' PLCs to drive academic instruction and decisions at the school level.</w:t>
      </w:r>
      <w:r w:rsidRPr="00781112">
        <w:rPr>
          <w:color w:val="000000" w:themeColor="text1"/>
        </w:rPr>
        <w:br/>
      </w:r>
      <w:r w:rsidRPr="00781112">
        <w:rPr>
          <w:color w:val="000000" w:themeColor="text1"/>
        </w:rPr>
        <w:br/>
        <w:t>For FFY 2021 (School Year 2021/22) Year 7 reporting of Phase III, all evidence-based practices were carried out through online webinars. The ongoing provision of webinars to support professional development for elementary school was in response to the limitations of in-person instruction and co-existing limitations of switching to a full virtual instructional platform. The webinars were all geared towards improving outcomes, specifically, literacy and language acquisition. The webinars helped build capacity in using instructional strategies within a multi-tiered system of support and behavioral support system which are all part of the SSIP LM.</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04"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104"/>
    <w:p w14:paraId="3E043DB7" w14:textId="7C3B2CD4" w:rsidR="00AE1972" w:rsidRPr="00781112" w:rsidRDefault="00AE1972" w:rsidP="00AE1972">
      <w:pPr>
        <w:rPr>
          <w:b/>
          <w:bCs/>
        </w:rPr>
      </w:pPr>
      <w:r w:rsidRPr="00781112">
        <w:rPr>
          <w:color w:val="000000" w:themeColor="text1"/>
        </w:rPr>
        <w:t>During FFY 2021 (School Year 2021/22) year 7 of implementation the VIDE/SOSE continued to support activities such as professional development for teachers premised on strategies in its Positive Behavioral Intervention and Supports(PBIS) Logic Model, which is aimed at improving school-wide academic and behavioral practices. The VIDE/SOSE continues to support activities such as professional development for teachers through off and on-island modes that are premised on strategies in its Positive Behavioral Intervention and Supports(PBIS) Logic Model, which is aimed at improving school-wide academic and behavioral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During FFY 2021 (School Year 2021/2022) for Year 7 of implementation the VIDE/SOSE used its Continuous Improvement Results Focused Monitoring System as a means of assessing/supporting the level of practice and program effectiveness.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VIDE/SOSE secured iReady and Statewide proficiency data for FFY (School Year 2021/2022), Year 7 of implementation, the results of these data sets to support the need not only to continue the ongoing use of evidenced-based strategies(EBS), but the need to intensify its collaboration, supports that will aid with increasing the knowledge and skills of school teams, special and regular education teachers, data teams on the use of effective EBS to increase student performance/growth.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Although challenges remain the VIDE/SOSE remain committed to heightening the level of attainment, improvements, and modifications to the infrastructure that supports the utilization of SSIP initiatives, organizational transformations, implementation of CIS, and increasing the capacity of the VIDE/SOSE's multi-tiered system of supports (RtI and PBIS) remains the focal point of the VIDE/SOSE. During Year 7, the VIDE/SOSE utilized all available opportunities to continue its collaborative and targeted efforts in analyzing and sustaining short and long-term outcomes, particularly sustainability, and scaling-up up each component in its Logic Models (LM). Further, the VIDE/SOSE is cognizant that it must intensify each infrastructure improvement strategy to achieve the expected outcome (s). Thus, for the reporting of Phase III Year 8 of implementation, the VIDE/SOSE will heighten its collaborative efforts with schools PLCs and report the progress of the CIS with VIDE's CORE stakeholders. These collaborative opportunities will be used as a mechanism to introduce/reintroduce its Logic Models (LM); to novice and tenured school administrators, coordinators, school improvement team, and CORE stakeholders, with special emphasis on the coherent improvement strategies contained within the LM models. Furthermore, specific emphasis will be placed on connecting, reconnecting, and enhancing stakeholder relationships to include heightening the understanding of the roles all of which are the vehicle for improving and attaining the VIDE/SOSE’s SiMR. The VIDE/SOSE will ensure that it utilizes all collaborative opportunities for PD activities, particularly those relating to supporting, sustaining, and scaling up evidence-based strategies, more importantly, make certain that selected </w:t>
      </w:r>
      <w:proofErr w:type="gramStart"/>
      <w:r w:rsidRPr="00781112">
        <w:rPr>
          <w:color w:val="000000" w:themeColor="text1"/>
        </w:rPr>
        <w:t>PD’s</w:t>
      </w:r>
      <w:proofErr w:type="gramEnd"/>
      <w:r w:rsidRPr="00781112">
        <w:rPr>
          <w:color w:val="000000" w:themeColor="text1"/>
        </w:rPr>
        <w:t xml:space="preserve"> are meaningful and intentional, as well as aligned with its SSIP’s improvement strategies. Also, the VIDE/SOSE will work to achieve the following: revisit roles (district and school), collaborate with each superintendent in both districts to identify a liaison, engage in dialogue with state and district leaders to solicit CORE SSIP stakeholder committee members, identify and collaborate teams’ roles; and secure and procure contractual services to provide the high levels of evidence-based professional development instructional strategies. Furthermore, the VIDE/SOSE will continue to use Table D as the major mechanism to assist with all-inclusive planning and execution of PD activities as well as data collection and analysis in order to evaluate CIS and anticipated outcomes.</w:t>
      </w:r>
      <w:r w:rsidRPr="00781112">
        <w:rPr>
          <w:color w:val="000000" w:themeColor="text1"/>
        </w:rPr>
        <w:br/>
      </w:r>
      <w:r w:rsidRPr="00781112">
        <w:rPr>
          <w:color w:val="000000" w:themeColor="text1"/>
        </w:rPr>
        <w:br/>
        <w:t xml:space="preserve">Additionally, the VIDE/SOSE through collaboration with CORE Stakeholders will concentrate its efforts on the re-alignment of its evidence-based professional development that will address the need of all elementary schools in the territory to employ all the necessary resources in the recovery of loss of learning caused by the Pandemic. The VIDE Core Stakeholders have met with all school leaders and activated a system of accountability across all schools. This collaboration with school-building leaders in ensuring accountability across academic performance has led to a collection of specific academic and behavioral data that will highlight the scope and level of MTSS implementation across all schools. School building leaders will ensure that the use of a measure such as rate of instructions and other interventions are maximized for all Tiers 2 and 3 learners, additionally, the use of these measures will formulate the basis for all academic core instruction across all grade levels. This will improve academic performance and achievement in reading for all English Learners. School Planning Learning Committees will align the necessary interventions for optimum academic achievement. For example, each school will be instructed to identify the areas of academic and behavioral supports contributing to learning loss/gaps in order to improve academic achievement in one </w:t>
      </w:r>
      <w:proofErr w:type="gramStart"/>
      <w:r w:rsidRPr="00781112">
        <w:rPr>
          <w:color w:val="000000" w:themeColor="text1"/>
        </w:rPr>
        <w:t>hand, and</w:t>
      </w:r>
      <w:proofErr w:type="gramEnd"/>
      <w:r w:rsidRPr="00781112">
        <w:rPr>
          <w:color w:val="000000" w:themeColor="text1"/>
        </w:rPr>
        <w:t xml:space="preserve"> improve reading proficiency in statewide assessments on the other hand. The VIDE/SOSE CORE Stakeholders' short-term goal is to improve the reading proficiency of all English Learners in third grade. The anticipated outcomes are to improve with efficacy the implementation of evidence-based teaching strategies and improve the overall performance of reading proficiency for all English Learners, especially, </w:t>
      </w:r>
      <w:proofErr w:type="gramStart"/>
      <w:r w:rsidRPr="00781112">
        <w:rPr>
          <w:color w:val="000000" w:themeColor="text1"/>
        </w:rPr>
        <w:t>third-grade</w:t>
      </w:r>
      <w:proofErr w:type="gramEnd"/>
      <w:r w:rsidRPr="00781112">
        <w:rPr>
          <w:color w:val="000000" w:themeColor="text1"/>
        </w:rPr>
        <w:t xml:space="preserve"> reading proficiency which is aligned with the Virgin Islands Department of Education Strategic Plan.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 VIDE/SOSE will continue its implementation of its SSIP, with an intensive focus on a robust partnership with other VIDE CORE internal stakeholders on the implementation of evidence-based strategies that support the activities within the VIDE/SOSE's Logic Models. Some of these strategies are unpacking the data (data points) Universal Design for Learning (UDL), and Differentiated Instruction (DI),</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For FFY 2021 (School Year 2021/22) the VID/SOSE continues with the expanded mode for Indicator clusters which concentrates on specific indicators. This ensures that each cluster of indicators has representatives in all areas. For instance, the VIDE/SOSE’s SSIP cluster of indicators is 3, 5, and SSIP. Moreover, this redesign includes the following, and is not limited to parents/guardians of preschool children receiving special education and related services, district and school administrators, district directors of special education, school counselors, preschool special and regular education teachers (preschool), content area specialists, grade-level educational diagnostic team members, and outside linking agencies. Furthermore, the VIDE/SOSE will work closely with the District Office of Special Education with district-level activities such as parental roundtable meetings and monthly newsletters.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During FFY 2021 (School Year 2021/22) Year 7 implementation, VIDE/SOSE strategically used district leadership and departmental meeting opportunities to inform, share progress and areas for improvement and engage its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The VIDE/SOSE has no newly described activities to be implemented for the reporting FFY 2022. (School Year 2022/23).  In year 8 of implementation, the VIDE/SOSE will continue with the activities included in Table D which was submitted in April 2020.</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The VIDE/SOSE has not identified any new activities.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For FFY 2021 (School Year 2021/22) Year 8 reporting for the SSIP, further, throughout the reporting phases, the VIDE/SOSE's noted that it anticipated barriers to developing a plan with the CORE internal stakeholders. For example, District and State Offices of Curriculum and Instruction District Superintendent's Offices, District Offices of Data and Assessment, and School, and District Professional Learning Communities (PLCs). One of the steps to address the barriers is collaborating with the respective stakeholder members to brainstorm and devise a plan in partnership with these stakeholder group members. The aim of this plan is that it is closely linked to each Logic Model, namely the Short and Long-Term Outcomes. Moreover, through this Plan, the VIDE/SOSE will have a mechanism to ensure continuous stakeholder communication and cooperative collaborative efforts to improve performance for third-grade students with disabilities on reading language arts assessments. The next stage is to commence with a series of intentional dialogues with State and District Leadership to include District Content Coordinators to ascertain the level of support needed that will impact the implementation of evidence-based instructional strategies geared towards improving teacher knowledge and skills that will ultimately impact the performance of all students, particularly students with disabilities in the third grade.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VIDE/SOSE reconvened its Cluster Stakeholders for Indicators 3, 5, and 17 </w:t>
      </w:r>
      <w:proofErr w:type="gramStart"/>
      <w:r w:rsidRPr="00781112">
        <w:rPr>
          <w:color w:val="000000" w:themeColor="text1"/>
        </w:rPr>
        <w:t>in order to</w:t>
      </w:r>
      <w:proofErr w:type="gramEnd"/>
      <w:r w:rsidRPr="00781112">
        <w:rPr>
          <w:color w:val="000000" w:themeColor="text1"/>
        </w:rPr>
        <w:t xml:space="preserve"> review and recommend targets that demonstrate improvements for this indicator over the 5-year targets of this SPP/APR. The State Cluster Stakeholders used the data collected and reported for this indicator to build a framework for building capacity within the State Curriculum and Instructions Literacy Improvement Plan and the VIDE School-Wide Strategic Improvement Plan designed to improve literacy outcomes for ELA and increase the proficiency rates in reading comprehension for children with disabilities in grades 3 as specified in the State Improvement Measurable Results. The Cluster Stakeholders verified the data collected for this indicator which is the percentage of third-grade students with disabilities who score proficient or above on state-wide reading and language assessments and verified this data collected. The Stakeholders agreed that the data represented is as followed: Students who scored proficient 10 divided by the total number of students assessed 90 = 11.11% Students in 3rd grade scored proficient or above on state-wide reading and language assessments.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Virgin Islands did not provide data for FFY 2020. Virgin Islands must provide the required data for FFY 2021 in the FFY 2021 SPP/APR. </w:t>
      </w:r>
      <w:r w:rsidRPr="00781112">
        <w:rPr>
          <w:color w:val="000000" w:themeColor="text1"/>
        </w:rPr>
        <w:br/>
      </w:r>
      <w:r w:rsidRPr="00781112">
        <w:rPr>
          <w:color w:val="000000" w:themeColor="text1"/>
        </w:rPr>
        <w:br/>
        <w:t>OSEP notes that one or more of the Indicator 17 attachment(s) included in Virgin Islands FFY 2020 SPP/APR submission are not in compliance with Section 508 of the Rehabilitation Act of 1973, as amended (Section 508), and will not be posted on the U.S. Department of Education’s IDEA website. Therefore, Virgin Islands must make the attachment(s) available to the public as soon as practicable, but no later than 120 days after the date of the determination letter.</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As required by OSEP the VIDE/SOSE’s attachments for FFYs 2020 Indicator B17 can be accessed on the Virgin Islands Department of Education’s homepage web portal www.vide.vi homepage by first clicking the "Our Divisions" tab, then clicking on Special Education.</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Virgin Islands revised its FFY 2021 through FFY 2025 targets for this indicator, and OSEP accepts those targets.</w:t>
      </w:r>
      <w:r w:rsidRPr="00781112">
        <w:rPr>
          <w:color w:val="000000" w:themeColor="text1"/>
        </w:rPr>
        <w:br/>
      </w:r>
      <w:r w:rsidRPr="00781112">
        <w:rPr>
          <w:color w:val="000000" w:themeColor="text1"/>
        </w:rPr>
        <w:br/>
        <w:t xml:space="preserve">The Virgin Islands did not provide data for FFY 2021 for this Indicator; however, the Virgin Islands provided data to the Department under Title I of ESEA using </w:t>
      </w:r>
      <w:proofErr w:type="spellStart"/>
      <w:r w:rsidRPr="00781112">
        <w:rPr>
          <w:color w:val="000000" w:themeColor="text1"/>
        </w:rPr>
        <w:t>EdFacts</w:t>
      </w:r>
      <w:proofErr w:type="spellEnd"/>
      <w:r w:rsidRPr="00781112">
        <w:rPr>
          <w:color w:val="000000" w:themeColor="text1"/>
        </w:rPr>
        <w:t xml:space="preserve"> file specifications 178 and 188.</w:t>
      </w:r>
      <w:r w:rsidRPr="00781112">
        <w:rPr>
          <w:color w:val="000000" w:themeColor="text1"/>
        </w:rPr>
        <w:br/>
      </w:r>
      <w:r w:rsidRPr="00781112">
        <w:rPr>
          <w:color w:val="000000" w:themeColor="text1"/>
        </w:rPr>
        <w:br/>
        <w:t xml:space="preserve">The Virgin Islands did not provide the numerator and denominator descriptions in the FFY 2021 SPP/APR Data table.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The Virgin Islands did not, as required by the Measurement Table, provide: (1) FFY 2021 data for this indicator, and (2) the numerator and denominator descriptions in the FFY 2021 SPP/APR Data table. </w:t>
      </w:r>
      <w:r w:rsidRPr="00781112">
        <w:rPr>
          <w:color w:val="000000" w:themeColor="text1"/>
        </w:rPr>
        <w:br/>
        <w:t>In the FFY 2022 SPP/APR, the Virgin Islands must report all required data and components in this indicator. Reporting data under this indicator is critical so that the Virgin Islands, OSEP and the public can determine the Virgin Island’s performance and whether and how the Virgin Islands met its targets for this indicator. OSEP may consider taking additional actions if the Virgin Islands is unable to report the required data in its FFY 2022 SPP/APR.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5"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Renee </w:t>
      </w:r>
      <w:proofErr w:type="spellStart"/>
      <w:r w:rsidRPr="00781112">
        <w:rPr>
          <w:rFonts w:cs="Arial"/>
          <w:color w:val="000000" w:themeColor="text1"/>
          <w:szCs w:val="16"/>
        </w:rPr>
        <w:t>Charleswell</w:t>
      </w:r>
      <w:proofErr w:type="spellEnd"/>
      <w:r w:rsidRPr="00781112">
        <w:rPr>
          <w:rFonts w:cs="Arial"/>
          <w:color w:val="000000" w:themeColor="text1"/>
          <w:szCs w:val="16"/>
        </w:rPr>
        <w:t>, Ph.D.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Deputy Commissioner of C &amp; I</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renee.charleswell@vide.vi</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340-774-0100</w:t>
      </w:r>
    </w:p>
    <w:bookmarkEnd w:id="105"/>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3:37:08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Default="00BE0EEF" w:rsidP="00BE0EEF">
      <w:pPr>
        <w:pStyle w:val="Heading2"/>
      </w:pPr>
      <w:r w:rsidRPr="00395B6C">
        <w:t>RDA Matrix</w:t>
      </w:r>
    </w:p>
    <w:p w14:paraId="02C651FA" w14:textId="79D98FEB" w:rsidR="005F18E9" w:rsidRPr="005F18E9" w:rsidRDefault="005F18E9" w:rsidP="005F18E9">
      <w:pPr>
        <w:rPr>
          <w:b/>
          <w:bCs/>
          <w:sz w:val="20"/>
          <w:szCs w:val="28"/>
        </w:rPr>
      </w:pPr>
      <w:r w:rsidRPr="005F18E9">
        <w:rPr>
          <w:b/>
          <w:bCs/>
          <w:sz w:val="20"/>
          <w:szCs w:val="28"/>
        </w:rPr>
        <w:t>US Virgin Islands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66.67%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54DB767E" w14:textId="77777777" w:rsidR="00F44DA8" w:rsidRDefault="00F44DA8" w:rsidP="00BE0EEF">
      <w:pPr>
        <w:rPr>
          <w:rFonts w:cs="Arial"/>
          <w:b/>
          <w:bCs/>
          <w:szCs w:val="16"/>
        </w:rPr>
      </w:pPr>
    </w:p>
    <w:p w14:paraId="3111276A" w14:textId="42D73365"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2</w:t>
            </w:r>
          </w:p>
        </w:tc>
        <w:tc>
          <w:tcPr>
            <w:tcW w:w="1218" w:type="pct"/>
          </w:tcPr>
          <w:p w14:paraId="0E3866D0" w14:textId="74D5D84B" w:rsidR="00E1330D" w:rsidRPr="00210AC6" w:rsidRDefault="00E1330D" w:rsidP="00E1330D">
            <w:pPr>
              <w:rPr>
                <w:rFonts w:cs="Arial"/>
                <w:szCs w:val="16"/>
              </w:rPr>
            </w:pPr>
            <w:r w:rsidRPr="00210AC6">
              <w:rPr>
                <w:rFonts w:cs="Arial"/>
                <w:szCs w:val="16"/>
              </w:rPr>
              <w:t>25.00%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94.44%</w:t>
            </w:r>
          </w:p>
        </w:tc>
      </w:tr>
    </w:tbl>
    <w:p w14:paraId="5CE641AE" w14:textId="77777777" w:rsidR="00F44DA8" w:rsidRDefault="00F44DA8" w:rsidP="00BE0EEF">
      <w:pPr>
        <w:rPr>
          <w:rFonts w:cs="Arial"/>
          <w:b/>
          <w:bCs/>
          <w:szCs w:val="16"/>
        </w:rPr>
      </w:pPr>
    </w:p>
    <w:p w14:paraId="5A13FEB8" w14:textId="025DA096" w:rsidR="00BE0EEF" w:rsidRDefault="00BE0EEF" w:rsidP="00BE0EEF">
      <w:pPr>
        <w:rPr>
          <w:rFonts w:cs="Arial"/>
          <w:b/>
          <w:bCs/>
          <w:szCs w:val="16"/>
        </w:rPr>
      </w:pPr>
      <w:r w:rsidRPr="00210AC6">
        <w:rPr>
          <w:rFonts w:cs="Arial"/>
          <w:b/>
          <w:bCs/>
          <w:szCs w:val="16"/>
        </w:rPr>
        <w:t>2023 Part B Results Matrix</w:t>
      </w:r>
    </w:p>
    <w:p w14:paraId="2D241D87" w14:textId="77777777" w:rsidR="00F44DA8" w:rsidRDefault="00F44DA8" w:rsidP="00353EB1">
      <w:pPr>
        <w:rPr>
          <w:rFonts w:cs="Arial"/>
          <w:b/>
          <w:bCs/>
          <w:szCs w:val="16"/>
        </w:rPr>
      </w:pPr>
    </w:p>
    <w:p w14:paraId="54FF45BF" w14:textId="087289FB"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0544267C" w:rsidR="00416FE7" w:rsidRPr="00210AC6" w:rsidRDefault="00F44DA8" w:rsidP="00416FE7">
            <w:pPr>
              <w:rPr>
                <w:rFonts w:cs="Arial"/>
                <w:szCs w:val="16"/>
              </w:rPr>
            </w:pPr>
            <w:r>
              <w:rPr>
                <w:rFonts w:cs="Arial"/>
                <w:szCs w:val="16"/>
              </w:rPr>
              <w:t>*</w:t>
            </w:r>
          </w:p>
        </w:tc>
        <w:tc>
          <w:tcPr>
            <w:tcW w:w="833" w:type="pct"/>
          </w:tcPr>
          <w:p w14:paraId="24CF081D" w14:textId="4C5055FB" w:rsidR="00416FE7" w:rsidRPr="00210AC6" w:rsidRDefault="00416FE7" w:rsidP="00416FE7">
            <w:pPr>
              <w:rPr>
                <w:rFonts w:cs="Arial"/>
                <w:szCs w:val="16"/>
              </w:rPr>
            </w:pPr>
            <w:r w:rsidRPr="00210AC6">
              <w:rPr>
                <w:rFonts w:cs="Arial"/>
                <w:szCs w:val="16"/>
              </w:rPr>
              <w:t>1</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150B530D" w14:textId="3F8CA9E4" w:rsidR="00F44DA8" w:rsidRDefault="00F44DA8" w:rsidP="00BE0EEF">
      <w:pPr>
        <w:rPr>
          <w:rFonts w:cs="Arial"/>
          <w:b/>
          <w:bCs/>
          <w:szCs w:val="16"/>
        </w:rPr>
      </w:pPr>
      <w:r>
        <w:rPr>
          <w:rFonts w:cs="Arial"/>
          <w:szCs w:val="16"/>
        </w:rPr>
        <w:t>*Due to privacy concerns the Department has chosen to suppress this calculation.</w:t>
      </w:r>
    </w:p>
    <w:p w14:paraId="6D8054D0" w14:textId="77777777" w:rsidR="00F44DA8" w:rsidRDefault="00F44DA8" w:rsidP="00BE0EEF">
      <w:pPr>
        <w:rPr>
          <w:rFonts w:cs="Arial"/>
          <w:b/>
          <w:bCs/>
          <w:szCs w:val="16"/>
        </w:rPr>
      </w:pPr>
    </w:p>
    <w:p w14:paraId="07CD2882" w14:textId="6E7DDC7B"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72F52D49" w:rsidR="00FB3CF2" w:rsidRPr="00210AC6" w:rsidRDefault="00F44DA8"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1</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26B2A12B" w14:textId="125E57D6" w:rsidR="00570930" w:rsidRDefault="00F44DA8">
      <w:pPr>
        <w:spacing w:before="0" w:after="200" w:line="276" w:lineRule="auto"/>
        <w:rPr>
          <w:rFonts w:cs="Arial"/>
          <w:b/>
          <w:bCs/>
          <w:szCs w:val="16"/>
        </w:rPr>
      </w:pPr>
      <w:r>
        <w:rPr>
          <w:rFonts w:cs="Arial"/>
          <w:szCs w:val="16"/>
        </w:rPr>
        <w:t>*Due to privacy concerns the Department has chosen to suppress this calculation.</w:t>
      </w:r>
      <w:r w:rsidR="00570930">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28</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0</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54</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100.00%</w:t>
            </w:r>
          </w:p>
        </w:tc>
        <w:tc>
          <w:tcPr>
            <w:tcW w:w="832" w:type="pct"/>
          </w:tcPr>
          <w:p w14:paraId="379B6676" w14:textId="76488CD7" w:rsidR="00AA1152" w:rsidRPr="00210AC6" w:rsidRDefault="00AA1152" w:rsidP="00AA1152">
            <w:pPr>
              <w:rPr>
                <w:rFonts w:cs="Arial"/>
                <w:szCs w:val="16"/>
              </w:rPr>
            </w:pPr>
            <w:r w:rsidRPr="00210AC6">
              <w:rPr>
                <w:rFonts w:cs="Arial"/>
                <w:szCs w:val="16"/>
              </w:rPr>
              <w:t>N/A</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97.37%</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100.00%</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93.32%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t>Data Rubric</w:t>
      </w:r>
    </w:p>
    <w:p w14:paraId="75988C6A" w14:textId="77777777" w:rsidR="005F18E9" w:rsidRPr="005F18E9" w:rsidRDefault="005F18E9" w:rsidP="005F18E9">
      <w:pPr>
        <w:rPr>
          <w:b/>
          <w:bCs/>
          <w:sz w:val="20"/>
          <w:szCs w:val="28"/>
        </w:rPr>
      </w:pPr>
      <w:r w:rsidRPr="005F18E9">
        <w:rPr>
          <w:b/>
          <w:bCs/>
          <w:sz w:val="20"/>
          <w:szCs w:val="28"/>
        </w:rPr>
        <w:t>US Virgin Islands</w:t>
      </w:r>
    </w:p>
    <w:p w14:paraId="32335033" w14:textId="77777777" w:rsidR="005F18E9" w:rsidRPr="005F18E9" w:rsidRDefault="005F18E9" w:rsidP="005F18E9"/>
    <w:p w14:paraId="27E7D5D5" w14:textId="314242AE" w:rsidR="00110BB6" w:rsidRDefault="00110BB6" w:rsidP="00110BB6">
      <w:pPr>
        <w:jc w:val="center"/>
      </w:pPr>
      <w:r>
        <w:t>FFY 2021 APR</w:t>
      </w:r>
      <w:r w:rsidR="00A47134">
        <w:rPr>
          <w:rStyle w:val="FootnoteReference"/>
        </w:rPr>
        <w:footnoteReference w:id="1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0</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0.9332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93.32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5227B9E6" w14:textId="77777777" w:rsidR="005F18E9" w:rsidRDefault="005F18E9">
      <w:pPr>
        <w:spacing w:before="0" w:after="200" w:line="276" w:lineRule="auto"/>
      </w:pPr>
    </w:p>
    <w:p w14:paraId="10BA59E7" w14:textId="2E899A74" w:rsidR="0058254D" w:rsidRDefault="005F18E9">
      <w:pPr>
        <w:spacing w:before="0" w:after="200" w:line="276" w:lineRule="auto"/>
      </w:pPr>
      <w:r>
        <w:object w:dxaOrig="1540" w:dyaOrig="997" w14:anchorId="4D22862D">
          <v:shape id="_x0000_i1026" type="#_x0000_t75" alt="VI-B-DR-2021-22" style="width:79.5pt;height:50.1pt" o:ole="">
            <v:imagedata r:id="rId12" o:title=""/>
          </v:shape>
          <o:OLEObject Type="Embed" ProgID="Acrobat.Document.DC" ShapeID="_x0000_i1026" DrawAspect="Icon" ObjectID="_1752897844" r:id="rId13"/>
        </w:object>
      </w:r>
      <w:r w:rsidR="0058254D">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7EFF4DE0" w:rsidR="00D84A0A" w:rsidRPr="00D733C3" w:rsidRDefault="00C160F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6" w:name="Introduction"/>
      <w:bookmarkStart w:id="107" w:name="_Hlk124349373"/>
      <w:bookmarkEnd w:id="3"/>
      <w:bookmarkEnd w:id="106"/>
      <w:bookmarkEnd w:id="107"/>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AFDD" w14:textId="77777777" w:rsidR="00D80788" w:rsidRDefault="00D80788" w:rsidP="000802F7">
      <w:pPr>
        <w:spacing w:before="0" w:after="0"/>
      </w:pPr>
      <w:r>
        <w:separator/>
      </w:r>
    </w:p>
  </w:endnote>
  <w:endnote w:type="continuationSeparator" w:id="0">
    <w:p w14:paraId="1425C74B" w14:textId="77777777" w:rsidR="00D80788" w:rsidRDefault="00D80788" w:rsidP="000802F7">
      <w:pPr>
        <w:spacing w:before="0" w:after="0"/>
      </w:pPr>
      <w:r>
        <w:continuationSeparator/>
      </w:r>
    </w:p>
  </w:endnote>
  <w:endnote w:type="continuationNotice" w:id="1">
    <w:p w14:paraId="2FBE51F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C160F0" w:rsidRDefault="00C160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2B79" w14:textId="77777777" w:rsidR="00D80788" w:rsidRDefault="00D80788" w:rsidP="000802F7">
      <w:pPr>
        <w:spacing w:before="0" w:after="0"/>
      </w:pPr>
      <w:r>
        <w:separator/>
      </w:r>
    </w:p>
  </w:footnote>
  <w:footnote w:type="continuationSeparator" w:id="0">
    <w:p w14:paraId="6EC24720" w14:textId="77777777" w:rsidR="00D80788" w:rsidRDefault="00D80788" w:rsidP="000802F7">
      <w:pPr>
        <w:spacing w:before="0" w:after="0"/>
      </w:pPr>
      <w:r>
        <w:continuationSeparator/>
      </w:r>
    </w:p>
  </w:footnote>
  <w:footnote w:type="continuationNotice" w:id="1">
    <w:p w14:paraId="702D920B" w14:textId="77777777" w:rsidR="00D80788" w:rsidRDefault="00D80788">
      <w:pPr>
        <w:spacing w:before="0" w:after="0"/>
      </w:pPr>
    </w:p>
  </w:footnote>
  <w:footnote w:id="2">
    <w:p w14:paraId="53BDCD51" w14:textId="51D56E44" w:rsidR="005F18E9" w:rsidRPr="005F18E9" w:rsidRDefault="005F18E9" w:rsidP="005F18E9">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3CC17936" w14:textId="2B918CE2" w:rsidR="005F18E9" w:rsidRPr="005F18E9" w:rsidRDefault="005F18E9" w:rsidP="005F18E9">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3B1A9149" w14:textId="6B3450FE" w:rsidR="004E3F2D" w:rsidRDefault="004E3F2D">
      <w:pPr>
        <w:pStyle w:val="FootnoteText"/>
      </w:pPr>
      <w:r w:rsidRPr="004E3F2D">
        <w:rPr>
          <w:rStyle w:val="FootnoteReference"/>
          <w:sz w:val="16"/>
          <w:szCs w:val="16"/>
        </w:rPr>
        <w:footnoteRef/>
      </w:r>
      <w:r w:rsidRPr="004E3F2D">
        <w:rPr>
          <w:sz w:val="16"/>
          <w:szCs w:val="16"/>
        </w:rPr>
        <w:t xml:space="preserve"> Data suppressed due to small cell size.</w:t>
      </w:r>
    </w:p>
  </w:footnote>
  <w:footnote w:id="5">
    <w:p w14:paraId="790F91D1" w14:textId="14EA8819" w:rsidR="004E3F2D" w:rsidRDefault="004E3F2D">
      <w:pPr>
        <w:pStyle w:val="FootnoteText"/>
      </w:pPr>
      <w:r w:rsidRPr="004E3F2D">
        <w:rPr>
          <w:rStyle w:val="FootnoteReference"/>
          <w:sz w:val="16"/>
          <w:szCs w:val="16"/>
        </w:rPr>
        <w:footnoteRef/>
      </w:r>
      <w:r w:rsidRPr="004E3F2D">
        <w:rPr>
          <w:sz w:val="16"/>
          <w:szCs w:val="16"/>
        </w:rPr>
        <w:t xml:space="preserve"> Data suppressed due to small cell size.</w:t>
      </w:r>
    </w:p>
  </w:footnote>
  <w:footnote w:id="6">
    <w:p w14:paraId="23645FF2" w14:textId="18ADD989" w:rsidR="004E3F2D" w:rsidRDefault="004E3F2D">
      <w:pPr>
        <w:pStyle w:val="FootnoteText"/>
      </w:pPr>
      <w:r w:rsidRPr="004E3F2D">
        <w:rPr>
          <w:rStyle w:val="FootnoteReference"/>
          <w:sz w:val="16"/>
          <w:szCs w:val="16"/>
        </w:rPr>
        <w:footnoteRef/>
      </w:r>
      <w:r w:rsidRPr="004E3F2D">
        <w:rPr>
          <w:sz w:val="16"/>
          <w:szCs w:val="16"/>
        </w:rPr>
        <w:t xml:space="preserve"> Data suppressed due to small cell size.</w:t>
      </w:r>
    </w:p>
  </w:footnote>
  <w:footnote w:id="7">
    <w:p w14:paraId="6CD68E9F" w14:textId="7D04F000" w:rsidR="00AF1F57" w:rsidRDefault="00AF1F57">
      <w:pPr>
        <w:pStyle w:val="FootnoteText"/>
      </w:pPr>
      <w:r w:rsidRPr="00AF1F57">
        <w:rPr>
          <w:rStyle w:val="FootnoteReference"/>
          <w:sz w:val="16"/>
          <w:szCs w:val="16"/>
        </w:rPr>
        <w:footnoteRef/>
      </w:r>
      <w:r w:rsidRPr="00AF1F57">
        <w:rPr>
          <w:sz w:val="16"/>
          <w:szCs w:val="16"/>
        </w:rPr>
        <w:t xml:space="preserve"> Data suppressed due to small cell size.</w:t>
      </w:r>
    </w:p>
  </w:footnote>
  <w:footnote w:id="8">
    <w:p w14:paraId="75AAB3D0" w14:textId="6B45FBC9" w:rsidR="000D0D16" w:rsidRDefault="000D0D16">
      <w:pPr>
        <w:pStyle w:val="FootnoteText"/>
      </w:pPr>
      <w:r w:rsidRPr="000D0D16">
        <w:rPr>
          <w:rStyle w:val="FootnoteReference"/>
          <w:sz w:val="16"/>
          <w:szCs w:val="16"/>
        </w:rPr>
        <w:footnoteRef/>
      </w:r>
      <w:r w:rsidRPr="000D0D16">
        <w:rPr>
          <w:sz w:val="16"/>
          <w:szCs w:val="16"/>
        </w:rPr>
        <w:t xml:space="preserve"> Data suppressed due to small cell size.</w:t>
      </w:r>
    </w:p>
  </w:footnote>
  <w:footnote w:id="9">
    <w:p w14:paraId="7256E91D" w14:textId="6ACCE955" w:rsidR="000D0D16" w:rsidRDefault="000D0D16" w:rsidP="000D0D16">
      <w:pPr>
        <w:pStyle w:val="FootnoteText"/>
      </w:pPr>
      <w:r w:rsidRPr="000D0D16">
        <w:rPr>
          <w:rStyle w:val="FootnoteReference"/>
          <w:sz w:val="16"/>
          <w:szCs w:val="16"/>
        </w:rPr>
        <w:footnoteRef/>
      </w:r>
      <w:r w:rsidRPr="000D0D16">
        <w:rPr>
          <w:sz w:val="16"/>
          <w:szCs w:val="16"/>
        </w:rPr>
        <w:t xml:space="preserve"> Data suppressed due to small cell size.</w:t>
      </w:r>
    </w:p>
  </w:footnote>
  <w:footnote w:id="10">
    <w:p w14:paraId="5DBA92E4" w14:textId="7095F9FE" w:rsidR="00F03E64" w:rsidRDefault="00F03E64">
      <w:pPr>
        <w:pStyle w:val="FootnoteText"/>
      </w:pPr>
      <w:r w:rsidRPr="00F03E64">
        <w:rPr>
          <w:rStyle w:val="FootnoteReference"/>
          <w:sz w:val="16"/>
          <w:szCs w:val="16"/>
        </w:rPr>
        <w:footnoteRef/>
      </w:r>
      <w:r w:rsidRPr="00F03E64">
        <w:rPr>
          <w:sz w:val="16"/>
          <w:szCs w:val="16"/>
        </w:rPr>
        <w:t xml:space="preserve"> Data suppressed due to small cell size.</w:t>
      </w:r>
    </w:p>
  </w:footnote>
  <w:footnote w:id="11">
    <w:p w14:paraId="158E43BC" w14:textId="674CDA6D" w:rsidR="00F03E64" w:rsidRDefault="00F03E64">
      <w:pPr>
        <w:pStyle w:val="FootnoteText"/>
      </w:pPr>
      <w:r w:rsidRPr="00F03E64">
        <w:rPr>
          <w:rStyle w:val="FootnoteReference"/>
          <w:sz w:val="16"/>
          <w:szCs w:val="16"/>
        </w:rPr>
        <w:footnoteRef/>
      </w:r>
      <w:r w:rsidRPr="00F03E64">
        <w:rPr>
          <w:sz w:val="16"/>
          <w:szCs w:val="16"/>
        </w:rPr>
        <w:t xml:space="preserve"> Data suppressed due to small cell size.</w:t>
      </w:r>
    </w:p>
  </w:footnote>
  <w:footnote w:id="12">
    <w:p w14:paraId="2542595F" w14:textId="1B9AD8BB" w:rsidR="00F03E64" w:rsidRDefault="00F03E64" w:rsidP="00F03E64">
      <w:pPr>
        <w:pStyle w:val="FootnoteText"/>
      </w:pPr>
      <w:r w:rsidRPr="00F03E64">
        <w:rPr>
          <w:rStyle w:val="FootnoteReference"/>
          <w:sz w:val="16"/>
          <w:szCs w:val="16"/>
        </w:rPr>
        <w:footnoteRef/>
      </w:r>
      <w:r w:rsidRPr="00F03E64">
        <w:rPr>
          <w:sz w:val="16"/>
          <w:szCs w:val="16"/>
        </w:rPr>
        <w:t xml:space="preserve"> Data suppressed due to small cell size.</w:t>
      </w:r>
    </w:p>
  </w:footnote>
  <w:footnote w:id="13">
    <w:p w14:paraId="4C494EB2" w14:textId="430DC3D5" w:rsidR="00AB212D" w:rsidRDefault="00AB212D">
      <w:pPr>
        <w:pStyle w:val="FootnoteText"/>
      </w:pPr>
      <w:r w:rsidRPr="00AB212D">
        <w:rPr>
          <w:rStyle w:val="FootnoteReference"/>
          <w:sz w:val="16"/>
          <w:szCs w:val="16"/>
        </w:rPr>
        <w:footnoteRef/>
      </w:r>
      <w:r w:rsidRPr="00AB212D">
        <w:rPr>
          <w:sz w:val="16"/>
          <w:szCs w:val="16"/>
        </w:rPr>
        <w:t xml:space="preserve"> Data suppressed due to small cell size.</w:t>
      </w:r>
    </w:p>
  </w:footnote>
  <w:footnote w:id="14">
    <w:p w14:paraId="5FFA08DF" w14:textId="08BEA043" w:rsidR="00AB212D" w:rsidRDefault="00AB212D">
      <w:pPr>
        <w:pStyle w:val="FootnoteText"/>
      </w:pPr>
      <w:r w:rsidRPr="00AB212D">
        <w:rPr>
          <w:rStyle w:val="FootnoteReference"/>
          <w:sz w:val="16"/>
          <w:szCs w:val="16"/>
        </w:rPr>
        <w:footnoteRef/>
      </w:r>
      <w:r w:rsidRPr="00AB212D">
        <w:rPr>
          <w:sz w:val="16"/>
          <w:szCs w:val="16"/>
        </w:rPr>
        <w:t xml:space="preserve"> Data suppressed due to small cell size.</w:t>
      </w:r>
    </w:p>
  </w:footnote>
  <w:footnote w:id="1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C160F0" w:rsidRDefault="00C160F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21.9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0720C"/>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D16"/>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6E4"/>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0FD"/>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E7CCF"/>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4E7C"/>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6A4A"/>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3F2D"/>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8E9"/>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6720"/>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2DC0"/>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5E0F"/>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12D"/>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1F57"/>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3F63"/>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0F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0E2D"/>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3E64"/>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DA8"/>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elements/1.1/"/>
    <ds:schemaRef ds:uri="292db1e8-b3d0-4356-8ef3-2a6d7ed7788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4f36bac4-6705-4a36-974b-7c07450fedf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823D74B-6AAF-4424-A8C6-A308979D9BBC}"/>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84</Pages>
  <Words>48239</Words>
  <Characters>274967</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3</cp:revision>
  <cp:lastPrinted>2014-08-19T16:56:00Z</cp:lastPrinted>
  <dcterms:created xsi:type="dcterms:W3CDTF">2023-08-04T14:27:00Z</dcterms:created>
  <dcterms:modified xsi:type="dcterms:W3CDTF">2023-08-07T12:18:00Z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