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US Virgin Islands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Virgin Islands Department of Education(VIDOE), like all other State Educational Agencies (“SEAs”), is required to establish and maintain an effective system of general supervision under 34 CFR §300.600. As such, the Virgin Islands Department of Education (VIDE)/State Office of Special Education (SOSE) has developed eight components in its general supervision system, discussed in the preceding section of this document. The State Office of Special Education (“SOSE”) as the SEA, is required, according to 34 CFR §300.600 (a) – (d), to monitor and report on each Local Educational Agency’s (“LEA”) implementation of the Individuals with Disabilities Education Improvement Act (IDEIA) [20 USC § 1416(a)]. In addition, the VIDE/SOSE’s Continuous Improvement Results-Focused Monitoring System (CIRFMS) is designed to promote improved educational outcomes for students with disabilities while ensuring the State meets the procedural and compliance requirements of the Individual with Disabilities Education Act (IDEIA). As noted in the VIDE/SOSE’s State Performance Plan/Annual Performance Report (SPP/APR) submitted in February 2021 (FFY2019), the VIDE continued to experience the ongoing effects of the COVID-19 National pandemic, as such for FFY 2020 (2020-21 school year) the VIDE continued with a virtual instructional model for students with and without disabilities.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Data on Processes and Results: </w:t>
      </w:r>
      <w:r w:rsidRPr="00781112">
        <w:rPr>
          <w:color w:val="000000" w:themeColor="text1"/>
        </w:rPr>
        <w:br/>
      </w:r>
      <w:r w:rsidRPr="00781112">
        <w:rPr>
          <w:color w:val="000000" w:themeColor="text1"/>
        </w:rPr>
        <w:br/>
        <w:t xml:space="preserve">The VIDE/SOSE has developed a comprehensive data system that enables the Territory to collect, analyze, and report timely, valid, and reliable Section 616 and Section 618 data as required by the IDEIA. The State has employed a Part B Data Manager who coordinates all data collection, analysis, and reporting requirements within special education. The Part B Data Manager works closely with personnel from the Office of Planning, Research Development (PRE), the VIDE division responsible for collecting, housing, and reporting all data based on numerous Federal and Territorial regulations. Additionally, the Data Manager provides ongoing technical assistance to each LEA to ensure they meet all reporting requirements, provide the necessary data clarifications and update on revisions/changes to reporting requirements of all 618 and 619 data. </w:t>
      </w:r>
      <w:r w:rsidRPr="00781112">
        <w:rPr>
          <w:color w:val="000000" w:themeColor="text1"/>
        </w:rPr>
        <w:br/>
      </w:r>
      <w:r w:rsidRPr="00781112">
        <w:rPr>
          <w:color w:val="000000" w:themeColor="text1"/>
        </w:rPr>
        <w:br/>
        <w:t>In 2001, the VIDE/SOSE purchased a comprehensive online web-based special education student data management system (“GoalView”) which serves as the online Individualized Education Program (IEP) system for the LEAs and provides a primary method of collecting Section 616 and Section 618 data for the VIDE/SOSE. The Part B Data Manager continues to work diligently with the developers/vendors of this application to customize it to meet the collection and reporting for the Virgin Islands Department of Education. All revisions and upgrades to the system are followed by Intensive training and technical assistance regarding the use of GoalView. These training sessions are provided to SOSE and to LEA personnel. This web-based system (“GoalView”) has numerous business rules with corresponding built-in edit checks which promote high levels of data quality. Additionally, GoalView provides data for required public reporting and is also used as a primary data source for all monitoring activities. Each year, the VIDE/SOSE personnel conducts on-site monitoring visits in each of the LEAs to verify that data in GoalView is consistent with the information contained in the students’ IEPs and other associated records. More importantly, updates are implemented in accordance with the regulation and in consultation with the LEAs.</w:t>
      </w:r>
      <w:r w:rsidRPr="00781112">
        <w:rPr>
          <w:color w:val="000000" w:themeColor="text1"/>
        </w:rPr>
        <w:br/>
        <w:t xml:space="preserve">Furthermore, in some instances, additional data are obtained from the VIDE’s Student Information System (SIS) “PowerSchool”. This comprehensive Student Information System serves as the VIDE primary collection tool for a variety of data collections including, but not limited to, enrollment data, assessment data, attendance data, co-teaching assignments, and discipline events and the accompanying incidences. The State Office of Special Education, Part B Data Manager works closely with personnel from the PRE and directors of Data and Assessment in each district. to access data needed for 618 special education reporting such as assessment, enrollment, discipline, and additional school-level demographic data and iReady diagnostic data.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br/>
        <w:t>In 2005, the VIDE/SOSE developed a State Performance Plan (SPP) that serves as an accountability mechanism for the Territory and the two Local Education Agencies (LEAs) efforts to implement the requirements and purposes of IDEIA. This Plan describes how the Territory will improve implementation of the IDEIA over time, and currently includes seventeen indicators that provide a measurable indication of the VIDE’s performance in specific legal priority areas under Part B. Some of the indicators reflect compliance requirements while others focus on improving results for students with disabilities (SWD). For each indicator, the VIDE/SOSE provides baseline data, targets, and the corresponding timelines established by the state.</w:t>
      </w:r>
      <w:r w:rsidRPr="00781112">
        <w:rPr>
          <w:rFonts w:cs="Arial"/>
          <w:color w:val="000000" w:themeColor="text1"/>
          <w:szCs w:val="16"/>
        </w:rPr>
        <w:br/>
        <w:t xml:space="preserve">Each year, the VIDE/SOSE reports its performance on the target of its seventeen (17) indicators identified in the SPP/APR. Together, the SPP and APR provide a robust foundation and a blueprint for the work of the VIDE/SOSE implementation and purposes of IDEIA. In FFY 2013, the SPP and APR were merged into one document and it was submitted online annually in the specially designed platform, GRADS360 until recently. The submission process will continue in an online mode, however, beginning in February 2020, (FFY 2018), the newly designed module within the current EDFacts Metadata and Process System (EMAPS) platform will be utilized. </w:t>
      </w:r>
      <w:r w:rsidRPr="00781112">
        <w:rPr>
          <w:rFonts w:cs="Arial"/>
          <w:color w:val="000000" w:themeColor="text1"/>
          <w:szCs w:val="16"/>
        </w:rPr>
        <w:br/>
      </w:r>
      <w:r w:rsidRPr="00781112">
        <w:rPr>
          <w:rFonts w:cs="Arial"/>
          <w:color w:val="000000" w:themeColor="text1"/>
          <w:szCs w:val="16"/>
        </w:rPr>
        <w:br/>
        <w:t>Personnel within the VIDE/SOSE are assigned clusters of indicators and are individually responsible for collecting, and analyzing data, crafting/drafting responses, working collaboratively with the State Part B Data Manager in sharing the current progress with meeting targets with internal and external stakeholders, the Virgin Islands Panel on Special Education (VIAPSE), and evaluating implementation for each indicator. More importantly, the VIDE/SOSE engages Stakeholders/Advisory Panel Members in the annual development of the SPP/APR. Advisory Panel members review indicator data specifically, trend data, and assist the VIDE/SOSE in establishing or revising as necessary targets for each indicator. Furthermore, External and CORE internal stakeholders have and continue to play a pivotal role in the development of the State Systemic Improvement Plan (SSIP), which was a new indicator in FFY 2013 and was developed in phases with accompanying implementation years. Until FFY 2019 the SSIP was reported annually in April however, for FFY 2020 In April 2020, the FFY 2018 reporting of Phase IV, year 6 implementation of the SSIP.</w:t>
      </w:r>
      <w:r w:rsidRPr="00781112">
        <w:rPr>
          <w:rFonts w:cs="Arial"/>
          <w:color w:val="000000" w:themeColor="text1"/>
          <w:szCs w:val="16"/>
        </w:rPr>
        <w:br/>
      </w:r>
      <w:r w:rsidRPr="00781112">
        <w:rPr>
          <w:rFonts w:cs="Arial"/>
          <w:color w:val="000000" w:themeColor="text1"/>
          <w:szCs w:val="16"/>
        </w:rPr>
        <w:br/>
        <w:t xml:space="preserve">Policies, Procedures, and Effective Implementation: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VIDE/SOSE has coordinated the development of the Virgin Islands Department of Education Special Education Rules (VISER), as amended in 2009.. These Rules are consistent with the requirements of IDEIA 2004 and are designed and being revised to ensure that all eligible children with disabilities continue to receive are provided a Free Appropriate Public Education (FAPE) that emphasizes special education and related services designed to meet their unique needs and prepare them for further education, employment, and independent living; [34 C.F. R. § 300 .1 (a)] (b)]; ensure that the rights of children with disabilities and their parents are protected; [34 C.F.R. § 300 .1 (b)] (c)]; assist educational agencies in providing for the education of all children with disabilities; [34 C .F .R. § 300 .1 (c)], and assess and ensure the effectiveness of efforts to educate children with disabilities [34 C.F.R. § 300 .1 (d)]. The VISER Rules apply to the VIDE, the two LEAs within the Territory, and those public agencies with educational programs and schools. </w:t>
      </w:r>
      <w:r w:rsidRPr="00781112">
        <w:rPr>
          <w:rFonts w:cs="Arial"/>
          <w:color w:val="000000" w:themeColor="text1"/>
          <w:szCs w:val="16"/>
        </w:rPr>
        <w:br/>
        <w:t>Most importantly, the VISER provides the foundation for many of the other general supervision responsibilities in the Virgin Islands. For example, the VIDE/SOSE’s integrated monitoring system examines LEAs on the implementation of the requirements set forth in VISER. Within the dispute resolution system, the regulations contained in VISER form the basis for the decisions made as a result of dispute resolution activities such as due process hearings.</w:t>
      </w:r>
      <w:r w:rsidRPr="00781112">
        <w:rPr>
          <w:rFonts w:cs="Arial"/>
          <w:color w:val="000000" w:themeColor="text1"/>
          <w:szCs w:val="16"/>
        </w:rPr>
        <w:br/>
        <w:t>In addition to the VISER, the VIDE/SOSE supported the two LEAs in developing Territorial Special Education Procedures to support the LEAs in uniformly implementing the requirements of the Individuals with Disabilities Education Improvement Act, as amended in 2004 (IDEIA 2004), and the Virgin Islands Department of Education’s Special Education Rules, as Amended in 2009 (VISER). This territorial procedural manual was developed to eliminate the likelihood of each district developing procedures individually. Teachers and administrators within each of the LEAs have been and continue to receive technical assistance on the procedures contained within this procedural manual.</w:t>
      </w:r>
      <w:r w:rsidRPr="00781112">
        <w:rPr>
          <w:rFonts w:cs="Arial"/>
          <w:color w:val="000000" w:themeColor="text1"/>
          <w:szCs w:val="16"/>
        </w:rPr>
        <w:br/>
      </w:r>
      <w:r w:rsidRPr="00781112">
        <w:rPr>
          <w:rFonts w:cs="Arial"/>
          <w:color w:val="000000" w:themeColor="text1"/>
          <w:szCs w:val="16"/>
        </w:rPr>
        <w:br/>
        <w:t>Integrated Monitoring: A key component of the VIDE/SOSE’s general supervision system is its integrated monitoring activities. Similar to other states and territories, the VIDE’s monitoring systems have historically focused on procedural compliance with the (IDEIA) program requirements. However, with a shift in focus on results-driven outcomes for all students, the VIDE/SOSE, in collaboration with its CORE internal stakeholders and other VIDE divisions, has instituted several initiatives, specifically, research-based strategies to improve result-focused functional and educational goals for students with disabilities. As a result, there has been a steady improvement in these areas. In June 2012, the VIDE/SOSE initiated a comprehensive review of the Territory’s Integrated Monitoring System with assistance from the Southeast Regional Resource Center (SERRC) and the Data Accountability Center (DAC). As a result of this review, the VIDE/SOSE has made substantial revisions to the monitoring system that transforms from a model of procedural monitoring to one of continuous improvement with a focus on improving student academic and functional outcomes for children and youth with disabilities.</w:t>
      </w:r>
      <w:r w:rsidRPr="00781112">
        <w:rPr>
          <w:rFonts w:cs="Arial"/>
          <w:color w:val="000000" w:themeColor="text1"/>
          <w:szCs w:val="16"/>
        </w:rPr>
        <w:br/>
      </w:r>
      <w:r w:rsidRPr="00781112">
        <w:rPr>
          <w:rFonts w:cs="Arial"/>
          <w:color w:val="000000" w:themeColor="text1"/>
          <w:szCs w:val="16"/>
        </w:rPr>
        <w:br/>
        <w:t>Using the concepts of continuous improvement and focused monitoring adopted by the United States Department of Education (USDOE), Office of Special Education Programs (OSEP), the VIDE/SOSE has designed the Continuous Improvement and Results-Focused Monitoring System (CIRFMS) to promote continuous, equitable educational improvement for students with disabilities (SWD) while ensuring continued procedural compliance. In this new monitoring system, the fidelity of compliant practices is supported using a tiered monitoring approach that enables the VIDE/SOSE to “monitor” all districts every year. This monitoring is accomplished using a “systematic collection and analysis of data” to document progress and continuous improvement through the provision of technical assistance and targeted professional development</w:t>
      </w:r>
      <w:r w:rsidRPr="00781112">
        <w:rPr>
          <w:rFonts w:cs="Arial"/>
          <w:color w:val="000000" w:themeColor="text1"/>
          <w:szCs w:val="16"/>
        </w:rPr>
        <w:br/>
        <w:t>Tier One monitoring activities are implemented for all districts in the Territory to enforce compliance and improve results. Tier Two monitoring activities are implemented for selected districts based on their compliance and/or performance levels and needs which are based on each LEA district performance relative to APR state targets, and are either triggered by the previous Tier’s data or the state’s monitoring cycle. Typically, Tier Three’s monitoring activities are implemented for districts that demonstrate a need for intensive support to timely correct any area of non-compliance and/or improve results. The following chart provides a visual representation of monitoring activities conducted at each Tier of the Continuous Improvement and Results Focused Monitoring System. These differentiated monitoring activities are described in detail in the VIDE’s/SOSE’s monitoring manual.</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VIDE/SOSE provides differentiated technical assistance to each LEA to support them in achieving and maintaining the regulatory requirements of IDEIA. More importantly, to assist them in implementing programs, practices, and instructional strategies that lead to improved outcomes for children/youth with disabilities. Information and technical assistance are carried out and shared via email, conference calls, and face-to-face meetings.</w:t>
      </w:r>
      <w:r w:rsidRPr="00781112">
        <w:rPr>
          <w:rFonts w:cs="Arial"/>
          <w:color w:val="000000" w:themeColor="text1"/>
          <w:szCs w:val="16"/>
        </w:rPr>
        <w:br/>
      </w:r>
      <w:r w:rsidRPr="00781112">
        <w:rPr>
          <w:rFonts w:cs="Arial"/>
          <w:color w:val="000000" w:themeColor="text1"/>
          <w:szCs w:val="16"/>
        </w:rPr>
        <w:br/>
        <w:t>The VIDE/SOSE provides general technical assistance(GTA) to administrators, teachers, paraprofessionals, and other educational personnel in both LEAs on research-based topics that impact special education in general. These (GTA) includes but is not limited to VIDE/SOSE’s special education management system (Goalview), local budget applications, and the annual performance and areas for improvement of specific Indicators within the VIDE/SOSE’s APR or areas of concern derived from qualitative or quantitative data. LEAs are encouraged and also reserve the right to request additional TA in identified areas of need. The Virgin Islands Department of Education (VIDE) provides a portal to SOSE on the department’s main website. This portal is utilized for posting information for public viewing and Office of Special Education Programs(OSEP) public reporting requirements.</w:t>
      </w:r>
      <w:r w:rsidRPr="00781112">
        <w:rPr>
          <w:rFonts w:cs="Arial"/>
          <w:color w:val="000000" w:themeColor="text1"/>
          <w:szCs w:val="16"/>
        </w:rPr>
        <w:br/>
      </w:r>
      <w:r w:rsidRPr="00781112">
        <w:rPr>
          <w:rFonts w:cs="Arial"/>
          <w:color w:val="000000" w:themeColor="text1"/>
          <w:szCs w:val="16"/>
        </w:rPr>
        <w:br/>
        <w:t>Targeted Technical Assistance (TTA) is based on LEA and school-level data and needs, and it is more customized than GTA. The VIDE/SOSE uses LEA data from the SPP/APR indicators as well as other monitoring activities to identify technical assistance needs. Participation in TTA activities may be voluntary, however; participation may also be required as in the case of TTA that is required as a part of an LEA's CAP that is developed secondary to the identification of noncompliance Both LEAs has and continues to receive targeted TTA related to meeting the secondary transition requirements reported in Indicators 4, 9, 10, 12, and 13 of the SPP/APR.</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System:</w:t>
      </w:r>
      <w:r w:rsidRPr="00781112">
        <w:rPr>
          <w:rFonts w:cs="Arial"/>
          <w:color w:val="000000" w:themeColor="text1"/>
          <w:szCs w:val="16"/>
        </w:rPr>
        <w:br/>
        <w:t>The Virgin Islands Department of Education/State Office of Special Education (VIDE/SOSE) maintains a comprehensive system of professional development that strikes a balance between improving compliant practices related to the regulatory requirements of IDEA and supporting educators in the implementation of evidence-based practices that lead to improved outcomes for students with disabilities. Professional development is provided by VIDE/SOSE's team, technical assistance providers from OSEP-funded centers, and private consultants. Prior to the COVID-19 National Pandemic most professional learning occurs occurred on-site through in face-to-face professional development sessions. Although the VIDE did not reestablish the customary full school day and in-person, professional development activities during the 2020-21 school the VIDE/SOSE was able to provide professional development opportunities on a smaller scale to school base personnel. however, the VIDE/SOSE continues to collaborate with the LEAs to investigate ways to improve online learning accessibility for teachers, administrators, and paraprofessionals. Additionally, School Improvement Teams/Data Chat teams have been established at many schools and provide an avenue for sharing information (e.g. instructional strategies, data interpretation, effective classroom practices) with school personnel.</w:t>
      </w:r>
      <w:r w:rsidRPr="00781112">
        <w:rPr>
          <w:rFonts w:cs="Arial"/>
          <w:color w:val="000000" w:themeColor="text1"/>
          <w:szCs w:val="16"/>
        </w:rPr>
        <w:br/>
      </w:r>
      <w:r w:rsidRPr="00781112">
        <w:rPr>
          <w:rFonts w:cs="Arial"/>
          <w:color w:val="000000" w:themeColor="text1"/>
          <w:szCs w:val="16"/>
        </w:rPr>
        <w:br/>
        <w:t xml:space="preserve">For many years, a significant amount of professional development has focused on meeting the requirements related to secondary transition as reported in Indicator 13. SOSE personnel obtained training from the National Technical Assistance Center (NTAC) and then customized this training for district </w:t>
      </w:r>
      <w:r w:rsidRPr="00781112">
        <w:rPr>
          <w:rFonts w:cs="Arial"/>
          <w:color w:val="000000" w:themeColor="text1"/>
          <w:szCs w:val="16"/>
        </w:rPr>
        <w:lastRenderedPageBreak/>
        <w:t>personnel. The VIDE/SOSE continues to work diligently to identify and provide heightened professional development to teachers and other school-based personnel in each LEA related to APR indicators, including its SSIP.</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To garner comprehensive stakeholder input the VIDE/SOSE expanded and reconfigured its stakeholder component with a concentrated focus on Indicator clusters to ensure representativeness in all areas. This reconfiguration includes but is not limited to the following: parents of children with disabilities, grade level and content expert, early childhood personnel, district directors, supervisors, and coordinators, District Office of Special Education personnel, Educational Diagnostic team members, private business sector, interagency partners, and other outside and linking agencies. </w:t>
      </w:r>
      <w:r w:rsidRPr="00781112">
        <w:rPr>
          <w:rFonts w:cs="Arial"/>
          <w:color w:val="000000" w:themeColor="text1"/>
          <w:szCs w:val="16"/>
        </w:rPr>
        <w:br/>
      </w:r>
      <w:r w:rsidRPr="00781112">
        <w:rPr>
          <w:rFonts w:cs="Arial"/>
          <w:color w:val="000000" w:themeColor="text1"/>
          <w:szCs w:val="16"/>
        </w:rPr>
        <w:br/>
        <w:t xml:space="preserve">For FFY 2020, the VIDE/SOSE invited newly selected/appointed members to its virtual stakeholder meeting to include prior members, to the redesigned structure of its stakeholder groups. The VIDE/SOSE divided the new stakeholder group structure into cluster groups. Members were presented with indicator background and current information as well as data. Attendees were tasked with identifying improvement strategies geared towards improving performance and measuring advancement.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8</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VIDE/SOSE views and values our stakeholders as an integral part of the community at-large. Since the inception of the State’s SPP/APR, Stakeholders have been a primary mechanism for disseminating, analyzing, and developing strategies and revisions across all SPP/APR indicators. The components of the State’s Stakeholders group continues to be expanded as such the broadening of the scope for soliciting input, developing improvement strategies and evaluating progress required a more equitable representation. Thus ensuring the representativeness of the demographic of a segment of the population such as parents of students with disabilities that receives special services is the impetus for the development of the newly revised broad indicator cluster stakeholders group.</w:t>
      </w:r>
      <w:r w:rsidRPr="00781112">
        <w:rPr>
          <w:color w:val="000000" w:themeColor="text1"/>
          <w:szCs w:val="16"/>
        </w:rPr>
        <w:br/>
      </w:r>
      <w:r w:rsidRPr="00781112">
        <w:rPr>
          <w:color w:val="000000" w:themeColor="text1"/>
          <w:szCs w:val="16"/>
        </w:rPr>
        <w:br/>
        <w:t xml:space="preserve">In FFY 2019, parent stakeholder members which are part of the State’s broad stakeholder groups and the general public were invited to participate in the dissemination of data collected through the UVI/ECC State’s Parental Satisfaction Survey. This method of presentation is one of various components the State’s utilizes to inform its stakeholders of the progress and outcomes on the delivery of services for CWD. The presentation offered the general public and parents and broad stakeholder groups with data and analyzes of some 70 items that are classified into 10 groups or subscales, each of which addresses a particular aspect of parental satisfaction. Another method to disseminate information to stakeholders was the results of the State’s FFY 2019 CIRFMS, the data collected during this phase of supervision provided stakeholders with valuable information on the outcomes of the State’s results indicators as well as enabled every member of the indicator cluster groups a close-up look at how each cluster informs the delivery of services for CWD.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For FFY 2020, The VIDE/SOSE Broad Indicator Cluster Stakeholders Group reconvened to discuss, analyze, and develop improvement strategies for optimum performance and compliance. The groups were provided with data from the State’s FFY 2019 SPP/APR, Districts Profiles, CIRFMS, Annual Parental Satisfaction Survey, and District’s Determination. Each cluster group were required to complete a performance metrics to formulate activities for improving outcomes for CWD. Stakeholders for each indicator cluster were assigned to participate in various subgroups to analyze and develop strategies for approval by broad stakeholders. Meetings with timelines for approval of strategies and targets were reconvened quarterly.</w:t>
      </w:r>
      <w:r w:rsidRPr="00781112">
        <w:rPr>
          <w:color w:val="000000" w:themeColor="text1"/>
          <w:szCs w:val="16"/>
        </w:rPr>
        <w:br/>
      </w:r>
      <w:r w:rsidRPr="00781112">
        <w:rPr>
          <w:color w:val="000000" w:themeColor="text1"/>
          <w:szCs w:val="16"/>
        </w:rPr>
        <w:br/>
        <w:t>The VIDE/SOSE Broad Indicator Cluster Stakeholder Group communication is an integral part in keeping everyone informed. Communication and Convening through electronic means for garnering input since the onset of the Covid-19 Pandemic has been through the virtual platform. Meeting invites along with agendas are sent electronically as well as other documents as needed, to achieve the meeting goals and outcomes. All meetings are formatted to include a welcoming remark, recording of attendees, review of current agenda, and finally a review of any prior business or agenda items. The meetings are recorded for reference as needed.</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Mechanism for input from VIDE/SOSE Broad Indicator Cluster Stakeholders Group:</w:t>
      </w:r>
      <w:r w:rsidRPr="00781112">
        <w:rPr>
          <w:color w:val="000000" w:themeColor="text1"/>
          <w:szCs w:val="16"/>
        </w:rPr>
        <w:br/>
        <w:t>1. Continuous Improvement and Results Focus Monitoring System (CIRFMS) (Report generated and disseminated on March of current school calendar)</w:t>
      </w:r>
      <w:r w:rsidRPr="00781112">
        <w:rPr>
          <w:color w:val="000000" w:themeColor="text1"/>
          <w:szCs w:val="16"/>
        </w:rPr>
        <w:br/>
        <w:t>2. District Performance Profiles (Report generated and disseminated on September of current school calendar)</w:t>
      </w:r>
      <w:r w:rsidRPr="00781112">
        <w:rPr>
          <w:color w:val="000000" w:themeColor="text1"/>
          <w:szCs w:val="16"/>
        </w:rPr>
        <w:br/>
        <w:t>3. Quarterly Broad Stakeholder Meetings (Meetings on March, June, September, December of current school calendar)</w:t>
      </w:r>
      <w:r w:rsidRPr="00781112">
        <w:rPr>
          <w:color w:val="000000" w:themeColor="text1"/>
          <w:szCs w:val="16"/>
        </w:rPr>
        <w:br/>
        <w:t>4. VIAPSE Meetings (Meetings on February, May, August, November of current school calendar)</w:t>
      </w:r>
      <w:r w:rsidRPr="00781112">
        <w:rPr>
          <w:color w:val="000000" w:themeColor="text1"/>
          <w:szCs w:val="16"/>
        </w:rPr>
        <w:br/>
        <w:t>5. Districts’ Annual Determination (Report generated and disseminated on September of current school calendar)</w:t>
      </w:r>
      <w:r w:rsidRPr="00781112">
        <w:rPr>
          <w:color w:val="000000" w:themeColor="text1"/>
          <w:szCs w:val="16"/>
        </w:rPr>
        <w:br/>
        <w:t>6. Annual Parental Satisfaction Survey (Report generated and disseminated annually during the spring of current school calendar)</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VIDE/SOSE will continue to utilize the activities listed in Table D of the SSIP as the mechanism and roadmap for implementation evaluation criteria for state-level activities. These mechanisms include, but are not limited to engaging strategically with other VIDE programs, Territory linking agencies, LEAs, and external organizations/ programs/groups, including family and community groups to increase stakeholder engagement in educational decision making. These activities will occur quarterly, as well as on an as-need basis.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 xml:space="preserve">How and where the State reported to the public on the FFY 2019 performance of each LEA located in the State on the targets in the SPP/APR as soon as practicable, but no later than 120 days following the State’s submission of its FFY 2019 APR, as required by 34 CFR </w:t>
      </w:r>
      <w:r w:rsidRPr="00781112">
        <w:rPr>
          <w:b/>
          <w:color w:val="000000" w:themeColor="text1"/>
        </w:rPr>
        <w:lastRenderedPageBreak/>
        <w:t>§300.602(b)(1)(i)(A);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As required by 34 CFR §300.602(b)(1)(i)(A) the VIDE/SOSE’s public reporting for FFY 2019 of each LEAs performance can be accessed on the Virgin Islands Department of Education’s homepage web portal www.vide.vi homepage by first clicking the "Our Divisions" tab, then clicking on Special Education. In addition to each LEA performance, public access is available for a complete copy of the State’s SPP, which includes newly set targets.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OSEP notes that the Virgin Islands submitted verification that the attachment(s) complies with Section 508 of the Rehabilitation Act of 1973, as amended (Section 508). However, one or more of the Indicator 17 attachments included in the Virgin Islands’ FFY 2019 SPP/APR submission are not in compliance with Section 508 and will not be posted on the U.S. Department of Education’s IDEA website. Therefore, the Virgin Islands must make the attachment(s) available to the public as soon as practicable, but no later than 120 days after the date of the determination letter.</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The VIDE/SOSE notes and has made the attachments available. These can be found by doing the following: go to the Virgin Islands Department of Education’s homepage web portal www.vide.vi homepage by first clicking the "Our Divisions" tab, then clicking on Special Education.</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 xml:space="preserve">The Department has imposed Specific Conditions on the Virgin Islands' IDEA Part B grant awards for the last three or more years. </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8C36185" w:rsidR="005E59DB" w:rsidRPr="00781112" w:rsidRDefault="005E59DB" w:rsidP="00B65C2C">
      <w:pPr>
        <w:rPr>
          <w:b/>
          <w:color w:val="000000" w:themeColor="text1"/>
        </w:rPr>
      </w:pPr>
      <w:r w:rsidRPr="00781112">
        <w:rPr>
          <w:b/>
          <w:color w:val="000000" w:themeColor="text1"/>
        </w:rPr>
        <w:t>Historical Data</w:t>
      </w:r>
      <w:r w:rsidR="00D57ECF">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54.63%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35.00%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38.00%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41.00%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44.00%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44.50%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48.39%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52.58%</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53.21%</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49.53%</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46.99%</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54.63%</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55.00%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55.50%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56.00%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56.50%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57.00%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For FFY 2020, VIDE/SOSE expanded and reconfigured its stakeholder component with a concentrated focus on indicator clusters to ensure expert representation in all target areas. This reconfiguration includes but is not limited to the following: parents of students with disabilities, grade level and content experts in secondary transition, regular and special education personnel, district directors, coordinators, supervisors, District Office of Special Education personnel, Educational Diagnostic team members, private business sector, interagency partners, and other outside and linking agencies. The VIDE/SOSE divided the new stakeholders into cluster groups. Members were presented with indicator background and current information as well as data. Stakeholders were tasked with identifying improvement strategies geared towards improving performance, ensuring quality services, and measuring outcomes for CWD.</w:t>
      </w:r>
      <w:r w:rsidRPr="00781112">
        <w:rPr>
          <w:rFonts w:cs="Arial"/>
          <w:color w:val="000000" w:themeColor="text1"/>
          <w:szCs w:val="16"/>
        </w:rPr>
        <w:br/>
      </w:r>
      <w:r w:rsidRPr="00781112">
        <w:rPr>
          <w:rFonts w:cs="Arial"/>
          <w:color w:val="000000" w:themeColor="text1"/>
          <w:szCs w:val="16"/>
        </w:rPr>
        <w:br/>
        <w:t>VIDE/SOSE clarification to OSEP Response:</w:t>
      </w:r>
      <w:r w:rsidRPr="00781112">
        <w:rPr>
          <w:rFonts w:cs="Arial"/>
          <w:color w:val="000000" w:themeColor="text1"/>
          <w:szCs w:val="16"/>
        </w:rPr>
        <w:br/>
      </w:r>
      <w:r w:rsidRPr="00781112">
        <w:rPr>
          <w:rFonts w:cs="Arial"/>
          <w:color w:val="000000" w:themeColor="text1"/>
          <w:szCs w:val="16"/>
        </w:rPr>
        <w:br/>
        <w:t>The VIDE/SOSE reconvened its stakeholders for this indicator to revise the 2009 Baseline Target with the 2020 Baseline Target calculated based on the current data source for this indicator and make recommendations for revising targets using the Exiting Data reported under section 618 of the Individuals with Disabilities Education Act (IDEA), using the definitions in EDFacts file specification FS009. The Transition Clusters Stakeholder Group made recommendations for revision of targets for this indicator that demonstrate improvement over the 5 year targets from 2020-2025.</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59</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15</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33</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59</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108</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46.99%</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54.63%</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54.63%</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requirements for all students to graduate with a high school diploma, including students with disabilities, are a follows: Students must earn a minimum of 26 Carnegie units from grades 9-12. Twenty one (21) of the Carnegie units must be earned in specific required courses, delineated below, and the other 5 Carnegie units are earned in elective courses. All students must achieve a grade of 70% or better in each required course and in each elective to earn course credit (Carnegie Unit) toward graduation with a high school diploma. Students are required to complete 100 hours of community service to graduate.</w:t>
      </w:r>
      <w:r w:rsidRPr="00781112">
        <w:rPr>
          <w:rFonts w:cs="Arial"/>
          <w:color w:val="000000" w:themeColor="text1"/>
          <w:szCs w:val="16"/>
        </w:rPr>
        <w:br/>
      </w:r>
      <w:r w:rsidRPr="00781112">
        <w:rPr>
          <w:rFonts w:cs="Arial"/>
          <w:color w:val="000000" w:themeColor="text1"/>
          <w:szCs w:val="16"/>
        </w:rPr>
        <w:br/>
        <w:t>Specific course requirements for graduation are:</w:t>
      </w:r>
      <w:r w:rsidRPr="00781112">
        <w:rPr>
          <w:rFonts w:cs="Arial"/>
          <w:color w:val="000000" w:themeColor="text1"/>
          <w:szCs w:val="16"/>
        </w:rPr>
        <w:br/>
        <w:t>English- 4 Carnegie Units</w:t>
      </w:r>
      <w:r w:rsidRPr="00781112">
        <w:rPr>
          <w:rFonts w:cs="Arial"/>
          <w:color w:val="000000" w:themeColor="text1"/>
          <w:szCs w:val="16"/>
        </w:rPr>
        <w:br/>
        <w:t>Science, including general Science and Biology- 3 Carnegie Units</w:t>
      </w:r>
      <w:r w:rsidRPr="00781112">
        <w:rPr>
          <w:rFonts w:cs="Arial"/>
          <w:color w:val="000000" w:themeColor="text1"/>
          <w:szCs w:val="16"/>
        </w:rPr>
        <w:br/>
        <w:t>Mathematics, including Algebra and Geometry- 3 Carnegie Units</w:t>
      </w:r>
      <w:r w:rsidRPr="00781112">
        <w:rPr>
          <w:rFonts w:cs="Arial"/>
          <w:color w:val="000000" w:themeColor="text1"/>
          <w:szCs w:val="16"/>
        </w:rPr>
        <w:br/>
        <w:t>Social Studies, including Virgin Islands History, Caribbean History, and U.S. History-(1 Carnegie Unit per course for a total of 3 Carnegie Units)</w:t>
      </w:r>
      <w:r w:rsidRPr="00781112">
        <w:rPr>
          <w:rFonts w:cs="Arial"/>
          <w:color w:val="000000" w:themeColor="text1"/>
          <w:szCs w:val="16"/>
        </w:rPr>
        <w:br/>
        <w:t>Foreign Language (Spanish or French)- 2 Carnegie Units</w:t>
      </w:r>
      <w:r w:rsidRPr="00781112">
        <w:rPr>
          <w:rFonts w:cs="Arial"/>
          <w:color w:val="000000" w:themeColor="text1"/>
          <w:szCs w:val="16"/>
        </w:rPr>
        <w:br/>
        <w:t>Computer Science- 1 Carnegie Unit</w:t>
      </w:r>
      <w:r w:rsidRPr="00781112">
        <w:rPr>
          <w:rFonts w:cs="Arial"/>
          <w:color w:val="000000" w:themeColor="text1"/>
          <w:szCs w:val="16"/>
        </w:rPr>
        <w:br/>
        <w:t>Physical Education- 2 Carnegie Units</w:t>
      </w:r>
      <w:r w:rsidRPr="00781112">
        <w:rPr>
          <w:rFonts w:cs="Arial"/>
          <w:color w:val="000000" w:themeColor="text1"/>
          <w:szCs w:val="16"/>
        </w:rPr>
        <w:br/>
        <w:t>Health- 1 Carnegie Unit</w:t>
      </w:r>
      <w:r w:rsidRPr="00781112">
        <w:rPr>
          <w:rFonts w:cs="Arial"/>
          <w:color w:val="000000" w:themeColor="text1"/>
          <w:szCs w:val="16"/>
        </w:rPr>
        <w:br/>
        <w:t>Home Economics or Industrial Arts- 1 Carnegie Unit</w:t>
      </w:r>
      <w:r w:rsidRPr="00781112">
        <w:rPr>
          <w:rFonts w:cs="Arial"/>
          <w:color w:val="000000" w:themeColor="text1"/>
          <w:szCs w:val="16"/>
        </w:rPr>
        <w:br/>
        <w:t>Developmental Reading/Developmental Writing or Speech- 1 Carnegie Unit</w:t>
      </w:r>
      <w:r w:rsidRPr="00781112">
        <w:rPr>
          <w:rFonts w:cs="Arial"/>
          <w:color w:val="000000" w:themeColor="text1"/>
          <w:szCs w:val="16"/>
        </w:rPr>
        <w:br/>
        <w:t>Electives- 5 Carnegie Units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The VIDE/SOSE clarification to OSEP Response:</w:t>
      </w:r>
      <w:r w:rsidRPr="00781112">
        <w:rPr>
          <w:rFonts w:cs="Arial"/>
          <w:color w:val="000000" w:themeColor="text1"/>
          <w:szCs w:val="16"/>
        </w:rPr>
        <w:br/>
      </w:r>
      <w:r w:rsidRPr="00781112">
        <w:rPr>
          <w:rFonts w:cs="Arial"/>
          <w:color w:val="000000" w:themeColor="text1"/>
          <w:szCs w:val="16"/>
        </w:rPr>
        <w:br/>
        <w:t>The VIDE/SOSE used the same data as used for reporting to the Department under section 618 of the Individuals with Disabilities Education Act (IDEA), using the definitions in EDFacts file specification FS009.</w:t>
      </w:r>
      <w:r w:rsidRPr="00781112">
        <w:rPr>
          <w:rFonts w:cs="Arial"/>
          <w:color w:val="000000" w:themeColor="text1"/>
          <w:szCs w:val="16"/>
        </w:rPr>
        <w:br/>
      </w:r>
      <w:r w:rsidRPr="00781112">
        <w:rPr>
          <w:rFonts w:cs="Arial"/>
          <w:color w:val="000000" w:themeColor="text1"/>
          <w:szCs w:val="16"/>
        </w:rPr>
        <w:br/>
        <w:t>Number of youth with IEPs (ages 14-21) who exited special education due to graduating with a regular high school diploma divided by the number of all youth with IEPs who exited special education (ages 14-21).</w:t>
      </w:r>
      <w:r w:rsidRPr="00781112">
        <w:rPr>
          <w:rFonts w:cs="Arial"/>
          <w:color w:val="000000" w:themeColor="text1"/>
          <w:szCs w:val="16"/>
        </w:rPr>
        <w:br/>
      </w:r>
      <w:r w:rsidRPr="00781112">
        <w:rPr>
          <w:rFonts w:cs="Arial"/>
          <w:color w:val="000000" w:themeColor="text1"/>
          <w:szCs w:val="16"/>
        </w:rPr>
        <w:br/>
        <w:t>Calculation: 59 / 108 x 100= 54.63%</w:t>
      </w:r>
      <w:r w:rsidRPr="00781112">
        <w:rPr>
          <w:rFonts w:cs="Arial"/>
          <w:color w:val="000000" w:themeColor="text1"/>
          <w:szCs w:val="16"/>
        </w:rPr>
        <w:br/>
      </w:r>
      <w:r w:rsidRPr="00781112">
        <w:rPr>
          <w:rFonts w:cs="Arial"/>
          <w:color w:val="000000" w:themeColor="text1"/>
          <w:szCs w:val="16"/>
        </w:rPr>
        <w:br/>
        <w:t>During FFY 2020, the VIDE/SOSE has continued to improve outcomes for children and youth with disabilities in the four cluster indicators by engaging in ongoing professional development through its national affiliates and resource partners thus building capacity and guiding its members on the most effective practices and structures to improve graduation rates, decrease dropouts, develop quality IEPs and transition planning, and more importantly improve post-school outcomes.</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lastRenderedPageBreak/>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Virgin Islands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Virgin Islands provided targets for FFYs 2020 through 2025 for this indicator, and OSEP accepts those targets.</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1F13A73" w:rsidR="00907A35" w:rsidRPr="00781112" w:rsidRDefault="00907A35" w:rsidP="004369B2">
      <w:pPr>
        <w:rPr>
          <w:b/>
          <w:color w:val="000000" w:themeColor="text1"/>
        </w:rPr>
      </w:pPr>
      <w:r w:rsidRPr="00781112">
        <w:rPr>
          <w:b/>
          <w:color w:val="000000" w:themeColor="text1"/>
        </w:rPr>
        <w:t>Historical Data</w:t>
      </w:r>
      <w:r w:rsidR="00D57ECF">
        <w:rPr>
          <w:rStyle w:val="FootnoteReference"/>
          <w:b/>
          <w:color w:val="000000" w:themeColor="text1"/>
        </w:rPr>
        <w:footnoteReference w:id="3"/>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30.56%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4.25%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4.00%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3.75%</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3.75%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3.75%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4.98%</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5.14%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7.64%</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6.80%</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5.37%</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30.56%</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29.00%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28.00%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27.00%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26.00%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25.00%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For FFY 2020, VIDE/SOSE expanded and reconfigured its stakeholder component with a concentrated focus on indicator clusters to ensure expert representation in all target areas. This reconfiguration includes but is not limited to the following: parents of students with disabilities, grade level and content experts in secondary transition, regular and special education personnel, district directors, coordinators, supervisors, District Office of Special Education personnel, Educational Diagnostic team members, private business sector, interagency partners, and other outside and linking agencies. The </w:t>
      </w:r>
      <w:r w:rsidRPr="00781112">
        <w:rPr>
          <w:rFonts w:cs="Arial"/>
          <w:color w:val="000000" w:themeColor="text1"/>
          <w:szCs w:val="16"/>
        </w:rPr>
        <w:lastRenderedPageBreak/>
        <w:t>VIDE/SOSE divided the new stakeholders into cluster groups. Members were presented with indicator background and current information as well as data. Stakeholders were tasked with identifying improvement strategies geared towards improving performance, ensuring quality services, and measuring outcomes for CWD.</w:t>
      </w:r>
      <w:r w:rsidRPr="00781112">
        <w:rPr>
          <w:rFonts w:cs="Arial"/>
          <w:color w:val="000000" w:themeColor="text1"/>
          <w:szCs w:val="16"/>
        </w:rPr>
        <w:br/>
      </w:r>
      <w:r w:rsidRPr="00781112">
        <w:rPr>
          <w:rFonts w:cs="Arial"/>
          <w:color w:val="000000" w:themeColor="text1"/>
          <w:szCs w:val="16"/>
        </w:rPr>
        <w:br/>
        <w:t>VIDE/SOSE clarification to OSEP Response:</w:t>
      </w:r>
      <w:r w:rsidRPr="00781112">
        <w:rPr>
          <w:rFonts w:cs="Arial"/>
          <w:color w:val="000000" w:themeColor="text1"/>
          <w:szCs w:val="16"/>
        </w:rPr>
        <w:br/>
      </w:r>
      <w:r w:rsidRPr="00781112">
        <w:rPr>
          <w:rFonts w:cs="Arial"/>
          <w:color w:val="000000" w:themeColor="text1"/>
          <w:szCs w:val="16"/>
        </w:rPr>
        <w:br/>
        <w:t>The VIDE/SOSE reconvened its stakeholders for this indicator to revise the 2009 Baseline Target with the 2020 Baseline Target calculated based on the current data source for this indicator and make recommendations for revising targets using the Exiting Data reported under section 618 of the Individuals with Disabilities Education Act (IDEA), using the definitions in EDFacts file specification FS009. The Transition Clusters Stakeholder Group made recommendations for revision of targets for this indicator that demonstrate improvement over the 5 year targets from 2020-2025.</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59</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15</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33</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108</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5.37%</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30.56%</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30.56%</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VIDE/SOSE definition of dropout is a student who is enrolled at the beginning of the school year and who is not enrolled at the conclusion of that school year.  The definition of dropout is the same for students without IEPs.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VIDE/SOSE will report the data for this indicator as the data used for reporting under section 618 and using the same definition as in EDFacts file specification FS009.</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VIDE/SOSE continues to work closely with the LEA to ensure the best possible outcomes for children and youth with disabilities.  The VIDE/SOSE implementation of the State Results Driven Accountability Exiting Report that requires each LEA to report monthly to the SOSE the names of students, schools, progress reports, and reason for exiting school prior to the end of that school year enables the LEA to accurately report students status. This data will be utilized to assist each LEA with ensuring that every child that exits school in any manner other than receiving a high school diploma or certificate of completion is afforded with a selection of post school options and or strategies best suited to graduate high school.</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During FFY 2020, the VIDE/SOSE has continued to improve outcomes for children and youth with disabilities in the four cluster indicators by engaging in ongoing professional development through its national affiliates and resource partners thus building capacity and guiding its members on the most effective practices and structures to improve graduation rates, decrease dropouts, develop quality IEPs and transition planning, and more importantly improve post-school outcomes.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lastRenderedPageBreak/>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Virgin Islands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Virgin Islands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p>
        </w:tc>
        <w:tc>
          <w:tcPr>
            <w:tcW w:w="1176" w:type="pct"/>
            <w:vAlign w:val="center"/>
          </w:tcPr>
          <w:p w14:paraId="3C4D03F4" w14:textId="691C6AA3" w:rsidR="0044716A" w:rsidRPr="00781112" w:rsidRDefault="0044716A" w:rsidP="0044716A">
            <w:pPr>
              <w:spacing w:before="0" w:after="0"/>
              <w:jc w:val="center"/>
              <w:rPr>
                <w:color w:val="000000" w:themeColor="text1"/>
              </w:rPr>
            </w:pP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p>
        </w:tc>
        <w:tc>
          <w:tcPr>
            <w:tcW w:w="618" w:type="pct"/>
            <w:vAlign w:val="center"/>
          </w:tcPr>
          <w:p w14:paraId="384B0AD2" w14:textId="38B3F908" w:rsidR="00C362C0" w:rsidRPr="00781112" w:rsidRDefault="00C362C0" w:rsidP="00C362C0">
            <w:pPr>
              <w:jc w:val="center"/>
              <w:rPr>
                <w:rFonts w:cs="Arial"/>
                <w:color w:val="000000" w:themeColor="text1"/>
                <w:szCs w:val="16"/>
              </w:rPr>
            </w:pPr>
          </w:p>
        </w:tc>
        <w:tc>
          <w:tcPr>
            <w:tcW w:w="618" w:type="pct"/>
            <w:vAlign w:val="center"/>
          </w:tcPr>
          <w:p w14:paraId="31EAFB06" w14:textId="6B6573E2" w:rsidR="00C362C0" w:rsidRPr="00781112" w:rsidRDefault="00C362C0" w:rsidP="00C362C0">
            <w:pPr>
              <w:jc w:val="center"/>
              <w:rPr>
                <w:rFonts w:cs="Arial"/>
                <w:color w:val="000000" w:themeColor="text1"/>
                <w:szCs w:val="16"/>
              </w:rPr>
            </w:pPr>
          </w:p>
        </w:tc>
        <w:tc>
          <w:tcPr>
            <w:tcW w:w="618" w:type="pct"/>
            <w:vAlign w:val="center"/>
          </w:tcPr>
          <w:p w14:paraId="1B8020D6" w14:textId="2E1B85FC" w:rsidR="00C362C0" w:rsidRPr="00781112" w:rsidRDefault="00C362C0" w:rsidP="00C362C0">
            <w:pPr>
              <w:jc w:val="center"/>
              <w:rPr>
                <w:rFonts w:cs="Arial"/>
                <w:color w:val="000000" w:themeColor="text1"/>
                <w:szCs w:val="16"/>
              </w:rPr>
            </w:pP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p>
        </w:tc>
        <w:tc>
          <w:tcPr>
            <w:tcW w:w="618" w:type="pct"/>
            <w:vAlign w:val="center"/>
          </w:tcPr>
          <w:p w14:paraId="52AC2F70" w14:textId="3AB4351A" w:rsidR="00C362C0" w:rsidRPr="00781112" w:rsidRDefault="00C362C0" w:rsidP="00C362C0">
            <w:pPr>
              <w:jc w:val="center"/>
              <w:rPr>
                <w:rFonts w:cs="Arial"/>
                <w:color w:val="000000" w:themeColor="text1"/>
                <w:szCs w:val="16"/>
              </w:rPr>
            </w:pPr>
          </w:p>
        </w:tc>
        <w:tc>
          <w:tcPr>
            <w:tcW w:w="618" w:type="pct"/>
            <w:vAlign w:val="center"/>
          </w:tcPr>
          <w:p w14:paraId="32A4C051" w14:textId="2E65FFFC" w:rsidR="00C362C0" w:rsidRPr="00781112" w:rsidRDefault="00C362C0" w:rsidP="00C362C0">
            <w:pPr>
              <w:jc w:val="center"/>
              <w:rPr>
                <w:rFonts w:cs="Arial"/>
                <w:color w:val="000000" w:themeColor="text1"/>
                <w:szCs w:val="16"/>
              </w:rPr>
            </w:pPr>
          </w:p>
        </w:tc>
        <w:tc>
          <w:tcPr>
            <w:tcW w:w="618" w:type="pct"/>
            <w:vAlign w:val="center"/>
          </w:tcPr>
          <w:p w14:paraId="77CC4A95" w14:textId="1A1A42B6" w:rsidR="00C362C0" w:rsidRPr="00781112" w:rsidRDefault="00C362C0" w:rsidP="00C362C0">
            <w:pPr>
              <w:jc w:val="center"/>
              <w:rPr>
                <w:rFonts w:cs="Arial"/>
                <w:color w:val="000000" w:themeColor="text1"/>
                <w:szCs w:val="16"/>
              </w:rPr>
            </w:pPr>
          </w:p>
        </w:tc>
        <w:tc>
          <w:tcPr>
            <w:tcW w:w="618" w:type="pct"/>
            <w:vAlign w:val="center"/>
          </w:tcPr>
          <w:p w14:paraId="73563EF2" w14:textId="7C7E03A0" w:rsidR="00C362C0" w:rsidRPr="00781112" w:rsidRDefault="00C362C0" w:rsidP="00C362C0">
            <w:pPr>
              <w:jc w:val="center"/>
              <w:rPr>
                <w:rFonts w:cs="Arial"/>
                <w:color w:val="000000" w:themeColor="text1"/>
                <w:szCs w:val="16"/>
              </w:rPr>
            </w:pPr>
          </w:p>
        </w:tc>
        <w:tc>
          <w:tcPr>
            <w:tcW w:w="618" w:type="pct"/>
            <w:vAlign w:val="center"/>
          </w:tcPr>
          <w:p w14:paraId="4678C9EF" w14:textId="095E0438" w:rsidR="00C362C0" w:rsidRPr="00781112" w:rsidRDefault="00C362C0" w:rsidP="00C362C0">
            <w:pPr>
              <w:jc w:val="center"/>
              <w:rPr>
                <w:rFonts w:cs="Arial"/>
                <w:color w:val="000000" w:themeColor="text1"/>
                <w:szCs w:val="16"/>
              </w:rPr>
            </w:pP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p>
        </w:tc>
        <w:tc>
          <w:tcPr>
            <w:tcW w:w="618" w:type="pct"/>
            <w:vAlign w:val="center"/>
          </w:tcPr>
          <w:p w14:paraId="14B1D7EC" w14:textId="5E17D245" w:rsidR="00C362C0" w:rsidRPr="00781112" w:rsidRDefault="00C362C0" w:rsidP="00C362C0">
            <w:pPr>
              <w:jc w:val="center"/>
              <w:rPr>
                <w:rFonts w:cs="Arial"/>
                <w:color w:val="000000" w:themeColor="text1"/>
                <w:szCs w:val="16"/>
              </w:rPr>
            </w:pPr>
          </w:p>
        </w:tc>
        <w:tc>
          <w:tcPr>
            <w:tcW w:w="618" w:type="pct"/>
            <w:vAlign w:val="center"/>
          </w:tcPr>
          <w:p w14:paraId="05B53368" w14:textId="52EA99DA" w:rsidR="00C362C0" w:rsidRPr="00781112" w:rsidRDefault="00C362C0" w:rsidP="00C362C0">
            <w:pPr>
              <w:jc w:val="center"/>
              <w:rPr>
                <w:rFonts w:cs="Arial"/>
                <w:color w:val="000000" w:themeColor="text1"/>
                <w:szCs w:val="16"/>
              </w:rPr>
            </w:pPr>
          </w:p>
        </w:tc>
        <w:tc>
          <w:tcPr>
            <w:tcW w:w="618" w:type="pct"/>
            <w:vAlign w:val="center"/>
          </w:tcPr>
          <w:p w14:paraId="55D2A6D2" w14:textId="0D1D128C" w:rsidR="00C362C0" w:rsidRPr="00781112" w:rsidRDefault="00C362C0" w:rsidP="00C362C0">
            <w:pPr>
              <w:jc w:val="center"/>
              <w:rPr>
                <w:rFonts w:cs="Arial"/>
                <w:color w:val="000000" w:themeColor="text1"/>
                <w:szCs w:val="16"/>
              </w:rPr>
            </w:pPr>
          </w:p>
        </w:tc>
        <w:tc>
          <w:tcPr>
            <w:tcW w:w="618" w:type="pct"/>
            <w:vAlign w:val="center"/>
          </w:tcPr>
          <w:p w14:paraId="0D56BAE2" w14:textId="2F5D29E0" w:rsidR="00C362C0" w:rsidRPr="00781112" w:rsidRDefault="00C362C0" w:rsidP="00C362C0">
            <w:pPr>
              <w:jc w:val="center"/>
              <w:rPr>
                <w:rFonts w:cs="Arial"/>
                <w:color w:val="000000" w:themeColor="text1"/>
                <w:szCs w:val="16"/>
              </w:rPr>
            </w:pPr>
          </w:p>
        </w:tc>
        <w:tc>
          <w:tcPr>
            <w:tcW w:w="618" w:type="pct"/>
            <w:vAlign w:val="center"/>
          </w:tcPr>
          <w:p w14:paraId="051835DE" w14:textId="241C45E0" w:rsidR="00C362C0" w:rsidRPr="00781112" w:rsidRDefault="00C362C0" w:rsidP="00C362C0">
            <w:pPr>
              <w:jc w:val="center"/>
              <w:rPr>
                <w:rFonts w:cs="Arial"/>
                <w:color w:val="000000" w:themeColor="text1"/>
                <w:szCs w:val="16"/>
              </w:rPr>
            </w:pP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p>
        </w:tc>
        <w:tc>
          <w:tcPr>
            <w:tcW w:w="618" w:type="pct"/>
            <w:vAlign w:val="center"/>
          </w:tcPr>
          <w:p w14:paraId="5C17E435" w14:textId="07B15AE7" w:rsidR="00C362C0" w:rsidRPr="00781112" w:rsidRDefault="00C362C0" w:rsidP="00C362C0">
            <w:pPr>
              <w:jc w:val="center"/>
              <w:rPr>
                <w:rFonts w:cs="Arial"/>
                <w:color w:val="000000" w:themeColor="text1"/>
                <w:szCs w:val="16"/>
              </w:rPr>
            </w:pPr>
          </w:p>
        </w:tc>
        <w:tc>
          <w:tcPr>
            <w:tcW w:w="618" w:type="pct"/>
            <w:vAlign w:val="center"/>
          </w:tcPr>
          <w:p w14:paraId="1B9AA205" w14:textId="39F901D2" w:rsidR="00C362C0" w:rsidRPr="00781112" w:rsidRDefault="00C362C0" w:rsidP="00C362C0">
            <w:pPr>
              <w:jc w:val="center"/>
              <w:rPr>
                <w:rFonts w:cs="Arial"/>
                <w:color w:val="000000" w:themeColor="text1"/>
                <w:szCs w:val="16"/>
              </w:rPr>
            </w:pPr>
          </w:p>
        </w:tc>
        <w:tc>
          <w:tcPr>
            <w:tcW w:w="618" w:type="pct"/>
            <w:vAlign w:val="center"/>
          </w:tcPr>
          <w:p w14:paraId="4966A75F" w14:textId="20C7AE15" w:rsidR="00C362C0" w:rsidRPr="00781112" w:rsidRDefault="00C362C0" w:rsidP="00C362C0">
            <w:pPr>
              <w:jc w:val="center"/>
              <w:rPr>
                <w:rFonts w:cs="Arial"/>
                <w:color w:val="000000" w:themeColor="text1"/>
                <w:szCs w:val="16"/>
              </w:rPr>
            </w:pPr>
          </w:p>
        </w:tc>
        <w:tc>
          <w:tcPr>
            <w:tcW w:w="618" w:type="pct"/>
            <w:vAlign w:val="center"/>
          </w:tcPr>
          <w:p w14:paraId="022FBD29" w14:textId="276E1879" w:rsidR="00C362C0" w:rsidRPr="00781112" w:rsidRDefault="00C362C0" w:rsidP="00C362C0">
            <w:pPr>
              <w:jc w:val="center"/>
              <w:rPr>
                <w:rFonts w:cs="Arial"/>
                <w:color w:val="000000" w:themeColor="text1"/>
                <w:szCs w:val="16"/>
              </w:rPr>
            </w:pPr>
          </w:p>
        </w:tc>
        <w:tc>
          <w:tcPr>
            <w:tcW w:w="618" w:type="pct"/>
            <w:vAlign w:val="center"/>
          </w:tcPr>
          <w:p w14:paraId="67ED89E3" w14:textId="45ADA051" w:rsidR="00C362C0" w:rsidRPr="00781112" w:rsidRDefault="00C362C0" w:rsidP="00C362C0">
            <w:pPr>
              <w:jc w:val="center"/>
              <w:rPr>
                <w:rFonts w:cs="Arial"/>
                <w:color w:val="000000" w:themeColor="text1"/>
                <w:szCs w:val="16"/>
              </w:rPr>
            </w:pP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p>
        </w:tc>
        <w:tc>
          <w:tcPr>
            <w:tcW w:w="618" w:type="pct"/>
            <w:vAlign w:val="center"/>
          </w:tcPr>
          <w:p w14:paraId="1113A8B0" w14:textId="01C04123" w:rsidR="00C362C0" w:rsidRPr="00781112" w:rsidRDefault="00C362C0" w:rsidP="00C362C0">
            <w:pPr>
              <w:jc w:val="center"/>
              <w:rPr>
                <w:rFonts w:cs="Arial"/>
                <w:color w:val="000000" w:themeColor="text1"/>
                <w:szCs w:val="16"/>
              </w:rPr>
            </w:pPr>
          </w:p>
        </w:tc>
        <w:tc>
          <w:tcPr>
            <w:tcW w:w="618" w:type="pct"/>
            <w:vAlign w:val="center"/>
          </w:tcPr>
          <w:p w14:paraId="3A3B0FBA" w14:textId="478F9449" w:rsidR="00C362C0" w:rsidRPr="00781112" w:rsidRDefault="00C362C0" w:rsidP="00C362C0">
            <w:pPr>
              <w:jc w:val="center"/>
              <w:rPr>
                <w:rFonts w:cs="Arial"/>
                <w:color w:val="000000" w:themeColor="text1"/>
                <w:szCs w:val="16"/>
              </w:rPr>
            </w:pPr>
          </w:p>
        </w:tc>
        <w:tc>
          <w:tcPr>
            <w:tcW w:w="618" w:type="pct"/>
            <w:vAlign w:val="center"/>
          </w:tcPr>
          <w:p w14:paraId="789FBACE" w14:textId="6A3893AE" w:rsidR="00C362C0" w:rsidRPr="00781112" w:rsidRDefault="00C362C0" w:rsidP="00C362C0">
            <w:pPr>
              <w:jc w:val="center"/>
              <w:rPr>
                <w:rFonts w:cs="Arial"/>
                <w:color w:val="000000" w:themeColor="text1"/>
                <w:szCs w:val="16"/>
              </w:rPr>
            </w:pPr>
          </w:p>
        </w:tc>
        <w:tc>
          <w:tcPr>
            <w:tcW w:w="618" w:type="pct"/>
            <w:vAlign w:val="center"/>
          </w:tcPr>
          <w:p w14:paraId="22CE6700" w14:textId="17865EEB" w:rsidR="00C362C0" w:rsidRPr="00781112" w:rsidRDefault="00C362C0" w:rsidP="00C362C0">
            <w:pPr>
              <w:jc w:val="center"/>
              <w:rPr>
                <w:rFonts w:cs="Arial"/>
                <w:color w:val="000000" w:themeColor="text1"/>
                <w:szCs w:val="16"/>
              </w:rPr>
            </w:pPr>
          </w:p>
        </w:tc>
        <w:tc>
          <w:tcPr>
            <w:tcW w:w="618" w:type="pct"/>
            <w:vAlign w:val="center"/>
          </w:tcPr>
          <w:p w14:paraId="60EADA93" w14:textId="18F415A5" w:rsidR="00C362C0" w:rsidRPr="00781112" w:rsidRDefault="00C362C0" w:rsidP="00C362C0">
            <w:pPr>
              <w:jc w:val="center"/>
              <w:rPr>
                <w:rFonts w:cs="Arial"/>
                <w:color w:val="000000" w:themeColor="text1"/>
                <w:szCs w:val="16"/>
              </w:rPr>
            </w:pP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p>
        </w:tc>
        <w:tc>
          <w:tcPr>
            <w:tcW w:w="618" w:type="pct"/>
            <w:vAlign w:val="center"/>
          </w:tcPr>
          <w:p w14:paraId="7ADA18AC" w14:textId="2893C149" w:rsidR="00C362C0" w:rsidRPr="00781112" w:rsidRDefault="00C362C0" w:rsidP="00C362C0">
            <w:pPr>
              <w:jc w:val="center"/>
              <w:rPr>
                <w:rFonts w:cs="Arial"/>
                <w:color w:val="000000" w:themeColor="text1"/>
                <w:szCs w:val="16"/>
              </w:rPr>
            </w:pPr>
          </w:p>
        </w:tc>
        <w:tc>
          <w:tcPr>
            <w:tcW w:w="618" w:type="pct"/>
            <w:vAlign w:val="center"/>
          </w:tcPr>
          <w:p w14:paraId="1BF168BC" w14:textId="476AE7F5" w:rsidR="00C362C0" w:rsidRPr="00781112" w:rsidRDefault="00C362C0" w:rsidP="00C362C0">
            <w:pPr>
              <w:jc w:val="center"/>
              <w:rPr>
                <w:rFonts w:cs="Arial"/>
                <w:color w:val="000000" w:themeColor="text1"/>
                <w:szCs w:val="16"/>
              </w:rPr>
            </w:pPr>
          </w:p>
        </w:tc>
        <w:tc>
          <w:tcPr>
            <w:tcW w:w="618" w:type="pct"/>
            <w:vAlign w:val="center"/>
          </w:tcPr>
          <w:p w14:paraId="3BB5329F" w14:textId="6B51850F" w:rsidR="00C362C0" w:rsidRPr="00781112" w:rsidRDefault="00C362C0" w:rsidP="00C362C0">
            <w:pPr>
              <w:jc w:val="center"/>
              <w:rPr>
                <w:rFonts w:cs="Arial"/>
                <w:color w:val="000000" w:themeColor="text1"/>
                <w:szCs w:val="16"/>
              </w:rPr>
            </w:pPr>
          </w:p>
        </w:tc>
        <w:tc>
          <w:tcPr>
            <w:tcW w:w="618" w:type="pct"/>
            <w:vAlign w:val="center"/>
          </w:tcPr>
          <w:p w14:paraId="3163C52B" w14:textId="316A6F3C" w:rsidR="00C362C0" w:rsidRPr="00781112" w:rsidRDefault="00C362C0" w:rsidP="00C362C0">
            <w:pPr>
              <w:jc w:val="center"/>
              <w:rPr>
                <w:rFonts w:cs="Arial"/>
                <w:color w:val="000000" w:themeColor="text1"/>
                <w:szCs w:val="16"/>
              </w:rPr>
            </w:pPr>
          </w:p>
        </w:tc>
        <w:tc>
          <w:tcPr>
            <w:tcW w:w="618" w:type="pct"/>
            <w:vAlign w:val="center"/>
          </w:tcPr>
          <w:p w14:paraId="6839B11E" w14:textId="5B3A2218" w:rsidR="00C362C0" w:rsidRPr="00781112" w:rsidRDefault="00C362C0" w:rsidP="00C362C0">
            <w:pPr>
              <w:jc w:val="center"/>
              <w:rPr>
                <w:rFonts w:cs="Arial"/>
                <w:color w:val="000000" w:themeColor="text1"/>
                <w:szCs w:val="16"/>
              </w:rPr>
            </w:pP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To garner comprehensive stakeholder input the VIDE/SOSE expanded and reconfigured its stakeholder component with a concentrated focus on Indicator clusters (3,5 and SSIP) to ensure representativeness in all areas. This reconfiguration includes but is not limited to the following: parents of children with disabilities grade level and content experts (state and district assessment personnel), school administrators, early childhood personnel, district directors, and coordinators.</w:t>
      </w:r>
      <w:r w:rsidRPr="00781112">
        <w:rPr>
          <w:rFonts w:cs="Arial"/>
          <w:color w:val="000000" w:themeColor="text1"/>
          <w:szCs w:val="16"/>
        </w:rPr>
        <w:br/>
      </w:r>
      <w:r w:rsidRPr="00781112">
        <w:rPr>
          <w:rFonts w:cs="Arial"/>
          <w:color w:val="000000" w:themeColor="text1"/>
          <w:szCs w:val="16"/>
        </w:rPr>
        <w:br/>
        <w:t>For FFY 2020, the VIDE/SOSE invited newly selected/appointed members to its virtual stakeholder meeting to include prior members, to the redesigned structure of its stakeholder groups. The VIDE/SOSE divided the new stakeholder group structure into cluster groups. Members were presented with indicator background and current information as well as data. Attendees were tasked with identifying improvement strategies geared towards improving performance and measuring advancement.</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lastRenderedPageBreak/>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For FFY 2020 (the school year 2020-21), and as a result of the Centers for Disease Control Prevention(CDC) and Virgin Islands Department of Health (VIDOH) national emergency guidelines relating to the COVID-19 Pandemic National Emergency, the Virgin Islands Department of Education (VIDE) requested a waiver; according to section 8401(b) of the Elementary and Secondary Education Act of 1965 (ESEA), as amended. As such, Assessments were only administered only for informational purposes. Thus, this resulted in the VIDE/SOSE’s inability to have a baseline and target data for this indicator and report on the participation rate for students with IEPs or to determine whether or not slippage occurred.</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Due to the circumstances created by the COVID-19 pandemic, Virgin Islands did not report any FFY 2020 data for this indicator.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Virgin Islands provided an explanation of how COVID-19 impacted its ability to collect FFY 2020 data for this indicator and steps the Virgin Islands has taken to mitigate the impact of COVID-19 on data collection.</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Virgin Islands did not provide data for FFY 2020. Virgin Islands must provide the required data for FFY 2021 in the FFY 2021 SPP/APR.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In the FFY 2021 SPP/APR  Virgin Islands must also provide baseline data and targets for FFY 2021-2025, as required by the Measurement Table.</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p>
        </w:tc>
        <w:tc>
          <w:tcPr>
            <w:tcW w:w="1176" w:type="pct"/>
            <w:vAlign w:val="center"/>
          </w:tcPr>
          <w:p w14:paraId="2A2A9F8D" w14:textId="7B983B8C" w:rsidR="00E87854" w:rsidRPr="00781112" w:rsidRDefault="00E87854" w:rsidP="00827FF4">
            <w:pPr>
              <w:spacing w:before="0" w:after="0"/>
              <w:jc w:val="center"/>
              <w:rPr>
                <w:color w:val="000000" w:themeColor="text1"/>
              </w:rPr>
            </w:pP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p>
        </w:tc>
        <w:tc>
          <w:tcPr>
            <w:tcW w:w="556" w:type="pct"/>
            <w:vAlign w:val="center"/>
          </w:tcPr>
          <w:p w14:paraId="609A7D0F" w14:textId="138D9671" w:rsidR="004E5C74" w:rsidRPr="00781112" w:rsidRDefault="004E5C74" w:rsidP="004E5C74">
            <w:pPr>
              <w:jc w:val="center"/>
              <w:rPr>
                <w:rFonts w:cs="Arial"/>
                <w:color w:val="000000" w:themeColor="text1"/>
                <w:szCs w:val="16"/>
              </w:rPr>
            </w:pPr>
          </w:p>
        </w:tc>
        <w:tc>
          <w:tcPr>
            <w:tcW w:w="556" w:type="pct"/>
            <w:vAlign w:val="center"/>
          </w:tcPr>
          <w:p w14:paraId="3DF1FAFA" w14:textId="4C333171" w:rsidR="004E5C74" w:rsidRPr="00781112" w:rsidRDefault="004E5C74" w:rsidP="004E5C74">
            <w:pPr>
              <w:jc w:val="center"/>
              <w:rPr>
                <w:rFonts w:cs="Arial"/>
                <w:color w:val="000000" w:themeColor="text1"/>
                <w:szCs w:val="16"/>
              </w:rPr>
            </w:pPr>
          </w:p>
        </w:tc>
        <w:tc>
          <w:tcPr>
            <w:tcW w:w="556" w:type="pct"/>
            <w:vAlign w:val="center"/>
          </w:tcPr>
          <w:p w14:paraId="77B3DA55" w14:textId="44F9C6DA" w:rsidR="004E5C74" w:rsidRPr="00781112" w:rsidRDefault="004E5C74" w:rsidP="004E5C74">
            <w:pPr>
              <w:jc w:val="center"/>
              <w:rPr>
                <w:rFonts w:cs="Arial"/>
                <w:color w:val="000000" w:themeColor="text1"/>
                <w:szCs w:val="16"/>
              </w:rPr>
            </w:pPr>
          </w:p>
        </w:tc>
        <w:tc>
          <w:tcPr>
            <w:tcW w:w="556" w:type="pct"/>
            <w:vAlign w:val="center"/>
          </w:tcPr>
          <w:p w14:paraId="59DDD0B3" w14:textId="64292362" w:rsidR="004E5C74" w:rsidRPr="00781112" w:rsidRDefault="004E5C74" w:rsidP="004E5C74">
            <w:pPr>
              <w:jc w:val="center"/>
              <w:rPr>
                <w:rFonts w:cs="Arial"/>
                <w:color w:val="000000" w:themeColor="text1"/>
                <w:szCs w:val="16"/>
              </w:rPr>
            </w:pPr>
          </w:p>
        </w:tc>
        <w:tc>
          <w:tcPr>
            <w:tcW w:w="553" w:type="pct"/>
            <w:vAlign w:val="center"/>
          </w:tcPr>
          <w:p w14:paraId="0C4A4D97" w14:textId="38824368" w:rsidR="004E5C74" w:rsidRPr="00781112" w:rsidRDefault="004E5C74" w:rsidP="004E5C74">
            <w:pPr>
              <w:jc w:val="center"/>
              <w:rPr>
                <w:rFonts w:cs="Arial"/>
                <w:color w:val="000000" w:themeColor="text1"/>
                <w:szCs w:val="16"/>
              </w:rPr>
            </w:pP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p>
        </w:tc>
        <w:tc>
          <w:tcPr>
            <w:tcW w:w="556" w:type="pct"/>
            <w:vAlign w:val="center"/>
          </w:tcPr>
          <w:p w14:paraId="08D72C36" w14:textId="2621CBFF" w:rsidR="004E5C74" w:rsidRPr="00781112" w:rsidRDefault="004E5C74" w:rsidP="004E5C74">
            <w:pPr>
              <w:jc w:val="center"/>
              <w:rPr>
                <w:rFonts w:cs="Arial"/>
                <w:color w:val="000000" w:themeColor="text1"/>
                <w:szCs w:val="16"/>
              </w:rPr>
            </w:pPr>
          </w:p>
        </w:tc>
        <w:tc>
          <w:tcPr>
            <w:tcW w:w="556" w:type="pct"/>
            <w:vAlign w:val="center"/>
          </w:tcPr>
          <w:p w14:paraId="60E9FAA2" w14:textId="0E1508C1" w:rsidR="004E5C74" w:rsidRPr="00781112" w:rsidRDefault="004E5C74" w:rsidP="004E5C74">
            <w:pPr>
              <w:jc w:val="center"/>
              <w:rPr>
                <w:rFonts w:cs="Arial"/>
                <w:color w:val="000000" w:themeColor="text1"/>
                <w:szCs w:val="16"/>
              </w:rPr>
            </w:pPr>
          </w:p>
        </w:tc>
        <w:tc>
          <w:tcPr>
            <w:tcW w:w="556" w:type="pct"/>
            <w:vAlign w:val="center"/>
          </w:tcPr>
          <w:p w14:paraId="55ED1028" w14:textId="05411637" w:rsidR="004E5C74" w:rsidRPr="00781112" w:rsidRDefault="004E5C74" w:rsidP="004E5C74">
            <w:pPr>
              <w:jc w:val="center"/>
              <w:rPr>
                <w:rFonts w:cs="Arial"/>
                <w:color w:val="000000" w:themeColor="text1"/>
                <w:szCs w:val="16"/>
              </w:rPr>
            </w:pPr>
          </w:p>
        </w:tc>
        <w:tc>
          <w:tcPr>
            <w:tcW w:w="556" w:type="pct"/>
            <w:vAlign w:val="center"/>
          </w:tcPr>
          <w:p w14:paraId="3D7C28F8" w14:textId="2CE26657" w:rsidR="004E5C74" w:rsidRPr="00781112" w:rsidRDefault="004E5C74" w:rsidP="004E5C74">
            <w:pPr>
              <w:jc w:val="center"/>
              <w:rPr>
                <w:rFonts w:cs="Arial"/>
                <w:color w:val="000000" w:themeColor="text1"/>
                <w:szCs w:val="16"/>
              </w:rPr>
            </w:pPr>
          </w:p>
        </w:tc>
        <w:tc>
          <w:tcPr>
            <w:tcW w:w="553" w:type="pct"/>
            <w:vAlign w:val="center"/>
          </w:tcPr>
          <w:p w14:paraId="1808780D" w14:textId="3285A0E2" w:rsidR="004E5C74" w:rsidRPr="00781112" w:rsidRDefault="004E5C74" w:rsidP="004E5C74">
            <w:pPr>
              <w:jc w:val="center"/>
              <w:rPr>
                <w:rFonts w:cs="Arial"/>
                <w:color w:val="000000" w:themeColor="text1"/>
                <w:szCs w:val="16"/>
              </w:rPr>
            </w:pP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p>
        </w:tc>
        <w:tc>
          <w:tcPr>
            <w:tcW w:w="556" w:type="pct"/>
            <w:vAlign w:val="center"/>
          </w:tcPr>
          <w:p w14:paraId="6F53672D" w14:textId="674E45B1" w:rsidR="004E5C74" w:rsidRPr="00781112" w:rsidRDefault="004E5C74" w:rsidP="004E5C74">
            <w:pPr>
              <w:jc w:val="center"/>
              <w:rPr>
                <w:rFonts w:cs="Arial"/>
                <w:color w:val="000000" w:themeColor="text1"/>
                <w:szCs w:val="16"/>
              </w:rPr>
            </w:pPr>
          </w:p>
        </w:tc>
        <w:tc>
          <w:tcPr>
            <w:tcW w:w="556" w:type="pct"/>
            <w:vAlign w:val="center"/>
          </w:tcPr>
          <w:p w14:paraId="1E839895" w14:textId="3633076A" w:rsidR="004E5C74" w:rsidRPr="00781112" w:rsidRDefault="004E5C74" w:rsidP="004E5C74">
            <w:pPr>
              <w:jc w:val="center"/>
              <w:rPr>
                <w:rFonts w:cs="Arial"/>
                <w:color w:val="000000" w:themeColor="text1"/>
                <w:szCs w:val="16"/>
              </w:rPr>
            </w:pPr>
          </w:p>
        </w:tc>
        <w:tc>
          <w:tcPr>
            <w:tcW w:w="556" w:type="pct"/>
            <w:vAlign w:val="center"/>
          </w:tcPr>
          <w:p w14:paraId="64501470" w14:textId="22292C16" w:rsidR="004E5C74" w:rsidRPr="00781112" w:rsidRDefault="004E5C74" w:rsidP="004E5C74">
            <w:pPr>
              <w:jc w:val="center"/>
              <w:rPr>
                <w:rFonts w:cs="Arial"/>
                <w:color w:val="000000" w:themeColor="text1"/>
                <w:szCs w:val="16"/>
              </w:rPr>
            </w:pPr>
          </w:p>
        </w:tc>
        <w:tc>
          <w:tcPr>
            <w:tcW w:w="556" w:type="pct"/>
            <w:vAlign w:val="center"/>
          </w:tcPr>
          <w:p w14:paraId="0CF7FF79" w14:textId="48B4AF2C" w:rsidR="004E5C74" w:rsidRPr="00781112" w:rsidRDefault="004E5C74" w:rsidP="004E5C74">
            <w:pPr>
              <w:jc w:val="center"/>
              <w:rPr>
                <w:rFonts w:cs="Arial"/>
                <w:color w:val="000000" w:themeColor="text1"/>
                <w:szCs w:val="16"/>
              </w:rPr>
            </w:pPr>
          </w:p>
        </w:tc>
        <w:tc>
          <w:tcPr>
            <w:tcW w:w="553" w:type="pct"/>
            <w:vAlign w:val="center"/>
          </w:tcPr>
          <w:p w14:paraId="42EF1AD6" w14:textId="1D4F7F5D" w:rsidR="004E5C74" w:rsidRPr="00781112" w:rsidRDefault="004E5C74" w:rsidP="004E5C74">
            <w:pPr>
              <w:jc w:val="center"/>
              <w:rPr>
                <w:rFonts w:cs="Arial"/>
                <w:color w:val="000000" w:themeColor="text1"/>
                <w:szCs w:val="16"/>
              </w:rPr>
            </w:pP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p>
        </w:tc>
        <w:tc>
          <w:tcPr>
            <w:tcW w:w="556" w:type="pct"/>
            <w:vAlign w:val="center"/>
          </w:tcPr>
          <w:p w14:paraId="2ADA59C0" w14:textId="7F027C54" w:rsidR="004E5C74" w:rsidRPr="00781112" w:rsidRDefault="004E5C74" w:rsidP="004E5C74">
            <w:pPr>
              <w:jc w:val="center"/>
              <w:rPr>
                <w:rFonts w:cs="Arial"/>
                <w:color w:val="000000" w:themeColor="text1"/>
                <w:szCs w:val="16"/>
              </w:rPr>
            </w:pPr>
          </w:p>
        </w:tc>
        <w:tc>
          <w:tcPr>
            <w:tcW w:w="556" w:type="pct"/>
            <w:vAlign w:val="center"/>
          </w:tcPr>
          <w:p w14:paraId="63258519" w14:textId="524B5DC2" w:rsidR="004E5C74" w:rsidRPr="00781112" w:rsidRDefault="004E5C74" w:rsidP="004E5C74">
            <w:pPr>
              <w:jc w:val="center"/>
              <w:rPr>
                <w:rFonts w:cs="Arial"/>
                <w:color w:val="000000" w:themeColor="text1"/>
                <w:szCs w:val="16"/>
              </w:rPr>
            </w:pPr>
          </w:p>
        </w:tc>
        <w:tc>
          <w:tcPr>
            <w:tcW w:w="556" w:type="pct"/>
            <w:vAlign w:val="center"/>
          </w:tcPr>
          <w:p w14:paraId="4B2BD04F" w14:textId="59A32E65" w:rsidR="004E5C74" w:rsidRPr="00781112" w:rsidRDefault="004E5C74" w:rsidP="004E5C74">
            <w:pPr>
              <w:jc w:val="center"/>
              <w:rPr>
                <w:rFonts w:cs="Arial"/>
                <w:color w:val="000000" w:themeColor="text1"/>
                <w:szCs w:val="16"/>
              </w:rPr>
            </w:pPr>
          </w:p>
        </w:tc>
        <w:tc>
          <w:tcPr>
            <w:tcW w:w="556" w:type="pct"/>
            <w:vAlign w:val="center"/>
          </w:tcPr>
          <w:p w14:paraId="2E366D74" w14:textId="47D73C6E" w:rsidR="004E5C74" w:rsidRPr="00781112" w:rsidRDefault="004E5C74" w:rsidP="004E5C74">
            <w:pPr>
              <w:jc w:val="center"/>
              <w:rPr>
                <w:rFonts w:cs="Arial"/>
                <w:color w:val="000000" w:themeColor="text1"/>
                <w:szCs w:val="16"/>
              </w:rPr>
            </w:pPr>
          </w:p>
        </w:tc>
        <w:tc>
          <w:tcPr>
            <w:tcW w:w="553" w:type="pct"/>
            <w:vAlign w:val="center"/>
          </w:tcPr>
          <w:p w14:paraId="4EAA6E8B" w14:textId="65538945" w:rsidR="004E5C74" w:rsidRPr="00781112" w:rsidRDefault="004E5C74" w:rsidP="004E5C74">
            <w:pPr>
              <w:jc w:val="center"/>
              <w:rPr>
                <w:rFonts w:cs="Arial"/>
                <w:color w:val="000000" w:themeColor="text1"/>
                <w:szCs w:val="16"/>
              </w:rPr>
            </w:pP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p>
        </w:tc>
        <w:tc>
          <w:tcPr>
            <w:tcW w:w="556" w:type="pct"/>
            <w:vAlign w:val="center"/>
          </w:tcPr>
          <w:p w14:paraId="558D49D9" w14:textId="56776B71" w:rsidR="004E5C74" w:rsidRPr="00781112" w:rsidRDefault="004E5C74" w:rsidP="004E5C74">
            <w:pPr>
              <w:jc w:val="center"/>
              <w:rPr>
                <w:rFonts w:cs="Arial"/>
                <w:color w:val="000000" w:themeColor="text1"/>
                <w:szCs w:val="16"/>
              </w:rPr>
            </w:pPr>
          </w:p>
        </w:tc>
        <w:tc>
          <w:tcPr>
            <w:tcW w:w="556" w:type="pct"/>
            <w:vAlign w:val="center"/>
          </w:tcPr>
          <w:p w14:paraId="529C7F25" w14:textId="45E82B2D" w:rsidR="004E5C74" w:rsidRPr="00781112" w:rsidRDefault="004E5C74" w:rsidP="004E5C74">
            <w:pPr>
              <w:jc w:val="center"/>
              <w:rPr>
                <w:rFonts w:cs="Arial"/>
                <w:color w:val="000000" w:themeColor="text1"/>
                <w:szCs w:val="16"/>
              </w:rPr>
            </w:pPr>
          </w:p>
        </w:tc>
        <w:tc>
          <w:tcPr>
            <w:tcW w:w="556" w:type="pct"/>
            <w:vAlign w:val="center"/>
          </w:tcPr>
          <w:p w14:paraId="0CD7F429" w14:textId="3C743F76" w:rsidR="004E5C74" w:rsidRPr="00781112" w:rsidRDefault="004E5C74" w:rsidP="004E5C74">
            <w:pPr>
              <w:jc w:val="center"/>
              <w:rPr>
                <w:rFonts w:cs="Arial"/>
                <w:color w:val="000000" w:themeColor="text1"/>
                <w:szCs w:val="16"/>
              </w:rPr>
            </w:pPr>
          </w:p>
        </w:tc>
        <w:tc>
          <w:tcPr>
            <w:tcW w:w="556" w:type="pct"/>
            <w:vAlign w:val="center"/>
          </w:tcPr>
          <w:p w14:paraId="32C7804D" w14:textId="4585EF77" w:rsidR="004E5C74" w:rsidRPr="00781112" w:rsidRDefault="004E5C74" w:rsidP="004E5C74">
            <w:pPr>
              <w:jc w:val="center"/>
              <w:rPr>
                <w:rFonts w:cs="Arial"/>
                <w:color w:val="000000" w:themeColor="text1"/>
                <w:szCs w:val="16"/>
              </w:rPr>
            </w:pPr>
          </w:p>
        </w:tc>
        <w:tc>
          <w:tcPr>
            <w:tcW w:w="553" w:type="pct"/>
            <w:vAlign w:val="center"/>
          </w:tcPr>
          <w:p w14:paraId="1636C34D" w14:textId="4A778D79" w:rsidR="004E5C74" w:rsidRPr="00781112" w:rsidRDefault="004E5C74" w:rsidP="004E5C74">
            <w:pPr>
              <w:jc w:val="center"/>
              <w:rPr>
                <w:rFonts w:cs="Arial"/>
                <w:color w:val="000000" w:themeColor="text1"/>
                <w:szCs w:val="16"/>
              </w:rPr>
            </w:pP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p>
        </w:tc>
        <w:tc>
          <w:tcPr>
            <w:tcW w:w="556" w:type="pct"/>
            <w:vAlign w:val="center"/>
          </w:tcPr>
          <w:p w14:paraId="5424FF66" w14:textId="7AB6DE06" w:rsidR="004E5C74" w:rsidRPr="00781112" w:rsidRDefault="004E5C74" w:rsidP="004E5C74">
            <w:pPr>
              <w:jc w:val="center"/>
              <w:rPr>
                <w:rFonts w:cs="Arial"/>
                <w:color w:val="000000" w:themeColor="text1"/>
                <w:szCs w:val="16"/>
              </w:rPr>
            </w:pPr>
          </w:p>
        </w:tc>
        <w:tc>
          <w:tcPr>
            <w:tcW w:w="556" w:type="pct"/>
            <w:vAlign w:val="center"/>
          </w:tcPr>
          <w:p w14:paraId="552DC3D3" w14:textId="79B2C0C8" w:rsidR="004E5C74" w:rsidRPr="00781112" w:rsidRDefault="004E5C74" w:rsidP="004E5C74">
            <w:pPr>
              <w:jc w:val="center"/>
              <w:rPr>
                <w:rFonts w:cs="Arial"/>
                <w:color w:val="000000" w:themeColor="text1"/>
                <w:szCs w:val="16"/>
              </w:rPr>
            </w:pPr>
          </w:p>
        </w:tc>
        <w:tc>
          <w:tcPr>
            <w:tcW w:w="556" w:type="pct"/>
            <w:vAlign w:val="center"/>
          </w:tcPr>
          <w:p w14:paraId="4ECE9215" w14:textId="1D6B1BD9" w:rsidR="004E5C74" w:rsidRPr="00781112" w:rsidRDefault="004E5C74" w:rsidP="004E5C74">
            <w:pPr>
              <w:jc w:val="center"/>
              <w:rPr>
                <w:rFonts w:cs="Arial"/>
                <w:color w:val="000000" w:themeColor="text1"/>
                <w:szCs w:val="16"/>
              </w:rPr>
            </w:pPr>
          </w:p>
        </w:tc>
        <w:tc>
          <w:tcPr>
            <w:tcW w:w="556" w:type="pct"/>
            <w:vAlign w:val="center"/>
          </w:tcPr>
          <w:p w14:paraId="6E3EC3AC" w14:textId="066F1EBD" w:rsidR="004E5C74" w:rsidRPr="00781112" w:rsidRDefault="004E5C74" w:rsidP="004E5C74">
            <w:pPr>
              <w:jc w:val="center"/>
              <w:rPr>
                <w:rFonts w:cs="Arial"/>
                <w:color w:val="000000" w:themeColor="text1"/>
                <w:szCs w:val="16"/>
              </w:rPr>
            </w:pPr>
          </w:p>
        </w:tc>
        <w:tc>
          <w:tcPr>
            <w:tcW w:w="553" w:type="pct"/>
            <w:vAlign w:val="center"/>
          </w:tcPr>
          <w:p w14:paraId="592B887B" w14:textId="09CB9AAC" w:rsidR="004E5C74" w:rsidRPr="00781112" w:rsidRDefault="004E5C74" w:rsidP="004E5C74">
            <w:pPr>
              <w:jc w:val="center"/>
              <w:rPr>
                <w:rFonts w:cs="Arial"/>
                <w:color w:val="000000" w:themeColor="text1"/>
                <w:szCs w:val="16"/>
              </w:rPr>
            </w:pP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To garner comprehensive stakeholder input the VIDE/SOSE expanded and reconfigured its stakeholder component with a concentrated focus on Indicator clusters (3,5 and SSIP) to ensure representativeness in all areas. This reconfiguration includes but is not limited to the following: parents of children with disabilities grade level and content experts (state and district assessment personnel), school administrators, early childhood personnel, district directors, and coordinators.</w:t>
      </w:r>
      <w:r w:rsidRPr="00781112">
        <w:rPr>
          <w:rFonts w:cs="Arial"/>
          <w:color w:val="000000" w:themeColor="text1"/>
          <w:szCs w:val="16"/>
        </w:rPr>
        <w:br/>
      </w:r>
      <w:r w:rsidRPr="00781112">
        <w:rPr>
          <w:rFonts w:cs="Arial"/>
          <w:color w:val="000000" w:themeColor="text1"/>
          <w:szCs w:val="16"/>
        </w:rPr>
        <w:br/>
        <w:t xml:space="preserve">For FFY 2020, the VIDE/SOSE invited newly selected/appointed members to its virtual stakeholder meeting to include prior members, to the redesigned structure of its stakeholder groups. The VIDE/SOSE divided the new stakeholder group structure into cluster groups. Members were presented with indicator background and current information as well as data. Attendees were tasked with identifying improvement strategies geared towards improving performance and measuring advancement. </w:t>
      </w: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lastRenderedPageBreak/>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lastRenderedPageBreak/>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For FFY 2020 (the school year 2020-21), and as a result of the Centers for Disease Control Prevention(CDC) and Virgin Islands Department of Health (VIDOH) national emergency guidelines relating to the COVID-19 Pandemic National Emergency, the Virgin Islands Department of Education (VIDE) requested a waiver; according to section 8401(b) of the Elementary and Secondary Education Act of 1965 (ESEA), as amended. As such, Assessments were only administered only for informational purposes. Thus, this resulted in the VIDE/SOSE’s inability to have a baseline and target data for this indicator and on the proficiency rate (on grade-level academic achievement standards) or to determine whether or not slippage occurred.</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Due to the circumstances created by the COVID-19 pandemic, Virgin Islands did not report any FFY 2020 data for this indicator.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Virgin Islands provided an explanation of how COVID-19 impacted its ability to collect FFY 2020 data for this indicator and steps the Virgin Islands has taken to mitigate the impact of COVID-19 on data collection.</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Virgin Islands did not provide data for FFY 2020. Virgin Islands must provide the required data for FFY 2021 in the FFY 2021 SPP/APR.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In the FFY 2021 APR Virgin Islands must also provide baseline data and targets for FFY 2021-2025, as required by the Measurement Table.</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p>
        </w:tc>
        <w:tc>
          <w:tcPr>
            <w:tcW w:w="1176" w:type="pct"/>
            <w:vAlign w:val="center"/>
          </w:tcPr>
          <w:p w14:paraId="2281A612" w14:textId="23CB1591" w:rsidR="00537221" w:rsidRPr="00781112" w:rsidRDefault="00537221" w:rsidP="00827FF4">
            <w:pPr>
              <w:spacing w:before="0" w:after="0"/>
              <w:jc w:val="center"/>
              <w:rPr>
                <w:color w:val="000000" w:themeColor="text1"/>
              </w:rPr>
            </w:pP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p>
        </w:tc>
        <w:tc>
          <w:tcPr>
            <w:tcW w:w="582" w:type="pct"/>
            <w:vAlign w:val="center"/>
          </w:tcPr>
          <w:p w14:paraId="1A23D563" w14:textId="56F68959" w:rsidR="00D13592" w:rsidRPr="00781112" w:rsidRDefault="00D13592" w:rsidP="00D13592">
            <w:pPr>
              <w:jc w:val="center"/>
              <w:rPr>
                <w:rFonts w:cs="Arial"/>
                <w:color w:val="000000" w:themeColor="text1"/>
                <w:szCs w:val="16"/>
              </w:rPr>
            </w:pPr>
          </w:p>
        </w:tc>
        <w:tc>
          <w:tcPr>
            <w:tcW w:w="582" w:type="pct"/>
            <w:vAlign w:val="center"/>
          </w:tcPr>
          <w:p w14:paraId="6BBDE651" w14:textId="47B65FE0" w:rsidR="00D13592" w:rsidRPr="00781112" w:rsidRDefault="00D13592" w:rsidP="00D13592">
            <w:pPr>
              <w:jc w:val="center"/>
              <w:rPr>
                <w:rFonts w:cs="Arial"/>
                <w:color w:val="000000" w:themeColor="text1"/>
                <w:szCs w:val="16"/>
              </w:rPr>
            </w:pPr>
          </w:p>
        </w:tc>
        <w:tc>
          <w:tcPr>
            <w:tcW w:w="582" w:type="pct"/>
            <w:vAlign w:val="center"/>
          </w:tcPr>
          <w:p w14:paraId="5A275577" w14:textId="6DCA94CB" w:rsidR="00D13592" w:rsidRPr="00781112" w:rsidRDefault="00D13592" w:rsidP="00D13592">
            <w:pPr>
              <w:jc w:val="center"/>
              <w:rPr>
                <w:rFonts w:cs="Arial"/>
                <w:color w:val="000000" w:themeColor="text1"/>
                <w:szCs w:val="16"/>
              </w:rPr>
            </w:pPr>
          </w:p>
        </w:tc>
        <w:tc>
          <w:tcPr>
            <w:tcW w:w="582" w:type="pct"/>
            <w:vAlign w:val="center"/>
          </w:tcPr>
          <w:p w14:paraId="3206928B" w14:textId="11EAF098" w:rsidR="00D13592" w:rsidRPr="00781112" w:rsidRDefault="00D13592" w:rsidP="00D13592">
            <w:pPr>
              <w:jc w:val="center"/>
              <w:rPr>
                <w:rFonts w:cs="Arial"/>
                <w:color w:val="000000" w:themeColor="text1"/>
                <w:szCs w:val="16"/>
              </w:rPr>
            </w:pPr>
          </w:p>
        </w:tc>
        <w:tc>
          <w:tcPr>
            <w:tcW w:w="585" w:type="pct"/>
            <w:vAlign w:val="center"/>
          </w:tcPr>
          <w:p w14:paraId="6FBEC16B" w14:textId="37B5556C" w:rsidR="00D13592" w:rsidRPr="00781112" w:rsidRDefault="00D13592" w:rsidP="00D13592">
            <w:pPr>
              <w:jc w:val="center"/>
              <w:rPr>
                <w:rFonts w:cs="Arial"/>
                <w:color w:val="000000" w:themeColor="text1"/>
                <w:szCs w:val="16"/>
              </w:rPr>
            </w:pP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p>
        </w:tc>
        <w:tc>
          <w:tcPr>
            <w:tcW w:w="582" w:type="pct"/>
            <w:vAlign w:val="center"/>
          </w:tcPr>
          <w:p w14:paraId="200F306C" w14:textId="40F15380" w:rsidR="00D13592" w:rsidRPr="00781112" w:rsidRDefault="00D13592" w:rsidP="00D13592">
            <w:pPr>
              <w:jc w:val="center"/>
              <w:rPr>
                <w:rFonts w:cs="Arial"/>
                <w:color w:val="000000" w:themeColor="text1"/>
                <w:szCs w:val="16"/>
              </w:rPr>
            </w:pPr>
          </w:p>
        </w:tc>
        <w:tc>
          <w:tcPr>
            <w:tcW w:w="582" w:type="pct"/>
            <w:vAlign w:val="center"/>
          </w:tcPr>
          <w:p w14:paraId="01C155DC" w14:textId="32FC3C15" w:rsidR="00D13592" w:rsidRPr="00781112" w:rsidRDefault="00D13592" w:rsidP="00D13592">
            <w:pPr>
              <w:jc w:val="center"/>
              <w:rPr>
                <w:rFonts w:cs="Arial"/>
                <w:color w:val="000000" w:themeColor="text1"/>
                <w:szCs w:val="16"/>
              </w:rPr>
            </w:pPr>
          </w:p>
        </w:tc>
        <w:tc>
          <w:tcPr>
            <w:tcW w:w="582" w:type="pct"/>
            <w:vAlign w:val="center"/>
          </w:tcPr>
          <w:p w14:paraId="31A2EE92" w14:textId="183FF0A7" w:rsidR="00D13592" w:rsidRPr="00781112" w:rsidRDefault="00D13592" w:rsidP="00D13592">
            <w:pPr>
              <w:jc w:val="center"/>
              <w:rPr>
                <w:rFonts w:cs="Arial"/>
                <w:color w:val="000000" w:themeColor="text1"/>
                <w:szCs w:val="16"/>
              </w:rPr>
            </w:pPr>
          </w:p>
        </w:tc>
        <w:tc>
          <w:tcPr>
            <w:tcW w:w="582" w:type="pct"/>
            <w:vAlign w:val="center"/>
          </w:tcPr>
          <w:p w14:paraId="52A72D95" w14:textId="51822CAD" w:rsidR="00D13592" w:rsidRPr="00781112" w:rsidRDefault="00D13592" w:rsidP="00D13592">
            <w:pPr>
              <w:jc w:val="center"/>
              <w:rPr>
                <w:rFonts w:cs="Arial"/>
                <w:color w:val="000000" w:themeColor="text1"/>
                <w:szCs w:val="16"/>
              </w:rPr>
            </w:pPr>
          </w:p>
        </w:tc>
        <w:tc>
          <w:tcPr>
            <w:tcW w:w="585" w:type="pct"/>
            <w:vAlign w:val="center"/>
          </w:tcPr>
          <w:p w14:paraId="0A9D3561" w14:textId="4D0FA131" w:rsidR="00D13592" w:rsidRPr="00781112" w:rsidRDefault="00D13592" w:rsidP="00D13592">
            <w:pPr>
              <w:jc w:val="center"/>
              <w:rPr>
                <w:rFonts w:cs="Arial"/>
                <w:color w:val="000000" w:themeColor="text1"/>
                <w:szCs w:val="16"/>
              </w:rPr>
            </w:pP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p>
        </w:tc>
        <w:tc>
          <w:tcPr>
            <w:tcW w:w="582" w:type="pct"/>
            <w:vAlign w:val="center"/>
          </w:tcPr>
          <w:p w14:paraId="3305DD14" w14:textId="4DBBF69C" w:rsidR="00D13592" w:rsidRPr="00781112" w:rsidRDefault="00D13592" w:rsidP="00D13592">
            <w:pPr>
              <w:jc w:val="center"/>
              <w:rPr>
                <w:rFonts w:cs="Arial"/>
                <w:color w:val="000000" w:themeColor="text1"/>
                <w:szCs w:val="16"/>
              </w:rPr>
            </w:pPr>
          </w:p>
        </w:tc>
        <w:tc>
          <w:tcPr>
            <w:tcW w:w="582" w:type="pct"/>
            <w:vAlign w:val="center"/>
          </w:tcPr>
          <w:p w14:paraId="02FF2601" w14:textId="545909AE" w:rsidR="00D13592" w:rsidRPr="00781112" w:rsidRDefault="00D13592" w:rsidP="00D13592">
            <w:pPr>
              <w:jc w:val="center"/>
              <w:rPr>
                <w:rFonts w:cs="Arial"/>
                <w:color w:val="000000" w:themeColor="text1"/>
                <w:szCs w:val="16"/>
              </w:rPr>
            </w:pPr>
          </w:p>
        </w:tc>
        <w:tc>
          <w:tcPr>
            <w:tcW w:w="582" w:type="pct"/>
            <w:vAlign w:val="center"/>
          </w:tcPr>
          <w:p w14:paraId="607B9906" w14:textId="6058F884" w:rsidR="00D13592" w:rsidRPr="00781112" w:rsidRDefault="00D13592" w:rsidP="00D13592">
            <w:pPr>
              <w:jc w:val="center"/>
              <w:rPr>
                <w:rFonts w:cs="Arial"/>
                <w:color w:val="000000" w:themeColor="text1"/>
                <w:szCs w:val="16"/>
              </w:rPr>
            </w:pPr>
          </w:p>
        </w:tc>
        <w:tc>
          <w:tcPr>
            <w:tcW w:w="582" w:type="pct"/>
            <w:vAlign w:val="center"/>
          </w:tcPr>
          <w:p w14:paraId="00AA5B51" w14:textId="2B22FFA4" w:rsidR="00D13592" w:rsidRPr="00781112" w:rsidRDefault="00D13592" w:rsidP="00D13592">
            <w:pPr>
              <w:jc w:val="center"/>
              <w:rPr>
                <w:rFonts w:cs="Arial"/>
                <w:color w:val="000000" w:themeColor="text1"/>
                <w:szCs w:val="16"/>
              </w:rPr>
            </w:pPr>
          </w:p>
        </w:tc>
        <w:tc>
          <w:tcPr>
            <w:tcW w:w="585" w:type="pct"/>
            <w:vAlign w:val="center"/>
          </w:tcPr>
          <w:p w14:paraId="098D4CBC" w14:textId="1DF737D1" w:rsidR="00D13592" w:rsidRPr="00781112" w:rsidRDefault="00D13592" w:rsidP="00D13592">
            <w:pPr>
              <w:jc w:val="center"/>
              <w:rPr>
                <w:rFonts w:cs="Arial"/>
                <w:color w:val="000000" w:themeColor="text1"/>
                <w:szCs w:val="16"/>
              </w:rPr>
            </w:pP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p>
        </w:tc>
        <w:tc>
          <w:tcPr>
            <w:tcW w:w="582" w:type="pct"/>
            <w:vAlign w:val="center"/>
          </w:tcPr>
          <w:p w14:paraId="5BCC413B" w14:textId="09A05E02" w:rsidR="00D13592" w:rsidRPr="00781112" w:rsidRDefault="00D13592" w:rsidP="00D13592">
            <w:pPr>
              <w:jc w:val="center"/>
              <w:rPr>
                <w:rFonts w:cs="Arial"/>
                <w:color w:val="000000" w:themeColor="text1"/>
                <w:szCs w:val="16"/>
              </w:rPr>
            </w:pPr>
          </w:p>
        </w:tc>
        <w:tc>
          <w:tcPr>
            <w:tcW w:w="582" w:type="pct"/>
            <w:vAlign w:val="center"/>
          </w:tcPr>
          <w:p w14:paraId="45EF5FCE" w14:textId="00D7D29B" w:rsidR="00D13592" w:rsidRPr="00781112" w:rsidRDefault="00D13592" w:rsidP="00D13592">
            <w:pPr>
              <w:jc w:val="center"/>
              <w:rPr>
                <w:rFonts w:cs="Arial"/>
                <w:color w:val="000000" w:themeColor="text1"/>
                <w:szCs w:val="16"/>
              </w:rPr>
            </w:pPr>
          </w:p>
        </w:tc>
        <w:tc>
          <w:tcPr>
            <w:tcW w:w="582" w:type="pct"/>
            <w:vAlign w:val="center"/>
          </w:tcPr>
          <w:p w14:paraId="68AE213E" w14:textId="4ECF4085" w:rsidR="00D13592" w:rsidRPr="00781112" w:rsidRDefault="00D13592" w:rsidP="00D13592">
            <w:pPr>
              <w:jc w:val="center"/>
              <w:rPr>
                <w:rFonts w:cs="Arial"/>
                <w:color w:val="000000" w:themeColor="text1"/>
                <w:szCs w:val="16"/>
              </w:rPr>
            </w:pPr>
          </w:p>
        </w:tc>
        <w:tc>
          <w:tcPr>
            <w:tcW w:w="582" w:type="pct"/>
            <w:vAlign w:val="center"/>
          </w:tcPr>
          <w:p w14:paraId="7B3E2D7F" w14:textId="73124E34" w:rsidR="00D13592" w:rsidRPr="00781112" w:rsidRDefault="00D13592" w:rsidP="00D13592">
            <w:pPr>
              <w:jc w:val="center"/>
              <w:rPr>
                <w:rFonts w:cs="Arial"/>
                <w:color w:val="000000" w:themeColor="text1"/>
                <w:szCs w:val="16"/>
              </w:rPr>
            </w:pPr>
          </w:p>
        </w:tc>
        <w:tc>
          <w:tcPr>
            <w:tcW w:w="585" w:type="pct"/>
            <w:vAlign w:val="center"/>
          </w:tcPr>
          <w:p w14:paraId="4BC7B620" w14:textId="19BD9C5D" w:rsidR="00D13592" w:rsidRPr="00781112" w:rsidRDefault="00D13592" w:rsidP="00D13592">
            <w:pPr>
              <w:jc w:val="center"/>
              <w:rPr>
                <w:rFonts w:cs="Arial"/>
                <w:color w:val="000000" w:themeColor="text1"/>
                <w:szCs w:val="16"/>
              </w:rPr>
            </w:pP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p>
        </w:tc>
        <w:tc>
          <w:tcPr>
            <w:tcW w:w="582" w:type="pct"/>
            <w:vAlign w:val="center"/>
          </w:tcPr>
          <w:p w14:paraId="0BF63C58" w14:textId="72F24C80" w:rsidR="00D13592" w:rsidRPr="00781112" w:rsidRDefault="00D13592" w:rsidP="00D13592">
            <w:pPr>
              <w:jc w:val="center"/>
              <w:rPr>
                <w:rFonts w:cs="Arial"/>
                <w:color w:val="000000" w:themeColor="text1"/>
                <w:szCs w:val="16"/>
              </w:rPr>
            </w:pPr>
          </w:p>
        </w:tc>
        <w:tc>
          <w:tcPr>
            <w:tcW w:w="582" w:type="pct"/>
            <w:vAlign w:val="center"/>
          </w:tcPr>
          <w:p w14:paraId="0075BBBD" w14:textId="7AFABF25" w:rsidR="00D13592" w:rsidRPr="00781112" w:rsidRDefault="00D13592" w:rsidP="00D13592">
            <w:pPr>
              <w:jc w:val="center"/>
              <w:rPr>
                <w:rFonts w:cs="Arial"/>
                <w:color w:val="000000" w:themeColor="text1"/>
                <w:szCs w:val="16"/>
              </w:rPr>
            </w:pPr>
          </w:p>
        </w:tc>
        <w:tc>
          <w:tcPr>
            <w:tcW w:w="582" w:type="pct"/>
            <w:vAlign w:val="center"/>
          </w:tcPr>
          <w:p w14:paraId="0162408E" w14:textId="763A5CFC" w:rsidR="00D13592" w:rsidRPr="00781112" w:rsidRDefault="00D13592" w:rsidP="00D13592">
            <w:pPr>
              <w:jc w:val="center"/>
              <w:rPr>
                <w:rFonts w:cs="Arial"/>
                <w:color w:val="000000" w:themeColor="text1"/>
                <w:szCs w:val="16"/>
              </w:rPr>
            </w:pPr>
          </w:p>
        </w:tc>
        <w:tc>
          <w:tcPr>
            <w:tcW w:w="582" w:type="pct"/>
            <w:vAlign w:val="center"/>
          </w:tcPr>
          <w:p w14:paraId="31533AB0" w14:textId="168489BE" w:rsidR="00D13592" w:rsidRPr="00781112" w:rsidRDefault="00D13592" w:rsidP="00D13592">
            <w:pPr>
              <w:jc w:val="center"/>
              <w:rPr>
                <w:rFonts w:cs="Arial"/>
                <w:color w:val="000000" w:themeColor="text1"/>
                <w:szCs w:val="16"/>
              </w:rPr>
            </w:pPr>
          </w:p>
        </w:tc>
        <w:tc>
          <w:tcPr>
            <w:tcW w:w="585" w:type="pct"/>
            <w:vAlign w:val="center"/>
          </w:tcPr>
          <w:p w14:paraId="3FD08822" w14:textId="00C4AF34" w:rsidR="00D13592" w:rsidRPr="00781112" w:rsidRDefault="00D13592" w:rsidP="00D13592">
            <w:pPr>
              <w:jc w:val="center"/>
              <w:rPr>
                <w:rFonts w:cs="Arial"/>
                <w:color w:val="000000" w:themeColor="text1"/>
                <w:szCs w:val="16"/>
              </w:rPr>
            </w:pP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p>
        </w:tc>
        <w:tc>
          <w:tcPr>
            <w:tcW w:w="582" w:type="pct"/>
            <w:vAlign w:val="center"/>
          </w:tcPr>
          <w:p w14:paraId="72012D7E" w14:textId="10B8E7BA" w:rsidR="00D13592" w:rsidRPr="00781112" w:rsidRDefault="00D13592" w:rsidP="00D13592">
            <w:pPr>
              <w:jc w:val="center"/>
              <w:rPr>
                <w:rFonts w:cs="Arial"/>
                <w:color w:val="000000" w:themeColor="text1"/>
                <w:szCs w:val="16"/>
              </w:rPr>
            </w:pPr>
          </w:p>
        </w:tc>
        <w:tc>
          <w:tcPr>
            <w:tcW w:w="582" w:type="pct"/>
            <w:vAlign w:val="center"/>
          </w:tcPr>
          <w:p w14:paraId="323B3F79" w14:textId="5FA94A39" w:rsidR="00D13592" w:rsidRPr="00781112" w:rsidRDefault="00D13592" w:rsidP="00D13592">
            <w:pPr>
              <w:jc w:val="center"/>
              <w:rPr>
                <w:rFonts w:cs="Arial"/>
                <w:color w:val="000000" w:themeColor="text1"/>
                <w:szCs w:val="16"/>
              </w:rPr>
            </w:pPr>
          </w:p>
        </w:tc>
        <w:tc>
          <w:tcPr>
            <w:tcW w:w="582" w:type="pct"/>
            <w:vAlign w:val="center"/>
          </w:tcPr>
          <w:p w14:paraId="4A1DD032" w14:textId="1316ECD4" w:rsidR="00D13592" w:rsidRPr="00781112" w:rsidRDefault="00D13592" w:rsidP="00D13592">
            <w:pPr>
              <w:jc w:val="center"/>
              <w:rPr>
                <w:rFonts w:cs="Arial"/>
                <w:color w:val="000000" w:themeColor="text1"/>
                <w:szCs w:val="16"/>
              </w:rPr>
            </w:pPr>
          </w:p>
        </w:tc>
        <w:tc>
          <w:tcPr>
            <w:tcW w:w="582" w:type="pct"/>
            <w:vAlign w:val="center"/>
          </w:tcPr>
          <w:p w14:paraId="74C8F676" w14:textId="54D72167" w:rsidR="00D13592" w:rsidRPr="00781112" w:rsidRDefault="00D13592" w:rsidP="00D13592">
            <w:pPr>
              <w:jc w:val="center"/>
              <w:rPr>
                <w:rFonts w:cs="Arial"/>
                <w:color w:val="000000" w:themeColor="text1"/>
                <w:szCs w:val="16"/>
              </w:rPr>
            </w:pPr>
          </w:p>
        </w:tc>
        <w:tc>
          <w:tcPr>
            <w:tcW w:w="585" w:type="pct"/>
            <w:vAlign w:val="center"/>
          </w:tcPr>
          <w:p w14:paraId="1C6A0417" w14:textId="5A5D31CA" w:rsidR="00D13592" w:rsidRPr="00781112" w:rsidRDefault="00D13592" w:rsidP="00D13592">
            <w:pPr>
              <w:jc w:val="center"/>
              <w:rPr>
                <w:rFonts w:cs="Arial"/>
                <w:color w:val="000000" w:themeColor="text1"/>
                <w:szCs w:val="16"/>
              </w:rPr>
            </w:pP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To garner comprehensive stakeholder input the VIDE/SOSE expanded and reconfigured its stakeholder component with a concentrated focus on Indicator clusters (3,5 and SSIP) to ensure representativeness in all areas. This reconfiguration includes but is not limited to the following: parents of children with disabilities, grade level and content experts (state and district assessment personnel), school administrators, early childhood personnel, district directors, and coordinators.</w:t>
      </w:r>
      <w:r w:rsidRPr="00781112">
        <w:rPr>
          <w:rFonts w:cs="Arial"/>
          <w:color w:val="000000" w:themeColor="text1"/>
          <w:szCs w:val="16"/>
        </w:rPr>
        <w:br/>
      </w:r>
      <w:r w:rsidRPr="00781112">
        <w:rPr>
          <w:rFonts w:cs="Arial"/>
          <w:color w:val="000000" w:themeColor="text1"/>
          <w:szCs w:val="16"/>
        </w:rPr>
        <w:br/>
        <w:t>For FFY 2020, the VIDE/SOSE invited newly selected/appointed members to its virtual stakeholder meeting to include prior members, to the redesigned structure of its stakeholder groups. The VIDE/SOSE divided the new stakeholder group structure into cluster groups. Members were presented with indicator background and current information as well as data. Attendees were tasked with identifying improvement strategies geared towards improving performance and measuring advancement.</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lastRenderedPageBreak/>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A869E9" w:rsidP="009C613A">
      <w:pPr>
        <w:rPr>
          <w:rFonts w:cs="Arial"/>
          <w:color w:val="000000" w:themeColor="text1"/>
          <w:szCs w:val="16"/>
        </w:rPr>
      </w:pP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For FFY 2020 (the school year 2020-21), and as a result of the Centers for Disease Control Prevention(CDC) and Virgin Islands Department of Health (VIDOH) national emergency guidelines relating to the COVID-19 Pandemic National Emergency, the Virgin Islands Department of Education (VIDE) requested a waiver; according to section 8401(b) of the Elementary and Secondary Education Act of 1965 (ESEA), as amended. As such, Assessments were only administered only for informational purposes. Thus, this resulted in the VIDE/SOSE’s inability to have baseline and target data for this indicator and report on the proficiency (on alternate academic achievement standards) rate or to determine whether or not slippage occurred.</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 xml:space="preserve">Due to the circumstances created by the COVID-19 pandemic, Virgin Islands did not report any FFY 2020 data for this indicator.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Virgin Islands provided an explanation of how COVID-19 impacted its ability to collect FFY 2020 data for this indicator and steps the Virgin Islands has taken to mitigate the impact of COVID-19 on data collection.</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 xml:space="preserve">Virgin Islands did not provide data for FFY 2020. Virgin Islands must provide the required data for FFY 2021 in the FFY 2021 SPP/APR.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In the FFY 2021 SPP/APR  Virgin Islands must also provide baseline data and targets for FFY 2021-2025, as required by the Measurement Table.</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p>
        </w:tc>
        <w:tc>
          <w:tcPr>
            <w:tcW w:w="1176" w:type="pct"/>
            <w:vAlign w:val="center"/>
          </w:tcPr>
          <w:p w14:paraId="0D86351D" w14:textId="7DD98963" w:rsidR="00DD5B7A" w:rsidRPr="00781112" w:rsidRDefault="00DD5B7A" w:rsidP="00827FF4">
            <w:pPr>
              <w:spacing w:before="0" w:after="0"/>
              <w:jc w:val="center"/>
              <w:rPr>
                <w:color w:val="000000" w:themeColor="text1"/>
              </w:rPr>
            </w:pP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p>
        </w:tc>
        <w:tc>
          <w:tcPr>
            <w:tcW w:w="618" w:type="pct"/>
            <w:vAlign w:val="center"/>
          </w:tcPr>
          <w:p w14:paraId="7E46B7D6" w14:textId="00FC807B" w:rsidR="00DD5B7A" w:rsidRPr="00781112" w:rsidRDefault="00DD5B7A" w:rsidP="00827FF4">
            <w:pPr>
              <w:jc w:val="center"/>
              <w:rPr>
                <w:rFonts w:cs="Arial"/>
                <w:color w:val="000000" w:themeColor="text1"/>
                <w:szCs w:val="16"/>
              </w:rPr>
            </w:pPr>
          </w:p>
        </w:tc>
        <w:tc>
          <w:tcPr>
            <w:tcW w:w="618" w:type="pct"/>
            <w:vAlign w:val="center"/>
          </w:tcPr>
          <w:p w14:paraId="7A079196" w14:textId="4665429A" w:rsidR="00DD5B7A" w:rsidRPr="00781112" w:rsidRDefault="00DD5B7A" w:rsidP="00827FF4">
            <w:pPr>
              <w:jc w:val="center"/>
              <w:rPr>
                <w:rFonts w:cs="Arial"/>
                <w:color w:val="000000" w:themeColor="text1"/>
                <w:szCs w:val="16"/>
              </w:rPr>
            </w:pPr>
          </w:p>
        </w:tc>
        <w:tc>
          <w:tcPr>
            <w:tcW w:w="618" w:type="pct"/>
            <w:vAlign w:val="center"/>
          </w:tcPr>
          <w:p w14:paraId="0F6929A5" w14:textId="0FD4F063" w:rsidR="00DD5B7A" w:rsidRPr="00781112" w:rsidRDefault="00DD5B7A" w:rsidP="00827FF4">
            <w:pPr>
              <w:jc w:val="center"/>
              <w:rPr>
                <w:rFonts w:cs="Arial"/>
                <w:color w:val="000000" w:themeColor="text1"/>
                <w:szCs w:val="16"/>
              </w:rPr>
            </w:pP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p>
        </w:tc>
        <w:tc>
          <w:tcPr>
            <w:tcW w:w="618" w:type="pct"/>
            <w:vAlign w:val="center"/>
          </w:tcPr>
          <w:p w14:paraId="5D544F8D" w14:textId="7D5BE3EF" w:rsidR="00DD5B7A" w:rsidRPr="00781112" w:rsidRDefault="00DD5B7A" w:rsidP="00827FF4">
            <w:pPr>
              <w:jc w:val="center"/>
              <w:rPr>
                <w:rFonts w:cs="Arial"/>
                <w:color w:val="000000" w:themeColor="text1"/>
                <w:szCs w:val="16"/>
              </w:rPr>
            </w:pPr>
          </w:p>
        </w:tc>
        <w:tc>
          <w:tcPr>
            <w:tcW w:w="618" w:type="pct"/>
            <w:vAlign w:val="center"/>
          </w:tcPr>
          <w:p w14:paraId="067CAD2B" w14:textId="5DA2AE3C" w:rsidR="00DD5B7A" w:rsidRPr="00781112" w:rsidRDefault="00DD5B7A" w:rsidP="00827FF4">
            <w:pPr>
              <w:jc w:val="center"/>
              <w:rPr>
                <w:rFonts w:cs="Arial"/>
                <w:color w:val="000000" w:themeColor="text1"/>
                <w:szCs w:val="16"/>
              </w:rPr>
            </w:pPr>
          </w:p>
        </w:tc>
        <w:tc>
          <w:tcPr>
            <w:tcW w:w="618" w:type="pct"/>
            <w:vAlign w:val="center"/>
          </w:tcPr>
          <w:p w14:paraId="780BEF08" w14:textId="2245CB58" w:rsidR="00DD5B7A" w:rsidRPr="00781112" w:rsidRDefault="00DD5B7A" w:rsidP="00827FF4">
            <w:pPr>
              <w:jc w:val="center"/>
              <w:rPr>
                <w:rFonts w:cs="Arial"/>
                <w:color w:val="000000" w:themeColor="text1"/>
                <w:szCs w:val="16"/>
              </w:rPr>
            </w:pPr>
          </w:p>
        </w:tc>
        <w:tc>
          <w:tcPr>
            <w:tcW w:w="618" w:type="pct"/>
            <w:vAlign w:val="center"/>
          </w:tcPr>
          <w:p w14:paraId="7CDE10BF" w14:textId="33273B74" w:rsidR="00DD5B7A" w:rsidRPr="00781112" w:rsidRDefault="00DD5B7A" w:rsidP="00827FF4">
            <w:pPr>
              <w:jc w:val="center"/>
              <w:rPr>
                <w:rFonts w:cs="Arial"/>
                <w:color w:val="000000" w:themeColor="text1"/>
                <w:szCs w:val="16"/>
              </w:rPr>
            </w:pPr>
          </w:p>
        </w:tc>
        <w:tc>
          <w:tcPr>
            <w:tcW w:w="618" w:type="pct"/>
            <w:vAlign w:val="center"/>
          </w:tcPr>
          <w:p w14:paraId="6E355F8D" w14:textId="15BCA2D6" w:rsidR="00DD5B7A" w:rsidRPr="00781112" w:rsidRDefault="00DD5B7A" w:rsidP="00827FF4">
            <w:pPr>
              <w:jc w:val="center"/>
              <w:rPr>
                <w:rFonts w:cs="Arial"/>
                <w:color w:val="000000" w:themeColor="text1"/>
                <w:szCs w:val="16"/>
              </w:rPr>
            </w:pP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p>
        </w:tc>
        <w:tc>
          <w:tcPr>
            <w:tcW w:w="618" w:type="pct"/>
            <w:vAlign w:val="center"/>
          </w:tcPr>
          <w:p w14:paraId="12D9F716" w14:textId="7A56543C" w:rsidR="00DD5B7A" w:rsidRPr="00781112" w:rsidRDefault="00DD5B7A" w:rsidP="00827FF4">
            <w:pPr>
              <w:jc w:val="center"/>
              <w:rPr>
                <w:rFonts w:cs="Arial"/>
                <w:color w:val="000000" w:themeColor="text1"/>
                <w:szCs w:val="16"/>
              </w:rPr>
            </w:pPr>
          </w:p>
        </w:tc>
        <w:tc>
          <w:tcPr>
            <w:tcW w:w="618" w:type="pct"/>
            <w:vAlign w:val="center"/>
          </w:tcPr>
          <w:p w14:paraId="4EE8CD33" w14:textId="2A4DD9F9" w:rsidR="00DD5B7A" w:rsidRPr="00781112" w:rsidRDefault="00DD5B7A" w:rsidP="00827FF4">
            <w:pPr>
              <w:jc w:val="center"/>
              <w:rPr>
                <w:rFonts w:cs="Arial"/>
                <w:color w:val="000000" w:themeColor="text1"/>
                <w:szCs w:val="16"/>
              </w:rPr>
            </w:pPr>
          </w:p>
        </w:tc>
        <w:tc>
          <w:tcPr>
            <w:tcW w:w="618" w:type="pct"/>
            <w:vAlign w:val="center"/>
          </w:tcPr>
          <w:p w14:paraId="5414FEEF" w14:textId="05CDB931" w:rsidR="00DD5B7A" w:rsidRPr="00781112" w:rsidRDefault="00DD5B7A" w:rsidP="00827FF4">
            <w:pPr>
              <w:jc w:val="center"/>
              <w:rPr>
                <w:rFonts w:cs="Arial"/>
                <w:color w:val="000000" w:themeColor="text1"/>
                <w:szCs w:val="16"/>
              </w:rPr>
            </w:pPr>
          </w:p>
        </w:tc>
        <w:tc>
          <w:tcPr>
            <w:tcW w:w="618" w:type="pct"/>
            <w:vAlign w:val="center"/>
          </w:tcPr>
          <w:p w14:paraId="4484F5C2" w14:textId="609E66AA" w:rsidR="00DD5B7A" w:rsidRPr="00781112" w:rsidRDefault="00DD5B7A" w:rsidP="00827FF4">
            <w:pPr>
              <w:jc w:val="center"/>
              <w:rPr>
                <w:rFonts w:cs="Arial"/>
                <w:color w:val="000000" w:themeColor="text1"/>
                <w:szCs w:val="16"/>
              </w:rPr>
            </w:pPr>
          </w:p>
        </w:tc>
        <w:tc>
          <w:tcPr>
            <w:tcW w:w="618" w:type="pct"/>
            <w:vAlign w:val="center"/>
          </w:tcPr>
          <w:p w14:paraId="3BD4F2A3" w14:textId="11A34A06" w:rsidR="00DD5B7A" w:rsidRPr="00781112" w:rsidRDefault="00DD5B7A" w:rsidP="00827FF4">
            <w:pPr>
              <w:jc w:val="center"/>
              <w:rPr>
                <w:rFonts w:cs="Arial"/>
                <w:color w:val="000000" w:themeColor="text1"/>
                <w:szCs w:val="16"/>
              </w:rPr>
            </w:pP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p>
        </w:tc>
        <w:tc>
          <w:tcPr>
            <w:tcW w:w="618" w:type="pct"/>
            <w:vAlign w:val="center"/>
          </w:tcPr>
          <w:p w14:paraId="7E46501E" w14:textId="6CB1A41D" w:rsidR="00DD5B7A" w:rsidRPr="00781112" w:rsidRDefault="00DD5B7A" w:rsidP="00827FF4">
            <w:pPr>
              <w:jc w:val="center"/>
              <w:rPr>
                <w:rFonts w:cs="Arial"/>
                <w:color w:val="000000" w:themeColor="text1"/>
                <w:szCs w:val="16"/>
              </w:rPr>
            </w:pPr>
          </w:p>
        </w:tc>
        <w:tc>
          <w:tcPr>
            <w:tcW w:w="618" w:type="pct"/>
            <w:vAlign w:val="center"/>
          </w:tcPr>
          <w:p w14:paraId="6A7C9997" w14:textId="58A4736A" w:rsidR="00DD5B7A" w:rsidRPr="00781112" w:rsidRDefault="00DD5B7A" w:rsidP="00827FF4">
            <w:pPr>
              <w:jc w:val="center"/>
              <w:rPr>
                <w:rFonts w:cs="Arial"/>
                <w:color w:val="000000" w:themeColor="text1"/>
                <w:szCs w:val="16"/>
              </w:rPr>
            </w:pPr>
          </w:p>
        </w:tc>
        <w:tc>
          <w:tcPr>
            <w:tcW w:w="618" w:type="pct"/>
            <w:vAlign w:val="center"/>
          </w:tcPr>
          <w:p w14:paraId="491D1816" w14:textId="09E4A313" w:rsidR="00DD5B7A" w:rsidRPr="00781112" w:rsidRDefault="00DD5B7A" w:rsidP="00827FF4">
            <w:pPr>
              <w:jc w:val="center"/>
              <w:rPr>
                <w:rFonts w:cs="Arial"/>
                <w:color w:val="000000" w:themeColor="text1"/>
                <w:szCs w:val="16"/>
              </w:rPr>
            </w:pPr>
          </w:p>
        </w:tc>
        <w:tc>
          <w:tcPr>
            <w:tcW w:w="618" w:type="pct"/>
            <w:vAlign w:val="center"/>
          </w:tcPr>
          <w:p w14:paraId="7C31E2D9" w14:textId="6B280022" w:rsidR="00DD5B7A" w:rsidRPr="00781112" w:rsidRDefault="00DD5B7A" w:rsidP="00827FF4">
            <w:pPr>
              <w:jc w:val="center"/>
              <w:rPr>
                <w:rFonts w:cs="Arial"/>
                <w:color w:val="000000" w:themeColor="text1"/>
                <w:szCs w:val="16"/>
              </w:rPr>
            </w:pPr>
          </w:p>
        </w:tc>
        <w:tc>
          <w:tcPr>
            <w:tcW w:w="618" w:type="pct"/>
            <w:vAlign w:val="center"/>
          </w:tcPr>
          <w:p w14:paraId="20D89D63" w14:textId="498D5E44" w:rsidR="00DD5B7A" w:rsidRPr="00781112" w:rsidRDefault="00DD5B7A" w:rsidP="00827FF4">
            <w:pPr>
              <w:jc w:val="center"/>
              <w:rPr>
                <w:rFonts w:cs="Arial"/>
                <w:color w:val="000000" w:themeColor="text1"/>
                <w:szCs w:val="16"/>
              </w:rPr>
            </w:pP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p>
        </w:tc>
        <w:tc>
          <w:tcPr>
            <w:tcW w:w="618" w:type="pct"/>
            <w:vAlign w:val="center"/>
          </w:tcPr>
          <w:p w14:paraId="627C9FA2" w14:textId="428379CE" w:rsidR="00DD5B7A" w:rsidRPr="00781112" w:rsidRDefault="00DD5B7A" w:rsidP="00827FF4">
            <w:pPr>
              <w:jc w:val="center"/>
              <w:rPr>
                <w:rFonts w:cs="Arial"/>
                <w:color w:val="000000" w:themeColor="text1"/>
                <w:szCs w:val="16"/>
              </w:rPr>
            </w:pPr>
          </w:p>
        </w:tc>
        <w:tc>
          <w:tcPr>
            <w:tcW w:w="618" w:type="pct"/>
            <w:vAlign w:val="center"/>
          </w:tcPr>
          <w:p w14:paraId="6204E3FD" w14:textId="081B5532" w:rsidR="00DD5B7A" w:rsidRPr="00781112" w:rsidRDefault="00DD5B7A" w:rsidP="00827FF4">
            <w:pPr>
              <w:jc w:val="center"/>
              <w:rPr>
                <w:rFonts w:cs="Arial"/>
                <w:color w:val="000000" w:themeColor="text1"/>
                <w:szCs w:val="16"/>
              </w:rPr>
            </w:pPr>
          </w:p>
        </w:tc>
        <w:tc>
          <w:tcPr>
            <w:tcW w:w="618" w:type="pct"/>
            <w:vAlign w:val="center"/>
          </w:tcPr>
          <w:p w14:paraId="70AB4E74" w14:textId="67486BA0" w:rsidR="00DD5B7A" w:rsidRPr="00781112" w:rsidRDefault="00DD5B7A" w:rsidP="00827FF4">
            <w:pPr>
              <w:jc w:val="center"/>
              <w:rPr>
                <w:rFonts w:cs="Arial"/>
                <w:color w:val="000000" w:themeColor="text1"/>
                <w:szCs w:val="16"/>
              </w:rPr>
            </w:pPr>
          </w:p>
        </w:tc>
        <w:tc>
          <w:tcPr>
            <w:tcW w:w="618" w:type="pct"/>
            <w:vAlign w:val="center"/>
          </w:tcPr>
          <w:p w14:paraId="76EDA768" w14:textId="58627E7B" w:rsidR="00DD5B7A" w:rsidRPr="00781112" w:rsidRDefault="00DD5B7A" w:rsidP="00827FF4">
            <w:pPr>
              <w:jc w:val="center"/>
              <w:rPr>
                <w:rFonts w:cs="Arial"/>
                <w:color w:val="000000" w:themeColor="text1"/>
                <w:szCs w:val="16"/>
              </w:rPr>
            </w:pPr>
          </w:p>
        </w:tc>
        <w:tc>
          <w:tcPr>
            <w:tcW w:w="618" w:type="pct"/>
            <w:vAlign w:val="center"/>
          </w:tcPr>
          <w:p w14:paraId="163C36F2" w14:textId="38E4F837" w:rsidR="00DD5B7A" w:rsidRPr="00781112" w:rsidRDefault="00DD5B7A" w:rsidP="00827FF4">
            <w:pPr>
              <w:jc w:val="center"/>
              <w:rPr>
                <w:rFonts w:cs="Arial"/>
                <w:color w:val="000000" w:themeColor="text1"/>
                <w:szCs w:val="16"/>
              </w:rPr>
            </w:pP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p>
        </w:tc>
        <w:tc>
          <w:tcPr>
            <w:tcW w:w="618" w:type="pct"/>
            <w:vAlign w:val="center"/>
          </w:tcPr>
          <w:p w14:paraId="294118D4" w14:textId="54195603" w:rsidR="00DD5B7A" w:rsidRPr="00781112" w:rsidRDefault="00DD5B7A" w:rsidP="00827FF4">
            <w:pPr>
              <w:jc w:val="center"/>
              <w:rPr>
                <w:rFonts w:cs="Arial"/>
                <w:color w:val="000000" w:themeColor="text1"/>
                <w:szCs w:val="16"/>
              </w:rPr>
            </w:pPr>
          </w:p>
        </w:tc>
        <w:tc>
          <w:tcPr>
            <w:tcW w:w="618" w:type="pct"/>
            <w:vAlign w:val="center"/>
          </w:tcPr>
          <w:p w14:paraId="41623CC8" w14:textId="4F75F535" w:rsidR="00DD5B7A" w:rsidRPr="00781112" w:rsidRDefault="00DD5B7A" w:rsidP="00827FF4">
            <w:pPr>
              <w:jc w:val="center"/>
              <w:rPr>
                <w:rFonts w:cs="Arial"/>
                <w:color w:val="000000" w:themeColor="text1"/>
                <w:szCs w:val="16"/>
              </w:rPr>
            </w:pPr>
          </w:p>
        </w:tc>
        <w:tc>
          <w:tcPr>
            <w:tcW w:w="618" w:type="pct"/>
            <w:vAlign w:val="center"/>
          </w:tcPr>
          <w:p w14:paraId="70C28E3C" w14:textId="4F91601C" w:rsidR="00DD5B7A" w:rsidRPr="00781112" w:rsidRDefault="00DD5B7A" w:rsidP="00827FF4">
            <w:pPr>
              <w:jc w:val="center"/>
              <w:rPr>
                <w:rFonts w:cs="Arial"/>
                <w:color w:val="000000" w:themeColor="text1"/>
                <w:szCs w:val="16"/>
              </w:rPr>
            </w:pPr>
          </w:p>
        </w:tc>
        <w:tc>
          <w:tcPr>
            <w:tcW w:w="618" w:type="pct"/>
            <w:vAlign w:val="center"/>
          </w:tcPr>
          <w:p w14:paraId="72D77BDF" w14:textId="662A73D4" w:rsidR="00DD5B7A" w:rsidRPr="00781112" w:rsidRDefault="00DD5B7A" w:rsidP="00827FF4">
            <w:pPr>
              <w:jc w:val="center"/>
              <w:rPr>
                <w:rFonts w:cs="Arial"/>
                <w:color w:val="000000" w:themeColor="text1"/>
                <w:szCs w:val="16"/>
              </w:rPr>
            </w:pPr>
          </w:p>
        </w:tc>
        <w:tc>
          <w:tcPr>
            <w:tcW w:w="618" w:type="pct"/>
            <w:vAlign w:val="center"/>
          </w:tcPr>
          <w:p w14:paraId="4FB7FF64" w14:textId="767C83EF" w:rsidR="00DD5B7A" w:rsidRPr="00781112" w:rsidRDefault="00DD5B7A" w:rsidP="00827FF4">
            <w:pPr>
              <w:jc w:val="center"/>
              <w:rPr>
                <w:rFonts w:cs="Arial"/>
                <w:color w:val="000000" w:themeColor="text1"/>
                <w:szCs w:val="16"/>
              </w:rPr>
            </w:pP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To garner comprehensive stakeholder input the VIDE/SOSE expanded and reconfigured its stakeholder component with a concentrated focus on Indicator clusters (3,5 and SSIP) to ensure representativeness in all areas. This reconfiguration includes but is not limited to the following: parents of children with disabilities, grade level and content experts (state and district assessment personnel), school administrators, early childhood personnel, district directors, and coordinators.</w:t>
      </w:r>
      <w:r w:rsidRPr="00781112">
        <w:rPr>
          <w:rFonts w:cs="Arial"/>
          <w:color w:val="000000" w:themeColor="text1"/>
          <w:szCs w:val="16"/>
        </w:rPr>
        <w:br/>
      </w:r>
      <w:r w:rsidRPr="00781112">
        <w:rPr>
          <w:rFonts w:cs="Arial"/>
          <w:color w:val="000000" w:themeColor="text1"/>
          <w:szCs w:val="16"/>
        </w:rPr>
        <w:br/>
        <w:t xml:space="preserve">For FFY 2020, the VIDE/SOSE invited newly selected/appointed members to its virtual stakeholder meeting to include prior members, to the redesigned structure of its stakeholder groups. The VIDE/SOSE divided the new stakeholder group structure into cluster groups. Members were presented with </w:t>
      </w:r>
      <w:r w:rsidRPr="00781112">
        <w:rPr>
          <w:rFonts w:cs="Arial"/>
          <w:color w:val="000000" w:themeColor="text1"/>
          <w:szCs w:val="16"/>
        </w:rPr>
        <w:lastRenderedPageBreak/>
        <w:t>indicator background and current information as well as data. Attendees were tasked with identifying improvement strategies geared towards improving performance and measuring advancement.</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lastRenderedPageBreak/>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For FFY 2020 (the school year 2020-21), and as a result of the Centers for Disease Control Prevention(CDC) and Virgin Islands Department of Health (VIDOH) national emergency guidelines relating to the COVID-19 Pandemic National Emergency, the Virgin Islands Department of Education (VIDE) requested a waiver; according to section 8401(b) of the Elementary and Secondary Education Act of 1965 (ESEA), as amended. As such, Assessments were only administered only for informational purposes. Thus, this resulted in the VIDE/SOSE’s inability to have baseline and target data for this indicator and report on the gap in proficiency rate (grade-level academic achievement standards) or determine whether or not slippage occurred.</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xml:space="preserve">Due to the circumstances created by the COVID-19 pandemic, Virgin Islands did not report any FFY 2020 data for this indicator.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Virgin Islands provided an explanation of how COVID-19 impacted its ability to collect FFY 2020 data for this indicator and steps the Virgin Islands has taken to mitigate the impact of COVID-19 on data collection.</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xml:space="preserve">Virgin Islands did not provide data for FFY 2020. Virgin Islands must provide the required data for FFY 2021 in the FFY 2021 SPP/APR.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In the FFY 2021 SPP/APR  Virgin Islands must also provide baseline data and targets for FFY 2021-2025, as required by the Measurement Table.</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2010</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50.00%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50.00%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50.00%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50.00%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50.00%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50.00%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To garner comprehensive stakeholder input, the VIDE/SOSE expanded and reconfigured its stakeholder component with a concentrated focus on Indicator clusters (4A, 4B, 9 and 10) to ensure representation in all areas. This reconfiguration includes but is not limited to the following: parents of children with disabilities grade level and content experts (state and district assessment personnel), school administrators, early childhood personnel, district directors, and coordinators.</w:t>
      </w:r>
      <w:r w:rsidRPr="00781112">
        <w:rPr>
          <w:rFonts w:cs="Arial"/>
          <w:color w:val="000000" w:themeColor="text1"/>
          <w:szCs w:val="16"/>
        </w:rPr>
        <w:br/>
      </w:r>
      <w:r w:rsidRPr="00781112">
        <w:rPr>
          <w:rFonts w:cs="Arial"/>
          <w:color w:val="000000" w:themeColor="text1"/>
          <w:szCs w:val="16"/>
        </w:rPr>
        <w:br/>
        <w:t>For FFY 2020, the VIDE/SOSE invited newly selected/appointed members to its virtual stakeholder meeting to include prior members, to the redesigned structure of its stakeholder groups. The VIDE/SOSE divided the new stakeholder group structure into cluster groups. Members were presented with indicator background and current information as well as data. Attendees were tasked with identifying improvement strategies geared towards improving performance and measuring advancement.</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VIDE/SOSE defines significant discrepancy by using a rate ratio methodology that compares the rate of suspensions and expulsions of greater than 10 days in a school year for children with IEPs in each district (LEA) to the rates of suspensions and expulsions of greater than 10 days in a school year for children without IEPs in that same district. A significant discrepancy exists when the rate ratio is 2.0 or greater for any district. The VIDE/SOSE does not use a minimum "n" size and includes all students with disabilities in all grades within each of the two districts. A minimum "n" is not used for Indicator 4A.</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Data are obtained from the Department of Education, Division of Planning, Research &amp; Evaluation on September 2019 and the December 1, 2019 618 Child Count Data for Children with Disabilities. The Districts report discipline data to the VIDE using the Territory's Student Information System, Power School. The Territory's Student Information System is managed by the VIDE Office of Planning, Research &amp; Evaluation (PRE) and includes a variety of edit checks to ensure accuracy of submitted data. The State verifies the reliability and accuracy of the State's data through automated verification checks through its database.</w:t>
      </w:r>
      <w:r w:rsidRPr="00781112">
        <w:rPr>
          <w:rFonts w:cs="Arial"/>
          <w:color w:val="000000" w:themeColor="text1"/>
          <w:szCs w:val="16"/>
        </w:rPr>
        <w:br/>
      </w:r>
      <w:r w:rsidRPr="00781112">
        <w:rPr>
          <w:rFonts w:cs="Arial"/>
          <w:color w:val="000000" w:themeColor="text1"/>
          <w:szCs w:val="16"/>
        </w:rPr>
        <w:br/>
        <w:t>Discipline data from this system are utilized to satisfy 618 data collection which is reported via EdFacts Reporting System by Disability Category (OSEP030) and captured on the Report of Children with Disabilities (IDEA) Unilaterally Removed or Suspended/Expelled for More than 10 Days) for the School Year 2019-2020. As part of its general supervisory responsibilities, the State conducted a desk audit for FFY 2020 of students suspended for greater than 10 days in the School Year of 2019-2020.</w:t>
      </w:r>
      <w:r w:rsidRPr="00781112">
        <w:rPr>
          <w:rFonts w:cs="Arial"/>
          <w:color w:val="000000" w:themeColor="text1"/>
          <w:szCs w:val="16"/>
        </w:rPr>
        <w:br/>
      </w:r>
      <w:r w:rsidRPr="00781112">
        <w:rPr>
          <w:rFonts w:cs="Arial"/>
          <w:color w:val="000000" w:themeColor="text1"/>
          <w:szCs w:val="16"/>
        </w:rPr>
        <w:br/>
        <w:t>VIDE/SOSE clarification to OSEP Response:</w:t>
      </w:r>
      <w:r w:rsidRPr="00781112">
        <w:rPr>
          <w:rFonts w:cs="Arial"/>
          <w:color w:val="000000" w:themeColor="text1"/>
          <w:szCs w:val="16"/>
        </w:rPr>
        <w:br/>
      </w:r>
      <w:r w:rsidRPr="00781112">
        <w:rPr>
          <w:rFonts w:cs="Arial"/>
          <w:color w:val="000000" w:themeColor="text1"/>
          <w:szCs w:val="16"/>
        </w:rPr>
        <w:br/>
        <w:t>The VIDE/SOSE reconvened its stakeholders for this indicator to review the targets for this indicator and made recommendations for revision that will demonstrate improvement over the 5 year targets from 2020-2025. The respective stakeholder cluster Group newly revised target also demonstrates improvement over the 2010 Baseline data.</w:t>
      </w: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The desk audit conducted in June 2021 verified in District 1 (St. Thomas/St. John) the implementation of a Functional Behavioral Assessment Plan and Behavior Intervention Plan and Manifestation Determination by the district for all of the four (4) students suspended during the 2018-2019 school year. Likewise, for District 2 (St. Croix), the desk audit also showed the implementation of a Functional Behavioral Assessment Plan and Behavior Intervention Plan and Manifestation Determination for four (4) of the six (6) students suspended during the 2019-2020 school year. However, there was evidence of a Manifestation Determination hearing for the two (2) remaining students which documented that the infractions for which they were suspended were not a result of their disabling condition. Moreover, the State determined that the LEAs’ policies, procedures, and practices complied with the IDEA, as required in 34 CFR §300.170(b). Therefore, the State did not identify nor issue any findings of non-compliance with Part B requirements for this indicator.</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lastRenderedPageBreak/>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Virgin Islands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2010</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VIDE/SOSE defines significant discrepancy by using a comparison methodology to determine whether significant discrepancy is occurring in the State by comparing the ratio of the district’s suspension/expulsion rates for children with disabilities from any racial or ethnic group to the suspension/expulsion rate for all non-disabled children in that same LEA, consistent with the instructions for this indicator.</w:t>
      </w:r>
      <w:r w:rsidRPr="00781112">
        <w:rPr>
          <w:rFonts w:cs="Arial"/>
          <w:color w:val="000000" w:themeColor="text1"/>
          <w:szCs w:val="16"/>
        </w:rPr>
        <w:br/>
      </w:r>
      <w:r w:rsidRPr="00781112">
        <w:rPr>
          <w:rFonts w:cs="Arial"/>
          <w:color w:val="000000" w:themeColor="text1"/>
          <w:szCs w:val="16"/>
        </w:rPr>
        <w:br/>
        <w:t>Methodology</w:t>
      </w:r>
      <w:r w:rsidRPr="00781112">
        <w:rPr>
          <w:rFonts w:cs="Arial"/>
          <w:color w:val="000000" w:themeColor="text1"/>
          <w:szCs w:val="16"/>
        </w:rPr>
        <w:br/>
      </w:r>
      <w:r w:rsidRPr="00781112">
        <w:rPr>
          <w:rFonts w:cs="Arial"/>
          <w:color w:val="000000" w:themeColor="text1"/>
          <w:szCs w:val="16"/>
        </w:rPr>
        <w:br/>
        <w:t>A district is deemed to be significantly discrepant when (1) the ratio of the district’s suspension/expulsion rates for children with disabilities from any racial or ethnic group is at a rate of 2.0 higher than the suspension rate for all children without IEPs in that same district; and (2) its policies, procedures or practices contributes to the significant discrepancy and do not comply with requirements relating to the development and implementation of IEPs, the use of positive behavioral intervention and supports, and procedural safeguards.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Data Sources</w:t>
      </w:r>
      <w:r w:rsidRPr="00781112">
        <w:rPr>
          <w:rFonts w:cs="Arial"/>
          <w:color w:val="000000" w:themeColor="text1"/>
          <w:szCs w:val="16"/>
        </w:rPr>
        <w:br/>
      </w:r>
      <w:r w:rsidRPr="00781112">
        <w:rPr>
          <w:rFonts w:cs="Arial"/>
          <w:color w:val="000000" w:themeColor="text1"/>
          <w:szCs w:val="16"/>
        </w:rPr>
        <w:br/>
        <w:t>Data are obtained from the Department of Education, Division of Planning, Research &amp; Evaluation on September 2019 and the December 1, 2019 618 Child Count Data for Children with Disabilities. The Districts report discipline data to the VIDE using the Territory's Student Information System, Power School. The Territory's Student Information System is managed by the VIDE Office of Planning, Research &amp; Evaluation (PRE) and includes a variety of edit checks to ensure accuracy of submitted data. The State verifies the reliability and accuracy of the State's data through automated verification checks through its database.</w:t>
      </w:r>
      <w:r w:rsidRPr="00781112">
        <w:rPr>
          <w:rFonts w:cs="Arial"/>
          <w:color w:val="000000" w:themeColor="text1"/>
          <w:szCs w:val="16"/>
        </w:rPr>
        <w:br/>
      </w:r>
      <w:r w:rsidRPr="00781112">
        <w:rPr>
          <w:rFonts w:cs="Arial"/>
          <w:color w:val="000000" w:themeColor="text1"/>
          <w:szCs w:val="16"/>
        </w:rPr>
        <w:br/>
        <w:t>Discipline data from this system are utilized to satisfy 618 data collection which is reported via EdFacts Reporting System by Disability Category (OSEP030) and captured on the Report of Children with Disabilities (IDEA) Unilaterally Removed or Suspended/Expelled for More than 10 Days) for the School Year 2019-2020. As part of its general supervisory responsibilities, the State conducted a desk audit for FFY 2020 of students suspended for greater than 10 days in the School Year of 2019-2020.</w:t>
      </w:r>
      <w:r w:rsidRPr="00781112">
        <w:rPr>
          <w:rFonts w:cs="Arial"/>
          <w:color w:val="000000" w:themeColor="text1"/>
          <w:szCs w:val="16"/>
        </w:rPr>
        <w:br/>
      </w:r>
      <w:r w:rsidRPr="00781112">
        <w:rPr>
          <w:rFonts w:cs="Arial"/>
          <w:color w:val="000000" w:themeColor="text1"/>
          <w:szCs w:val="16"/>
        </w:rPr>
        <w:br/>
        <w:t>Results</w:t>
      </w:r>
      <w:r w:rsidRPr="00781112">
        <w:rPr>
          <w:rFonts w:cs="Arial"/>
          <w:color w:val="000000" w:themeColor="text1"/>
          <w:szCs w:val="16"/>
        </w:rPr>
        <w:br/>
        <w:t xml:space="preserve">Based on discipline data from the school year 2019-2020, which is used in determining significant discrepancy for the FFY 2020 SPP/APR due February 2022, District One (St. Thomas/St. John) had four (4) students with disabilities who were suspended or expelled for greater than ten (10) days in the 2019-2020 school year. Of the 4 students suspended, the desk audit conducted revealed the following: (a) one (1) out of the four (4) students exited </w:t>
      </w:r>
      <w:r w:rsidRPr="00781112">
        <w:rPr>
          <w:rFonts w:cs="Arial"/>
          <w:color w:val="000000" w:themeColor="text1"/>
          <w:szCs w:val="16"/>
        </w:rPr>
        <w:lastRenderedPageBreak/>
        <w:t xml:space="preserve">through graduation; and, (b) the remaining three (3) students suspended during the 2019-2020 school year are shown as actively enrolled for the 2020-2021 school year. The desk audit conducted verified the implementation of a Functional Behavioral Assessment Plan and Behavior Intervention Plan and Manifestation Determination by the district for three (3) of the four (4) students, whereas the remaining one student had an incomplete Behavioral Intervention Plan and Manifestation Determination. Additionally, only two (2) of the four (4) students had a Notice of Suspension uploaded in the student management system. Goalview. Hence, the district is showing significant improvement in correctly implementing the specific regulatory requirements consistent with 34 CFR §300.170(b) and 34 CFR §300.530 and OSEP Memo 09-02 for this Indicator. </w:t>
      </w:r>
      <w:r w:rsidRPr="00781112">
        <w:rPr>
          <w:rFonts w:cs="Arial"/>
          <w:color w:val="000000" w:themeColor="text1"/>
          <w:szCs w:val="16"/>
        </w:rPr>
        <w:br/>
      </w:r>
      <w:r w:rsidRPr="00781112">
        <w:rPr>
          <w:rFonts w:cs="Arial"/>
          <w:color w:val="000000" w:themeColor="text1"/>
          <w:szCs w:val="16"/>
        </w:rPr>
        <w:br/>
        <w:t xml:space="preserve">Additionally, in District Two (St. Croix), a total of six (6) students with disabilities were subject to disciplinary removals for greater than ten (10) days in the 2019-2020 school year. The desk audit conducted by the State revealed the following: (a) two (2) of the six (6) students exited through graduation during the 2020-2021 school year; (b) one (1) student exited through graduation during the 2019-2020 school year; (c) one (1) student exited through parental withdrawal; (d) one (1) student was not enrolled in the special education program nor receiving special education services at the time of his suspension as a result of parental withdrawal during the first semester of the 2019-2020 school year; and the one (1) remaining student had a change of placement to a separate school. </w:t>
      </w:r>
      <w:r w:rsidRPr="00781112">
        <w:rPr>
          <w:rFonts w:cs="Arial"/>
          <w:color w:val="000000" w:themeColor="text1"/>
          <w:szCs w:val="16"/>
        </w:rPr>
        <w:br/>
      </w:r>
      <w:r w:rsidRPr="00781112">
        <w:rPr>
          <w:rFonts w:cs="Arial"/>
          <w:color w:val="000000" w:themeColor="text1"/>
          <w:szCs w:val="16"/>
        </w:rPr>
        <w:br/>
        <w:t xml:space="preserve">The desk audit conducted also verified evidence of the implementation of a Functional Behavioral Assessment Plan and Behavior Intervention Plan and Manifestation Determination by the district for four (4) of the six (6) students. There was evidence however of a Manifestation Determination hearing for the remaining two (2) students which documented that the infractions for which they were suspended was not a result of their disabling condition. Hence, the district is correctly implementing the specific regulatory requirements consistent with 34 CFR §300.170(b) and 34 CFR §300.530 and OSEP Memo 09-02 for this Indicator. </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Review of policies</w:t>
      </w:r>
      <w:r w:rsidRPr="00781112">
        <w:rPr>
          <w:rFonts w:cs="Arial"/>
          <w:color w:val="000000" w:themeColor="text1"/>
          <w:szCs w:val="16"/>
        </w:rPr>
        <w:br/>
        <w:t>Based on the rate ratio methodology employed by the State to determine significant discrepancy, no district was found to have a significant discrepancy in the rates of suspensions or expulsions of students with disabilities when compared to the overall suspensions/expulsion rates with non disabled students within that same district. Moreover, the State determined the LEAs’ policies, procedures, and practices comply with the IDEA, as required in 34 CFR 300.170(b). During the desk audit conducted June 2020, using the Student Management System, ("Goalview"), there was evidence uploaded in Goalview for the specific student(s) who were suspended for greater than ten days in the school year 2019-2020. More specifically, and in conformity with the State's monitoring protocol checklist, there were documents relating to the implementation of IEPs, and the use of positive behavioral interventions and supports, and procedural safeguards in each student specific files, as needed and required. Therefore, the State did not identify nor issue any findings of non-compliance for this indicator.</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58.44%</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58.44%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54.42%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56.44%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57.60%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58.44%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20.00%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20.00%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20.00%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20.00%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21.37%</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21.37%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17.40%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18.19%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19.61%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22.38%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21.37%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2.44%</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3.53%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3.98%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2.44%</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58.89%</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58.89%</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58.89%</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59.00%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59.00%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59.00%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20.30%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20.30%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20.30%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20.00%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20.00%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20.00%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2.63%</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2.63%</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2.63%</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2.60%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2.60%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2.40%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To garner comprehensive stakeholder input the VIDE/SOSE expanded and reconfigured its stakeholder component with a concentrated focus on Indicator clusters (3,5 and SSIP) to ensure representativeness in all areas. This reconfiguration includes but is not limited to the following: parents of children with disabilities, grade level and content experts (state and district assessment personnel), school administrators, early childhood personnel, district directors, and coordinators.</w:t>
      </w:r>
      <w:r w:rsidRPr="00781112">
        <w:rPr>
          <w:rFonts w:cs="Arial"/>
          <w:color w:val="000000" w:themeColor="text1"/>
          <w:szCs w:val="16"/>
        </w:rPr>
        <w:br/>
      </w:r>
      <w:r w:rsidRPr="00781112">
        <w:rPr>
          <w:rFonts w:cs="Arial"/>
          <w:color w:val="000000" w:themeColor="text1"/>
          <w:szCs w:val="16"/>
        </w:rPr>
        <w:br/>
        <w:t>For FFY 2020, the VIDE/SOSE invited newly selected/appointed members to its virtual stakeholder meeting to include prior members, to the redesigned structure of its stakeholder groups. The VIDE/SOSE divided the new stakeholder group structure into cluster groups. Members were presented with indicator background and current information as well as data. Attendees were tasked with identifying improvement strategies geared towards improving performance and measuring advancement.</w:t>
      </w:r>
      <w:r w:rsidRPr="00781112">
        <w:rPr>
          <w:rFonts w:cs="Arial"/>
          <w:color w:val="000000" w:themeColor="text1"/>
          <w:szCs w:val="16"/>
        </w:rPr>
        <w:br/>
      </w:r>
      <w:r w:rsidRPr="00781112">
        <w:rPr>
          <w:rFonts w:cs="Arial"/>
          <w:color w:val="000000" w:themeColor="text1"/>
          <w:szCs w:val="16"/>
        </w:rPr>
        <w:br/>
        <w:t>VIDE/SOSE clarification to OSEP Response:</w:t>
      </w:r>
      <w:r w:rsidRPr="00781112">
        <w:rPr>
          <w:rFonts w:cs="Arial"/>
          <w:color w:val="000000" w:themeColor="text1"/>
          <w:szCs w:val="16"/>
        </w:rPr>
        <w:br/>
      </w:r>
      <w:r w:rsidRPr="00781112">
        <w:rPr>
          <w:rFonts w:cs="Arial"/>
          <w:color w:val="000000" w:themeColor="text1"/>
          <w:szCs w:val="16"/>
        </w:rPr>
        <w:br/>
        <w:t>The VIDE/SOSE reconvened its stakeholders for this indicator to review the targets for Measurement C of this indicator and made recommendations for revision that will demonstrate improvement over the 5 year targets from 2020-2025 for this indicator. The respective stakeholder cluster Group newly revised target for this measurement demonstrate improvement over the 2009 Baseline data as required.</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990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583</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201</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16</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583</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990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58.44%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58.89%</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58.89%</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201</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990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21.37%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20.30%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20.30%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990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2.44%</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2.63%</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2.63%</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Indicator 5</w:t>
      </w:r>
      <w:r w:rsidRPr="00781112">
        <w:rPr>
          <w:rFonts w:cs="Arial"/>
          <w:color w:val="000000" w:themeColor="text1"/>
          <w:szCs w:val="16"/>
        </w:rPr>
        <w:br/>
        <w:t xml:space="preserve">Measurement A: During FFY 2020, (December 1, 2020, Child Count) five hundred and eighty-three (583) or (58.89%) out of nine hundred and ninety (990) of children with IEPs aged 5 (kindergarten) through 21 were in the regular class for more than 80% of the school day. The VIDE/SOSE met and exceeded the target of 58.44% by .45% for FFY 2020. </w:t>
      </w:r>
      <w:r w:rsidRPr="00781112">
        <w:rPr>
          <w:rFonts w:cs="Arial"/>
          <w:color w:val="000000" w:themeColor="text1"/>
          <w:szCs w:val="16"/>
        </w:rPr>
        <w:br/>
      </w:r>
      <w:r w:rsidRPr="00781112">
        <w:rPr>
          <w:rFonts w:cs="Arial"/>
          <w:color w:val="000000" w:themeColor="text1"/>
          <w:szCs w:val="16"/>
        </w:rPr>
        <w:br/>
        <w:t>Measurement B: During FFY 2020, (December 1, 2020, Child Count) two hundred and one (201) or (20.30%) out of nine hundred and ninety (990) of children with IEPs aged 5 (kindergarten) through twenty-one (21) were in the regular class less than 40% of the school day. The VIDE/SOSE met the target of 20% by 1.37% for FFY 2020.</w:t>
      </w:r>
      <w:r w:rsidRPr="00781112">
        <w:rPr>
          <w:rFonts w:cs="Arial"/>
          <w:color w:val="000000" w:themeColor="text1"/>
          <w:szCs w:val="16"/>
        </w:rPr>
        <w:br/>
      </w:r>
      <w:r w:rsidRPr="00781112">
        <w:rPr>
          <w:rFonts w:cs="Arial"/>
          <w:color w:val="000000" w:themeColor="text1"/>
          <w:szCs w:val="16"/>
        </w:rPr>
        <w:br/>
        <w:t xml:space="preserve">Measurement C: During FFY 2020,(December 1, 2020, Child Count) twenty-six (26) or (2.63%) out of nine hundred and ninety (990) of children with IEPs aged 5 (kindergarten) through twenty-one (21) were in separate schools, residential facilities, or homebound/hospital placements. The VIDE/SOSE did not meet the target of 2.44 by .19% for FFY 2020, thus resulting in slippage for Measurement 5C of this Indicator.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Although the VIDE/SOSE did not meet its target for FFY 2020, (December 1, 2020, Child Count Data) the number of school-aged children with IEPs aged 5 (kindergarten) through twenty-one (21) inside separate schools, residential facilities, or homebound/hospital placements the number total number for Measurement C increased only by one(1) when compared to FFY 2019. Additionally, the total number of children with IEPs aged 5 (kindergarten) through twenty-one (21) receiving special education and related services for FFY 2020 (December 1, 2020, Child Count Data) inside the regular class less than 40% of the school day to FFY 2020, decreased by eighteen (18). It is noteworthy to mention that the VIDE/SOSE has decreased the number of children for Measurement B of this indicator when compared to FFY 2019.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Virgin Islands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93.50%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94.00%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94.00%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94.50%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97.44%</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96.21%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91.67%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91.27%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81.11%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97.44%</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5.50%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4.50%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1.28%</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7.14%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12.22%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1.28%</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br/>
        <w:t>To garner comprehensive stakeholder input relative to performance and targets the VIDE/SOSE expanded and reconfigured its stakeholder component with a concentrated focus on Indicator clusters (6 and 7) to ensure representativeness in all areas. This reconfiguration includes but is not limited to the following: parents of children with disabilities, grade level, and content expert, regular and special education early childhood and elementary school personnel, school counselors, school administrators, district directors and coordinators, educational diagnostic team members, and outside and linking agencies.</w:t>
      </w:r>
      <w:r w:rsidRPr="00781112">
        <w:rPr>
          <w:rFonts w:cs="Arial"/>
          <w:color w:val="000000" w:themeColor="text1"/>
          <w:szCs w:val="16"/>
        </w:rPr>
        <w:br/>
      </w:r>
      <w:r w:rsidRPr="00781112">
        <w:rPr>
          <w:rFonts w:cs="Arial"/>
          <w:color w:val="000000" w:themeColor="text1"/>
          <w:szCs w:val="16"/>
        </w:rPr>
        <w:br/>
        <w:t>For FFY 2020, the VIDE/SOSE invited newly selected/appointed members to its virtual stakeholder meeting to include prior members, to the redesigned structure of its stakeholder groups. The VIDE/SOSE divided the new stakeholder group structure into cluster groups. Members were presented with indicator background and current information as well as data. Attendees were tasked with identifying improvement strategies geared towards improving performance and measuring advancement.</w:t>
      </w:r>
      <w:r w:rsidRPr="00781112">
        <w:rPr>
          <w:rFonts w:cs="Arial"/>
          <w:color w:val="000000" w:themeColor="text1"/>
          <w:szCs w:val="16"/>
        </w:rPr>
        <w:br/>
      </w:r>
      <w:r w:rsidRPr="00781112">
        <w:rPr>
          <w:rFonts w:cs="Arial"/>
          <w:color w:val="000000" w:themeColor="text1"/>
          <w:szCs w:val="16"/>
        </w:rPr>
        <w:br/>
        <w:t>VIDE/SOSE clarification to OSEP Response:</w:t>
      </w:r>
      <w:r w:rsidRPr="00781112">
        <w:rPr>
          <w:rFonts w:cs="Arial"/>
          <w:color w:val="000000" w:themeColor="text1"/>
          <w:szCs w:val="16"/>
        </w:rPr>
        <w:br/>
      </w:r>
      <w:r w:rsidRPr="00781112">
        <w:rPr>
          <w:rFonts w:cs="Arial"/>
          <w:color w:val="000000" w:themeColor="text1"/>
          <w:szCs w:val="16"/>
        </w:rPr>
        <w:br/>
        <w:t xml:space="preserve">The VIDE/SOSE reconvened its stakeholders for this indicator to review the data for Measurement C of this indicator. The respective stakeholder cluster Group will review indicator data and set baseline and targets for this new measurement for Indicator 6 at the time when there are ten or more children who receive special education and related services in the home.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97.44%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1.28%</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1.28%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97.44%</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97.44%</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97.44%</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97.44%</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97.50%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97.50%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1.28%</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1.28%</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1.28%</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1.25%</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1.25%</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1.25%</w:t>
            </w:r>
          </w:p>
        </w:tc>
      </w:tr>
    </w:tbl>
    <w:p w14:paraId="27170CED" w14:textId="772C81FC" w:rsidR="00E428BD" w:rsidRDefault="00E428BD" w:rsidP="004369B2">
      <w:pPr>
        <w:rPr>
          <w:color w:val="000000" w:themeColor="text1"/>
        </w:rPr>
      </w:pPr>
      <w:bookmarkStart w:id="32" w:name="_Toc382082378"/>
      <w:bookmarkStart w:id="3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45</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33</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78</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44</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33</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77</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77</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78</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97.44%</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97.44%</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98.72%</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78</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1.28%</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1.28%</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78</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1.28%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Measurement A: During FFY 2020, seventy-seven (77) out of seventy-eight (78) or (98.72%) of children with IEPs aged three (3) through five (5) were in a regular early childhood program and receiving the majority of special education and related services in the regular early childhood program. The VIDE/SOSE met and exceed the target for FFY 2020 of 97.44% by 1.28% for Measurement 6A of this Indicator. </w:t>
      </w:r>
      <w:r w:rsidRPr="00781112">
        <w:rPr>
          <w:rFonts w:cs="Arial"/>
          <w:color w:val="000000" w:themeColor="text1"/>
          <w:szCs w:val="16"/>
        </w:rPr>
        <w:br/>
      </w:r>
      <w:r w:rsidRPr="00781112">
        <w:rPr>
          <w:rFonts w:cs="Arial"/>
          <w:color w:val="000000" w:themeColor="text1"/>
          <w:szCs w:val="16"/>
        </w:rPr>
        <w:br/>
        <w:t>Measurement B: During FFY 2020, zero (0) out of seventy-eight (78) or (0%) of children with IEPs aged three (3) through five (5) were in a regular early childhood program and receiving the majority of special education and related services in a separate special education class. The VIDE/SOSE met and exceeded the target for FFY 2020 of 1.28%.</w:t>
      </w:r>
      <w:r w:rsidRPr="00781112">
        <w:rPr>
          <w:rFonts w:cs="Arial"/>
          <w:color w:val="000000" w:themeColor="text1"/>
          <w:szCs w:val="16"/>
        </w:rPr>
        <w:br/>
      </w:r>
      <w:r w:rsidRPr="00781112">
        <w:rPr>
          <w:rFonts w:cs="Arial"/>
          <w:color w:val="000000" w:themeColor="text1"/>
          <w:szCs w:val="16"/>
        </w:rPr>
        <w:br/>
        <w:t>VIDE/SOSE clarification to OSEP Response:</w:t>
      </w:r>
      <w:r w:rsidRPr="00781112">
        <w:rPr>
          <w:rFonts w:cs="Arial"/>
          <w:color w:val="000000" w:themeColor="text1"/>
          <w:szCs w:val="16"/>
        </w:rPr>
        <w:br/>
      </w:r>
      <w:r w:rsidRPr="00781112">
        <w:rPr>
          <w:rFonts w:cs="Arial"/>
          <w:color w:val="000000" w:themeColor="text1"/>
          <w:szCs w:val="16"/>
        </w:rPr>
        <w:br/>
        <w:t>The VIDE/SOSE has set baseline for Measurement C of this indicator. The VIDE/SOSE had fewer than ten or more children receive special education and related services in the home. As such, the Virgin Islands is not required to provide targets for Indicator 6C until any fiscal year in which ten or more children receive special education and related services in the home.</w:t>
      </w:r>
      <w:r w:rsidRPr="00781112">
        <w:rPr>
          <w:rFonts w:cs="Arial"/>
          <w:color w:val="000000" w:themeColor="text1"/>
          <w:szCs w:val="16"/>
        </w:rPr>
        <w:br/>
      </w:r>
      <w:r w:rsidRPr="00781112">
        <w:rPr>
          <w:rFonts w:cs="Arial"/>
          <w:color w:val="000000" w:themeColor="text1"/>
          <w:szCs w:val="16"/>
        </w:rPr>
        <w:br/>
        <w:t>The VIDE/SOSE reconvened its stakeholders for this indicator to review the data for Measurement C of this indicator. The respective stakeholder cluster Group will review indicator data and set targets for this new measurement for Indicator 6 at the time when there are ten or more children receive special education and related services in the home.</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Virgin Islands provided targets for FFYs 2020 through 2025 for Indicator 6A and Indicator 6B, and OSEP accepts those targets.</w:t>
      </w:r>
      <w:r w:rsidRPr="00781112">
        <w:rPr>
          <w:rFonts w:cs="Arial"/>
          <w:color w:val="000000" w:themeColor="text1"/>
          <w:szCs w:val="16"/>
        </w:rPr>
        <w:br/>
      </w:r>
      <w:r w:rsidRPr="00781112">
        <w:rPr>
          <w:rFonts w:cs="Arial"/>
          <w:color w:val="000000" w:themeColor="text1"/>
          <w:szCs w:val="16"/>
        </w:rPr>
        <w:br/>
        <w:t xml:space="preserve">Virgin Islands reported fewer than ten children receiving special education and related services in the home in FFY 2020. Virgin Islands is not required to provide baseline data or targets for Indicator 6C until any fiscal year in which ten or more children receive special education and related services in the home. </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2"/>
      <w:bookmarkEnd w:id="33"/>
    </w:p>
    <w:p w14:paraId="1404DCF9" w14:textId="77777777" w:rsidR="00531E54" w:rsidRPr="00781112" w:rsidRDefault="00531E54" w:rsidP="00A018D4">
      <w:pPr>
        <w:rPr>
          <w:color w:val="000000" w:themeColor="text1"/>
          <w:szCs w:val="20"/>
        </w:rPr>
      </w:pPr>
      <w:bookmarkStart w:id="3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71.00%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9.90%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76.32%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76.92%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94.44%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40.50%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42.50%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51.28%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54.78%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77.78%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77.78%</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14.10%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67.44%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73.68%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95.24%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95.24%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33.50%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16.00%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44.87%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50.43%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56.67%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64.44%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66.67%</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11.30%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82.05%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69.49%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72.22%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40.50%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40.50%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42.00%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48.70%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75.56%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77.78%</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40.00%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40.00%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40.50%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40.50%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40.50%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41.00%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62.50%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62.50%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62.50%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63.00%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63.00%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63.50%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40.00%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40.00%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40.00%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40.50%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40.50%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41.00%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57.14%</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57.14%</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57.14%</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57.50%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57.50%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58.00%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65.22%</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65.20%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65.20%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65.20%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65.50%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65.50%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56.25%</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56.30%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56.30%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56.30%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56.50%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56.50%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To garner comprehensive stakeholder input relative to performance and targets the VIDE/SOSE expanded and reconfigured its stakeholder component with a concentrated focus on Indicator clusters (6 and 7) to ensure representativeness in all areas. This reconfiguration includes but is not limited to the following: parents of children with disabilities, grade level, and content expert, regular and special education early childhood and elementary school personnel, school counselors, school administrators, district directors and coordinators, educational diagnostic team members, and outside and linking agencies.</w:t>
      </w:r>
      <w:r w:rsidRPr="00781112">
        <w:rPr>
          <w:rFonts w:cs="Arial"/>
          <w:color w:val="000000" w:themeColor="text1"/>
          <w:szCs w:val="16"/>
        </w:rPr>
        <w:br/>
      </w:r>
      <w:r w:rsidRPr="00781112">
        <w:rPr>
          <w:rFonts w:cs="Arial"/>
          <w:color w:val="000000" w:themeColor="text1"/>
          <w:szCs w:val="16"/>
        </w:rPr>
        <w:br/>
        <w:t>For FFY 2020, the VIDE/SOSE invited newly selected/appointed members to its virtual stakeholder meeting to include prior members, to the redesigned structure of its stakeholder groups. The VIDE/SOSE divided the new stakeholder group structure into cluster groups. Members were presented with indicator background and current information as well as data. Attendees were tasked with identifying improvement strategies geared towards improving performance and measuring advancement.</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32</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25.00%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12.50%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0.00%</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25.00%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3</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37.50%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w:t>
            </w:r>
            <w:r w:rsidRPr="00781112">
              <w:rPr>
                <w:rFonts w:cs="Arial"/>
                <w:color w:val="000000" w:themeColor="text1"/>
                <w:szCs w:val="16"/>
              </w:rPr>
              <w:lastRenderedPageBreak/>
              <w:t xml:space="preserve">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100.00%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40.00%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40.00%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8</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77.78%</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62.50%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62.50%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42.86%</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28.57%</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28.57%</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95.24%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3.13%</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21.88%</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18.75%</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28.13%</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28.13%</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lastRenderedPageBreak/>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65.22%</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65.22%</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32</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77.78%</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56.25%</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56.25%</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5" w:name="_Toc382082381"/>
      <w:bookmarkStart w:id="3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In previous years, the VIDOHHSP utilizes the Child Observation Records (“COR”) online collection data system to obtain the performance (entrance and exit) for all preschool children with Individualized Education Programs (IEPs) enrolled served in Head Start Preschool Programs. The COR utilized a zero(0)-five (5) -point scale for scoring. However, in the school year 2021-22, the VIDOHHSP began to use the Child Observation Records (COR) Advantage which uses a seven (7) point level scoring range. These scoring levels are listed in the latter part of this section. This data is extracted from the online system and forwarded to the VIDE/SOSE for data analysis and tabulation and tabulation and tabulation and analyze the data for this indicator. </w:t>
      </w:r>
      <w:r w:rsidRPr="00781112">
        <w:rPr>
          <w:rFonts w:cs="Arial"/>
          <w:color w:val="000000" w:themeColor="text1"/>
          <w:szCs w:val="16"/>
        </w:rPr>
        <w:br/>
      </w:r>
      <w:r w:rsidRPr="00781112">
        <w:rPr>
          <w:rFonts w:cs="Arial"/>
          <w:color w:val="000000" w:themeColor="text1"/>
          <w:szCs w:val="16"/>
        </w:rPr>
        <w:br/>
        <w:t xml:space="preserve">Procedures </w:t>
      </w:r>
      <w:r w:rsidRPr="00781112">
        <w:rPr>
          <w:rFonts w:cs="Arial"/>
          <w:color w:val="000000" w:themeColor="text1"/>
          <w:szCs w:val="16"/>
        </w:rPr>
        <w:br/>
      </w:r>
      <w:r w:rsidRPr="00781112">
        <w:rPr>
          <w:rFonts w:cs="Arial"/>
          <w:color w:val="000000" w:themeColor="text1"/>
          <w:szCs w:val="16"/>
        </w:rPr>
        <w:br/>
        <w:t xml:space="preserve">The VIDE/SOSE obtains the Child Observation Records, COR Advantage raw scores from the Department of Human Services Head Start Programs throughout the Territory and aggregates the collected data. </w:t>
      </w:r>
      <w:r w:rsidRPr="00781112">
        <w:rPr>
          <w:rFonts w:cs="Arial"/>
          <w:color w:val="000000" w:themeColor="text1"/>
          <w:szCs w:val="16"/>
        </w:rPr>
        <w:br/>
      </w:r>
      <w:r w:rsidRPr="00781112">
        <w:rPr>
          <w:rFonts w:cs="Arial"/>
          <w:color w:val="000000" w:themeColor="text1"/>
          <w:szCs w:val="16"/>
        </w:rPr>
        <w:br/>
        <w:t xml:space="preserve">Listed below are the levels and the accompanying age of functioning for each of the levels. </w:t>
      </w:r>
      <w:r w:rsidRPr="00781112">
        <w:rPr>
          <w:rFonts w:cs="Arial"/>
          <w:color w:val="000000" w:themeColor="text1"/>
          <w:szCs w:val="16"/>
        </w:rPr>
        <w:br/>
      </w:r>
      <w:r w:rsidRPr="00781112">
        <w:rPr>
          <w:rFonts w:cs="Arial"/>
          <w:color w:val="000000" w:themeColor="text1"/>
          <w:szCs w:val="16"/>
        </w:rPr>
        <w:br/>
        <w:t xml:space="preserve">Level </w:t>
      </w:r>
      <w:r w:rsidRPr="00781112">
        <w:rPr>
          <w:rFonts w:cs="Arial"/>
          <w:color w:val="000000" w:themeColor="text1"/>
          <w:szCs w:val="16"/>
        </w:rPr>
        <w:tab/>
        <w:t xml:space="preserve"> Functioning age level </w:t>
      </w:r>
      <w:r w:rsidRPr="00781112">
        <w:rPr>
          <w:rFonts w:cs="Arial"/>
          <w:color w:val="000000" w:themeColor="text1"/>
          <w:szCs w:val="16"/>
        </w:rPr>
        <w:br/>
      </w:r>
      <w:r w:rsidRPr="00781112">
        <w:rPr>
          <w:rFonts w:cs="Arial"/>
          <w:color w:val="000000" w:themeColor="text1"/>
          <w:szCs w:val="16"/>
        </w:rPr>
        <w:br/>
        <w:t>Zero (0) Infant</w:t>
      </w:r>
      <w:r w:rsidRPr="00781112">
        <w:rPr>
          <w:rFonts w:cs="Arial"/>
          <w:color w:val="000000" w:themeColor="text1"/>
          <w:szCs w:val="16"/>
        </w:rPr>
        <w:br/>
        <w:t>One (1)     One-year-old</w:t>
      </w:r>
      <w:r w:rsidRPr="00781112">
        <w:rPr>
          <w:rFonts w:cs="Arial"/>
          <w:color w:val="000000" w:themeColor="text1"/>
          <w:szCs w:val="16"/>
        </w:rPr>
        <w:br/>
        <w:t xml:space="preserve">Two (2)     Two-year-old </w:t>
      </w:r>
      <w:r w:rsidRPr="00781112">
        <w:rPr>
          <w:rFonts w:cs="Arial"/>
          <w:color w:val="000000" w:themeColor="text1"/>
          <w:szCs w:val="16"/>
        </w:rPr>
        <w:br/>
        <w:t>Three (3)  Three-year-old</w:t>
      </w:r>
      <w:r w:rsidRPr="00781112">
        <w:rPr>
          <w:rFonts w:cs="Arial"/>
          <w:color w:val="000000" w:themeColor="text1"/>
          <w:szCs w:val="16"/>
        </w:rPr>
        <w:br/>
        <w:t>Four (4)    Four- year-old</w:t>
      </w:r>
      <w:r w:rsidRPr="00781112">
        <w:rPr>
          <w:rFonts w:cs="Arial"/>
          <w:color w:val="000000" w:themeColor="text1"/>
          <w:szCs w:val="16"/>
        </w:rPr>
        <w:br/>
        <w:t>Five (5)   Five-year-old</w:t>
      </w:r>
      <w:r w:rsidRPr="00781112">
        <w:rPr>
          <w:rFonts w:cs="Arial"/>
          <w:color w:val="000000" w:themeColor="text1"/>
          <w:szCs w:val="16"/>
        </w:rPr>
        <w:br/>
        <w:t xml:space="preserve">Six (6)        Six-year-old </w:t>
      </w:r>
      <w:r w:rsidRPr="00781112">
        <w:rPr>
          <w:rFonts w:cs="Arial"/>
          <w:color w:val="000000" w:themeColor="text1"/>
          <w:szCs w:val="16"/>
        </w:rPr>
        <w:br/>
        <w:t xml:space="preserve">Seven (7)  Seven-year-old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The VIDE/SOSE uses the above numerical values to determine progress in each of the outcome areas. along with the publisher’s online analysis to determine progress. In addition, the VIDOHHSP noted that children who participate in Early Head Start Programs are expected to enter Preschool programs at Level three (3). Moreover, according to the VIDOHHS Preschool programs children exiting Head Start Programs and who are Kindergarten ready should be at a Level five (5) or six (6).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The VIDE/SOSE defines “comparable to same-age peers” as the approximate capabilities of children of a given age, across a variety of settings and situations, by however those capabilities can be demonstrated. Functioning comparable to same-age level peers is not to be determined by only a single score on a norm-referenced test or any other single assessment, Although such scores when used in conjunction with other sources of information could inform a decision on the child’s status with regard to an outcome or how much progress a child has made. This definition was adopted from the Early Childhood Outcomes Center (ECO).</w:t>
      </w:r>
      <w:r w:rsidRPr="00781112">
        <w:rPr>
          <w:rFonts w:cs="Arial"/>
          <w:color w:val="000000" w:themeColor="text1"/>
          <w:szCs w:val="16"/>
        </w:rPr>
        <w:br/>
      </w:r>
      <w:r w:rsidRPr="00781112">
        <w:rPr>
          <w:rFonts w:cs="Arial"/>
          <w:color w:val="000000" w:themeColor="text1"/>
          <w:szCs w:val="16"/>
        </w:rPr>
        <w:br/>
        <w:t xml:space="preserve">The VIDOHS noted that the ongoing impact of COVID-19 (e.g.virtual instruction, limited at home resources/infrastructure.IT support) impacted the data collection and completeness of the administration of COR advantage online tool for all children enrolled in the Head Start program during the 2020-21 </w:t>
      </w:r>
      <w:r w:rsidRPr="00781112">
        <w:rPr>
          <w:rFonts w:cs="Arial"/>
          <w:color w:val="000000" w:themeColor="text1"/>
          <w:szCs w:val="16"/>
        </w:rPr>
        <w:lastRenderedPageBreak/>
        <w:t>school year of child outcome data. For this reason, the VIDE/SOSE established a sixty percent (60%) threshold for data completeness for each individual outcome area, for a higher level of reliability. The VIDE/SOSE will continue to work closely with the VIDOHHSP to identify challenges and provide support.</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Virgin Islands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5"/>
      <w:bookmarkEnd w:id="36"/>
    </w:p>
    <w:p w14:paraId="66FBCA03" w14:textId="77777777" w:rsidR="00B654C1" w:rsidRPr="00781112" w:rsidRDefault="00B654C1" w:rsidP="00A018D4">
      <w:pPr>
        <w:rPr>
          <w:color w:val="000000" w:themeColor="text1"/>
          <w:szCs w:val="20"/>
        </w:rPr>
      </w:pPr>
      <w:bookmarkStart w:id="3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8"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8"/>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9"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9"/>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To garner comprehensive stakeholder input relative to performance and targets the VIDE/SOSE expanded and reconfigured its stakeholder component with a concentrated focus on Indicator clusters (8, 11, and 12) to ensure representativeness in all areas. This reconfiguration includes but is not limited to the following: parents of children with disabilities, grade level and content experts, regular and special education early childhood and elementary school personnel, school counselors, school administrators, district directors and coordinators, educational diagnostic team members, and outside and linking agencies.</w:t>
      </w:r>
      <w:r w:rsidRPr="00781112">
        <w:rPr>
          <w:rFonts w:cs="Arial"/>
          <w:color w:val="000000" w:themeColor="text1"/>
          <w:szCs w:val="16"/>
        </w:rPr>
        <w:br/>
      </w:r>
      <w:r w:rsidRPr="00781112">
        <w:rPr>
          <w:rFonts w:cs="Arial"/>
          <w:color w:val="000000" w:themeColor="text1"/>
          <w:szCs w:val="16"/>
        </w:rPr>
        <w:br/>
        <w:t>For FFY 2020, the VIDE/SOSE invited newly selected/appointed members to its virtual stakeholder meeting to include prior members, to the redesigned structure of its stakeholder groups. The VIDE/SOSE divided the new stakeholder group structure into cluster groups. Members were presented with indicator background and current information as well as data. Attendees were tasked with identifying improvement strategies geared towards improving performance and measuring advancement.</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2006</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76.00%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lastRenderedPageBreak/>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83.50%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85.44%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85.44%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84.68%</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84.66%</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90.10%</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79.71%</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79.71%</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80.00%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80.00%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80.50%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80.50%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334</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419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90.10%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79.71%</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79.71%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State uses one survey instrument to collect data for children ages 3-5 and six (6) through twenty-one (21). To ensure that the data is valid and reliable, the VIDE/SOSE generates a contact listing utilizing the State Student Management System “Goalview” for all parents/guardians of children receiving special education and related services that include each child’s age which is the determining factor to discern the specific related questions (e.g, a child that is three-years-old his/her parent will be asked those questions specifically for preschool and the same for school-aged children.</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419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100.00%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848"/>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79.78%</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100.00%</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VIDE/SOSE has not identified any group that has been underrepresented.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Director of the ECC, research analysts, and other personnel involved also provide training on the stringent protocols that they have instituted to ensure that all surveys are conducted in a uniform manner so that results are valid and reliable. The VIDE/SOSE generates a contact listing utilizing the State Student Management System “Goalview” for all parents/guardians with children receiving special education and related services throughout the Territory. Moreover, this listing is transmitted to the ECC to carry- out the telephonic survey collection process. </w:t>
      </w:r>
      <w:r>
        <w:rPr>
          <w:rFonts w:cs="Arial"/>
          <w:szCs w:val="16"/>
        </w:rPr>
        <w:br/>
      </w:r>
      <w:r>
        <w:rPr>
          <w:rFonts w:cs="Arial"/>
          <w:szCs w:val="16"/>
        </w:rPr>
        <w:br/>
        <w:t xml:space="preserve">Utilizing the protocols that ECC establishes, attempts are made to call all parents. In addition, to the Goalview generated listing the Virgin Islands Department of Education (VIDE), State Office of Special Education (SOSE) also supplements parental contact information with the assistance of the Virgin Islands Department of Education’s Division of Planning, Research Evaluation(PRE), if there are invalid telephone numbers. The survey is conducted using strict standards that require the interviewer to make calls at various times of the day, including calls during daytime hours, evening hours, weekends and holidays. Each interviewer has a script, which is rehearsed several times during training, with each person at the training taking turns both conducting and responding to the survey. This is done to ensure that all survey takers are reading the script accurately and fluently. In addition, there are a prescribed number of attempts that must be made before the parent or guardian is considered a “non-responder.” No less than ten (10) attempts must be made on various days and at different times, before survey takers may consider a parent or guardian a “non-responder.” Telephone calls are made in this way to maximize the chances of reaching parents and guardians. This ensures all parents of children receiving special education and related services are contacted, which eliminates any chance of nonresponse biases. at either their residences or places of business.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The parents surveyed and responded are representative of the demographic of children and youth receiving special education and related services in the United States Virgin Islands. See data below.</w:t>
      </w:r>
      <w:r w:rsidRPr="000A2B9F">
        <w:rPr>
          <w:b w:val="0"/>
          <w:bCs/>
          <w:color w:val="000000" w:themeColor="text1"/>
        </w:rPr>
        <w:br/>
      </w:r>
      <w:r w:rsidRPr="000A2B9F">
        <w:rPr>
          <w:b w:val="0"/>
          <w:bCs/>
          <w:color w:val="000000" w:themeColor="text1"/>
        </w:rPr>
        <w:br/>
        <w:t>Race Ethnicity</w:t>
      </w:r>
      <w:r w:rsidRPr="000A2B9F">
        <w:rPr>
          <w:b w:val="0"/>
          <w:bCs/>
          <w:color w:val="000000" w:themeColor="text1"/>
        </w:rPr>
        <w:br/>
      </w:r>
      <w:r w:rsidRPr="000A2B9F">
        <w:rPr>
          <w:b w:val="0"/>
          <w:bCs/>
          <w:color w:val="000000" w:themeColor="text1"/>
        </w:rPr>
        <w:br/>
        <w:t>District 1</w:t>
      </w:r>
      <w:r w:rsidRPr="000A2B9F">
        <w:rPr>
          <w:b w:val="0"/>
          <w:bCs/>
          <w:color w:val="000000" w:themeColor="text1"/>
        </w:rPr>
        <w:br/>
      </w:r>
      <w:r w:rsidRPr="000A2B9F">
        <w:rPr>
          <w:b w:val="0"/>
          <w:bCs/>
          <w:color w:val="000000" w:themeColor="text1"/>
        </w:rPr>
        <w:lastRenderedPageBreak/>
        <w:t>Asian or Pacific Islander--***less than 30</w:t>
      </w:r>
      <w:r w:rsidRPr="000A2B9F">
        <w:rPr>
          <w:b w:val="0"/>
          <w:bCs/>
          <w:color w:val="000000" w:themeColor="text1"/>
        </w:rPr>
        <w:br/>
        <w:t>Black or African American (not Hispanic) --426</w:t>
      </w:r>
      <w:r w:rsidRPr="000A2B9F">
        <w:rPr>
          <w:b w:val="0"/>
          <w:bCs/>
          <w:color w:val="000000" w:themeColor="text1"/>
        </w:rPr>
        <w:br/>
        <w:t>Hispanic/Latino--182</w:t>
      </w:r>
      <w:r w:rsidRPr="000A2B9F">
        <w:rPr>
          <w:b w:val="0"/>
          <w:bCs/>
          <w:color w:val="000000" w:themeColor="text1"/>
        </w:rPr>
        <w:br/>
        <w:t>Native Hawaiian or Other Pacific Islander--***less than 30</w:t>
      </w:r>
      <w:r w:rsidRPr="000A2B9F">
        <w:rPr>
          <w:b w:val="0"/>
          <w:bCs/>
          <w:color w:val="000000" w:themeColor="text1"/>
        </w:rPr>
        <w:br/>
        <w:t xml:space="preserve">Two or More Races--***less than 30 </w:t>
      </w:r>
      <w:r w:rsidRPr="000A2B9F">
        <w:rPr>
          <w:b w:val="0"/>
          <w:bCs/>
          <w:color w:val="000000" w:themeColor="text1"/>
        </w:rPr>
        <w:br/>
        <w:t xml:space="preserve">White (not Hispanic) -- ***less than 30 </w:t>
      </w:r>
      <w:r w:rsidRPr="000A2B9F">
        <w:rPr>
          <w:b w:val="0"/>
          <w:bCs/>
          <w:color w:val="000000" w:themeColor="text1"/>
        </w:rPr>
        <w:br/>
      </w:r>
      <w:r w:rsidRPr="000A2B9F">
        <w:rPr>
          <w:b w:val="0"/>
          <w:bCs/>
          <w:color w:val="000000" w:themeColor="text1"/>
        </w:rPr>
        <w:br/>
        <w:t>District 2</w:t>
      </w:r>
      <w:r w:rsidRPr="000A2B9F">
        <w:rPr>
          <w:b w:val="0"/>
          <w:bCs/>
          <w:color w:val="000000" w:themeColor="text1"/>
        </w:rPr>
        <w:br/>
        <w:t>Asian or Pacific Islander--***less than 30</w:t>
      </w:r>
      <w:r w:rsidRPr="000A2B9F">
        <w:rPr>
          <w:b w:val="0"/>
          <w:bCs/>
          <w:color w:val="000000" w:themeColor="text1"/>
        </w:rPr>
        <w:br/>
        <w:t>Black or African American (not Hispanic) --489</w:t>
      </w:r>
      <w:r w:rsidRPr="000A2B9F">
        <w:rPr>
          <w:b w:val="0"/>
          <w:bCs/>
          <w:color w:val="000000" w:themeColor="text1"/>
        </w:rPr>
        <w:br/>
        <w:t>Hispanic/Latino--62</w:t>
      </w:r>
      <w:r w:rsidRPr="000A2B9F">
        <w:rPr>
          <w:b w:val="0"/>
          <w:bCs/>
          <w:color w:val="000000" w:themeColor="text1"/>
        </w:rPr>
        <w:br/>
        <w:t>Native Hawaiian or Other Pacific Islander--***less than 30</w:t>
      </w:r>
      <w:r w:rsidRPr="000A2B9F">
        <w:rPr>
          <w:b w:val="0"/>
          <w:bCs/>
          <w:color w:val="000000" w:themeColor="text1"/>
        </w:rPr>
        <w:br/>
        <w:t xml:space="preserve">Two or More Races--***less than 30 </w:t>
      </w:r>
      <w:r w:rsidRPr="000A2B9F">
        <w:rPr>
          <w:b w:val="0"/>
          <w:bCs/>
          <w:color w:val="000000" w:themeColor="text1"/>
        </w:rPr>
        <w:br/>
        <w:t xml:space="preserve">White (not Hispanic) -- ***less than 30 </w:t>
      </w:r>
      <w:r w:rsidRPr="000A2B9F">
        <w:rPr>
          <w:b w:val="0"/>
          <w:bCs/>
          <w:color w:val="000000" w:themeColor="text1"/>
        </w:rPr>
        <w:br/>
      </w:r>
      <w:r w:rsidRPr="000A2B9F">
        <w:rPr>
          <w:b w:val="0"/>
          <w:bCs/>
          <w:color w:val="000000" w:themeColor="text1"/>
        </w:rPr>
        <w:br/>
        <w:t>Disability Category</w:t>
      </w:r>
      <w:r w:rsidRPr="000A2B9F">
        <w:rPr>
          <w:b w:val="0"/>
          <w:bCs/>
          <w:color w:val="000000" w:themeColor="text1"/>
        </w:rPr>
        <w:br/>
        <w:t>District 1</w:t>
      </w:r>
      <w:r w:rsidRPr="000A2B9F">
        <w:rPr>
          <w:b w:val="0"/>
          <w:bCs/>
          <w:color w:val="000000" w:themeColor="text1"/>
        </w:rPr>
        <w:br/>
        <w:t>Autism--69</w:t>
      </w:r>
      <w:r w:rsidRPr="000A2B9F">
        <w:rPr>
          <w:b w:val="0"/>
          <w:bCs/>
          <w:color w:val="000000" w:themeColor="text1"/>
        </w:rPr>
        <w:br/>
        <w:t>Developmental Delayed--40</w:t>
      </w:r>
      <w:r w:rsidRPr="000A2B9F">
        <w:rPr>
          <w:b w:val="0"/>
          <w:bCs/>
          <w:color w:val="000000" w:themeColor="text1"/>
        </w:rPr>
        <w:br/>
        <w:t>Intellectual Disabilities--36</w:t>
      </w:r>
      <w:r w:rsidRPr="000A2B9F">
        <w:rPr>
          <w:b w:val="0"/>
          <w:bCs/>
          <w:color w:val="000000" w:themeColor="text1"/>
        </w:rPr>
        <w:br/>
        <w:t>Hearing Impairments--***less than 30</w:t>
      </w:r>
      <w:r w:rsidRPr="000A2B9F">
        <w:rPr>
          <w:b w:val="0"/>
          <w:bCs/>
          <w:color w:val="000000" w:themeColor="text1"/>
        </w:rPr>
        <w:br/>
        <w:t>Speech or Language Impairments--***less than 30</w:t>
      </w:r>
      <w:r w:rsidRPr="000A2B9F">
        <w:rPr>
          <w:b w:val="0"/>
          <w:bCs/>
          <w:color w:val="000000" w:themeColor="text1"/>
        </w:rPr>
        <w:br/>
        <w:t>Emotional Disturbance--***less than 30</w:t>
      </w:r>
      <w:r w:rsidRPr="000A2B9F">
        <w:rPr>
          <w:b w:val="0"/>
          <w:bCs/>
          <w:color w:val="000000" w:themeColor="text1"/>
        </w:rPr>
        <w:br/>
        <w:t>Orthopedic Impairments --***less than 30</w:t>
      </w:r>
      <w:r w:rsidRPr="000A2B9F">
        <w:rPr>
          <w:b w:val="0"/>
          <w:bCs/>
          <w:color w:val="000000" w:themeColor="text1"/>
        </w:rPr>
        <w:br/>
        <w:t>Specific Learning Disabilities--341</w:t>
      </w:r>
      <w:r w:rsidRPr="000A2B9F">
        <w:rPr>
          <w:b w:val="0"/>
          <w:bCs/>
          <w:color w:val="000000" w:themeColor="text1"/>
        </w:rPr>
        <w:br/>
        <w:t>Deaf-Blindness--***less than 30</w:t>
      </w:r>
      <w:r w:rsidRPr="000A2B9F">
        <w:rPr>
          <w:b w:val="0"/>
          <w:bCs/>
          <w:color w:val="000000" w:themeColor="text1"/>
        </w:rPr>
        <w:br/>
        <w:t>Multiple Disabilities--***less than 30</w:t>
      </w:r>
      <w:r w:rsidRPr="000A2B9F">
        <w:rPr>
          <w:b w:val="0"/>
          <w:bCs/>
          <w:color w:val="000000" w:themeColor="text1"/>
        </w:rPr>
        <w:br/>
        <w:t>Traumatic Brain Injury --***less than 30</w:t>
      </w:r>
      <w:r w:rsidRPr="000A2B9F">
        <w:rPr>
          <w:b w:val="0"/>
          <w:bCs/>
          <w:color w:val="000000" w:themeColor="text1"/>
        </w:rPr>
        <w:br/>
        <w:t xml:space="preserve">Other Health Impairments--67 </w:t>
      </w:r>
      <w:r w:rsidRPr="000A2B9F">
        <w:rPr>
          <w:b w:val="0"/>
          <w:bCs/>
          <w:color w:val="000000" w:themeColor="text1"/>
        </w:rPr>
        <w:br/>
        <w:t>Visual Impairments--***less than 30</w:t>
      </w:r>
      <w:r w:rsidRPr="000A2B9F">
        <w:rPr>
          <w:b w:val="0"/>
          <w:bCs/>
          <w:color w:val="000000" w:themeColor="text1"/>
        </w:rPr>
        <w:br/>
      </w:r>
      <w:r w:rsidRPr="000A2B9F">
        <w:rPr>
          <w:b w:val="0"/>
          <w:bCs/>
          <w:color w:val="000000" w:themeColor="text1"/>
        </w:rPr>
        <w:br/>
        <w:t>District 2</w:t>
      </w:r>
      <w:r w:rsidRPr="000A2B9F">
        <w:rPr>
          <w:b w:val="0"/>
          <w:bCs/>
          <w:color w:val="000000" w:themeColor="text1"/>
        </w:rPr>
        <w:br/>
        <w:t>Autism--61</w:t>
      </w:r>
      <w:r w:rsidRPr="000A2B9F">
        <w:rPr>
          <w:b w:val="0"/>
          <w:bCs/>
          <w:color w:val="000000" w:themeColor="text1"/>
        </w:rPr>
        <w:br/>
        <w:t>Developmental Delayed--52</w:t>
      </w:r>
      <w:r w:rsidRPr="000A2B9F">
        <w:rPr>
          <w:b w:val="0"/>
          <w:bCs/>
          <w:color w:val="000000" w:themeColor="text1"/>
        </w:rPr>
        <w:br/>
        <w:t>Intellectual Disabilities--42</w:t>
      </w:r>
      <w:r w:rsidRPr="000A2B9F">
        <w:rPr>
          <w:b w:val="0"/>
          <w:bCs/>
          <w:color w:val="000000" w:themeColor="text1"/>
        </w:rPr>
        <w:br/>
        <w:t>Hearing Impairments--***less than 30</w:t>
      </w:r>
      <w:r w:rsidRPr="000A2B9F">
        <w:rPr>
          <w:b w:val="0"/>
          <w:bCs/>
          <w:color w:val="000000" w:themeColor="text1"/>
        </w:rPr>
        <w:br/>
        <w:t>Speech or Language Impairments--77</w:t>
      </w:r>
      <w:r w:rsidRPr="000A2B9F">
        <w:rPr>
          <w:b w:val="0"/>
          <w:bCs/>
          <w:color w:val="000000" w:themeColor="text1"/>
        </w:rPr>
        <w:br/>
        <w:t>Emotional Disturbance--***less than 30</w:t>
      </w:r>
      <w:r w:rsidRPr="000A2B9F">
        <w:rPr>
          <w:b w:val="0"/>
          <w:bCs/>
          <w:color w:val="000000" w:themeColor="text1"/>
        </w:rPr>
        <w:br/>
        <w:t>Orthopedic Impairments --***less than 30</w:t>
      </w:r>
      <w:r w:rsidRPr="000A2B9F">
        <w:rPr>
          <w:b w:val="0"/>
          <w:bCs/>
          <w:color w:val="000000" w:themeColor="text1"/>
        </w:rPr>
        <w:br/>
        <w:t>Specific Learning Disabilities--233</w:t>
      </w:r>
      <w:r w:rsidRPr="000A2B9F">
        <w:rPr>
          <w:b w:val="0"/>
          <w:bCs/>
          <w:color w:val="000000" w:themeColor="text1"/>
        </w:rPr>
        <w:br/>
        <w:t>Deaf-Blindness--***less than 30</w:t>
      </w:r>
      <w:r w:rsidRPr="000A2B9F">
        <w:rPr>
          <w:b w:val="0"/>
          <w:bCs/>
          <w:color w:val="000000" w:themeColor="text1"/>
        </w:rPr>
        <w:br/>
        <w:t>Multiple Disabilities--***less than 30</w:t>
      </w:r>
      <w:r w:rsidRPr="000A2B9F">
        <w:rPr>
          <w:b w:val="0"/>
          <w:bCs/>
          <w:color w:val="000000" w:themeColor="text1"/>
        </w:rPr>
        <w:br/>
        <w:t>Traumatic Brain Injury --***less than 30</w:t>
      </w:r>
      <w:r w:rsidRPr="000A2B9F">
        <w:rPr>
          <w:b w:val="0"/>
          <w:bCs/>
          <w:color w:val="000000" w:themeColor="text1"/>
        </w:rPr>
        <w:br/>
        <w:t>Other Health Impairments--52</w:t>
      </w:r>
      <w:r w:rsidRPr="000A2B9F">
        <w:rPr>
          <w:b w:val="0"/>
          <w:bCs/>
          <w:color w:val="000000" w:themeColor="text1"/>
        </w:rPr>
        <w:br/>
        <w:t>Visual Impairments--***less than 30</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Every parent/guardian of a preschool child aged three (3) through five (5) and school-aged child aged six (6) through twenty-one (21) is contacted via telephonic contact and is encouraged to respond to the survey. In essence, for FFY 2020, as in previous Federal Fiscal reporting years, the parents surveyed and responded is representative of the demographic of children receiving special education and related services in the United States Virgin Islands. Refer to the data in the section above. In addition, there are a prescribed number of attempts that must be made before the parent or guardian is considered a “non-responder.” No less than ten (10) attempts must be made on various days and at different times before survey takers may consider a parent or guardian a “non-responder.” Telephone attempts are done this way to help maximize the chances of reaching parents and guardians. This ensures all parents of children receiving special education and related services are contacted, which eliminates any chance of non-response biases. Calls are made to parents either at their residences or places of business. The lower response rate for FFY 2020 can be attributed to the fact there was an increase in disconnected telephone numbers during the COVID-19 pandemic. To assist with increasing the response rate, the VIDE/SOSE will continue to share survey information with the populace and continue to collaborative efforts with the district offices. </w:t>
      </w:r>
      <w:r w:rsidRPr="000A2B9F">
        <w:rPr>
          <w:b w:val="0"/>
          <w:bCs/>
        </w:rPr>
        <w:br/>
      </w:r>
      <w:r w:rsidRPr="000A2B9F">
        <w:rPr>
          <w:b w:val="0"/>
          <w:bCs/>
        </w:rPr>
        <w:br/>
        <w:t xml:space="preserve">The VIDE/SOSE further analyzed the child count data for the respective school year and the survey respondent data by race/ethnicity to determine percent of respondent parents as an analysis for representativeness of respondent parents. This analysis revealed the following for parents with children with disabilities receiving Special Education services in the children in the respective racial/ethnic categories: For Black African American the response rate was 40.64%, from a 75.82 (+35.18%) of Black/African of children with disabilities. Next, the response rate for Hispanic/Latinos was 33.78% from a 20.73% (+13.05%) of children with disabilities. For two or more races the response rate was 53.85% represented from a 1.21% children with disabilities in two or more races (-52.63%). White (not Hispanic) children accounted for 27.27% response rate out of 2.05% (-25.22) of White (not Hispanic) children with disabilities. For Native Hawaiian or Other Pacific Islander children yielded a 100% response rate out of 0.09% (-99.90%) percent of children with disabilities. Although Asian children with disabilities account for 0.93% of children receiving services there was no response from that racial/ethnic category. Lastly, for FFY 2020 there were no American Indian or Alaska Native children receiving special education and related services. In conclusion, for FFY 2020 the percent of respondent parents in two or more races and White is representative of this segment of the population of parents whose children receive Special Education services. The VIDE/SOSE will focus its efforts on increasing the percentage of parents’ respondents in the </w:t>
      </w:r>
      <w:r w:rsidRPr="000A2B9F">
        <w:rPr>
          <w:b w:val="0"/>
          <w:bCs/>
        </w:rPr>
        <w:lastRenderedPageBreak/>
        <w:t>race/ethnicity categories of Blacks and Hispanics to increase the percent of parent responders. Overall, the total number respondents of parents with children receiving Special Education services is a representation of the population of parents in the U.S. Virgin Islands whose children receive Special Education Services.  Additionally, There was a decrease of 10.39% when compared to FFY 2019 for the percentage of respondent parents for this indicator.</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Background information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The University of the Virgin Islands (UVI), Eastern Caribbean Center (ECC) has conducted the VIDE’s parent satisfaction survey since the beginning of the State Performance Plan (SPP). </w:t>
      </w:r>
      <w:r w:rsidRPr="00781112">
        <w:rPr>
          <w:rFonts w:cs="Arial"/>
          <w:color w:val="000000" w:themeColor="text1"/>
          <w:szCs w:val="16"/>
        </w:rPr>
        <w:br/>
        <w:t xml:space="preserve">The VIDE procured services and entered into its ninth eight (9th) Memorandum of Understanding (MOU) with the ECC to perform the FFY 2020, parental satisfaction survey. Moreover, the VIDE/SOSE has maintained the services of the University of the Virgin Islands, Eastern Caribbean Center (UVI/ECC) for the quality and expertise demonstrated throughout the years. For these reasons, the VIDE entered into a Memorandum of Understanding (MOU) with the University of the Virgin Islands, Eastern Caribbean Center (UVI/ECC) to conduct telephonic surveys for the collection, analysis, production, and public reporting of the results of Indicator 8 “Percent of parents with a child receiving special education services who report that schools facilitated parent involvement as a means of improving services and results for children with disabilities”. </w:t>
      </w:r>
      <w:r w:rsidRPr="00781112">
        <w:rPr>
          <w:rFonts w:cs="Arial"/>
          <w:color w:val="000000" w:themeColor="text1"/>
          <w:szCs w:val="16"/>
        </w:rPr>
        <w:br/>
      </w:r>
      <w:r w:rsidRPr="00781112">
        <w:rPr>
          <w:rFonts w:cs="Arial"/>
          <w:color w:val="000000" w:themeColor="text1"/>
          <w:szCs w:val="16"/>
        </w:rPr>
        <w:br/>
        <w:t xml:space="preserve">Process/Procedures/Methods </w:t>
      </w:r>
      <w:r w:rsidRPr="00781112">
        <w:rPr>
          <w:rFonts w:cs="Arial"/>
          <w:color w:val="000000" w:themeColor="text1"/>
          <w:szCs w:val="16"/>
        </w:rPr>
        <w:br/>
      </w:r>
      <w:r w:rsidRPr="00781112">
        <w:rPr>
          <w:rFonts w:cs="Arial"/>
          <w:color w:val="000000" w:themeColor="text1"/>
          <w:szCs w:val="16"/>
        </w:rPr>
        <w:br/>
        <w:t xml:space="preserve">The entire survey process is carried out by the Director of the ECC who is solely responsible for selecting, training, and supervising temporary employees to conduct the telephonic interviews of all parents/guardians of children who receive special education-related services in the St. Croix and St. Thomas-St. John districts. More importantly, the selection process includes a variety of English, Spanish, and French-speaking interviewers. Additionally, each individual hired to conduct the telephonic survey process must take an oral and written confidentiality oath, subsequent to the explanation of the seriousness and consequences if found in violation of the oath which includes dismissal and or prosecution by the Virgin Islands Department of Justice. </w:t>
      </w:r>
      <w:r w:rsidRPr="00781112">
        <w:rPr>
          <w:rFonts w:cs="Arial"/>
          <w:color w:val="000000" w:themeColor="text1"/>
          <w:szCs w:val="16"/>
        </w:rPr>
        <w:br/>
      </w:r>
      <w:r w:rsidRPr="00781112">
        <w:rPr>
          <w:rFonts w:cs="Arial"/>
          <w:color w:val="000000" w:themeColor="text1"/>
          <w:szCs w:val="16"/>
        </w:rPr>
        <w:br/>
        <w:t xml:space="preserve">Each temporary employee of the ECC must take a confidentiality oath, orally and in writing, after being informed about the seriousness of the consequences for violating this oath. Consequences for violating the oath of confidentiality include dismissal, referral, and/or prosecution by the Virgin Islands Department of Justice. The temporary employees (“survey takers”) are provided with background information on the reasons for the survey and the necessary training to ensure accurate collection of survey data. </w:t>
      </w:r>
      <w:r w:rsidRPr="00781112">
        <w:rPr>
          <w:rFonts w:cs="Arial"/>
          <w:color w:val="000000" w:themeColor="text1"/>
          <w:szCs w:val="16"/>
        </w:rPr>
        <w:br/>
      </w:r>
      <w:r w:rsidRPr="00781112">
        <w:rPr>
          <w:rFonts w:cs="Arial"/>
          <w:color w:val="000000" w:themeColor="text1"/>
          <w:szCs w:val="16"/>
        </w:rPr>
        <w:br/>
        <w:t>In order to gauge the level of parental satisfaction from the respondent parents the ECC utilizes Likert-type questions (Strongly Agree, Agree, Strongly Disagree, and Disagree). Upon the digital compilation completion of the telephonic survey, the survey results are tabulated to determine frequencies and percentages. Moreover, the ECC analyzes the raw scores by applying a rigorous methodology with the field on the Item Response Theory (IRT), which converts ordinal level measures to interval level measures for which mathematical operations can be completed.</w:t>
      </w:r>
      <w:r w:rsidRPr="00781112">
        <w:rPr>
          <w:rFonts w:cs="Arial"/>
          <w:color w:val="000000" w:themeColor="text1"/>
          <w:szCs w:val="16"/>
        </w:rPr>
        <w:br/>
        <w:t xml:space="preserve">Additionally, to the examination of the ordinal scores, ECC uses the Rach’s Rating Scale Model (RRSM) to generate linear levels. Following the data analysis and compilation, ECC prepares and submits a draft report to the SOSE for review. Once the review of the draft report is completed, the ECC compiles the final report and collaborates with the SOSE to confirm the location and date for public dissemination of the survey results. The presentations are hosted and presented in each Local Education Agency (LEA) by the director of ECC and other ECC personnel involved in the survey process. </w:t>
      </w:r>
      <w:r w:rsidRPr="00781112">
        <w:rPr>
          <w:rFonts w:cs="Arial"/>
          <w:color w:val="000000" w:themeColor="text1"/>
          <w:szCs w:val="16"/>
        </w:rPr>
        <w:br/>
      </w:r>
      <w:r w:rsidRPr="00781112">
        <w:rPr>
          <w:rFonts w:cs="Arial"/>
          <w:color w:val="000000" w:themeColor="text1"/>
          <w:szCs w:val="16"/>
        </w:rPr>
        <w:br/>
        <w:t xml:space="preserve">To ensure awareness of the public event VIDE/SOSE prepares the territorial media notifications and submits them to the Virgin Islands Department of Education, Office of Public Relations for final editing and media publishing. Furthermore, parents/guardians, Virgin Islands Advisory Panel on Special Education (VIAPSE), and other internal and external stakeholder groups are encouraged to attend. This segment of the public hearing provides parents/guardians and other stakeholders with the opportunity to establish or strengthen collaborative relationships, and most notably personnel from the University of the Virgin Islands relative to post-secondary educational needs and opportunities for children and youth with disabilities (CWD).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Virgin Islands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Virgin Islands reported that its response rate is 100%, however, in its narrative, it reports that "[t]he lower response rate for FFY 2020 can be attributed to the fact there was an increase in disconnected telephone numbers during the COVID-19 pandemic. Therefore, OSEP cannot determine the Virgin Islands FFY 2020 response rate. </w:t>
      </w:r>
      <w:r w:rsidRPr="00781112">
        <w:rPr>
          <w:rFonts w:cs="Arial"/>
          <w:color w:val="000000" w:themeColor="text1"/>
          <w:szCs w:val="16"/>
        </w:rPr>
        <w:br/>
      </w:r>
      <w:r w:rsidRPr="00781112">
        <w:rPr>
          <w:rFonts w:cs="Arial"/>
          <w:color w:val="000000" w:themeColor="text1"/>
          <w:szCs w:val="16"/>
        </w:rPr>
        <w:br/>
        <w:t>Virgin Islands did not describe the metric used to determine representativeness, as required.</w:t>
      </w:r>
    </w:p>
    <w:p w14:paraId="13389642" w14:textId="758A1D0A" w:rsidR="00221EC9" w:rsidRPr="00781112" w:rsidRDefault="00752BAF" w:rsidP="008645AD">
      <w:pPr>
        <w:pStyle w:val="Heading2"/>
      </w:pPr>
      <w:r w:rsidRPr="00781112">
        <w:lastRenderedPageBreak/>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Virgin Islands did not report the response rate or the metric used to determine representativeness. In the FFY 2021 SPP/APR,  Virgin Islands must report the information, as required by the Measurement Table.</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2" w:name="_Toc384383343"/>
      <w:bookmarkStart w:id="43"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4" w:name="_Toc384383344"/>
      <w:bookmarkStart w:id="45" w:name="_Toc392159312"/>
      <w:bookmarkEnd w:id="42"/>
      <w:bookmarkEnd w:id="43"/>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2006</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4"/>
      <w:bookmarkEnd w:id="45"/>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6" w:name="_Hlk494459610"/>
      <w:r w:rsidRPr="00781112">
        <w:rPr>
          <w:rFonts w:cs="Arial"/>
          <w:color w:val="000000" w:themeColor="text1"/>
          <w:szCs w:val="16"/>
        </w:rPr>
        <w:t>The VIDE/SOSE defines disproportionate representation using a relative difference in composition calculation, comparing children with disabilities in racial/ethnic groups to the population of children without disabilities in that same district. The VIDE/SOSE uses a minimum "n" of 10.</w:t>
      </w:r>
      <w:r w:rsidRPr="00781112">
        <w:rPr>
          <w:rFonts w:cs="Arial"/>
          <w:color w:val="000000" w:themeColor="text1"/>
          <w:szCs w:val="16"/>
        </w:rPr>
        <w:br/>
      </w:r>
      <w:r w:rsidRPr="00781112">
        <w:rPr>
          <w:rFonts w:cs="Arial"/>
          <w:color w:val="000000" w:themeColor="text1"/>
          <w:szCs w:val="16"/>
        </w:rPr>
        <w:br/>
        <w:t>Disproportionate Representation is present in any district where the relative difference in composition for children with disabilities in any race or ethnic group in comparison to the total population of non-disabled students in that same district is 20% or more. That is, if there is a relative difference of 20% or more between the percent of children receiving special education and related services in any racial or ethnic group in a district that meets the minimum “n” size of 10 in comparison to the “comparison group” (e.g., non-disabled children in that same district), then the district is flagged as having disproportionate representation. If a district exceeds the 20% relative difference threshold in any racial/ethnic composition, they are required to complete the Facilitated Self-Analysis to determine whether the disproportionate representation, based on a relative difference in composition, is the result of inappropriate identification.</w:t>
      </w:r>
      <w:r w:rsidRPr="00781112">
        <w:rPr>
          <w:rFonts w:cs="Arial"/>
          <w:color w:val="000000" w:themeColor="text1"/>
          <w:szCs w:val="16"/>
        </w:rPr>
        <w:br/>
      </w:r>
      <w:r w:rsidRPr="00781112">
        <w:rPr>
          <w:rFonts w:cs="Arial"/>
          <w:color w:val="000000" w:themeColor="text1"/>
          <w:szCs w:val="16"/>
        </w:rPr>
        <w:br/>
        <w:t>DATA SOURCE</w:t>
      </w:r>
      <w:r w:rsidRPr="00781112">
        <w:rPr>
          <w:rFonts w:cs="Arial"/>
          <w:color w:val="000000" w:themeColor="text1"/>
          <w:szCs w:val="16"/>
        </w:rPr>
        <w:br/>
      </w:r>
      <w:r w:rsidRPr="00781112">
        <w:rPr>
          <w:rFonts w:cs="Arial"/>
          <w:color w:val="000000" w:themeColor="text1"/>
          <w:szCs w:val="16"/>
        </w:rPr>
        <w:br/>
        <w:t>The data sources for this Indicator are Public School Student Enrollment Data for All Students by Race and Ethnicity and data collected under IDEA section 618 (Report of Children with Disabilities Receiving Special Education Under Part B of the Individuals with Disabilities Education Act, as Amended,2004)). 618 “Child Count” data are collected via Goalview, the VIDE’s/SOSE’s special education data management system and reported to the United States Department of Education (USDOE), Office of Special Education Programs (OSEP) via the EDFacts online electronic reporting system Public school Student enrollment data from the division of Planning Research Evaluation (PRE) captured on September 30, 2020 and special education data captured on the December 1, 2020 for the annual Child Count along with the approved mythology were used in determining whether or not the St. Thomas-</w:t>
      </w:r>
      <w:r w:rsidRPr="00781112">
        <w:rPr>
          <w:rFonts w:cs="Arial"/>
          <w:color w:val="000000" w:themeColor="text1"/>
          <w:szCs w:val="16"/>
        </w:rPr>
        <w:br/>
        <w:t>St. John District was identified with disproportionate representation of racial and ethnic groups in special education and related services that is the result of inappropriate identification. The methodology for determining disproportionate representation is outlined in the SPP/APR.</w:t>
      </w:r>
    </w:p>
    <w:bookmarkEnd w:id="46"/>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District 1 (St, Thomas/St. John). Utilizing the data in the charts, the State has determined that the St. Thomas-St. John District meets the minimum “n” of 10 children with disabilities receiving special education and related services for Black/African American and Hispanic/Latino children Although the St. Thomas-St. John District met the minimum n size for the racial/ethnic group of Black/African American and Hispanic/Latino children. However, based on the calculations using the approved methodology, the St. Thomas-St. John district did not exceed the +20% threshold resulting in a relative difference in any racial/ethnic category, specifically Black/African American or Hispanic/Latino students. Thus, the St. Thomas-St. John district was not required to complete the Facilitated Self-Analysis for Indicator B9.</w:t>
      </w:r>
      <w:r w:rsidRPr="00781112">
        <w:rPr>
          <w:rFonts w:cs="Arial"/>
          <w:color w:val="000000" w:themeColor="text1"/>
          <w:szCs w:val="16"/>
        </w:rPr>
        <w:br/>
      </w:r>
      <w:r w:rsidRPr="00781112">
        <w:rPr>
          <w:rFonts w:cs="Arial"/>
          <w:color w:val="000000" w:themeColor="text1"/>
          <w:szCs w:val="16"/>
        </w:rPr>
        <w:br/>
        <w:t>District 2 (St. Croix). The St. Croix district meets the minimum “n” of 10 children with disabilities receiving special education and related services for Two or More Races (Multi-Race) and White children. Based on the calculation for determining disproportionate representation of racial and ethnic groups in special education and related services that may be the result of inappropriate identification, the St. Croix district exceeded the 20% threshold for Two or More Races (Multi-Race) and White children. Thus, the St. Croix district was required to complete the Facilitate Self-Analysis (FSA) that addresses the following areas: Curriculum and Instruction/General Education Interventions; Child Find; Referral for Evaluation; Evaluation; Eligibility and Placement; and Procedural Safeguards. Subsequently, the State reviewed the St. Croix District’s responses on the FSA and determined that the District is compliant with IDEA relative to policies, practices, and procedures in each of the areas addressed.</w:t>
      </w:r>
      <w:r w:rsidRPr="00781112">
        <w:rPr>
          <w:rFonts w:cs="Arial"/>
          <w:color w:val="000000" w:themeColor="text1"/>
          <w:szCs w:val="16"/>
        </w:rPr>
        <w:br/>
      </w:r>
      <w:r w:rsidRPr="00781112">
        <w:rPr>
          <w:rFonts w:cs="Arial"/>
          <w:color w:val="000000" w:themeColor="text1"/>
          <w:szCs w:val="16"/>
        </w:rPr>
        <w:br/>
        <w:t>In addition to the Facilitated Self Analysis, the VIDE/SOSE compliance unit conducted a desk audit of student files, using the Student Management System, to verify that the files contained evidence that the disproportionate representation identified is not a result of inappropriate identification in the specific racial/ethnic categories. Due to the ongoing challenges from the school closure and implementation of the virtual classroom brought on by the COVID-19 Pandemic, the VIDE/SOSE was unable to conduct an on-site verification of randomly selected students' physical files, pursuant to the VIDE/SOSE's compliance monitoring procedures.</w:t>
      </w:r>
    </w:p>
    <w:p w14:paraId="3B71A72A" w14:textId="77777777" w:rsidR="00DF1529" w:rsidRPr="00781112" w:rsidRDefault="00DF1529" w:rsidP="00DF1529">
      <w:pPr>
        <w:rPr>
          <w:rFonts w:cs="Arial"/>
          <w:b/>
          <w:color w:val="000000" w:themeColor="text1"/>
          <w:szCs w:val="16"/>
        </w:rPr>
      </w:pPr>
      <w:bookmarkStart w:id="47" w:name="_Toc381956337"/>
      <w:bookmarkStart w:id="48" w:name="_Toc384383347"/>
      <w:bookmarkStart w:id="49"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Virgin Islands reported its baseline for this indicator using data from FFY 2005; however, OSEP cannot accept this baseline because of revisions to the Measurement Table. Specifically, with the FFY 2020 SPP/APR submission, all States are now required to provide racial/ethnic disproportionality data for all children aged 5 who are enrolled in kindergarten in addition to those aged 6 through 21 served under IDEA, aggregated across all disability categories. Therefore, Virgin Islands must revise its baseline using FFY 2020 data.</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 xml:space="preserve">Virgin Islands did not revise its baseline using FFY 2020 data, as required due to a change in the Measurement Table. Virgin Islands must revise its baseline, using FFY 2020 data, in the FFY 2021 SPP/APR. </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7"/>
      <w:bookmarkEnd w:id="48"/>
      <w:bookmarkEnd w:id="49"/>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0" w:name="_Toc384383348"/>
      <w:bookmarkStart w:id="5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2" w:name="_Toc384383349"/>
      <w:bookmarkStart w:id="53" w:name="_Toc392159317"/>
      <w:bookmarkEnd w:id="50"/>
      <w:bookmarkEnd w:id="51"/>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2006</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2"/>
      <w:bookmarkEnd w:id="53"/>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4" w:name="_Hlk20258880"/>
      <w:r w:rsidRPr="00781112">
        <w:rPr>
          <w:rFonts w:cs="Arial"/>
          <w:color w:val="000000" w:themeColor="text1"/>
          <w:szCs w:val="16"/>
        </w:rPr>
        <w:t>YES</w:t>
      </w:r>
    </w:p>
    <w:bookmarkEnd w:id="54"/>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2</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VIDE/SOSE defines disproportionate representation as a relative difference in composition of 20% or more. A district is considered to have disproportionate representation if the relative difference in composition for children in a specific disability category, (i.e., Intellectual Disabilities, Specific Learning Disabilities, Emotional Disturbance, Speech or Language Impairments, Other Health Impairments, and Autism) for one or more racial and ethnic groups, is 20% or more than the overall student population for that same racial and ethnic group. In other words, if there is a relative difference of 20% or more between the percentage of children receiving special education and related services in any one of the six (6) noted disability categories who are from any racial and ethnic group when compared with non-disabled students in the same racial or ethnic group in that same district, then the district is considered to have disproportionate representation. The State utilizes a minimum “n” of 10 students, meaning that there must be at least 10 students with disabilities in any racial and ethnic group and at least 10 students in the specific disability category in the district in order for the relative difference in composition to be calculated.</w:t>
      </w:r>
      <w:r w:rsidRPr="00781112">
        <w:rPr>
          <w:rFonts w:cs="Arial"/>
          <w:color w:val="000000" w:themeColor="text1"/>
          <w:szCs w:val="16"/>
        </w:rPr>
        <w:br/>
      </w:r>
      <w:r w:rsidRPr="00781112">
        <w:rPr>
          <w:rFonts w:cs="Arial"/>
          <w:color w:val="000000" w:themeColor="text1"/>
          <w:szCs w:val="16"/>
        </w:rPr>
        <w:br/>
        <w:t>Methodology</w:t>
      </w:r>
      <w:r w:rsidRPr="00781112">
        <w:rPr>
          <w:rFonts w:cs="Arial"/>
          <w:color w:val="000000" w:themeColor="text1"/>
          <w:szCs w:val="16"/>
        </w:rPr>
        <w:br/>
        <w:t>Public School Student Enrollment (School Year 2019-2020) data from PRE and data from the December 1, 2019 Child Count, along with the approved methodology were used in determining whether or not the districts were identified with disproportionate representation of racial and ethnic groups in specific disability categories that is the result of inappropriate identification. A district is flagged as having disproportionate representation when it exceeds the 20% threshold in one of the six disabling categories when compared to other non-disabled children in that ethnic group. Calculations are completed for only those eligibility categories and racial/ethnic categories that meet the minimum “n” size of 10. Therefore, no districts were excluded as a result of using a minimum “n” of 10.</w:t>
      </w:r>
      <w:r w:rsidRPr="00781112">
        <w:rPr>
          <w:rFonts w:cs="Arial"/>
          <w:color w:val="000000" w:themeColor="text1"/>
          <w:szCs w:val="16"/>
        </w:rPr>
        <w:br/>
      </w:r>
      <w:r w:rsidRPr="00781112">
        <w:rPr>
          <w:rFonts w:cs="Arial"/>
          <w:color w:val="000000" w:themeColor="text1"/>
          <w:szCs w:val="16"/>
        </w:rPr>
        <w:br/>
        <w:t xml:space="preserve">Data Source: </w:t>
      </w:r>
      <w:r w:rsidRPr="00781112">
        <w:rPr>
          <w:rFonts w:cs="Arial"/>
          <w:color w:val="000000" w:themeColor="text1"/>
          <w:szCs w:val="16"/>
        </w:rPr>
        <w:br/>
        <w:t>The data sources for this Indicator are Public School Student Enrollment Data for All Students by Race and Ethnicity and data collected under IDEA section 618 (Report of Children with Disabilities Receiving Special Education Under Part B of the Individuals with Disabilities Education Act, as Amended 2004). 618 “Child Count” data are collected via Goalview, the VIDE’s/SOSE’s special education data management system, and reported to the United States Department of Education. Office of Special Education via the EDFacts online electronic reporting system. Public school Student enrollment data from the division of Planning Research Evaluation (PRE), captured on September 30, 2020, and special education data captured on the December 1, 2020 for the annual Child Count along with the approved mythology were used in determining whether or not the district was identified with disproportionate representation of racial and ethnic groups in special education and related services that is the result of inappropriate identification.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District 1 - St. Thomas/St. John</w:t>
      </w:r>
      <w:r w:rsidRPr="00781112">
        <w:rPr>
          <w:rFonts w:cs="Arial"/>
          <w:color w:val="000000" w:themeColor="text1"/>
          <w:szCs w:val="16"/>
        </w:rPr>
        <w:br/>
        <w:t>Using the criteria above, the St. Thomas-St. John District (District 1) had at least the minimum “n” of ten (10) African American/Black children in five (5) of the six (6) disability categories and at least the minimum “n” of ten (10) Hispanic/Latino children in one of the disability categories. Based on the calculation for determining disproportionate representation in the disability categories for racial and ethnic groups, NONE of the racial and ethnic groups exceeded the +-20% threshold of OVER REPRESENTATION in the disability categories. Although the St. Thomas-St. John District did not have over representation, there was disproportionality resulting in Under Representation for Hispanic/Latino children in the Disability Category of Specific Learning Disability .</w:t>
      </w:r>
      <w:r w:rsidRPr="00781112">
        <w:rPr>
          <w:rFonts w:cs="Arial"/>
          <w:color w:val="000000" w:themeColor="text1"/>
          <w:szCs w:val="16"/>
        </w:rPr>
        <w:br/>
      </w:r>
      <w:r w:rsidRPr="00781112">
        <w:rPr>
          <w:rFonts w:cs="Arial"/>
          <w:color w:val="000000" w:themeColor="text1"/>
          <w:szCs w:val="16"/>
        </w:rPr>
        <w:br/>
        <w:t>District 2 (St. Croix)</w:t>
      </w:r>
      <w:r w:rsidRPr="00781112">
        <w:rPr>
          <w:rFonts w:cs="Arial"/>
          <w:color w:val="000000" w:themeColor="text1"/>
          <w:szCs w:val="16"/>
        </w:rPr>
        <w:br/>
        <w:t xml:space="preserve">Using the approved methodology referenced earlier, the St. Croix District had at least the minimum “n” of ten (10) African American/Black children in four (4) of the six (6) disability categories; Hispanic/Latino children had at least the minimum “n” of 10 in four r (4) of the disability categories, and Two or More races (Multi) had at least the minimum “n” ten (10) in one (1) of the disability categories. Based on the calculation for determining disproportionate representation in the disability categories for racial and ethnic groups, Multi Race/Two or More Races and Hispanic/Latino, exceeded the 20% threshold and found to have Over Representation of 1079.8701 for Two or More (Multi-Race) in the disability category of Specific Learning Disabilities, and </w:t>
      </w:r>
      <w:r w:rsidRPr="00781112">
        <w:rPr>
          <w:rFonts w:cs="Arial"/>
          <w:color w:val="000000" w:themeColor="text1"/>
          <w:szCs w:val="16"/>
        </w:rPr>
        <w:lastRenderedPageBreak/>
        <w:t xml:space="preserve">37.4663% in the disability category of Intellectual Learning Disabilities for Hispanic Latino children. </w:t>
      </w:r>
      <w:r w:rsidRPr="00781112">
        <w:rPr>
          <w:rFonts w:cs="Arial"/>
          <w:color w:val="000000" w:themeColor="text1"/>
          <w:szCs w:val="16"/>
        </w:rPr>
        <w:br/>
      </w:r>
      <w:r w:rsidRPr="00781112">
        <w:rPr>
          <w:rFonts w:cs="Arial"/>
          <w:color w:val="000000" w:themeColor="text1"/>
          <w:szCs w:val="16"/>
        </w:rPr>
        <w:br/>
        <w:t xml:space="preserve">Pursuant to the State’s compliance monitoring procedures, when a district exceeds the 20% relative difference threshold in any racial and ethnic groups in specific disability categories, they are required to complete the facilitated self-analysis which covers the following areas: curriculum and instruction/general education interventions; child find; referral for evaluation; evaluation; eligibility and placement; and procedural safeguards. </w:t>
      </w:r>
      <w:r w:rsidRPr="00781112">
        <w:rPr>
          <w:rFonts w:cs="Arial"/>
          <w:color w:val="000000" w:themeColor="text1"/>
          <w:szCs w:val="16"/>
        </w:rPr>
        <w:br/>
      </w:r>
      <w:r w:rsidRPr="00781112">
        <w:rPr>
          <w:rFonts w:cs="Arial"/>
          <w:color w:val="000000" w:themeColor="text1"/>
          <w:szCs w:val="16"/>
        </w:rPr>
        <w:br/>
        <w:t xml:space="preserve">Additionally, to ensure that the District is correctly implementing specific regulatory requirements and is compliant with IDEA, the State conducted a desk-audit of approximately 48% of students in the racial/ethnic category of African American/Black, Hispanic/Latino, and Two or More Races; and in the disability category of Specific Learning Disability for Two or More Races (Multi Race) and Intellectual Learning Disabilities for Hispanic Latino children. to ensure that the student’s files contained evidence that the actual practices related to identification were compliant, and also, to ascertain the root cause of the disproportionality identified during the desk audit of June 2021. The student files were viewed using the Student Management System (Goalview). </w:t>
      </w:r>
      <w:r w:rsidRPr="00781112">
        <w:rPr>
          <w:rFonts w:cs="Arial"/>
          <w:color w:val="000000" w:themeColor="text1"/>
          <w:szCs w:val="16"/>
        </w:rPr>
        <w:br/>
      </w:r>
      <w:r w:rsidRPr="00781112">
        <w:rPr>
          <w:rFonts w:cs="Arial"/>
          <w:color w:val="000000" w:themeColor="text1"/>
          <w:szCs w:val="16"/>
        </w:rPr>
        <w:br/>
        <w:t>Based on the student record file review and the district’s response to the Facilitated Self Analysis, the State is satisfied that the root cause of the disproportionate representation is not due to inappropriate identification. Furthermore, the students’ file documented, and the FSA verified that District 2 (1) engages in progress monitoring for the effectiveness of academic and behavioral interventions, and all students who experience difficulties receive intervention program (e.g. peer tutoring, after school remediation program) and as appropriate, Read 180, iReady, Acellus and PBIS; (2) uses a wide variety of assessment materials to ensure minimal test bias; (3) use of tests and other evaluation materials are administered by trained personnel in conformance with the instructions provided by their producer; (4) all test utilized by the district are tailored to assess specific areas of educational need and not merely designed to provide a single, general intelligence quotient; and (5) if a student is not found eligible for special education services, the staffing procedures require consideration of possible Section 504 referral and/or recommendation for specific follow-up by the parent, teacher or Basis Child Study Team (BCST).</w:t>
      </w:r>
    </w:p>
    <w:p w14:paraId="1FCF1BF3" w14:textId="77777777" w:rsidR="00DF1529" w:rsidRPr="00781112" w:rsidRDefault="00DF1529" w:rsidP="00DF1529">
      <w:pPr>
        <w:rPr>
          <w:rFonts w:cs="Arial"/>
          <w:b/>
          <w:color w:val="000000" w:themeColor="text1"/>
          <w:szCs w:val="16"/>
        </w:rPr>
      </w:pPr>
      <w:bookmarkStart w:id="55" w:name="_Toc381956338"/>
      <w:bookmarkStart w:id="56" w:name="_Toc384383352"/>
      <w:bookmarkStart w:id="57"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 xml:space="preserve">Virgin Islands reported its baseline for this indicator using data from FFY 2005; however, OSEP cannot accept this baseline because of revisions to the Measurement Table. Specifically, with the FFY 2020 SPP/APR submission, all States are now required to provide racial/ethnic disproportionality data for all children aged 5 who are enrolled in kindergarten in addition to those aged 6 through 21 served under IDEA, aggregated across all disability categories. Therefore, Virgin Islands must revise its baseline using FFY 2020 data. </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 xml:space="preserve">Virgin Islands did not revise its baseline using FFY 2020 data, as required due to a change in the Measurement Table. Virgin Islands must revise its baseline, using FFY 2020 data, in the FFY 2021 SPP/APR. </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5"/>
      <w:bookmarkEnd w:id="56"/>
      <w:bookmarkEnd w:id="57"/>
    </w:p>
    <w:p w14:paraId="4F5D642D" w14:textId="77777777" w:rsidR="00E119B0" w:rsidRPr="00781112" w:rsidRDefault="00E119B0" w:rsidP="00A018D4">
      <w:pPr>
        <w:rPr>
          <w:color w:val="000000" w:themeColor="text1"/>
          <w:szCs w:val="20"/>
        </w:rPr>
      </w:pPr>
      <w:bookmarkStart w:id="58" w:name="_Toc384383353"/>
      <w:bookmarkStart w:id="59"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0" w:name="_Toc384383354"/>
      <w:bookmarkStart w:id="61" w:name="_Toc392159322"/>
      <w:bookmarkEnd w:id="58"/>
      <w:bookmarkEnd w:id="59"/>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1.20%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63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57</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90.48%</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Based on the desk audit conducted in FFY 2020 in District 1 (St. Thomas/St. John) and the missing electronic records of six (6) children referred for evaluation, the State was unable to determine the District's  level of compliance regarding parental consent to evaluate and completion of the evaluation within the state-establised timeline of 45 days.</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6</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 absence of the six (6) children included in (a) that are not included in (b) are not due to the evaluation not being completed on time. The non-inclusion of those children in the overall total are due to the State not being able to verify District 1 (St. Thomas) level of compliance due to the missing electronic records.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The State's established timeline for initial evaluation is 45 days and is consistent with federal regulations at 20 U.S.C. 1416(a)(3)(B). All or 100% of those students whose parental consent was obtained during the period of July 1, 2019 through June 30, 2020 were evaluated within the 45 days of the state-established timeline.</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 Source</w:t>
      </w:r>
      <w:r w:rsidRPr="00781112">
        <w:rPr>
          <w:rFonts w:cs="Arial"/>
          <w:color w:val="000000" w:themeColor="text1"/>
          <w:szCs w:val="16"/>
        </w:rPr>
        <w:br/>
      </w:r>
      <w:r w:rsidRPr="00781112">
        <w:rPr>
          <w:rFonts w:cs="Arial"/>
          <w:color w:val="000000" w:themeColor="text1"/>
          <w:szCs w:val="16"/>
        </w:rPr>
        <w:br/>
        <w:t>Data for Indicator 11 are obtained from two (2) primary sources: (1) Goalview and (2) monthly reports of students referred for initial evaluations which is submitted by the districts. As part of its monitoring, the State developed an internal self-calculating Master Worksheet that is used by the districts in reporting timelines for initial evaluations for students with disabilities. This Worksheet captures all of the data elements for each child referred and is used in reporting timelines for initial evaluations (i.e. Data Report 1.A.1 Initial Evaluation). The State uses this Spreadsheet to compare the information in both data sets to ensure that the Data Report and Goalview are consistent and have the same dates of initial evaluation for each student of whom parental consent was obtained.</w:t>
      </w:r>
      <w:r w:rsidRPr="00781112">
        <w:rPr>
          <w:rFonts w:cs="Arial"/>
          <w:color w:val="000000" w:themeColor="text1"/>
          <w:szCs w:val="16"/>
        </w:rPr>
        <w:br/>
      </w:r>
      <w:r w:rsidRPr="00781112">
        <w:rPr>
          <w:rFonts w:cs="Arial"/>
          <w:color w:val="000000" w:themeColor="text1"/>
          <w:szCs w:val="16"/>
        </w:rPr>
        <w:br/>
        <w:t xml:space="preserve">Results of Monitoring Activities: </w:t>
      </w:r>
      <w:r w:rsidRPr="00781112">
        <w:rPr>
          <w:rFonts w:cs="Arial"/>
          <w:color w:val="000000" w:themeColor="text1"/>
          <w:szCs w:val="16"/>
        </w:rPr>
        <w:br/>
      </w:r>
      <w:r w:rsidRPr="00781112">
        <w:rPr>
          <w:rFonts w:cs="Arial"/>
          <w:color w:val="000000" w:themeColor="text1"/>
          <w:szCs w:val="16"/>
        </w:rPr>
        <w:br/>
        <w:t>As part of its monitoring activities for the reporting period of July 1, 2020, thru June 30, 2021, desk audits were conducted to verify if the data received from the district for all sixty-three students (63) referred for initial evaluation. The purpose of this desk audit is to verify if the data received from the district regarding initial evaluations are accurate, valid, and reliable. The desk audit comprised of a comparison of the “Data Report I.A-1: Initial Evaluation” and the Student Data Management System (Goalview) to compare the dates in both data sets. The Information found in the Student Data Management System (Goalview) relative to the dates of initial evaluation was consistent with the data submitted by the district for all students referred for initial evaluations and for whom parental consent was received. Based on the desk audits, the districts are correctly implementing the specific regulatory requirements of IDEA in ensuring that all students referred for initial evaluations and for whom parental consent was obtained are evaluated within the State established time-frame of 45 days.</w:t>
      </w:r>
      <w:r w:rsidRPr="00781112">
        <w:rPr>
          <w:rFonts w:cs="Arial"/>
          <w:color w:val="000000" w:themeColor="text1"/>
          <w:szCs w:val="16"/>
        </w:rPr>
        <w:br/>
      </w:r>
      <w:r w:rsidRPr="00781112">
        <w:rPr>
          <w:rFonts w:cs="Arial"/>
          <w:color w:val="000000" w:themeColor="text1"/>
          <w:szCs w:val="16"/>
        </w:rPr>
        <w:br/>
        <w:t xml:space="preserve">For FFY 2020 (reporting period of July 1, 2020, through June 30, 2021, a total of sixty-three students (63) were referred for initial evaluation. However, of the 63 children referred, twelve (12) adopted the Individualized Family Service plan (IFSP); three (3) were found not eligible for special education services; and three (3) were withdrawals as follows: (1-referral withdrawn; 1 consent for evaluation withdrawn; 1 parent withdrawn, no explanation), </w:t>
      </w:r>
      <w:r w:rsidRPr="00781112">
        <w:rPr>
          <w:rFonts w:cs="Arial"/>
          <w:color w:val="000000" w:themeColor="text1"/>
          <w:szCs w:val="16"/>
        </w:rPr>
        <w:br/>
      </w:r>
      <w:r w:rsidRPr="00781112">
        <w:rPr>
          <w:rFonts w:cs="Arial"/>
          <w:color w:val="000000" w:themeColor="text1"/>
          <w:szCs w:val="16"/>
        </w:rPr>
        <w:br/>
        <w:t>Additionally, in District One, six (6) student electronic records could not be located in the Student Data Management System (Goalview), thus, the data received on the Data Report I.A-1: Initial Evaluation could not be verified. Aside from the missing electronic records of the six (6) students in District 1, the desk audit results verified that the Districts have made much improvement in correctly implementing the regulatory requirements for timely evaluation within the state-established timeline of 45 days for Indicator 11: Child Find-Initial Evaluation.</w:t>
      </w:r>
    </w:p>
    <w:p w14:paraId="4F981BFF" w14:textId="77777777" w:rsidR="00C86164" w:rsidRPr="00781112" w:rsidRDefault="00C86164" w:rsidP="00C86164">
      <w:pPr>
        <w:rPr>
          <w:rFonts w:cs="Arial"/>
          <w:b/>
          <w:color w:val="000000" w:themeColor="text1"/>
          <w:szCs w:val="16"/>
        </w:rPr>
      </w:pPr>
      <w:bookmarkStart w:id="62" w:name="_Toc381956339"/>
      <w:bookmarkStart w:id="63" w:name="_Toc384383357"/>
      <w:bookmarkStart w:id="64"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None</w:t>
      </w:r>
    </w:p>
    <w:p w14:paraId="314020BE" w14:textId="77777777" w:rsidR="009F69E7" w:rsidRPr="00781112" w:rsidRDefault="009F69E7"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Virgin Islands reported less than 100% compliance for FFY 2020, Virgin Islands must report on the status of correction of noncompliance identified in FFY 2020 for this indicator. When reporting on the correction of noncompliance, Virgin Islands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Virgin Islands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Virgin Islands did not identify any findings of noncompliance in FFY 2020, although its FFY 2020 data reflect less than 100% compliance, provide an explanation of why Virgin Islands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2"/>
      <w:bookmarkEnd w:id="63"/>
      <w:bookmarkEnd w:id="6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5" w:name="_Toc384383358"/>
      <w:bookmarkStart w:id="6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7" w:name="_Toc384383359"/>
      <w:bookmarkStart w:id="68" w:name="_Toc392159327"/>
      <w:bookmarkEnd w:id="65"/>
      <w:bookmarkEnd w:id="6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60.00%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7"/>
          <w:bookmarkEnd w:id="6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70.97%</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45</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40</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40</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41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97.56%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The reason for slippage was due to the late implementation date for one (1) child. Although the services started nine (9) days after the third birthday the IEP developed prior to age three (3). Services commenced nine (9) days after their third birthday.</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For FFY 2020, there were an additional eight (8) children not “a” are in b, c, d, or e. who were provided services in Part C and referred to Part B prior to their 3rd birthdays; the breakdown for the additional eight (8) children are as follows: (a) four (4) children files were closed by Part C programs which were due to the inability to contact the parent, (b) two (2) those children’s parents refused Part B services, and (c) two (2) children/family moved out of the territory. </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9" w:name="_Hlk20318414"/>
      <w:bookmarkEnd w:id="6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The VIDE/SOSE collects data from each Local Education Agency (LEA) on all children referred from the Part C programs prior to age 3 for eligibility determination under the Part B of the Individuals with Disabilities (IDEA). These data are collected and entered into an internal database developed to capture all the data elements for each child referred. The data elements are as follows: (a) child’s name, (b) child’s date of birth, (c) date of transition meeting, (d) date child was determined eligible/not eligible, (e) date of IEP development, and (f) the date when services began/or refused by a parent. </w:t>
      </w:r>
      <w:r w:rsidRPr="00781112">
        <w:rPr>
          <w:rFonts w:cs="Arial"/>
          <w:color w:val="000000" w:themeColor="text1"/>
          <w:szCs w:val="16"/>
        </w:rPr>
        <w:br/>
      </w:r>
      <w:r w:rsidRPr="00781112">
        <w:rPr>
          <w:rFonts w:cs="Arial"/>
          <w:color w:val="000000" w:themeColor="text1"/>
          <w:szCs w:val="16"/>
        </w:rPr>
        <w:br/>
        <w:t>VIDE/SOSE clarification to OSEP Response:</w:t>
      </w:r>
      <w:r w:rsidRPr="00781112">
        <w:rPr>
          <w:rFonts w:cs="Arial"/>
          <w:color w:val="000000" w:themeColor="text1"/>
          <w:szCs w:val="16"/>
        </w:rPr>
        <w:br/>
      </w:r>
      <w:r w:rsidRPr="00781112">
        <w:rPr>
          <w:rFonts w:cs="Arial"/>
          <w:color w:val="000000" w:themeColor="text1"/>
          <w:szCs w:val="16"/>
        </w:rPr>
        <w:br/>
        <w:t>The following is the data source for this indicator (a) the State Monitoring system, (b) State Student Management System (“Goal View”), and (c) State database that house all data for the respective reporting year FFY 2020 (e.g., children born between July 1, 2017, to June 30, 2018). For FFY 2020, during the ongoing COVID-19 pandemic, the VIDE/SOSE continued to provide ongoing technical assistance to each district. This technical assistance ensures that each LEAs remain compliant with this indicator. More specifically, those children receiving services under the Part C program and referred to Part B for eligibility determination experienced a smooth and timely transition to the Part B program.</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To garner comprehensive stakeholder input relative to performance and targets the VIDE/SOSE expanded and reconfigured its stakeholder component with a concentrated focus on Indicator clusters (8, 11, and 12) to ensure representativeness in all areas. This reconfiguration includes but is not limited to the following: parents of children, preschool and early childhood early learning experts, regular and special education early childhood and elementary school personnel, school counselors, school administrators, district directors and coordinators, educational diagnostic team members, and outside and partner linking agencies.</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Virgin Islands reported less than 100% compliance for FFY 2020, Virgin Islands must report on the status of correction of noncompliance identified in FFY 2020 for this indicator. When reporting on the correction of noncompliance, Virgin Islands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Virgin Islands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Virgin Islands did not identify any findings of noncompliance in FFY 2020, although its FFY 2020 data reflect less than 100% compliance, provide an explanation of why Virgin Islands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100.00%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312</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312</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For FFY 2020, the VIDE/SOSE collected data from the state student management system GoalView to create an internal spreadsheet consisting of all students with IEPs who are age 16 and over form July 1, 2020 through June 30, 2021. The VIDE/SOSE then reviewed through desk audit, the IEPS of each student listed on the spreadsheet using the National Technical Assistance Center (NTACT/C) indicator 13 checklist for compliance with the regulatory transition requirements. If the required information was not contained in the IEP section of GoalView, the VIDE/SOSE reviewed additional documents in the student’s GoalView file to determine if the record contained evidence of compliance with the transition requirements. If any of the required evidence could not be found in the student’s file or in GoalView, the item on the checklist is marked (“no’) for not compliant.</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During FFY 2020, the VIDE/SOSE has continued to improve outcomes for children and youth with disabilities in the four cluster indicators by engaging in ongoing professional development through its national affiliates and resource partners thus building capacity and guiding its members on the most effective practices and structures to improve graduation rates, decrease dropouts, develop quality IEPs and transition planning, and more importantly improve post-school outcomes.</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None</w:t>
      </w:r>
    </w:p>
    <w:p w14:paraId="6FDC964C" w14:textId="7C7EE16F"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23.50%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25.97%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24.14%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23.53%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26.15%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25.49%</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68.83%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68.97%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73.53%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72.31%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76.47%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83.00%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83.12%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82.76%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82.35%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83.08%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90.20%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19.00%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19.50%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20.00%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20.50%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21.00%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21.50%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65.00%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66.00%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66.50%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67.00%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67.50%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68.00%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73.00%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75.50%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77.00%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78.50%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80.50%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For FFY 2020, VIDE/SOSE expanded and reconfigured its stakeholder component with a concentrated focus on indicator clusters to ensure expert representation in all target areas. This reconfiguration includes but is not limited to the following: parents of students with disabilities, grade level and content experts in secondary transition personnel, regular and special education personnel, district directors, coordinators, supervisors, District Office of Special Education personnel, Educational Diagnostic team members, private business sector, interagency partners, and other outside and linking agencies. The VIDE/SOSE divided the new stakeholders into cluster groups. Members were presented with indicator background and current information as well as data. Stakeholders were tasked with identifying improvement strategies geared towards improving performance, ensuring quality services, and measuring outcomes for CWD.</w:t>
      </w:r>
      <w:r w:rsidRPr="00781112">
        <w:rPr>
          <w:rFonts w:cs="Arial"/>
          <w:color w:val="000000" w:themeColor="text1"/>
          <w:szCs w:val="16"/>
        </w:rPr>
        <w:br/>
      </w:r>
      <w:r w:rsidRPr="00781112">
        <w:rPr>
          <w:rFonts w:cs="Arial"/>
          <w:color w:val="000000" w:themeColor="text1"/>
          <w:szCs w:val="16"/>
        </w:rPr>
        <w:lastRenderedPageBreak/>
        <w:br/>
        <w:t>VIDE/SOSE clarification to OSEP Response:</w:t>
      </w:r>
      <w:r w:rsidRPr="00781112">
        <w:rPr>
          <w:rFonts w:cs="Arial"/>
          <w:color w:val="000000" w:themeColor="text1"/>
          <w:szCs w:val="16"/>
        </w:rPr>
        <w:br/>
      </w:r>
      <w:r w:rsidRPr="00781112">
        <w:rPr>
          <w:rFonts w:cs="Arial"/>
          <w:color w:val="000000" w:themeColor="text1"/>
          <w:szCs w:val="16"/>
        </w:rPr>
        <w:br/>
        <w:t>The VIDE/SOSE reconvened its stakeholders for this indicator to review the targets for Measurement C and make recommendations for revision that will demonstrate improvement over the 5 year targets from 2020-2025 for this indicator. The Transition Clusters Stakeholder Group newly revised target for this measurement demonstrate improvement over the 2009 Baseline data as required.</w:t>
      </w:r>
    </w:p>
    <w:p w14:paraId="4522ADD4" w14:textId="77777777" w:rsidR="00E448E9" w:rsidRPr="00781112" w:rsidRDefault="00E448E9" w:rsidP="004369B2">
      <w:pPr>
        <w:rPr>
          <w:color w:val="000000" w:themeColor="text1"/>
        </w:rPr>
      </w:pPr>
      <w:bookmarkStart w:id="76"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108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41</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37.96%</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19</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3</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25.49%</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19.51%</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76.47%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65.85%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30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90.20%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73.17%</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51.00%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37.96%</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lastRenderedPageBreak/>
        <w:t xml:space="preserve">In FFY 2020, the VIDE/SOSE obtained demographic information (students’, parent/guardians’ name and contact information, telephone numbers for students and their parents/guardians, date that the student graduated or exited school, and mailing address) from the State student data system (“GoalView”) and the Division of Planning, Research, and Evaluation (PR&amp;E). The SOSE in June of 2021, one (1) year after students left school, the SOSE mails a survey to every student with an IEP who graduated or otherwise exited school at the end of 2019-2020 school year (including leavers from the end of 2020 summer session). The SOSE uses a written survey with multiple choice questions that are mailed with a letter, which request that student or their family complete and return the survey to the SOSE in a self-addressed, stamped envelope. For the purpose of increasing the response rate year over year, the SOSE will email surveys and conduct telephonic interviews to complete any responses not received by mail. </w:t>
      </w:r>
      <w:r w:rsidRPr="00B551F2">
        <w:br/>
        <w:t>To improve the response rate over year, the SOSE will work closely with the LEA to ensure that demographic information such as mailing and email addresses and telephone numbers for parents and or guardians are recorded accurately specifically to augment with additional contact information such as parents/students work telephone numbers and or other relatives mailing addresses which will in turn result in reducing the numbers of surveys returned due to wrong mailing addresses and lower response rate due to wrong and or inoperable telephone numbers. The SOSE will encourage LEAs to collect in the students senior year of high school their email addresses thus increasing through a wider array of demographic data, such as, telephone and email addresses the students contact information and increase the rate of responders from all group of exiters.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VIDE/SOSE mailed 108 surveys in June of 2021 to students who left school after the end of the 2019-2020 school year (including summer session). The VIDE/SOSE was able to collect responses from mailed and telephonic surveys for 41 out of the 108 leavers for a 36.94% response rate. The VIDE/SOSE was not able to contact all students because of outdated demographic information, such as, wrong mailing addresses, invalid phone numbers, disconnected telephones, and or families whose contact information were not updated due to relocation out of the territory.</w:t>
      </w:r>
      <w:r w:rsidRPr="00B551F2">
        <w:br/>
      </w:r>
      <w:r w:rsidRPr="00B551F2">
        <w:br/>
        <w:t>VIDE/SOSE clarification to OSEP Response:</w:t>
      </w:r>
      <w:r w:rsidRPr="00B551F2">
        <w:br/>
      </w:r>
      <w:r w:rsidRPr="00B551F2">
        <w:br/>
        <w:t xml:space="preserve">The VIDE/SOSE analysis of its response rate through the use of its PSO calculator was able to capture the underrepresentation of non-responders and specifically noted that some disability categories had +/- 3% discrepancy in the proportion of responders (see the metric used to determine representativeness). The VIDE/SOSE underrepresentation by students in the ID and DO were attributed to demographic information mainly, incorrect or invalid telephone numbers, outdated or incomplete mailing addresses, and outdated exiters profile. The VIDE/SOSE will introduce and capture through its monthly exiters report the most current student address and telephone numbers in order to capture the data for its post school outcomes surveys. The VIDE/SOSE will prescribe a number of attempts that must be made before the student, parent or guardian is considered a “non-responder.” No less than ten (10) attempts will be made on various days and at different times, before a student, parent or guardian are considered “non-responder.” Telephone calls will be made in this way to maximize the chances of reaching students, parents and guardians whose mailed surveys were not collected. This will ensure all students, parents or guardian may participate in the State's post school outcomes surveys, which will eliminate any chance of nonresponse biases at either their residences or places of business.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The VIDE/SOSE conducted an item analysis using the State PSO calculator on gender, graduation/exiting status, race/ethnicity and disability category of the 41 responders. The SOSE item analysis for all responders produced valuable data and display counts and representativeness for subgroup in each demographic category. For instance, the percentages of the responder were as follows; from the 41 responders 28 were in the SLD category for a respondent representation of 68.29%. 43.75% of the SLD demographic responded from a 59.26% target leaver representation. 13 of the responders were among the 5 disability categories ranging from Autism, Emotional Behavior Disorder, Intellectual Disorder, Traumatic Brain Injury and other Health Impairments for a respondent demographic of 31.71% from a 40.74% target leaver representation; 35.71% of respondents were female; 78.05% responders were in the minority/ethnicity category (not white/non-Hispanic); 22% of the responders out of 28.13% from the drop out target leaver representation responded to the survey.</w:t>
      </w:r>
      <w:r w:rsidRPr="008D51F2">
        <w:br/>
      </w:r>
      <w:r w:rsidRPr="008D51F2">
        <w:br/>
        <w:t>VIDE/SOSE clarification to OSEP Response:</w:t>
      </w:r>
      <w:r w:rsidRPr="008D51F2">
        <w:br/>
      </w:r>
      <w:r w:rsidRPr="008D51F2">
        <w:br/>
        <w:t>The VIDE/SOSE reconvened its stakeholders for this indicator to review the targets for Measurement C and make recommendations for revision of targets that will demonstrate improvement over the 5 year targets from 2020-2025 for this indicator. The newly revised target for this measurement demonstrate improvement over the 2009 Baseline data as required.</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VIDE/SOSE PSO Calculator described the response rate by representativeness of responders according to disability category for each subgroups item analyses. The overall total of exiters were 108 of which the SOSE collected data for 41 responders. In the SLD disability category the response rate by representativeness was 68.29% from a 59.26% target leavers representation for a difference of +9.03%. The response rate by representativeness for ED was 4.63% from a 7.23% target leavers representativeness for a 2.69% which is less than the difference of +/- 3% discrepancy in the proportion of responders compared to target leavers. The response rate by representativeness for ID was 4.88% from a 12.96% target leavers representativeness for an underrepresentation of 8.1%. The response rate by representativeness of all other responders among the other disability categories was 19.51% from a 23.15% of the categories of target leavers representativeness for an underrepresentation of 3.64%. For the DO the response rate representativeness was 21.95% from a 29.63% target leavers representativeness for an underrepresentation of 7.68%. The SOSE will continue to work closely with its Transition Cluster Indicators (Indicators 1,2,13,14) Stakeholders' group (namely the LEAs) to build capacity for implementing practices that will promote response from a robust response and higher response rate of youth who are no longer in secondary schools and had IEPs in effect at the time they left school thus reduce any discrepancy of underrepresentation of the target leavers representativeness.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lastRenderedPageBreak/>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During FFY 2020, the VIDE/SOSE has continued to work closely with the LEA to improve outcomes for children and youth with disabilities in the four cluster indicators by engaging in ongoing professional development through its national affiliates and resource partners thus building capacity and guiding its members on the most effective practices and structures to improve graduation rates, decrease dropouts, develop quality IEPs and transition planning, and more importantly improve post-school outcomes.</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Virgin Islands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Virgin Islands did not analyze the response rate to identify potential non-response bias, as required by the Measurement Table. </w:t>
      </w:r>
      <w:r w:rsidRPr="00781112">
        <w:rPr>
          <w:rFonts w:cs="Arial"/>
          <w:color w:val="000000" w:themeColor="text1"/>
          <w:szCs w:val="16"/>
        </w:rPr>
        <w:br/>
      </w:r>
      <w:r w:rsidRPr="00781112">
        <w:rPr>
          <w:rFonts w:cs="Arial"/>
          <w:color w:val="000000" w:themeColor="text1"/>
          <w:szCs w:val="16"/>
        </w:rPr>
        <w:br/>
        <w:t>Virgin Islands reported that the response data for this indicator were representative of the demographics of youth who are no longer in secondary school and had IEPs in effect at the time they left school.  However, in its narrative, Virgin Islands reported disability categories that were over and underrepresented. Therefore, it is unclear whether the response data was representative. OSEP notes that the State did describe the strategies to address this issue in the future.</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Virgin Islands did not analyze the response rate to identify potential non-response bias. Virgin Islands must report the required information in the FFY 2021 SPP/APR.  </w:t>
      </w:r>
      <w:r w:rsidRPr="00781112">
        <w:rPr>
          <w:rFonts w:cs="Arial"/>
          <w:color w:val="000000" w:themeColor="text1"/>
          <w:szCs w:val="16"/>
        </w:rPr>
        <w:br/>
      </w:r>
      <w:r w:rsidRPr="00781112">
        <w:rPr>
          <w:rFonts w:cs="Arial"/>
          <w:color w:val="000000" w:themeColor="text1"/>
          <w:szCs w:val="16"/>
        </w:rPr>
        <w:br/>
        <w:t xml:space="preserve">In the FFY 2021 SPP/APR, the State also must report whether the FFY 2021 data are representative of the demographics of youth who are no longer in secondary school and had IEPs in effect at the time they left school, and, if not, the actions Virgin Islands is taking to address this issue. Virgin Islands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7"/>
      <w:bookmarkEnd w:id="78"/>
    </w:p>
    <w:p w14:paraId="7EA31497" w14:textId="77777777" w:rsidR="005B0B58" w:rsidRPr="00781112" w:rsidRDefault="005B0B58" w:rsidP="00A018D4">
      <w:pPr>
        <w:rPr>
          <w:color w:val="000000" w:themeColor="text1"/>
          <w:szCs w:val="20"/>
        </w:rPr>
      </w:pPr>
      <w:bookmarkStart w:id="79" w:name="_Toc381786822"/>
      <w:bookmarkStart w:id="80" w:name="_Toc382731911"/>
      <w:bookmarkStart w:id="81" w:name="_Toc382731912"/>
      <w:bookmarkStart w:id="82" w:name="_Toc392159340"/>
      <w:bookmarkEnd w:id="79"/>
      <w:bookmarkEnd w:id="8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1"/>
    <w:bookmarkEnd w:id="8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3" w:name="_Toc382731913"/>
      <w:bookmarkStart w:id="8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Although there were less than ten(10) resolutions and the VIDE/SOSE was not required to report on this indicator, stakeholders' input was still solicited relative to the requirements of this indicator. This was conducted through the VIDE/SOSE's expanded and reconfigured stakeholder component with a concentrated focus on the elements of the Dispute resolution systems. The composition of stakeholder members includes but is not limited to: parents of children with disabilities, grade level, and content experts, regular and special education school personnel, school administrators, district directors and coordinators, educational diagnostic team members. For FFY 2020, the VIDE/SOSE's newly redesigned stakeholder group members were provided with indicator background and current information relative to IDEA and procedural safeguards. </w:t>
      </w:r>
    </w:p>
    <w:bookmarkEnd w:id="83"/>
    <w:bookmarkEnd w:id="8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2008</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0.00%</w:t>
            </w: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lastRenderedPageBreak/>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State is not required to report if there were less than 10 due process and/or resolution sessions during the reporting period.</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Virgin Islands reported fewer than ten resolution sessions held in FFY 2020. Virgin Islands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Although there were less than ten (10) mediation sessions and the VIDE/SOSE was not required to report on this indicator, stakeholders' input was still solicited relative to the requirements of this indicator. This was conducted through the VIDE/SOSE's expanded and reconfigured stakeholder component with a concentrated focus on the elements of the Dispute resolution systems. The composition of stakeholder members includes but is not limited to: parents of children with disabilities, grade level, and content experts, regular and special education school personnel, school administrators, district directors and coordinators, educational diagnostic team members. For FFY 2020, the VIDE/SOSE's newly redesigned stakeholder group members were provided with indicator background and current information relative to IDEA and procedural safeguards.</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81.20%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8E31C4">
            <w:pPr>
              <w:jc w:val="center"/>
              <w:rPr>
                <w:rFonts w:cs="Arial"/>
                <w:color w:val="000000" w:themeColor="text1"/>
                <w:szCs w:val="16"/>
              </w:rPr>
            </w:pPr>
          </w:p>
        </w:tc>
        <w:tc>
          <w:tcPr>
            <w:tcW w:w="918" w:type="pct"/>
            <w:shd w:val="clear" w:color="auto" w:fill="auto"/>
          </w:tcPr>
          <w:p w14:paraId="341A9DBA" w14:textId="51769052" w:rsidR="008E31C4" w:rsidRPr="00781112"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781112"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p>
        </w:tc>
        <w:tc>
          <w:tcPr>
            <w:tcW w:w="774" w:type="pct"/>
          </w:tcPr>
          <w:p w14:paraId="2C484D83" w14:textId="77BCE060" w:rsidR="00C91F30" w:rsidRPr="00781112" w:rsidRDefault="00C91F30" w:rsidP="00C91F30">
            <w:pPr>
              <w:jc w:val="center"/>
              <w:rPr>
                <w:rFonts w:cs="Arial"/>
                <w:color w:val="000000" w:themeColor="text1"/>
                <w:szCs w:val="16"/>
              </w:rPr>
            </w:pPr>
          </w:p>
        </w:tc>
        <w:tc>
          <w:tcPr>
            <w:tcW w:w="774" w:type="pct"/>
          </w:tcPr>
          <w:p w14:paraId="6CD274F3" w14:textId="076582AE" w:rsidR="00C91F30" w:rsidRPr="00781112" w:rsidRDefault="00C91F30" w:rsidP="00C91F30">
            <w:pPr>
              <w:jc w:val="center"/>
              <w:rPr>
                <w:rFonts w:cs="Arial"/>
                <w:color w:val="000000" w:themeColor="text1"/>
                <w:szCs w:val="16"/>
              </w:rPr>
            </w:pPr>
          </w:p>
        </w:tc>
        <w:tc>
          <w:tcPr>
            <w:tcW w:w="774" w:type="pct"/>
          </w:tcPr>
          <w:p w14:paraId="60DD90BA" w14:textId="5816204A" w:rsidR="00C91F30" w:rsidRPr="00781112" w:rsidRDefault="00C91F30" w:rsidP="00C91F30">
            <w:pPr>
              <w:jc w:val="center"/>
              <w:rPr>
                <w:rFonts w:cs="Arial"/>
                <w:color w:val="000000" w:themeColor="text1"/>
                <w:szCs w:val="16"/>
              </w:rPr>
            </w:pPr>
          </w:p>
        </w:tc>
        <w:tc>
          <w:tcPr>
            <w:tcW w:w="774" w:type="pct"/>
          </w:tcPr>
          <w:p w14:paraId="2F06128D" w14:textId="63E3880D" w:rsidR="00C91F30" w:rsidRPr="00781112" w:rsidRDefault="00C91F30" w:rsidP="00C91F30">
            <w:pPr>
              <w:jc w:val="center"/>
              <w:rPr>
                <w:rFonts w:cs="Arial"/>
                <w:color w:val="000000" w:themeColor="text1"/>
                <w:szCs w:val="16"/>
              </w:rPr>
            </w:pPr>
          </w:p>
        </w:tc>
        <w:tc>
          <w:tcPr>
            <w:tcW w:w="774" w:type="pct"/>
          </w:tcPr>
          <w:p w14:paraId="1702830B" w14:textId="0747B6E8" w:rsidR="00C91F30" w:rsidRPr="00781112" w:rsidRDefault="00C91F30"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lastRenderedPageBreak/>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State is not required to report if there were less than 10 mediation sessions during the reporting period.</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Virgin Islands reported fewer than ten mediations held in FFY 2020. Virgin Islands is not required to provide targets until any fiscal year in which ten or more mediations were held.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The Virgin Islands Department of Education (VIDE), State Office of Special Education’s (SOSE) State Identified Measurable Results (SiMR), is to increase the percentage of third-grade children with disabilities who score proficient or above on state-wide reading and language assessments.</w:t>
      </w:r>
    </w:p>
    <w:p w14:paraId="43CABCA3" w14:textId="77777777" w:rsidR="00AE1972" w:rsidRPr="00781112" w:rsidRDefault="00AE1972" w:rsidP="00AE1972">
      <w:pPr>
        <w:rPr>
          <w:b/>
          <w:bCs/>
        </w:rPr>
      </w:pPr>
      <w:bookmarkStart w:id="8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VIDE/SOSE clarification to OSEP Response:</w:t>
      </w:r>
      <w:r w:rsidRPr="00781112">
        <w:br/>
      </w:r>
      <w:r w:rsidRPr="00781112">
        <w:br/>
        <w:t xml:space="preserve">The VIDE/SOSE has attached the Theory of Action (TOA) it can also  be accessed on the Virgin Islands Department of Education’s homepage web portal www.vide.vi homepage by first clicking the "Our Divisions" tab, then clicking on Special Education. </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8"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8"/>
      <w:r w:rsidRPr="00730C62">
        <w:rPr>
          <w:b/>
          <w:bCs/>
          <w:szCs w:val="16"/>
        </w:rPr>
        <w:t>to implement without any modifications to the SSIP.</w:t>
      </w:r>
    </w:p>
    <w:p w14:paraId="69B31FC3" w14:textId="6FA94771" w:rsidR="00CF0910" w:rsidRDefault="00CF0910" w:rsidP="00CF0910">
      <w:r w:rsidRPr="00781112">
        <w:t>The VIDE/SOSE requested and received a waiver in accordance with section 8401(b) of the (ESEA), as amended., for a 2nd consecutive year due to the Covid-19 Pandemic, no Statewide Summative Assessments were administered which resulted in the inability to determine how any modification to the SSIP evaluation will impact the implementation for modifying the SSIP. The VIDE/SOSE will continue to engage its evaluation matrixes as its designed to improve, over the year of the SSIP/SiMR.</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2014-15</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8.61%</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53.50%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53.50%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53.50%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53.75%</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53.75%</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54.00%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0</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53.50%</w:t>
            </w:r>
          </w:p>
        </w:tc>
        <w:tc>
          <w:tcPr>
            <w:tcW w:w="584" w:type="pct"/>
            <w:shd w:val="clear" w:color="auto" w:fill="auto"/>
          </w:tcPr>
          <w:p w14:paraId="22FE7038" w14:textId="7027AD57" w:rsidR="00AE1972" w:rsidRPr="00781112" w:rsidRDefault="00AE1972" w:rsidP="00FE5C1F">
            <w:pPr>
              <w:jc w:val="center"/>
              <w:rPr>
                <w:color w:val="000000" w:themeColor="text1"/>
                <w:szCs w:val="16"/>
              </w:rPr>
            </w:pP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lastRenderedPageBreak/>
        <w:t>The State Office of Curriculum and Instruction and Planning Research Evaluation are the main data sources for the State's Statewide Assessment thus, for the FFY 2020 (the school year 2020-21), the VIDE/SOSE collects data on Statewide Assessment through the required reporting format EdFact (file spec 175,178 and185 data group 583, 584 and 588). However as a result of the Centers for Disease Control Prevention(CDC) and Virgin Islands Department of Health (VIDOH) national emergency guidelines relating to the COVID-19 Pandemic National Emergency, the Virgin Islands Department of Education (VIDE) requested a waiver; according to section 8401(b) of the Elementary and Secondary Education Act of 1965 (ESEA), as amended. As such, Assessments were only administered only for informational purposes.</w:t>
      </w:r>
      <w:r w:rsidRPr="00781112">
        <w:rPr>
          <w:color w:val="000000" w:themeColor="text1"/>
        </w:rPr>
        <w:br/>
      </w:r>
      <w:r w:rsidRPr="00781112">
        <w:rPr>
          <w:color w:val="000000" w:themeColor="text1"/>
        </w:rPr>
        <w:br/>
        <w:t>VIDE/SOSE clarification to OSEP Response:</w:t>
      </w:r>
      <w:r w:rsidRPr="00781112">
        <w:rPr>
          <w:color w:val="000000" w:themeColor="text1"/>
        </w:rPr>
        <w:br/>
      </w:r>
      <w:r w:rsidRPr="00781112">
        <w:rPr>
          <w:color w:val="000000" w:themeColor="text1"/>
        </w:rPr>
        <w:br/>
        <w:t xml:space="preserve">The VIDE/SOSE will utilize the statewide assessment data for this indicator. </w:t>
      </w:r>
      <w:r w:rsidRPr="00781112">
        <w:rPr>
          <w:color w:val="000000" w:themeColor="text1"/>
        </w:rPr>
        <w:br/>
      </w:r>
      <w:r w:rsidRPr="00781112">
        <w:rPr>
          <w:color w:val="000000" w:themeColor="text1"/>
        </w:rPr>
        <w:br/>
        <w:t xml:space="preserve">For the numerator the VIDE/SOSE will utilize the proficiency rate percent = [(# of children with IEPs scoring at or above proficient against grade level academic achievement standards), in Reading. </w:t>
      </w:r>
      <w:r w:rsidRPr="00781112">
        <w:rPr>
          <w:color w:val="000000" w:themeColor="text1"/>
        </w:rPr>
        <w:br/>
      </w:r>
      <w:r w:rsidRPr="00781112">
        <w:rPr>
          <w:color w:val="000000" w:themeColor="text1"/>
        </w:rPr>
        <w:br/>
        <w:t xml:space="preserve">For the denominator the VIDE/SOSE will divided the (total # of children with IEPs who received a valid score and for whom a proficiency level was assigned for the regular assessment)], in Reading. </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VIDE will use the Transition Matrix growth model under the VIDE Elementary Student Succeeds Act (ESSA) Accountability System. However, the revised accountability system has not been implemented due to learning interruptions caused by Hurricanes Irma and Maria and the COVID-19 pandemic. The VIDE expects to finalize the VIDE Accountability System by December 2022. </w:t>
      </w:r>
      <w:r w:rsidRPr="00781112">
        <w:rPr>
          <w:color w:val="000000" w:themeColor="text1"/>
        </w:rPr>
        <w:br/>
      </w:r>
      <w:r w:rsidRPr="00781112">
        <w:rPr>
          <w:color w:val="000000" w:themeColor="text1"/>
        </w:rPr>
        <w:br/>
        <w:t xml:space="preserve">Transition Matrix description: This method tracks students’ growth at the performance standard level. The VIDE transition matrix has eight performance levels for a given year as rows and the performance levels for a later year as columns, which is broken down into a point system. These points range from zero (0) to two hundred (200).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 xml:space="preserve">Describe any data quality issues, unrelated to COVID-19, specific to the </w:t>
      </w:r>
      <w:proofErr w:type="spellStart"/>
      <w:r w:rsidRPr="00781112">
        <w:rPr>
          <w:rFonts w:cs="Arial"/>
          <w:b/>
          <w:bCs/>
        </w:rPr>
        <w:t>SiMR</w:t>
      </w:r>
      <w:proofErr w:type="spellEnd"/>
      <w:r w:rsidRPr="00781112">
        <w:rPr>
          <w:rFonts w:cs="Arial"/>
          <w:b/>
          <w:bCs/>
        </w:rPr>
        <w:t xml:space="preserve">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 xml:space="preserve">As noted in the Year 5 of reporting of the VIDE/SOSE’s SSIP, challenges remain particularly with the ongoing stakeholders (internal and external) conversations; relating to the analysis and use of other data points (qualitative and quantitative). The use of various data points will assist with identifying strengths, challenges, and progress relative to the Coherent Improvement Strategies (CIS). Moreover, continued collaboration and data conversations amongst core internal stakeholder members will aid with immediately identifying areas for technical assistance and professional development. These steps are critical in gauging the effectiveness of; professional development activities, use of evidence-based instructional academic and behavioral strategies, and improving student achievement. For these reasons, the VIDE/SOSE recognizes there was a need to reconfigure its stakeholder group. As such, the VIDE/SOSE recruited new and tenured members to the newly designed cluster groups which are based on each member’s level of expertise. This new configuration also included parents of children with disabilities. As mentioned in previous reporting years, there is an essential need for the development and vetted Territorial/District-wide Response to Instruction (RtI) Manual, progress monitoring calendar, and collaboration amongst District Offices of Curriculum and Instruction. The primary focus of this collaboration will be to intensify the use of data to support the selection and scaling-up of evidence-based professional development classroom strategies premised on evidence-based academic and behavioral practices, with the goal that all children specifically children with disabilities receive high-quality instruction. </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1.The impact on data completeness: The VIDE/SOSE mechanism for data collection that informs the progress of implementation of the SSIP data points particularly the implementation of the coherent improvement strategies of the MTSS-RtI and PBIS, and the steps and alignment needed to achieve the State's SiMR were impacted specifically by COVID-19. The State's Office of Curriculum and Instruction and Planning Research Evaluation continued to collect data for informational purpose to gauge the level of student proficiency and scaling-up capacity to support the State's CIS. </w:t>
      </w:r>
      <w:r w:rsidRPr="00781112">
        <w:rPr>
          <w:color w:val="000000" w:themeColor="text1"/>
        </w:rPr>
        <w:br/>
        <w:t>2. Explanation of State's ability to collect data: During the 2020-21 school year the VIDE remained on a virtual instructional model, thus, the VIDE/SOSE was unable to collect implementation and SiMR data due to guidelines imposed for mitigating infections and limitations of in-person instruction. In addition, the COVID-19 pandemic impacted the VIDE/SOSE's ability to administer statewide assessment thus affecting its ability to collect data for this indicator. Like other public agency, the Virgin Islands Department of Education adhered to the Virgin Islands Department of Health’s, Safety and Health Guidelines relating to the COVID-19, pandemic.</w:t>
      </w:r>
      <w:r w:rsidRPr="00781112">
        <w:rPr>
          <w:color w:val="000000" w:themeColor="text1"/>
        </w:rPr>
        <w:br/>
        <w:t>3. Step(s) to mitigate the impact of COVID-19 on data collection: Based on the results of the State's administration of the Smarter Balanced for informational purposes in the Spring of 2021, the impact of COVID-19 data collection, informed the districts on the use of assessment data for tier II and III interventions. The State will work intensely and purposefully with the district curriculum and instruction director, data and assessment director, as well as the personnel of planning research evaluation to create a data platform for readily disseminating data as well as evaluating data points such as proficiency rate of children with disabilities in grades 3.</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As required by 34 CFR §300.602(b)(1)(i)(A) the VIDE/SOSE’s public reporting of the current evaluation plan for the State's (VIDE/SOSEs)  can be accessed on the Virgin Islands Department of Education’s homepage web portal www.vide.vi homepage by first clicking the "Our Divisions" tab, then clicking on Special Education. </w:t>
      </w:r>
    </w:p>
    <w:p w14:paraId="0B808C56" w14:textId="786EB067" w:rsidR="00AE1972" w:rsidRPr="00781112" w:rsidRDefault="00E84BDF" w:rsidP="00AE1972">
      <w:pPr>
        <w:rPr>
          <w:rFonts w:cs="Arial"/>
          <w:b/>
          <w:bCs/>
        </w:rPr>
      </w:pPr>
      <w:r w:rsidRPr="00E84BDF">
        <w:rPr>
          <w:rFonts w:cs="Arial"/>
          <w:b/>
          <w:bCs/>
        </w:rPr>
        <w:lastRenderedPageBreak/>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For Year 6 reporting (SY 2020-21), the VIDE continued a virtual instructional model as such the implementation of improvement strategies was limited, namely to the pilot school teams as outlined in the SSIP, RtI, and PBIS Logic Models. However, the VIDE/SOSE was able to provide some levels of professional development opportunities for administrators, special and regular education teachers, school counselors, special education chairpersons, and paraprofessionals. The professional development topics are as follows: evidence-based instructional strategies to promote student performance in English language arts, a service delivery model to meet the needs of students with disabilities in MTSS in a virtual, hybrid, and in-person learning environments, and meeting the provisions of the Individuals with Disabilities Education Act (IDEA), and a Free Appropriate Public Education (FAPE) in the Least Restrictive Environment (LRE).</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As noted previously, for Year 6 reporting (SY 2020-21), the implementation of improvement strategies was limited; as such, the VIDE/SOSE experienced challenges with levels of evaluation; namely the short-term outcomes as it relates to professional development, collection, and achievement of SiMR data. However, the VIDE/SOSE utilized baseline and trend data; to communicate with its stakeholder member on performance and the required achievement levels. Trend data included but were not limited to LRE data and the revised statewide assessment data collection and reporting requirements. </w:t>
      </w:r>
      <w:r w:rsidRPr="00781112">
        <w:rPr>
          <w:color w:val="000000" w:themeColor="text1"/>
        </w:rPr>
        <w:br/>
      </w:r>
      <w:r w:rsidRPr="00781112">
        <w:rPr>
          <w:color w:val="000000" w:themeColor="text1"/>
        </w:rPr>
        <w:br/>
        <w:t>Moreover, the VIDE/SOSE will continue to engage with other VIDE divisions to maintain the connection of the state systemic and continuous improvement of its SSIP that will positively facilitate how the assessment components will be implemented and evaluated throughout the years. The VIDE/SOSE will continue to build on the four strands outlined in its Theory of Action (TOA) by leveraging the guidance provided by the national resource partners and through its affiliation with the United States Department of Education, Office of Special Education Programs (USDOE, OSEP) that will result in achieving the State’s SSIP priorities and SiMR.</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As noted in Year 5 reporting, challenges remain with the levels of implementation and achievement to the VIDE’s infrastructure, ultimately resulting in limited attainment of the improvement strategies in the VIDE/SOSE’s SSIP. The next steps for VIDE/SOSE are as follows: assess the needs of the pilot schools in Districts and 1 and 2, identify the status of each pilot school infrastructure, specifically all school personnel and students, continue with each improvement strategy with the VIDE/SOSE’s RtI, and PBIS logic models that will support the achievement of short and long term outcomes more specifically, VIDE/SOSE’s SiMR. Moreover, the VIDE/SOSE will continue to explore, and when necessary, procure professional services that align with its coherent improvement strategies. Furthermore, services will assist with high levels of professional development premised on evidence-based educational and behavioral strategies that will help increase teacher knowledge and skills relative to the implementation of MTSS with high levels of fidelity. Additionally, the VIDE/SOSE will continue to collaborate with the Broad Indicator Cluster stakeholder group mechanisms to introduce/reintroduce its Logic Models (LM); to novice and tenured CORE stakeholders. This step will allow the VIDE/SOSE the opportunity to review and align the coherent improvement strategies contained within the LM models, which will assist the VIDE/SOSE in the processing areas; reconnecting. The VIDE/SOSE will reiterate the following next steps; revisit roles (district and school), namely SSIP and pilot schools, collaborate with district's superintendents to identify a liaison, engage in dialogue with state and district leaders to solicit CORE SSIP broad stakeholder committee members, identify and collaborate teams’ roles; and secure and procure contractual services to provide the high levels of evidence-based instructional strategies. More specifically, VIDE/SOSE will continue its use of Table D, included in its Year 4 reporting submitted April 1, 2020, as the primary mechanism to assist with all-inclusive planning and execution of Professional Development activities as well as data collection and analysis.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During Year 6 reporting (SY 2020-21), the VIDE continued a virtual instructional model; as such, the VIDE/SOSE was unable to garner data to measure the level of evidence-based practices implemented during this period. This was due to the limited ability to observe classroom strategies. However, the VIDE/SOSE will work closely with those pilot schools to ascertain the level of data collection and identify the types of data elements necessary to ensure appropriate use and implementation of reinforcement behavioral strategies/systems, a feature of the PBIS system. This specific strategy will allow classroom teachers to identify and provide the appropriate academic and behavioral support to students, more importantly, achieve the desired targeted positive behavior. In addition, these reinforcement systems will aid teachers and other school personnel with reducing the frequency of challenging student behavior, eventually increasing instructional time and meaningful teacher and student engagement.</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Evidence-Based Practices and Professional Developments were on-going during the virtual platform, the VIDE/SOSE utilized all available opportunities to continue its collaborative and targeted efforts in scaling-up and supporting the transformative components of the virtual classroom as such, the VIDE/SOSE was able to provide some levels of professional development opportunities for administrators, special and regular education teachers, school counselors, special education chairpersons, and paraprofessionals. The professional development topics are as follows: evidence-based instructional strategies to promote student performance in English language arts, a service delivery model to meet the needs of students with disabilities in MTSS in a virtual, hybrid, and in-person learning environments, and meeting the provisions of the Individuals with Disabilities Education Act (IDEA), and a Free Appropriate Public Education (FAPE) in the Least Restrictive Environment (LRE).</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lastRenderedPageBreak/>
        <w:t>The VIDE/SOSE continued its on-going efforts during Year 5 of implementation to facilitate professional development premised on the use of MTSS-RtI and PBIS to all teachers, administrators and counselors. Presentations from the Parental Satisfaction Survey were also provided during this SSIP implementation year to parents of students with disabilities as well as broad stakeholders. These activities like in previous SSIP reporting were supported through the securing and providing of consultative services process. All presentations were conducted virtually. The VIDE/SOSE is confident that these on-going practices, activities, and strategies that impacts the SiMR will produce the desired outcomes of improving reading performance for all students including students with disabilities in the third grade.</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As previously described, the VIDE/SOSE recognizes that meaningful and intentional collaboration and ongoing planning is essential to the implementation of existing practices. The monitoring of implementation of evidenced-base practices with fidelity is a measure that is supported through the State's CIFRMS. The broader measurable outcomes for implementing the use of MTSS-RtI and PBIS practices requires the observable effectual use of RtI practices; the streamline of professional development activities to allow full application and visual evidence of implementation; including school level activities such as walkthroughs and classroom observations to gauge implementation. The VIDE/SOSE have continued through its levels of monitoring with fidelity the impact of its virtual professional development and is prepared to assess the changes in instructional practices in a more personal level as permitted through in-person learning.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As noted, previously in this document, the VIDE/SOSE secured i-Ready student data for Year 6 (SY 2020-21); of implementation. This additional data was provided by the District Office of Data and Assessment for children with disabilities in the four (4) pilot schools. The results of this data are presented in the section “Describe any additional data collected by the State to assess progress toward the SiMR”, undoubtedly denotes the need to continue activities premised on increasing teacher, school base personnel, school data teams, and parents on various use of evidence-based instructional practices that will assist with improving performance on classroom and statewide assessments of children with disabilities.</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For the next reporting period, the VIDE/SOSE continues to use its Theory of Action (TOA) and Logic Models (LMs) to guide the selection, implementation, and evaluation of the degree of attainment of the State Identified Measurable Results (SiMR). The TOA includes four strands (e.g. leadership, collaboration, technical assistance, and accountability) is designed to supports the districts and pilot schools to improve students with disabilities’ performance on the 3rd-grade literacy assessment.  See Year 4 reporting of the VIDE/SOSE’s SSIP. </w:t>
      </w:r>
      <w:r w:rsidRPr="00781112">
        <w:rPr>
          <w:color w:val="000000" w:themeColor="text1"/>
        </w:rPr>
        <w:br/>
      </w:r>
      <w:r w:rsidRPr="00781112">
        <w:rPr>
          <w:color w:val="000000" w:themeColor="text1"/>
        </w:rPr>
        <w:br/>
        <w:t xml:space="preserve">Although the VIDE/SOSE secured i-Ready data for Year 6 (SY 2020-21) reporting, this data only included two data sets for District 1 and one data set for District 2. Additionally, existing challenges are evident, particularly with the ongoing stakeholder (internal and external) conversations; relating to the analysis and use of other data points (qualitative and quantitative) that will assist with identifying the following: strengths, challenges, and progress relative to the Coherent Improvement Strategies. These steps are critical in gauging the effectiveness of; professional development activities, use of evidence-based instructional academic and behavioral strategies, and improving student achievement. For these reasons, the VIDE/SOSE recognizes that it must identify action steps that will expeditiously identify areas of students, teacher, and school professional development needs for administrators and school teams at each pilot school. Moreover, there remains a need to restructure existing communication and meeting calendars to facilitate ongoing discussion between district leadership, school leadership, and school data (improvement) teams. As mentioned, in Year 4 reporting, there is an essential need for the development and vetted Territory/District-wide Response to Instruction (RtI) Manual, progress monitoring calendar, and collaboration amongst District Offices of Curriculum and Instruction to intensify the use of data to support the selection and scaling-up of evidence-based professional development classroom strategies.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To garner comprehensive stakeholder input the VIDE/SOSE expanded and reconfigured its stakeholder component with a concentrated focus on Indicator clusters (3,5 and SSIP) to ensure representativeness in all areas. This reconfiguration includes but is not limited to the following: parents of children with disabilities, grade level and content experts (state and district assessment personnel), school administrators, early childhood personnel, district directors, and coordinators.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COVID-19 pandemic presented a tremendous amount of challenges for students, teachers, and stakeholders at large. During Phase III Year 6 implementation of the SSIP, the VIDE/SOSE continued to inform its internal stakeholders of its ongoing progress of the SSIP; through various mechanisms such as its newly configured Broad Indicator Cluster stakeholder groups. The primary goal of the newly configured stakeholder groups is to provide input and feedback, more importantly, to continuously evaluate the ongoing implementation of the strategies within its SSIP. Furthermore, the concluding goal of the VIDE/SOSE is to build the capacity of educators to meet the educational and behavioral needs of all children, particularly those of children with attaining improved academic performance explicitly achieving the VIDE/SOSE's SiMR.</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As reported for Year 5 of the VIDE/SOSE’s SSIP stakeholders remained steadfast with expressing this specific concern relating to the navigating and selecting relevant electronic information and flexibility and availability of PD activities. For these reasons, the VIDE/SOSE will continue to explore the facilitation of relevant professional development activities, continue to promote higher levels of stakeholder engagement, through its Broad Indicator Cluster stakeholder groups meetings, to select and determine the most effective manner/professional development opportunities to address areas such as; data-based decisions, cultural responsiveness, and core instructional programs that are aligned to the coherent improvement strategies ultimately improving performance for the VIDE/SOSE’s SiMR.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lastRenderedPageBreak/>
        <w:t xml:space="preserve">The VIDE/SOSE has no newly described activities to be implemented for the upcoming fiscal year. Consequently, the VIDE/SOSE will continue with the activities included in Table D, included in its Year 4 reporting submitted April 1, 2020.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xml:space="preserve">There are no new activities listed above.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As reported in Year 5 reporting and throughout this SSIP, the VIDE/SOSE anticipates that barriers related to sustainability will continue to be a challenge. Notwithstanding the need to intensify collaboration, the VIDE/SOSE will be proactive in developing a plan with the Office of the Deputy Commissioner of Curriculum and Instruction, District Office of Superintendents to continue its quest of promoting and improving instructional practices that will improve the use of the MTSS-RtI and PBIS essential components (universal screening, progress monitoring, multi-leveled prevention system, and data-based decision making).  The VIDE/SOSE is confident that this partnership will yield positive academic and behavioral outcomes for all students, particularly students with disabilities. </w:t>
      </w:r>
      <w:r w:rsidRPr="00781112">
        <w:rPr>
          <w:color w:val="000000" w:themeColor="text1"/>
        </w:rPr>
        <w:br/>
      </w:r>
      <w:r w:rsidRPr="00781112">
        <w:rPr>
          <w:color w:val="000000" w:themeColor="text1"/>
        </w:rPr>
        <w:br/>
        <w:t>Steps: To work intentionally with the State's and District's leadership(Broad Indicator Cluster Stakeholders): Work with Deputy Commissioner of Curriculum and Instructions and Districts Insular Superintendents to leverage technical assistance opportunities and resources to improve the collection of implementation of best practices and to continue gauging the provisions of quality instruction by providing high-intense professional development evidence-based practices that will assist with increasing the knowledge and skills level on the implementation with the fidelity of the MTSS-RtI and PBIS models.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Virgin Islands provided targets for FFYs 2020 through 2025 for this indicator, and OSEP accepts those targets.</w:t>
      </w:r>
      <w:r w:rsidRPr="00781112">
        <w:rPr>
          <w:color w:val="000000" w:themeColor="text1"/>
        </w:rPr>
        <w:br/>
      </w:r>
      <w:r w:rsidRPr="00781112">
        <w:rPr>
          <w:color w:val="000000" w:themeColor="text1"/>
        </w:rPr>
        <w:br/>
        <w:t xml:space="preserve">Due to the circumstances created by the COVID-19 pandemic, Virgin Islands did not report any FFY 2020 data for this indicator. </w:t>
      </w:r>
      <w:r w:rsidRPr="00781112">
        <w:rPr>
          <w:color w:val="000000" w:themeColor="text1"/>
        </w:rPr>
        <w:br/>
      </w:r>
      <w:r w:rsidRPr="00781112">
        <w:rPr>
          <w:color w:val="000000" w:themeColor="text1"/>
        </w:rPr>
        <w:br/>
        <w:t>Virgin Islands provided an explanation of how COVID-19 impacted its ability to collect FFY 2020 data for this indicator and steps the Virgin Islands has taken to mitigate the impact of COVID-19 on data collection.</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 xml:space="preserve">Virgin Islands did not provide data for FFY 2020. Virgin Islands must provide the required data for FFY 2021 in the FFY 2021 SPP/APR. </w:t>
      </w:r>
      <w:r w:rsidRPr="00781112">
        <w:rPr>
          <w:color w:val="000000" w:themeColor="text1"/>
        </w:rPr>
        <w:br/>
      </w:r>
      <w:r w:rsidRPr="00781112">
        <w:rPr>
          <w:color w:val="000000" w:themeColor="text1"/>
        </w:rPr>
        <w:br/>
        <w:t>OSEP notes that one or more of the Indicator 17 attachment(s) included in Virgin Islands FFY 2020 SPP/APR submission are not in compliance with Section 508 of the Rehabilitation Act of 1973, as amended (Section 508), and will not be posted on the U.S. Department of Education’s IDEA website. Therefore, Virgin Islands must make the attachment(s) available to the public as soon as practicable, but no later than 120 days after the date of the determination letter.</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Renee Charleswell, Ph.D.</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Deputy Commissioner of Curriculum and Instruction/State Director of Special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renee.charleswell@vide.vi</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(340) 774-0100, ext. 8801</w:t>
      </w:r>
    </w:p>
    <w:bookmarkEnd w:id="9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04/27/22  3:13:33 PM</w:t>
      </w:r>
    </w:p>
    <w:p w14:paraId="596B3C30" w14:textId="3054BED5" w:rsidR="00755AF7" w:rsidRDefault="00755AF7" w:rsidP="00EE4B59">
      <w:pPr>
        <w:rPr>
          <w:rFonts w:cs="Arial"/>
          <w:color w:val="000000" w:themeColor="text1"/>
          <w:szCs w:val="16"/>
        </w:rPr>
      </w:pPr>
    </w:p>
    <w:p w14:paraId="744E0AEC" w14:textId="77777777" w:rsidR="001256E7" w:rsidRDefault="001256E7">
      <w:pPr>
        <w:spacing w:before="0" w:after="200" w:line="276" w:lineRule="auto"/>
        <w:rPr>
          <w:rFonts w:eastAsiaTheme="majorEastAsia" w:cstheme="majorBidi"/>
          <w:b/>
          <w:bCs/>
          <w:color w:val="000000" w:themeColor="text1"/>
          <w:sz w:val="20"/>
          <w:szCs w:val="28"/>
        </w:rPr>
      </w:pPr>
      <w:bookmarkStart w:id="91" w:name="_Hlk110855903"/>
      <w:r>
        <w:rPr>
          <w:color w:val="000000" w:themeColor="text1"/>
        </w:rPr>
        <w:br w:type="page"/>
      </w:r>
    </w:p>
    <w:p w14:paraId="1B1DE3BD" w14:textId="723B9EF5" w:rsidR="00780E7F" w:rsidRDefault="00780E7F" w:rsidP="00780E7F">
      <w:pPr>
        <w:pStyle w:val="Heading1"/>
        <w:rPr>
          <w:color w:val="000000" w:themeColor="text1"/>
        </w:rPr>
      </w:pPr>
      <w:r>
        <w:rPr>
          <w:color w:val="000000" w:themeColor="text1"/>
        </w:rPr>
        <w:lastRenderedPageBreak/>
        <w:t xml:space="preserve">ED </w:t>
      </w:r>
      <w:r w:rsidRPr="0058648F">
        <w:rPr>
          <w:color w:val="000000" w:themeColor="text1"/>
        </w:rPr>
        <w:t>Attachments</w:t>
      </w:r>
      <w:bookmarkEnd w:id="91"/>
    </w:p>
    <w:p w14:paraId="2829715E" w14:textId="77777777" w:rsidR="00780E7F" w:rsidRPr="001256E7" w:rsidRDefault="00780E7F" w:rsidP="001256E7"/>
    <w:p w14:paraId="3E29AC6C" w14:textId="37C006BD" w:rsidR="00780E7F" w:rsidRPr="00781112" w:rsidRDefault="00D57ECF" w:rsidP="00EE4B59">
      <w:pPr>
        <w:rPr>
          <w:rFonts w:cs="Arial"/>
          <w:color w:val="000000" w:themeColor="text1"/>
          <w:szCs w:val="16"/>
        </w:rPr>
      </w:pPr>
      <w:r>
        <w:rPr>
          <w:rFonts w:cs="Arial"/>
          <w:color w:val="000000" w:themeColor="text1"/>
          <w:szCs w:val="16"/>
        </w:rPr>
        <w:object w:dxaOrig="1508" w:dyaOrig="984" w14:anchorId="4D5CBEC0">
          <v:shape id="_x0000_i1026" type="#_x0000_t75" alt="VI-B-Dispute-Resolution-2020-21&#10;" style="width:75.75pt;height:48.7pt" o:ole="">
            <v:imagedata r:id="rId12" o:title=""/>
          </v:shape>
          <o:OLEObject Type="Embed" ProgID="Acrobat.Document.DC" ShapeID="_x0000_i1026" DrawAspect="Icon" ObjectID="_1726425517" r:id="rId13"/>
        </w:object>
      </w:r>
      <w:r w:rsidR="00B115BD">
        <w:rPr>
          <w:rFonts w:cs="Arial"/>
          <w:color w:val="000000" w:themeColor="text1"/>
          <w:szCs w:val="16"/>
        </w:rPr>
        <w:t xml:space="preserve">    </w:t>
      </w:r>
      <w:r w:rsidR="00161ACC">
        <w:rPr>
          <w:rFonts w:cs="Arial"/>
          <w:color w:val="000000" w:themeColor="text1"/>
          <w:szCs w:val="16"/>
        </w:rPr>
        <w:object w:dxaOrig="1579" w:dyaOrig="1022" w14:anchorId="0FE21C4C">
          <v:shape id="_x0000_i1030" type="#_x0000_t75" alt="VI-2022DataRubricPartB&#10;" style="width:79.1pt;height:50.75pt" o:ole="">
            <v:imagedata r:id="rId14" o:title=""/>
          </v:shape>
          <o:OLEObject Type="Embed" ProgID="Excel.Sheet.12" ShapeID="_x0000_i1030" DrawAspect="Icon" ObjectID="_1726425518" r:id="rId15"/>
        </w:object>
      </w:r>
      <w:r w:rsidR="00B115BD">
        <w:rPr>
          <w:rFonts w:cs="Arial"/>
          <w:color w:val="000000" w:themeColor="text1"/>
          <w:szCs w:val="16"/>
        </w:rPr>
        <w:t xml:space="preserve">    </w:t>
      </w:r>
      <w:r w:rsidR="00B115BD">
        <w:rPr>
          <w:rFonts w:cs="Arial"/>
          <w:color w:val="000000" w:themeColor="text1"/>
          <w:szCs w:val="16"/>
        </w:rPr>
        <w:object w:dxaOrig="1540" w:dyaOrig="997" w14:anchorId="4999FEFA">
          <v:shape id="_x0000_i1028" type="#_x0000_t75" alt="vi-resultsmatrix-2022bent&#10;" style="width:77.4pt;height:49.55pt" o:ole="">
            <v:imagedata r:id="rId16" o:title=""/>
          </v:shape>
          <o:OLEObject Type="Embed" ProgID="Acrobat.Document.DC" ShapeID="_x0000_i1028" DrawAspect="Icon" ObjectID="_1726425519" r:id="rId17"/>
        </w:object>
      </w:r>
      <w:r w:rsidR="00780E7F">
        <w:rPr>
          <w:rFonts w:cs="Arial"/>
          <w:color w:val="000000" w:themeColor="text1"/>
          <w:szCs w:val="16"/>
        </w:rPr>
        <w:t xml:space="preserve">       </w:t>
      </w:r>
    </w:p>
    <w:sectPr w:rsidR="00780E7F"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7487" w14:textId="77777777" w:rsidR="00965A01" w:rsidRDefault="00965A01" w:rsidP="000802F7">
      <w:pPr>
        <w:spacing w:before="0" w:after="0"/>
      </w:pPr>
      <w:r>
        <w:separator/>
      </w:r>
    </w:p>
  </w:endnote>
  <w:endnote w:type="continuationSeparator" w:id="0">
    <w:p w14:paraId="6903209A" w14:textId="77777777" w:rsidR="00965A01" w:rsidRDefault="00965A01" w:rsidP="000802F7">
      <w:pPr>
        <w:spacing w:before="0" w:after="0"/>
      </w:pPr>
      <w:r>
        <w:continuationSeparator/>
      </w:r>
    </w:p>
  </w:endnote>
  <w:endnote w:type="continuationNotice" w:id="1">
    <w:p w14:paraId="7200C115" w14:textId="77777777" w:rsidR="00965A01" w:rsidRDefault="00965A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7906" w14:textId="77777777" w:rsidR="00965A01" w:rsidRDefault="00965A01" w:rsidP="000802F7">
      <w:pPr>
        <w:spacing w:before="0" w:after="0"/>
      </w:pPr>
      <w:r>
        <w:separator/>
      </w:r>
    </w:p>
  </w:footnote>
  <w:footnote w:type="continuationSeparator" w:id="0">
    <w:p w14:paraId="57F3599E" w14:textId="77777777" w:rsidR="00965A01" w:rsidRDefault="00965A01" w:rsidP="000802F7">
      <w:pPr>
        <w:spacing w:before="0" w:after="0"/>
      </w:pPr>
      <w:r>
        <w:continuationSeparator/>
      </w:r>
    </w:p>
  </w:footnote>
  <w:footnote w:type="continuationNotice" w:id="1">
    <w:p w14:paraId="0192742F" w14:textId="77777777" w:rsidR="00965A01" w:rsidRDefault="00965A01">
      <w:pPr>
        <w:spacing w:before="0" w:after="0"/>
      </w:pPr>
    </w:p>
  </w:footnote>
  <w:footnote w:id="2">
    <w:p w14:paraId="1A80F92B" w14:textId="730ABC1F" w:rsidR="00D57ECF" w:rsidRDefault="00D57ECF">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4E5C322E" w14:textId="003E97C7" w:rsidR="00D57ECF" w:rsidRDefault="00D57ECF">
      <w:pPr>
        <w:pStyle w:val="FootnoteText"/>
      </w:pPr>
      <w:r>
        <w:rPr>
          <w:rStyle w:val="FootnoteReference"/>
        </w:rPr>
        <w:footnoteRef/>
      </w:r>
      <w:r>
        <w:t xml:space="preserve"> </w:t>
      </w:r>
      <w:r w:rsidRPr="00B97953">
        <w:rPr>
          <w:sz w:val="16"/>
          <w:szCs w:val="16"/>
        </w:rPr>
        <w:t>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192877">
    <w:abstractNumId w:val="23"/>
  </w:num>
  <w:num w:numId="2" w16cid:durableId="1289047626">
    <w:abstractNumId w:val="11"/>
  </w:num>
  <w:num w:numId="3" w16cid:durableId="1227686943">
    <w:abstractNumId w:val="21"/>
  </w:num>
  <w:num w:numId="4" w16cid:durableId="740061518">
    <w:abstractNumId w:val="25"/>
  </w:num>
  <w:num w:numId="5" w16cid:durableId="1482694644">
    <w:abstractNumId w:val="0"/>
  </w:num>
  <w:num w:numId="6" w16cid:durableId="538205021">
    <w:abstractNumId w:val="16"/>
  </w:num>
  <w:num w:numId="7" w16cid:durableId="573470436">
    <w:abstractNumId w:val="8"/>
  </w:num>
  <w:num w:numId="8" w16cid:durableId="1816335508">
    <w:abstractNumId w:val="10"/>
  </w:num>
  <w:num w:numId="9" w16cid:durableId="1975714747">
    <w:abstractNumId w:val="12"/>
  </w:num>
  <w:num w:numId="10" w16cid:durableId="1928152811">
    <w:abstractNumId w:val="14"/>
  </w:num>
  <w:num w:numId="11" w16cid:durableId="1515001930">
    <w:abstractNumId w:val="18"/>
  </w:num>
  <w:num w:numId="12" w16cid:durableId="425228284">
    <w:abstractNumId w:val="20"/>
  </w:num>
  <w:num w:numId="13" w16cid:durableId="1913737083">
    <w:abstractNumId w:val="9"/>
  </w:num>
  <w:num w:numId="14" w16cid:durableId="893542087">
    <w:abstractNumId w:val="15"/>
  </w:num>
  <w:num w:numId="15" w16cid:durableId="50660321">
    <w:abstractNumId w:val="13"/>
  </w:num>
  <w:num w:numId="16" w16cid:durableId="1817409783">
    <w:abstractNumId w:val="22"/>
  </w:num>
  <w:num w:numId="17" w16cid:durableId="1150093242">
    <w:abstractNumId w:val="2"/>
  </w:num>
  <w:num w:numId="18" w16cid:durableId="477302632">
    <w:abstractNumId w:val="7"/>
  </w:num>
  <w:num w:numId="19" w16cid:durableId="586814735">
    <w:abstractNumId w:val="1"/>
  </w:num>
  <w:num w:numId="20" w16cid:durableId="1173296498">
    <w:abstractNumId w:val="19"/>
  </w:num>
  <w:num w:numId="21" w16cid:durableId="682898450">
    <w:abstractNumId w:val="24"/>
  </w:num>
  <w:num w:numId="22" w16cid:durableId="1851289389">
    <w:abstractNumId w:val="6"/>
  </w:num>
  <w:num w:numId="23" w16cid:durableId="1941713655">
    <w:abstractNumId w:val="3"/>
  </w:num>
  <w:num w:numId="24" w16cid:durableId="1390954763">
    <w:abstractNumId w:val="4"/>
  </w:num>
  <w:num w:numId="25" w16cid:durableId="2121950196">
    <w:abstractNumId w:val="5"/>
  </w:num>
  <w:num w:numId="26" w16cid:durableId="102868105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56E7"/>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ACC"/>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2FDC"/>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0E7F"/>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827"/>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A01"/>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15B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57ECF"/>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49EFA5E2-A907-4260-B103-05852E95228F}"/>
</file>

<file path=customXml/itemProps4.xml><?xml version="1.0" encoding="utf-8"?>
<ds:datastoreItem xmlns:ds="http://schemas.openxmlformats.org/officeDocument/2006/customXml" ds:itemID="{E34A9DCB-E3D8-4048-BDD4-1F7881EB959B}">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77</Pages>
  <Words>41475</Words>
  <Characters>236414</Characters>
  <Application>Microsoft Office Word</Application>
  <DocSecurity>0</DocSecurity>
  <Lines>1970</Lines>
  <Paragraphs>554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5</cp:revision>
  <cp:lastPrinted>2014-08-19T16:56:00Z</cp:lastPrinted>
  <dcterms:created xsi:type="dcterms:W3CDTF">2022-08-09T16:12:00Z</dcterms:created>
  <dcterms:modified xsi:type="dcterms:W3CDTF">2022-10-05T01:52:00Z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81cb6e31-43c6-472a-aff0-7a9d0ab5047b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