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Utah</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See attachment</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See attachment</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154</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See attachment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See attachment</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See attachment</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See attachment</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See attachment</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The State's determinations for both 2019 and 2020 were Needs Assistance.  Pursuant to section 616(e)(1) of the IDEA and 34 C.F.R. § 300.604(a), OSEP's June 25,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Due to the circumstances created by the COVID-19 pandemic, and resulting school closures, the State does not have any FFY 2019 data for indicator 17.</w:t>
      </w:r>
    </w:p>
    <w:p w14:paraId="53B509C2" w14:textId="2EAB3557" w:rsidR="00CE6EB0" w:rsidRDefault="00684B51" w:rsidP="008645AD">
      <w:pPr>
        <w:pStyle w:val="Heading2"/>
      </w:pPr>
      <w:r w:rsidRPr="0033429D">
        <w:t>Intro - Required Actions</w:t>
      </w:r>
    </w:p>
    <w:p w14:paraId="792A0DAA" w14:textId="5D5B2266" w:rsidR="007E29A4" w:rsidRDefault="007E29A4" w:rsidP="007E29A4"/>
    <w:p w14:paraId="0C4395C6" w14:textId="45633893" w:rsidR="007E29A4" w:rsidRPr="00D8118B" w:rsidRDefault="007E29A4" w:rsidP="00D8118B">
      <w:pPr>
        <w:pStyle w:val="Heading2"/>
      </w:pPr>
      <w:r w:rsidRPr="00D8118B">
        <w:t>Intro - State Attachments</w:t>
      </w:r>
    </w:p>
    <w:p w14:paraId="0A7E490E" w14:textId="29C555E9" w:rsidR="007E29A4" w:rsidRDefault="007E29A4" w:rsidP="007E29A4"/>
    <w:p w14:paraId="127D8B7D" w14:textId="33195334" w:rsidR="007E29A4" w:rsidRPr="007E29A4" w:rsidRDefault="0049475F" w:rsidP="002A7037">
      <w:r>
        <w:object w:dxaOrig="1508" w:dyaOrig="983" w14:anchorId="02FE44D2">
          <v:shape id="_x0000_i1035" type="#_x0000_t75" alt="UtahPartBSPPAPRFFY2019Intro" style="width:75.75pt;height:49.5pt" o:ole="">
            <v:imagedata r:id="rId12" o:title=""/>
          </v:shape>
          <o:OLEObject Type="Embed" ProgID="Acrobat.Document.DC" ShapeID="_x0000_i1035" DrawAspect="Icon" ObjectID="_1689410568" r:id="rId13"/>
        </w:object>
      </w:r>
      <w:r w:rsidR="00D8118B">
        <w:br w:type="textWrapping" w:clear="all"/>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58.60%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66.32%</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69.59%</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71.48%</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72.91%</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74.37%</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68.23%</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67.93%</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70.22%</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69.36%</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69.97%</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75.86%</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See attachment</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See introduction, FFY19 Stakeholder Involvement and Input.</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22DCC290" w:rsidR="00866B4D" w:rsidRPr="005C29F8" w:rsidRDefault="00D43E83" w:rsidP="00A018D4">
            <w:pPr>
              <w:jc w:val="center"/>
              <w:rPr>
                <w:rFonts w:cs="Arial"/>
                <w:color w:val="000000" w:themeColor="text1"/>
                <w:szCs w:val="16"/>
              </w:rPr>
            </w:pPr>
            <w:r>
              <w:rPr>
                <w:rFonts w:cs="Arial"/>
                <w:color w:val="000000" w:themeColor="text1"/>
                <w:szCs w:val="16"/>
              </w:rPr>
              <w:t>*</w:t>
            </w:r>
            <w:bookmarkStart w:id="3" w:name="_Ref78292119"/>
            <w:r w:rsidR="002F5C06">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4,797</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68E61D4A" w:rsidR="00866B4D" w:rsidRPr="005C29F8" w:rsidRDefault="002B7490" w:rsidP="00A018D4">
            <w:pPr>
              <w:jc w:val="center"/>
              <w:rPr>
                <w:rFonts w:cs="Arial"/>
                <w:color w:val="000000" w:themeColor="text1"/>
                <w:szCs w:val="16"/>
              </w:rPr>
            </w:pPr>
            <w:r w:rsidRPr="005C29F8">
              <w:rPr>
                <w:rFonts w:cs="Arial"/>
                <w:color w:val="000000" w:themeColor="text1"/>
                <w:szCs w:val="16"/>
              </w:rPr>
              <w:t>72.</w:t>
            </w:r>
            <w:r w:rsidR="00D43E83">
              <w:rPr>
                <w:rFonts w:cs="Arial"/>
                <w:color w:val="000000" w:themeColor="text1"/>
                <w:szCs w:val="16"/>
              </w:rPr>
              <w:t>4</w:t>
            </w:r>
            <w:r w:rsidRPr="005C29F8">
              <w:rPr>
                <w:rFonts w:cs="Arial"/>
                <w:color w:val="000000" w:themeColor="text1"/>
                <w:szCs w:val="16"/>
              </w:rPr>
              <w:t>%</w:t>
            </w:r>
            <w:bookmarkStart w:id="4" w:name="_Ref78292124"/>
            <w:r w:rsidR="002F5C06">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64FC3D87" w:rsidR="0098478C" w:rsidRPr="005C29F8" w:rsidRDefault="00D43E83" w:rsidP="00A018D4">
            <w:pPr>
              <w:jc w:val="center"/>
              <w:rPr>
                <w:rFonts w:cs="Arial"/>
                <w:color w:val="000000" w:themeColor="text1"/>
                <w:szCs w:val="16"/>
              </w:rPr>
            </w:pPr>
            <w:r>
              <w:rPr>
                <w:rFonts w:cs="Arial"/>
                <w:color w:val="000000" w:themeColor="text1"/>
                <w:szCs w:val="16"/>
              </w:rPr>
              <w:t>*</w:t>
            </w:r>
            <w:r w:rsidR="002F5C06" w:rsidRPr="002F5C06">
              <w:rPr>
                <w:rFonts w:cs="Arial"/>
                <w:color w:val="000000" w:themeColor="text1"/>
                <w:szCs w:val="16"/>
                <w:vertAlign w:val="superscript"/>
              </w:rPr>
              <w:fldChar w:fldCharType="begin"/>
            </w:r>
            <w:r w:rsidR="002F5C06" w:rsidRPr="002F5C06">
              <w:rPr>
                <w:rFonts w:cs="Arial"/>
                <w:color w:val="000000" w:themeColor="text1"/>
                <w:szCs w:val="16"/>
                <w:vertAlign w:val="superscript"/>
              </w:rPr>
              <w:instrText xml:space="preserve"> NOTEREF _Ref78292119 \h </w:instrText>
            </w:r>
            <w:r w:rsidR="002F5C06">
              <w:rPr>
                <w:rFonts w:cs="Arial"/>
                <w:color w:val="000000" w:themeColor="text1"/>
                <w:szCs w:val="16"/>
                <w:vertAlign w:val="superscript"/>
              </w:rPr>
              <w:instrText xml:space="preserve"> \* MERGEFORMAT </w:instrText>
            </w:r>
            <w:r w:rsidR="002F5C06" w:rsidRPr="002F5C06">
              <w:rPr>
                <w:rFonts w:cs="Arial"/>
                <w:color w:val="000000" w:themeColor="text1"/>
                <w:szCs w:val="16"/>
                <w:vertAlign w:val="superscript"/>
              </w:rPr>
            </w:r>
            <w:r w:rsidR="002F5C06" w:rsidRPr="002F5C06">
              <w:rPr>
                <w:rFonts w:cs="Arial"/>
                <w:color w:val="000000" w:themeColor="text1"/>
                <w:szCs w:val="16"/>
                <w:vertAlign w:val="superscript"/>
              </w:rPr>
              <w:fldChar w:fldCharType="separate"/>
            </w:r>
            <w:r w:rsidR="002F5C06" w:rsidRPr="002F5C06">
              <w:rPr>
                <w:rFonts w:cs="Arial"/>
                <w:color w:val="000000" w:themeColor="text1"/>
                <w:szCs w:val="16"/>
                <w:vertAlign w:val="superscript"/>
              </w:rPr>
              <w:t>1</w:t>
            </w:r>
            <w:r w:rsidR="002F5C06" w:rsidRPr="002F5C06">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4,797</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69.97%</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75.86%</w:t>
            </w:r>
          </w:p>
        </w:tc>
        <w:tc>
          <w:tcPr>
            <w:tcW w:w="633" w:type="pct"/>
            <w:shd w:val="clear" w:color="auto" w:fill="auto"/>
          </w:tcPr>
          <w:p w14:paraId="4A53AF2D" w14:textId="3BD13D95" w:rsidR="0098478C" w:rsidRPr="005C29F8" w:rsidRDefault="002B7490" w:rsidP="00A018D4">
            <w:pPr>
              <w:jc w:val="center"/>
              <w:rPr>
                <w:rFonts w:cs="Arial"/>
                <w:color w:val="000000" w:themeColor="text1"/>
                <w:szCs w:val="16"/>
              </w:rPr>
            </w:pPr>
            <w:r w:rsidRPr="005C29F8">
              <w:rPr>
                <w:rFonts w:cs="Arial"/>
                <w:color w:val="000000" w:themeColor="text1"/>
                <w:szCs w:val="16"/>
              </w:rPr>
              <w:t>72.</w:t>
            </w:r>
            <w:r w:rsidR="00D43E83">
              <w:rPr>
                <w:rFonts w:cs="Arial"/>
                <w:color w:val="000000" w:themeColor="text1"/>
                <w:szCs w:val="16"/>
              </w:rPr>
              <w:t>4</w:t>
            </w:r>
            <w:r w:rsidRPr="005C29F8">
              <w:rPr>
                <w:rFonts w:cs="Arial"/>
                <w:color w:val="000000" w:themeColor="text1"/>
                <w:szCs w:val="16"/>
              </w:rPr>
              <w:t>%</w:t>
            </w:r>
            <w:r w:rsidR="002F5C06" w:rsidRPr="002F5C06">
              <w:rPr>
                <w:rFonts w:cs="Arial"/>
                <w:color w:val="000000" w:themeColor="text1"/>
                <w:szCs w:val="16"/>
                <w:vertAlign w:val="superscript"/>
              </w:rPr>
              <w:fldChar w:fldCharType="begin"/>
            </w:r>
            <w:r w:rsidR="002F5C06" w:rsidRPr="002F5C06">
              <w:rPr>
                <w:rFonts w:cs="Arial"/>
                <w:color w:val="000000" w:themeColor="text1"/>
                <w:szCs w:val="16"/>
                <w:vertAlign w:val="superscript"/>
              </w:rPr>
              <w:instrText xml:space="preserve"> NOTEREF _Ref78292124 \h </w:instrText>
            </w:r>
            <w:r w:rsidR="002F5C06">
              <w:rPr>
                <w:rFonts w:cs="Arial"/>
                <w:color w:val="000000" w:themeColor="text1"/>
                <w:szCs w:val="16"/>
                <w:vertAlign w:val="superscript"/>
              </w:rPr>
              <w:instrText xml:space="preserve"> \* MERGEFORMAT </w:instrText>
            </w:r>
            <w:r w:rsidR="002F5C06" w:rsidRPr="002F5C06">
              <w:rPr>
                <w:rFonts w:cs="Arial"/>
                <w:color w:val="000000" w:themeColor="text1"/>
                <w:szCs w:val="16"/>
                <w:vertAlign w:val="superscript"/>
              </w:rPr>
            </w:r>
            <w:r w:rsidR="002F5C06" w:rsidRPr="002F5C06">
              <w:rPr>
                <w:rFonts w:cs="Arial"/>
                <w:color w:val="000000" w:themeColor="text1"/>
                <w:szCs w:val="16"/>
                <w:vertAlign w:val="superscript"/>
              </w:rPr>
              <w:fldChar w:fldCharType="separate"/>
            </w:r>
            <w:r w:rsidR="002F5C06" w:rsidRPr="002F5C06">
              <w:rPr>
                <w:rFonts w:cs="Arial"/>
                <w:color w:val="000000" w:themeColor="text1"/>
                <w:szCs w:val="16"/>
                <w:vertAlign w:val="superscript"/>
              </w:rPr>
              <w:t>2</w:t>
            </w:r>
            <w:r w:rsidR="002F5C06" w:rsidRPr="002F5C06">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The USBE Graduation requirements include a minimum of 24 units of credit through course completion or through competency assessment: </w:t>
      </w:r>
      <w:r w:rsidRPr="005C29F8">
        <w:rPr>
          <w:rFonts w:cs="Arial"/>
          <w:color w:val="000000" w:themeColor="text1"/>
          <w:szCs w:val="16"/>
        </w:rPr>
        <w:br/>
        <w:t xml:space="preserve">* Language Arts (4.0 Units of Credit) </w:t>
      </w:r>
      <w:r w:rsidRPr="005C29F8">
        <w:rPr>
          <w:rFonts w:cs="Arial"/>
          <w:color w:val="000000" w:themeColor="text1"/>
          <w:szCs w:val="16"/>
        </w:rPr>
        <w:br/>
        <w:t xml:space="preserve">* Mathematics (3.0 Units of Credit) </w:t>
      </w:r>
      <w:r w:rsidRPr="005C29F8">
        <w:rPr>
          <w:rFonts w:cs="Arial"/>
          <w:color w:val="000000" w:themeColor="text1"/>
          <w:szCs w:val="16"/>
        </w:rPr>
        <w:br/>
        <w:t xml:space="preserve">* Science (3.0 Units of Credit) </w:t>
      </w:r>
      <w:r w:rsidRPr="005C29F8">
        <w:rPr>
          <w:rFonts w:cs="Arial"/>
          <w:color w:val="000000" w:themeColor="text1"/>
          <w:szCs w:val="16"/>
        </w:rPr>
        <w:br/>
        <w:t xml:space="preserve">* Social Studies (3.0 Units of Credit) </w:t>
      </w:r>
      <w:r w:rsidRPr="005C29F8">
        <w:rPr>
          <w:rFonts w:cs="Arial"/>
          <w:color w:val="000000" w:themeColor="text1"/>
          <w:szCs w:val="16"/>
        </w:rPr>
        <w:br/>
        <w:t xml:space="preserve">* Arts (1.5 Units of Credit) </w:t>
      </w:r>
      <w:r w:rsidRPr="005C29F8">
        <w:rPr>
          <w:rFonts w:cs="Arial"/>
          <w:color w:val="000000" w:themeColor="text1"/>
          <w:szCs w:val="16"/>
        </w:rPr>
        <w:br/>
        <w:t xml:space="preserve">* Physical and Health Education (2.0 Units of Credit) </w:t>
      </w:r>
      <w:r w:rsidRPr="005C29F8">
        <w:rPr>
          <w:rFonts w:cs="Arial"/>
          <w:color w:val="000000" w:themeColor="text1"/>
          <w:szCs w:val="16"/>
        </w:rPr>
        <w:br/>
        <w:t xml:space="preserve">* Career and Technical Education (1.0 Units of Credit) </w:t>
      </w:r>
      <w:r w:rsidRPr="005C29F8">
        <w:rPr>
          <w:rFonts w:cs="Arial"/>
          <w:color w:val="000000" w:themeColor="text1"/>
          <w:szCs w:val="16"/>
        </w:rPr>
        <w:br/>
        <w:t xml:space="preserve">* Digital Studies (0.5 Units of Credit) </w:t>
      </w:r>
      <w:r w:rsidRPr="005C29F8">
        <w:rPr>
          <w:rFonts w:cs="Arial"/>
          <w:color w:val="000000" w:themeColor="text1"/>
          <w:szCs w:val="16"/>
        </w:rPr>
        <w:br/>
        <w:t xml:space="preserve">* General Financial Literacy (0.5 Units of Credit) </w:t>
      </w:r>
      <w:r w:rsidRPr="005C29F8">
        <w:rPr>
          <w:rFonts w:cs="Arial"/>
          <w:color w:val="000000" w:themeColor="text1"/>
          <w:szCs w:val="16"/>
        </w:rPr>
        <w:br/>
        <w:t xml:space="preserve">* Electives (5.5 Units of Credit) </w:t>
      </w:r>
      <w:r w:rsidRPr="005C29F8">
        <w:rPr>
          <w:rFonts w:cs="Arial"/>
          <w:color w:val="000000" w:themeColor="text1"/>
          <w:szCs w:val="16"/>
        </w:rPr>
        <w:br/>
        <w:t xml:space="preserve">* Library Media Skills (integrated into all subject areas) </w:t>
      </w:r>
      <w:r w:rsidRPr="005C29F8">
        <w:rPr>
          <w:rFonts w:cs="Arial"/>
          <w:color w:val="000000" w:themeColor="text1"/>
          <w:szCs w:val="16"/>
        </w:rPr>
        <w:br/>
      </w:r>
      <w:r w:rsidRPr="005C29F8">
        <w:rPr>
          <w:rFonts w:cs="Arial"/>
          <w:color w:val="000000" w:themeColor="text1"/>
          <w:szCs w:val="16"/>
        </w:rPr>
        <w:br/>
        <w:t xml:space="preserve">LEAs use USBE-approved summative adaptive assessments to assess student mastery (R277-700-6.). Students with disabilities served by special education program satisfy high school completion or graduation requirements, consistent with state and federal law and the students’ IEPs (R277-705-4.). </w:t>
      </w:r>
      <w:r w:rsidRPr="005C29F8">
        <w:rPr>
          <w:rFonts w:cs="Arial"/>
          <w:color w:val="000000" w:themeColor="text1"/>
          <w:szCs w:val="16"/>
        </w:rPr>
        <w:br/>
      </w:r>
      <w:r w:rsidRPr="005C29F8">
        <w:rPr>
          <w:rFonts w:cs="Arial"/>
          <w:color w:val="000000" w:themeColor="text1"/>
          <w:szCs w:val="16"/>
        </w:rPr>
        <w:br/>
        <w:t xml:space="preserve">An LEA may substitute a student’s course requirements for graduation to meet the unique educational needs of a student if: the student has a disability; and the substitutions to the student's graduation requirements are made through the student's individual IEP. LEAs document the nature and extent of the substitution made to a student’s course requirements in the student’s IEP (R277-700-6.(23)). Whether or not an IEP team substitutes a student with a disability’s course requirements, they graduate with a regular diploma. </w:t>
      </w:r>
      <w:r w:rsidRPr="005C29F8">
        <w:rPr>
          <w:rFonts w:cs="Arial"/>
          <w:color w:val="000000" w:themeColor="text1"/>
          <w:szCs w:val="16"/>
        </w:rPr>
        <w:br/>
      </w:r>
      <w:r w:rsidRPr="005C29F8">
        <w:rPr>
          <w:rFonts w:cs="Arial"/>
          <w:color w:val="000000" w:themeColor="text1"/>
          <w:szCs w:val="16"/>
        </w:rPr>
        <w:br/>
        <w:t>In December 2017, the USBE passed the Alternate Diploma for students with the most significant cognitive disabilities. The state-defined Alternate Diploma is outlined in Every Student Succeeds Act (ESSA) (20 USC § 6301; R277-705-5.).</w:t>
      </w:r>
      <w:r w:rsidRPr="005C29F8">
        <w:rPr>
          <w:rFonts w:cs="Arial"/>
          <w:color w:val="000000" w:themeColor="text1"/>
          <w:szCs w:val="16"/>
        </w:rPr>
        <w:br/>
      </w:r>
      <w:r w:rsidRPr="005C29F8">
        <w:rPr>
          <w:rFonts w:cs="Arial"/>
          <w:color w:val="000000" w:themeColor="text1"/>
          <w:szCs w:val="16"/>
        </w:rPr>
        <w:br/>
        <w:t xml:space="preserve">An LEA may award an alternate diploma to a student with a significant cognitive disability if: the student accesses grade-level core standards through the Essential Elements; the student's IEP team makes graduation substitutions in the same content area, from a list of alternative courses approved by the USBE; and the student meets all graduation requirements prior to exiting school at or before age 22. An Alternate Diploma may not indicate that the recipient is a student with a disability. </w:t>
      </w:r>
      <w:r w:rsidRPr="005C29F8">
        <w:rPr>
          <w:rFonts w:cs="Arial"/>
          <w:color w:val="000000" w:themeColor="text1"/>
          <w:szCs w:val="16"/>
        </w:rPr>
        <w:br/>
      </w:r>
      <w:r w:rsidRPr="005C29F8">
        <w:rPr>
          <w:rFonts w:cs="Arial"/>
          <w:color w:val="000000" w:themeColor="text1"/>
          <w:szCs w:val="16"/>
        </w:rPr>
        <w:br/>
        <w:t xml:space="preserve">The USBE provides a list of alternative courses that may be considered for student with cognitive disabilities working to receive an Alternate Diploma. An LEA may submit courses to the USBE to be considered for possible inclusion on the list of alternate courses. </w:t>
      </w:r>
      <w:r w:rsidRPr="005C29F8">
        <w:rPr>
          <w:rFonts w:cs="Arial"/>
          <w:color w:val="000000" w:themeColor="text1"/>
          <w:szCs w:val="16"/>
        </w:rPr>
        <w:br/>
      </w:r>
      <w:r w:rsidRPr="005C29F8">
        <w:rPr>
          <w:rFonts w:cs="Arial"/>
          <w:color w:val="000000" w:themeColor="text1"/>
          <w:szCs w:val="16"/>
        </w:rPr>
        <w:br/>
        <w:t>For additional information, the USBE graduation requirements are outlined in Utah Administrative Rule R277-700-6 (https://rules.utah.gov/publicat/code/r277/r277-700.htm#T46), and R277-705 (https://rules.utah.gov/publicat/code/r277/r277-705.htm). The USBE Special Education Services Graduation Guidelines for Students with Disabilities outlines the process for amending graduation requirements (https://schools.utah.gov/file/0cb3d88d-ab99-4143-9d2f-1d615cb35db6).</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The implementation of the Alternate Diploma may slightly increase Utah’s graduation rate for Indicator 1 beginning in FFY 2019, however only 61 Alternate Diplomas were awarded to students by five LEAs in FFY 2019. A significant impact on Utah’s Indicator 1 is not anticipated as a result of the Alternate Diploma because less than 1% of the total student population are eligible to earn Utah’s Alternate Diploma.</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42.00%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39.90%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37.90%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36.00%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34.20%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32.49%</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30.30%</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29.82%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27.69%</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27.04%</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25.75%</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30.86%</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See attachment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See introduction, FFY19 Stakeholder Involvement and Input.</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3,748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185</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102</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1,248</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15</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1,248</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5,298</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25.75%</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30.86%</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23.56%</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Indicator 2 dropout rate comes from the EDFacts 009 report data according to the EDFacts 009 specifications. EDFacts definition of Single-Year Dropouts are students ages 14-21 who left with a reason of Unknown, Withdrawn, Dropout, Expelled, Transferred to Adult Education, Exited to Take the GED1, or Graduation Pending.  Additionally, if the student finished the school year and was expected to return to school the next year or transferred to another public school within the state (including district and charter schools) and did not reappear by September 30 of the following school year, then the student counts as a dropout. Finally, if the student was a retained senior but did not reappear by September 30 of the following school year, then the student counts as a dropout. This count does not include students who transferred to home school, private school, or a school outside of the state or country. Students who withdrew for medical reasons are also excluded from the dropout count.</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USBE notifies each LEA flagged with a high dropout rate in September and provides a preliminary event dropout report to review before the October 10 data deadline. LEAs are given guidance on coding corrections and dropout recovery practices through USBE training, technical assistance documents, and individually as needed.</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Grades 3-8</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Grades 9-10</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Grades 3-8</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2013</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Grades 3-8</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98.17%</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96.43%</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93.45%</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91.39%</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90.36%</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93.09%</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Grades 9-10</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Grades 9-10</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97.38%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Grades 3-8</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Grades 3-8</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98.04%</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96.23%</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93.53%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91.49%</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90.22%</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92.78%</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Grades 9-10</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Grades 9-10</w:t>
            </w:r>
          </w:p>
        </w:tc>
        <w:tc>
          <w:tcPr>
            <w:tcW w:w="500" w:type="pct"/>
            <w:shd w:val="clear" w:color="auto" w:fill="auto"/>
            <w:vAlign w:val="center"/>
          </w:tcPr>
          <w:p w14:paraId="3656E753" w14:textId="6C432C55" w:rsidR="004D1EAB" w:rsidRPr="005C29F8" w:rsidRDefault="004D1EAB">
            <w:pPr>
              <w:spacing w:before="0" w:after="0"/>
              <w:jc w:val="center"/>
              <w:rPr>
                <w:rFonts w:cs="Arial"/>
                <w:color w:val="000000" w:themeColor="text1"/>
                <w:szCs w:val="16"/>
              </w:rPr>
            </w:pP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88.28%</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Grades 3-8</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Grades 9-10</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Grades 3-8</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lastRenderedPageBreak/>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Grades 9-10</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See attachment</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 xml:space="preserve">See introduction, FFY19 Stakeholder Involvement and Input. </w:t>
      </w: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3-8</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93.09%</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9-10</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97.38%</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3-8</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92.78%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9-10</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88.28%</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The USBE submitted a federal waiver to the U.S. Department of Education allowing for the suspension of the required administration of Utah’s state spring summative assessments used for both federal and state accountability. The waiver was submitted in response to the statewide school dismissal due to the COVID-19 pandemic. The suspension of the assessments for FFY2018 APR reporting included RISE (grades 3-8), Utah Aspire Plus (grades 9-10) and alternate assessments for students with significant cognitive disabilities (grades 3-10) during the spring of 2020.  The US Department of Education accepted Utah’s waiver request on March 27, 2020. The cancellation of spring 2020 assessments resulted in the absence of assessment data used for reporting on Indicator 3.  </w:t>
      </w:r>
      <w:r w:rsidRPr="005C29F8">
        <w:rPr>
          <w:rFonts w:cs="Arial"/>
          <w:color w:val="000000" w:themeColor="text1"/>
          <w:szCs w:val="16"/>
        </w:rPr>
        <w:br/>
      </w:r>
      <w:r w:rsidRPr="005C29F8">
        <w:rPr>
          <w:rFonts w:cs="Arial"/>
          <w:color w:val="000000" w:themeColor="text1"/>
          <w:szCs w:val="16"/>
        </w:rPr>
        <w:br/>
        <w:t xml:space="preserve">In a typical year public reporting is as follows: </w:t>
      </w:r>
      <w:r w:rsidRPr="005C29F8">
        <w:rPr>
          <w:rFonts w:cs="Arial"/>
          <w:color w:val="000000" w:themeColor="text1"/>
          <w:szCs w:val="16"/>
        </w:rPr>
        <w:br/>
      </w:r>
      <w:r w:rsidRPr="005C29F8">
        <w:rPr>
          <w:rFonts w:cs="Arial"/>
          <w:color w:val="000000" w:themeColor="text1"/>
          <w:szCs w:val="16"/>
        </w:rPr>
        <w:br/>
        <w:t xml:space="preserve">USBE Data Gateway: https://datagateway.schools.utah.gov/ </w:t>
      </w:r>
      <w:r w:rsidRPr="005C29F8">
        <w:rPr>
          <w:rFonts w:cs="Arial"/>
          <w:color w:val="000000" w:themeColor="text1"/>
          <w:szCs w:val="16"/>
        </w:rPr>
        <w:br/>
        <w:t xml:space="preserve">*Proficiency of all students, including the student group "students with disabilities."   </w:t>
      </w:r>
      <w:r w:rsidRPr="005C29F8">
        <w:rPr>
          <w:rFonts w:cs="Arial"/>
          <w:color w:val="000000" w:themeColor="text1"/>
          <w:szCs w:val="16"/>
        </w:rPr>
        <w:br/>
      </w:r>
      <w:r w:rsidRPr="005C29F8">
        <w:rPr>
          <w:rFonts w:cs="Arial"/>
          <w:color w:val="000000" w:themeColor="text1"/>
          <w:szCs w:val="16"/>
        </w:rPr>
        <w:br/>
        <w:t xml:space="preserve">Utah School Report Card: https://utahschoolgrades.schools.utah.gov/ </w:t>
      </w:r>
      <w:r w:rsidRPr="005C29F8">
        <w:rPr>
          <w:rFonts w:cs="Arial"/>
          <w:color w:val="000000" w:themeColor="text1"/>
          <w:szCs w:val="16"/>
        </w:rPr>
        <w:br/>
        <w:t xml:space="preserve">*Participation rates, and achievement rate for all students, including students with disabilities. </w:t>
      </w:r>
      <w:r w:rsidRPr="005C29F8">
        <w:rPr>
          <w:rFonts w:cs="Arial"/>
          <w:color w:val="000000" w:themeColor="text1"/>
          <w:szCs w:val="16"/>
        </w:rPr>
        <w:br/>
        <w:t xml:space="preserve">*Achievement of students with disabilities at the state, LEA, and school level. </w:t>
      </w:r>
      <w:r w:rsidRPr="005C29F8">
        <w:rPr>
          <w:rFonts w:cs="Arial"/>
          <w:color w:val="000000" w:themeColor="text1"/>
          <w:szCs w:val="16"/>
        </w:rPr>
        <w:br/>
      </w:r>
      <w:r w:rsidRPr="005C29F8">
        <w:rPr>
          <w:rFonts w:cs="Arial"/>
          <w:color w:val="000000" w:themeColor="text1"/>
          <w:szCs w:val="16"/>
        </w:rPr>
        <w:br/>
        <w:t xml:space="preserve">USBE Data and Statistics: https://www.schools.utah.gov/data/reports </w:t>
      </w:r>
      <w:r w:rsidRPr="005C29F8">
        <w:rPr>
          <w:rFonts w:cs="Arial"/>
          <w:color w:val="000000" w:themeColor="text1"/>
          <w:szCs w:val="16"/>
        </w:rPr>
        <w:br/>
        <w:t xml:space="preserve">*In the Assessment tab and under the Alternate Assessments section reports: </w:t>
      </w:r>
      <w:r w:rsidRPr="005C29F8">
        <w:rPr>
          <w:rFonts w:cs="Arial"/>
          <w:color w:val="000000" w:themeColor="text1"/>
          <w:szCs w:val="16"/>
        </w:rPr>
        <w:br/>
        <w:t xml:space="preserve">   *The first tab reports the participation of students with disabilities by assessment type (regular and alternate assessments) and the participation rates of students with disabilities on the regular assessment with and without accommodations.    </w:t>
      </w:r>
      <w:r w:rsidRPr="005C29F8">
        <w:rPr>
          <w:rFonts w:cs="Arial"/>
          <w:color w:val="000000" w:themeColor="text1"/>
          <w:szCs w:val="16"/>
        </w:rPr>
        <w:br/>
        <w:t xml:space="preserve">   *The second tab reports the proficiency rate of the alternate assessment, by subject area, in comparison to the proficiency rate of students with disabilities on the regular assessment and the proficiency of all students on the regular assessment at the state and LEA level.</w:t>
      </w:r>
      <w:r w:rsidRPr="005C29F8">
        <w:rPr>
          <w:rFonts w:cs="Arial"/>
          <w:color w:val="000000" w:themeColor="text1"/>
          <w:szCs w:val="16"/>
        </w:rPr>
        <w:br/>
        <w:t xml:space="preserve">   *The third tab reports proficiency rate of the alternate assessment, by grade level, in comparison to the proficiency rate of students with disabilities on the regular assessment and the proficiency of all students on the regular assessment at the state and LEA level.</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Grades 3-8</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Grades 9-10</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Grades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13.44%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15.48%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16.98%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18.48%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17.40%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Grades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17.40%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13.44%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15.48%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14.97%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15.95%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17.40%</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Grades 9-10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8.67%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10.00%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11.50%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11.70%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Grades 9-10</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11.71%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8.67%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8.45%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10.13%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11.70%</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Grades 3-8</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17.06%</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17.61%</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19.61%</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21.61%</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17.88%</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Grades 3-8</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17.88%</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17.06%</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17.61%</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17.94%</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18.41%</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17.88%</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Grades 9-10</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7.15%</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7.08%</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9.08%</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11.08%</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4.81%</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Grades 9-10</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4.81%</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7.15%</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7.08%</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6.55%</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5.91%</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4.81%</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Grades 3-8</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18.30%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Grades 9-10</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12.41%</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Grades 3-8</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18.88%</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lastRenderedPageBreak/>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Grades 9-10</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5.41%</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See attachment</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t xml:space="preserve">See Introduction, FFY19 Stakeholder Involvement and Input. </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 xml:space="preserve">f. IEPs in alternate assessment against alternate standards </w:t>
            </w:r>
            <w:r w:rsidRPr="005C29F8">
              <w:rPr>
                <w:color w:val="000000" w:themeColor="text1"/>
              </w:rPr>
              <w:lastRenderedPageBreak/>
              <w:t>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3-8</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17.40%</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18.30%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9-10</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11.70%</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12.41%</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3-8</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17.88%</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18.88%</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Grades 9-10</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4.81%</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5.41%</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The USBE submitted a federal waiver to the U.S. Department of Education allowing for the suspension of the required administration of Utah’s state spring summative assessments used for both federal and state accountability. The waiver was submitted in response to the statewide school dismissal due to the COVID-19 pandemic. The suspension of the assessments for FFY2018 APR reporting included RISE (grades 3-8), Utah Aspire Plus (grades 9-10) and alternate assessments for students with significant cognitive disabilities (grades 3-10) during the spring of 2020.  The US Department of Education accepted Utah’s waiver request on March 27, 2020. The cancellation of spring 2020 assessments resulted in the absence of assessment data used for reporting on Indicator 3.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In a typical year public reporting is as follows: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USBE Data Gateway: https://datagateway.schools.utah.gov/ </w:t>
      </w:r>
      <w:r w:rsidRPr="00DD3719">
        <w:rPr>
          <w:rFonts w:cs="Arial"/>
          <w:color w:val="000000" w:themeColor="text1"/>
          <w:szCs w:val="16"/>
          <w:shd w:val="clear" w:color="auto" w:fill="FFFFFF"/>
        </w:rPr>
        <w:br/>
        <w:t xml:space="preserve">*Proficiency of all students, including the student group "students with disabilities."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Utah School Report Card: https://utahschoolgrades.schools.utah.gov/ </w:t>
      </w:r>
      <w:r w:rsidRPr="00DD3719">
        <w:rPr>
          <w:rFonts w:cs="Arial"/>
          <w:color w:val="000000" w:themeColor="text1"/>
          <w:szCs w:val="16"/>
          <w:shd w:val="clear" w:color="auto" w:fill="FFFFFF"/>
        </w:rPr>
        <w:br/>
        <w:t xml:space="preserve">*Participation rates, and achievement rate for all students, including students with disabilities. </w:t>
      </w:r>
      <w:r w:rsidRPr="00DD3719">
        <w:rPr>
          <w:rFonts w:cs="Arial"/>
          <w:color w:val="000000" w:themeColor="text1"/>
          <w:szCs w:val="16"/>
          <w:shd w:val="clear" w:color="auto" w:fill="FFFFFF"/>
        </w:rPr>
        <w:br/>
        <w:t xml:space="preserve">*Achievement of students with disabilities at the state, LEA, and school level.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USBE Data and Statistics: https://www.schools.utah.gov/data/reports </w:t>
      </w:r>
      <w:r w:rsidRPr="00DD3719">
        <w:rPr>
          <w:rFonts w:cs="Arial"/>
          <w:color w:val="000000" w:themeColor="text1"/>
          <w:szCs w:val="16"/>
          <w:shd w:val="clear" w:color="auto" w:fill="FFFFFF"/>
        </w:rPr>
        <w:br/>
        <w:t xml:space="preserve">*In the Assessment tab and under the Alternate Assessments section reports: </w:t>
      </w:r>
      <w:r w:rsidRPr="00DD3719">
        <w:rPr>
          <w:rFonts w:cs="Arial"/>
          <w:color w:val="000000" w:themeColor="text1"/>
          <w:szCs w:val="16"/>
          <w:shd w:val="clear" w:color="auto" w:fill="FFFFFF"/>
        </w:rPr>
        <w:br/>
        <w:t xml:space="preserve">   *The first tab reports the participation of students with disabilities by assessment type (regular and alternate assessments) and the participation rates of students with disabilities on the regular assessment with and without accommodations.    </w:t>
      </w:r>
      <w:r w:rsidRPr="00DD3719">
        <w:rPr>
          <w:rFonts w:cs="Arial"/>
          <w:color w:val="000000" w:themeColor="text1"/>
          <w:szCs w:val="16"/>
          <w:shd w:val="clear" w:color="auto" w:fill="FFFFFF"/>
        </w:rPr>
        <w:br/>
        <w:t xml:space="preserve">   *The second tab reports the proficiency rate of the alternate assessment, by subject area, in comparison to the proficiency rate of students with disabilities on the regular assessment and the proficiency of all students on the regular assessment at the state and LEA level. </w:t>
      </w:r>
      <w:r w:rsidRPr="00DD3719">
        <w:rPr>
          <w:rFonts w:cs="Arial"/>
          <w:color w:val="000000" w:themeColor="text1"/>
          <w:szCs w:val="16"/>
          <w:shd w:val="clear" w:color="auto" w:fill="FFFFFF"/>
        </w:rPr>
        <w:br/>
        <w:t xml:space="preserve">   *The third tab reports proficiency rate of the alternate assessment, by grade level, in comparison to the proficiency rate of students with disabilities on the regular assessment and the proficiency of all students on the regular assessment at the state and LEA level.</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USBE has revised the baseline for Indicator 3C, using data from FFY 2018, and OSEP accepts that revision. The USBE provided targets for FFY 2019 for Indicator 3C, and OSEP accepts those targets.</w:t>
      </w:r>
    </w:p>
    <w:p w14:paraId="1C326C48" w14:textId="1B3ADE94" w:rsidR="000A2C83" w:rsidRPr="0033429D" w:rsidRDefault="00573F6C" w:rsidP="008645AD">
      <w:pPr>
        <w:pStyle w:val="Heading2"/>
      </w:pPr>
      <w:r w:rsidRPr="0033429D">
        <w:lastRenderedPageBreak/>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See attachment</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 xml:space="preserve">See Introduction, FFY19 Stakeholder Involvement and Input. </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lastRenderedPageBreak/>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138</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The USBE uses the "State-bar" method for defining significant discrepancy. The FFY 2018 (school year (SY) 2018-2019) State rate for suspending/expelling students with disabilities among LEAs in the State for more than ten days is 0.155%. The USBE set the "State-bar" as five percentage points higher than the State rate. Any LEA that suspends or expels 5.155% or more of its students with disabilities for more than ten days is flagged for significant discrepancy. There must be an "n" size of at least 30 students with disabilities in the LEA in the denominator of a suspension rate for the LEA to be flagged. Of the 154 LEAs in SY 2018-2019, 138 met the minimum “n” size of 30. Of the 16 that did not meet the minimum “n” size, all but one had a 0% suspension rate. Across the entire state, 123 students with disabilities were suspended for more than 10 days in SY 2018-2019.</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No LEAs were flagged for significant discrepancy. Review of policies, procedures, and practices was not required in FFY 2018 related to Indicator 4A.</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2010</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27</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127</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USBE uses the "State-bar" method for defining significant discrepancy. The FFY 2018 (school year (SY) 2018-2019) State rate for suspending/expelling students with disabilities among LEAs in the State for more than ten days is 0.155%. The USBE set the "State-bar" as five percentage points higher than the State rate. Thus, any LEA that suspends or expels 5.155% or more of its students with disabilities for more than ten days is flagged for significant discrepancy. There must be an "n" size of at least 30 students with disabilities in the LEA in the denominator of a suspension rate for it to be flagged. Of the 154 LEAs in SY 2018-2019, 127 met the minimum “n” size of 30.</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Noncompliance identified for Indicator 4B is reported to OSEP upon identification. Findings of noncompliance are issued to the LEA as soon as possible, less than three months from discovery. LEAs are not provided an opportunity to correct the noncompliance before the finding is issued consistent with OSEP guidance https://www.schools.utah.gov/file/bc1fec07-59d6-4d21-86fb-a29273e6e44a. </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One LEA was flagged as having significant discrepancy, by race or ethnicity. The State conducted a review of this LEA’s data, as well as policies, practices and procedures. A further review of the LEA policies, procedures, practices, and the specific student records indicated that IDEA procedures were followed, and that the significant discrepancy was not a result of noncompliance with the requirements for the development and implementation of IEPs, the use of positive behavioral interventions and supports, and procedural safeguards.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lastRenderedPageBreak/>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2B7490" w:rsidP="00212954">
      <w:pPr>
        <w:rPr>
          <w:rFonts w:cs="Arial"/>
          <w:color w:val="000000" w:themeColor="text1"/>
          <w:szCs w:val="16"/>
        </w:rPr>
      </w:pPr>
      <w:r w:rsidRPr="005C29F8">
        <w:rPr>
          <w:rFonts w:cs="Arial"/>
          <w:color w:val="000000" w:themeColor="text1"/>
          <w:szCs w:val="16"/>
        </w:rPr>
        <w:t>OSEP notes that, in the State’s narrative under Indicator 11, the State reports that “The USBE considers LEAs substantially compliant, relative to each compliance indicator, if the LEA’s data indicate a very high level of compliance (generally 95% or above) at the end of the Prong 1 correction window (OSEP Memo 09-02).” (Emphasis added.) OSEP cannot determine whether the State accounted for all instances of noncompliance (i.e., any compliance level under 100%) in its FFY 2019 data for this indicator, consistent with OSEP Memo 09-02 and OSEP’s September 3, 2008, Frequently Asked Questions Regarding Identification and Correction of Noncompliance and Reporting on Correction in the SPP/APR (see, in particular, Question and Answer 3). Also, OSEP cannot determine whether, in circumstances where the State is unable to verify correction of noncompliance consistent with OSEP Memo 09-02 within the three-week window, findings are issued to LEAs regardless of the level of noncompliance identified.</w:t>
      </w: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In reporting its FFY 2020 data in the FFY 2020 SPP/APR, the State must clarify whether, in circumstances where the State is unable to verify correction of noncompliance consistent with OSEP Memo 09-02 within the three-week window, findings are issued to LEAs regardless of the level of noncompliance identified.</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57.23%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57.66%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58.09%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58.53%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58.97%</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48.68%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58.11%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60.45%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61.57%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63.47%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65.12%</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13.43%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13.36%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13.29%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13.22%</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14.72%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12.37%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11.37%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10.68%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10.26%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9.71%</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3.56%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2.58%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2.67%</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59.41%</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13.15%</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See attachment</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See Introduction, FFY19 Stakeholder Involvement and Input.</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80,079</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54,323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7,314</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1,933</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31</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100</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54,323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80,079</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65.12%</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59.41%</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67.84%</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7,314</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80,079</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9.71%</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13.15%</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9.13%</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2,064</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80,079</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2.67%</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2.58%</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Utah continues to meet or exceed set targets in Indicator 5. The USBE had planned to reset targets for Indicator 5 with stakeholder feedback in 2020, due to the changes in reporting of five year-olds as well as other factors. Due to the impact of COVID-19, the statewide stakeholder meetings to reset targets were canceled, and the USBE will be resetting targets for Indicator 5 in 2021. As a result, the baseline data is left unchanged because changing the baseline to SY 2019 will impact our data table, which will result in the previously set targets and actual performance to fall below the baseline.</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 must revise the baseline for this indicator, using data from FFY 2019. Further, the State’s slippage status indicates “NA” for this indicator. </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2B7490" w:rsidP="001F692C">
      <w:pPr>
        <w:rPr>
          <w:rFonts w:cs="Arial"/>
          <w:color w:val="000000" w:themeColor="text1"/>
          <w:szCs w:val="16"/>
        </w:rPr>
      </w:pPr>
      <w:r w:rsidRPr="005C29F8">
        <w:rPr>
          <w:rFonts w:cs="Arial"/>
          <w:color w:val="000000" w:themeColor="text1"/>
          <w:szCs w:val="16"/>
        </w:rPr>
        <w:t>The State did not revise the baseline for this indicator, as required due to the change in the data source. The State must revise its baseline using data from FFY 2019.</w:t>
      </w: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33.22%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33.42%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33.62%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33.82%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36.32%</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36.31%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32.37%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35.37%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37.19%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39.90%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48.09%</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43.56%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43.36%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43.16%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42.96%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41.35%</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41.36%</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44.71%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40.95%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38.36%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34.68%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28.50%</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36.52%</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41.15%</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See attachment</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See Introduction, FFY19 Stakeholder Involvement and Input.</w:t>
      </w: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7,889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4,106</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2,225</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123</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4,106</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7,889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48.09%</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36.52%</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52.05%</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2,348</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7,889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28.50%</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41.15%</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29.76%</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Utah continues to meet or exceed set targets in Indicator 6. The USBE had planned to reset targets for Indicator 6 with stakeholder feedback in 2020, due to the changes in reporting of five year-olds as well as other factors. Due to the impact of COVID-19, the statewide stakeholder meetings to reset targets were canceled, and the USBE will be resetting targets for Indicator 6 in 2021. As a result, the baseline data is left unchanged because changing the baseline to SY 2019 will impact our data table, which will result in the previously set targets and actual performance to fall below the baseline.</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 must revise the baseline for this indicator, using data from FFY 2019 data. Further, the State’s slippage status indicates “NA” for this indicator. </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2B7490" w:rsidP="001F692C">
      <w:pPr>
        <w:rPr>
          <w:rFonts w:cs="Arial"/>
          <w:color w:val="000000" w:themeColor="text1"/>
          <w:szCs w:val="16"/>
        </w:rPr>
      </w:pPr>
      <w:r w:rsidRPr="005C29F8">
        <w:rPr>
          <w:rFonts w:cs="Arial"/>
          <w:color w:val="000000" w:themeColor="text1"/>
          <w:szCs w:val="16"/>
        </w:rPr>
        <w:t>The State did not revise the baseline for this indicator, as required due to the change in the data source. The State must revise its baseline using data from FFY 2019.</w:t>
      </w: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90.72%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90.92%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91.12%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91.32%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95.10%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95.09%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87.95%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88.21%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87.97%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89.28%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88.86%</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51.80%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52.93%</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52.92%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59.22%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59.03%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59.41%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61.26%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58.94%</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90.16%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90.36%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90.56%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90.76%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93.21%</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93.20%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87.17%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87.21%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86.93%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88.34%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88.41%</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44.99%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45.19%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45.39%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45.59%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48.71%</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48.70%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51.24%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52.69%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51.79%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53.64%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50.48%</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90.90%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91.10%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91.30%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91.50%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93.92%</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93.91%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90.51%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88.98%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88.87%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90.83%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89.86%</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63.17%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63.37%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63.57%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63.77%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67.21%</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67.20%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71.95%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71.43%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71.57%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71.68%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70.52%</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95.30%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53.13%</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93.41%</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48.91%</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94.12%</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67.41%</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See attachment</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See Introduction, FFY19 Stakeholder Involvement and Input. </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3,776</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17</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0.45%</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341</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9.03%</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1,258</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33.32%</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1,693</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44.84%</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467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12.37%</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2,951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3,309</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88.86%</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95.30%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89.18%</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w:t>
            </w:r>
            <w:r w:rsidRPr="005C29F8">
              <w:rPr>
                <w:rFonts w:cs="Arial"/>
                <w:color w:val="000000" w:themeColor="text1"/>
                <w:szCs w:val="16"/>
              </w:rPr>
              <w:lastRenderedPageBreak/>
              <w:t xml:space="preserve">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2,160</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3,776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58.94%</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53.13%</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57.20%</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0.50%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340</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9.00%</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1,578</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41.79%</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44.15%</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172</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4.56%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3,245</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3,604</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88.41%</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93.41%</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90.04%</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1,839</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3,776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50.48%</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48.91%</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48.70%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16</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0.42%</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309</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8.18%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923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24.44%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1,902</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50.37%</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626</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16.58%</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lastRenderedPageBreak/>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2,825</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3,150</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89.86%</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94.12%</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89.68%</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2,528</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3,776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70.52%</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67.41%</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66.95%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Exit scores were impacted by the COVID-19 soft closures thus impacting data completeness. LEAs collected exit data for most students remotely which may have impacted scores. The USBE provided LEAs resources from the Early Childhood Technical Assistance Center (ECTA) on how to collect data remotely. Additional training was provided to LEAs from the 619 Coordinator.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Exit scores were impacted by the COVID-19 soft closures thus impacting data completeness. LEAs collected exit data for most students remotely which may have impacted scores. The USBE provided LEAs resources from the Early Childhood Technical Assistance Center (ECTA) on how to collect data remotely. Additional training was provided to LEAs from the 619 Coordinator.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Data is gathered through Utah Program Improvement Planning System (UPIPS). The USBE utilizes this website to collect compliance, fiscal and other LEA data. LEAs and the USBE can generate reports on the compliance data collected. These data and reports are used in the UPIPS on-site monitoring process, as well as the APR. UPIPS has an assigned section titled, Utah Preschool Outcomes Data (UPOD), for collecting Indicator 7 preschool outcome data. Teachers collect and enter entry and exit outcome scores, along with the name of the assessment tool utilized, into UPOD when a student enters preschool and when the student exits preschool services, such as when the student transitions from preschool to kindergarten. The LEA report section provides LEA-specific preschool outcome data as well as overall statewide preschool outcome data with "n" sizes and percentages that are transferred to the APR.</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Indicator 7 outcomes were impacted by the soft closure of schools. Collecting complete exit data was challenging. Collection was only possible through remote means and many families disconnected because of difficulties accessing consistent broadband and because they were overwhelmed with health, safety, and schooling-at-home concerns. </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"Indicator 7 outcomes were impacted by the soft closure of schools. Collecting complete exit data was challenging. Collection was only possible through remote means and many families disconnected because of difficulties accessing consistent broadband and because they were overwhelmed with health, safety, and schooling-at-home concerns."</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See attachment</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See Introduction, FFY19 Stakeholder Involvement and Input.</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2015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79.52%</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89.92%</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79.52%</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79.52%</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79.62%</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80.52%</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86.04%</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79.52%</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76.82%</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79.65%</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78.38%</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81.33%</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lastRenderedPageBreak/>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1,479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1,876</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78.38%</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81.33%</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78.84%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7,202</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26.05%</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LEAs provide the USBE with the contact information for all students with disabilities that are on the LEAs' student lists. The parent survey sample is based on the number of students with disabilities enrolled in the LEA. Students who receive the survey are based on a statistical sampling of the LEA. The contact information provided by the LEA is sorted based on student grade, least restrictive environment code, and disability category. The sorted data is used to gather a representative sample of the LEA. The student data sorting procedure ensures that parents from all student groups are represented in the sample. All parents receive the same survey. Parents do not report whether their student is a preschool or a school age student. Survey collection procedures ensure both preschool and school age students are represented in an equitable way. Please refer to the “Sampling Question” section below for additional discussion on how the USBE’s data collection procedures ensure equitable represent among preschool and school age students. Once the surveys are completed for all LEAs in the survey sample, the data is aggregated to determine the state rate for Indicator 8. The USBE uses the expertise of a statistician to aggregate the data and increase the validity and reliability of the data.  </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All LEAs are divided into two rotating cohorts for receiving the parent survey on a biennial basis. The four largest LEAs in the State are included in both cohorts and receive the survey every year. The LEAs are divided into cohort groups for each of the two survey years using data analysis to ensure equitable representation across both reporting years. In assigning LEAs to the survey year, LEAs were stratified by student enrollment, geographical region of the state, and race/ethnicity demographics, and socioeconomic level. LEAs across the stratified categories were then randomly assigned to one of the two survey years. Each of the two cohorts includes large, medium, and small LEAs.</w:t>
      </w:r>
      <w:r w:rsidRPr="005C29F8">
        <w:rPr>
          <w:rFonts w:cs="Arial"/>
          <w:color w:val="000000" w:themeColor="text1"/>
          <w:szCs w:val="16"/>
        </w:rPr>
        <w:br/>
      </w:r>
      <w:r w:rsidRPr="005C29F8">
        <w:rPr>
          <w:rFonts w:cs="Arial"/>
          <w:color w:val="000000" w:themeColor="text1"/>
          <w:szCs w:val="16"/>
        </w:rPr>
        <w:br/>
        <w:t xml:space="preserve">For each LEA, a stratified, representative group of parents is selected to receive the parent survey. The number of parents chosen is dependent on the number of students with disabilities in the LEA. The sample sizes selected ensure roughly similar margins of error across the different LEA sizes. </w:t>
      </w:r>
      <w:r w:rsidRPr="005C29F8">
        <w:rPr>
          <w:rFonts w:cs="Arial"/>
          <w:color w:val="000000" w:themeColor="text1"/>
          <w:szCs w:val="16"/>
        </w:rPr>
        <w:br/>
      </w:r>
      <w:r w:rsidRPr="005C29F8">
        <w:rPr>
          <w:rFonts w:cs="Arial"/>
          <w:color w:val="000000" w:themeColor="text1"/>
          <w:szCs w:val="16"/>
        </w:rPr>
        <w:br/>
        <w:t>For those LEAs that have more than 100 students, a sample of parents was chosen to receive the survey. The population was stratified by grade, race/ethnicity, primary disability, and gender to ensure representativeness of the resulting sample. When calculating state-level results, responses were weighted by the student population size (e.g., an LEA that had four times as many students with disabilities as another LEA will receive four times the weight in computing overall state results). The number of respondents who reported that the school facilitated parent involvement and the total number of respondents aren’t whole numbers because weighting data often results in fractional weights.</w:t>
      </w:r>
      <w:r w:rsidRPr="005C29F8">
        <w:rPr>
          <w:rFonts w:cs="Arial"/>
          <w:color w:val="000000" w:themeColor="text1"/>
          <w:szCs w:val="16"/>
        </w:rPr>
        <w:br/>
      </w:r>
      <w:r w:rsidRPr="005C29F8">
        <w:rPr>
          <w:rFonts w:cs="Arial"/>
          <w:color w:val="000000" w:themeColor="text1"/>
          <w:szCs w:val="16"/>
        </w:rPr>
        <w:br/>
        <w:t xml:space="preserve">The parent survey is based on a Likert scale from “strongly agree” to “strongly disagree”. The maximum rating is 100% when a parent answers all “strongly agree”. A 67% rating is when a parent responds all “agree”, a 33% rating is when a parent responds all “disagree”, and a 0% rating is when a parent responds all “disagree. If a parent survey scores a 67% or higher, then that survey has met the minimum threshold for Indicator 8. If a parent circles “strongly disagree” on any item, then that survey has not met the indicator requirements.  </w:t>
      </w:r>
      <w:r w:rsidRPr="005C29F8">
        <w:rPr>
          <w:rFonts w:cs="Arial"/>
          <w:color w:val="000000" w:themeColor="text1"/>
          <w:szCs w:val="16"/>
        </w:rPr>
        <w:br/>
      </w:r>
      <w:r w:rsidRPr="005C29F8">
        <w:rPr>
          <w:rFonts w:cs="Arial"/>
          <w:color w:val="000000" w:themeColor="text1"/>
          <w:szCs w:val="16"/>
        </w:rPr>
        <w:br/>
        <w:t xml:space="preserve">The USBE mails or emails a survey introduction letter, a survey, and a business reply envelope (for parents to submit completed mailed surveys) to every parent on the LEA’s determined sample list. All surveys are sent out no later than the middle of March. Surveys are expected to be returned within one month. Any parents who have not returned the surveys within the first month are provided bi-weekly reminders and are offered additional options for responding to the survey until the LEA reaches the desired response rate or until the survey closes.  </w:t>
      </w:r>
      <w:r w:rsidRPr="005C29F8">
        <w:rPr>
          <w:rFonts w:cs="Arial"/>
          <w:color w:val="000000" w:themeColor="text1"/>
          <w:szCs w:val="16"/>
        </w:rPr>
        <w:br/>
      </w:r>
      <w:r w:rsidRPr="005C29F8">
        <w:rPr>
          <w:rFonts w:cs="Arial"/>
          <w:color w:val="000000" w:themeColor="text1"/>
          <w:szCs w:val="16"/>
        </w:rPr>
        <w:br/>
        <w:t xml:space="preserve">The USBE made the survey available in a digital format for the first time this year. The digital version of the survey was sent out to all parents who provided their email addresses and whose primary language was Spanish and/or English. Digital surveys are completed through Qualtrics. Qualtrics produces a spreadsheet of parent answers. </w:t>
      </w:r>
      <w:r w:rsidRPr="005C29F8">
        <w:rPr>
          <w:rFonts w:cs="Arial"/>
          <w:color w:val="000000" w:themeColor="text1"/>
          <w:szCs w:val="16"/>
        </w:rPr>
        <w:br/>
      </w:r>
      <w:r w:rsidRPr="005C29F8">
        <w:rPr>
          <w:rFonts w:cs="Arial"/>
          <w:color w:val="000000" w:themeColor="text1"/>
          <w:szCs w:val="16"/>
        </w:rPr>
        <w:br/>
        <w:t>When the paper and pen survey is completed it is scanned and processed with an Optical Mark Reader (OMR) software program. The software program helps eliminate human error during the scoring process. That program produces a spreadsheet of the parent answers. The OMR and Qualtrics survey data are merged into one spreadsheet which is securely provided to USBE’s statistician who produces the USBE report.</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lastRenderedPageBreak/>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USBE analyzed whether demographics were representative by using statistical significance testing to determine if one group was over-represented or under-represented in the response rate. </w:t>
      </w:r>
      <w:r w:rsidRPr="005C29F8">
        <w:rPr>
          <w:rFonts w:cs="Arial"/>
          <w:color w:val="000000" w:themeColor="text1"/>
          <w:szCs w:val="16"/>
        </w:rPr>
        <w:br/>
      </w:r>
      <w:r w:rsidRPr="005C29F8">
        <w:rPr>
          <w:rFonts w:cs="Arial"/>
          <w:color w:val="000000" w:themeColor="text1"/>
          <w:szCs w:val="16"/>
        </w:rPr>
        <w:br/>
        <w:t xml:space="preserve">Whether the survey was representative was assessed by comparing the demographic characteristics of the students whose parents responded to the survey against the demographic characteristics of all students with disabilities. This comparison indicates the results are representative (1) by geographic region where the student attends school; (2) by the grade level of the student; and (3) by the primary disability of the student. For example, 28% of the parents who returned a survey are parents of a student with a communication disorder and 26% of students with disabilities in the entire sample have a communication disorder. </w:t>
      </w:r>
      <w:r w:rsidRPr="005C29F8">
        <w:rPr>
          <w:rFonts w:cs="Arial"/>
          <w:color w:val="000000" w:themeColor="text1"/>
          <w:szCs w:val="16"/>
        </w:rPr>
        <w:br/>
      </w:r>
      <w:r w:rsidRPr="005C29F8">
        <w:rPr>
          <w:rFonts w:cs="Arial"/>
          <w:color w:val="000000" w:themeColor="text1"/>
          <w:szCs w:val="16"/>
        </w:rPr>
        <w:br/>
        <w:t>This analysis showed that response rates varied by race/ethnicity. For example, 79% of parent respondents had a student with a race/ethnicity of white, whereas 70% of students with disabilities are white; 12% of parent respondents had a student with a race/ethnicity of Hispanic, whereas 22% of the students with disabilities are Hispanic. However, there were no significant differences in the parent involvement percentage between parents of white children and parents of Hispanic students, so the USBE is confident that the overall results are representative of the State. Furthermore, results were weighted by LEA to ensure that the parent survey results reflected the population of parents. The USBE will investigate ways to increase the response rate of Hispanic students in the 2020-21 school year.</w:t>
      </w:r>
      <w:r w:rsidRPr="005C29F8">
        <w:rPr>
          <w:rFonts w:cs="Arial"/>
          <w:color w:val="000000" w:themeColor="text1"/>
          <w:szCs w:val="16"/>
        </w:rPr>
        <w:br/>
      </w:r>
      <w:r w:rsidRPr="005C29F8">
        <w:rPr>
          <w:rFonts w:cs="Arial"/>
          <w:color w:val="000000" w:themeColor="text1"/>
          <w:szCs w:val="16"/>
        </w:rPr>
        <w:br/>
        <w:t>The USBE also has no reason to suspect that the COVID-19 pandemic had an impact on the positivity of the survey responses. The same process (mail) was used as before the pandemic and the USBE offered a digital response option to some families for the first time. Further, the response rate increased from 2018-19 to 2019-20 by seven percentage points.  The parent involvement percentage and individual item responses slightly increased from 2018-19 to 2019-20, but the USBE has no reason to believe that was a function of COVID-19.</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To increase access to the survey, the USBE hired a third party to translate the survey into Vietnamese, Tongan, Farsi, Arabic, and Somali; the most common languages spoken in the state beyond English and Spanish. Additionally, this was the first year the survey had a digital option for families who provided an email address and whose primary languages were either English and/or Spanish. LEA Special Education Directors stated the digital survey provided additional access to families, contributing to an increase in returned surveys in both English and Spanish.</w:t>
      </w:r>
      <w:r w:rsidRPr="005C29F8">
        <w:rPr>
          <w:rFonts w:cs="Arial"/>
          <w:color w:val="000000" w:themeColor="text1"/>
          <w:szCs w:val="16"/>
        </w:rPr>
        <w:br/>
      </w:r>
      <w:r w:rsidRPr="005C29F8">
        <w:rPr>
          <w:rFonts w:cs="Arial"/>
          <w:color w:val="000000" w:themeColor="text1"/>
          <w:szCs w:val="16"/>
        </w:rPr>
        <w:br/>
        <w:t>The USBE works proactively with families, organizations, and LEAs to provide technical assistance and support to parties to ensure that parents are involved in their student’s education and LEAs are compliant with parental involvement/engagement as set forth in the IDEA. Parent involvement is a cornerstone of the IDEA and Utah is a State that values and honors parent rights. Parent involvement is a priority area addressed through multiple aspects of the USBEs general supervision obligation.</w:t>
      </w:r>
      <w:r w:rsidRPr="005C29F8">
        <w:rPr>
          <w:rFonts w:cs="Arial"/>
          <w:color w:val="000000" w:themeColor="text1"/>
          <w:szCs w:val="16"/>
        </w:rPr>
        <w:br/>
      </w:r>
      <w:r w:rsidRPr="005C29F8">
        <w:rPr>
          <w:rFonts w:cs="Arial"/>
          <w:color w:val="000000" w:themeColor="text1"/>
          <w:szCs w:val="16"/>
        </w:rPr>
        <w:br/>
        <w:t>The USBE’s monitoring process (UPIPS) has placed an emphasis on parent engagement through parent and student focus groups and focused parent engagement questions in interviews with various educators, administrators, and related service providers. LEAs are provided verbal and written feedback and recommendations for improving parent involvement as part of the monitoring process.</w:t>
      </w:r>
      <w:r w:rsidRPr="005C29F8">
        <w:rPr>
          <w:rFonts w:cs="Arial"/>
          <w:color w:val="000000" w:themeColor="text1"/>
          <w:szCs w:val="16"/>
        </w:rPr>
        <w:br/>
      </w:r>
      <w:r w:rsidRPr="005C29F8">
        <w:rPr>
          <w:rFonts w:cs="Arial"/>
          <w:color w:val="000000" w:themeColor="text1"/>
          <w:szCs w:val="16"/>
        </w:rPr>
        <w:br/>
        <w:t>The USBE is working on creating system coherence with parent involvement by also having this priority area built into the Program Improvement Plan (PIP) process. Each LEA is required to develop a PIP on an annual basis. The LEA must conduct a data analysis and root cause analysis in the area of parent involvement to identify areas of strength and areas of need. LEAs are required to develop goals in for parent involvement in their plan if they were identified as having high risk for Indicator 8. As the PIP is reviewed and revised each year the LEA must also report progress on previous year’s goals.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3</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118</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NVR</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 xml:space="preserve">For Indicator 9, 154 LEAs are included in the analysis for SY 2019-2020. Of these 154 LEAs, 118 LEAs met the minimum “n” requirements of at least 10 students with disabilities at least one time for a Weighted Risk Ratio to be calculated. The USBE calculates a Weighted Risk Ratio for each LEA in the State, based on the identification rate of each racial/ethnic group in each LEA. </w:t>
      </w:r>
      <w:r w:rsidRPr="005C29F8">
        <w:rPr>
          <w:rFonts w:cs="Arial"/>
          <w:color w:val="000000" w:themeColor="text1"/>
          <w:szCs w:val="16"/>
        </w:rPr>
        <w:br/>
      </w:r>
      <w:r w:rsidRPr="005C29F8">
        <w:rPr>
          <w:rFonts w:cs="Arial"/>
          <w:color w:val="000000" w:themeColor="text1"/>
          <w:szCs w:val="16"/>
        </w:rPr>
        <w:br/>
        <w:t>Disproportionate representation is defined as a Weighted Risk Ratio of 3.00 or above. Once an LEA with a ratio is flagged for suspected disproportionate representation, the policies, procedures, and practices of that LEA are reviewed to determine if the suspected disproportionate representation is due to inappropriate identification. Only SY 2019-2020 data is used for this calculation. A “Final” Risk Ratio (based on the Weighted Risk Ratio) is determined only if there are 10 or more students with disabilities in the group of interest (cell size) and 30 or more students in the group of interest enrolled in the LEA (n size) and if there are also 10 or more students with disabilities in the comparison group (cell size) and 30 or more students in the comparison group (n size) enrolled in the LEA.</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During FFY 2019, three LEAs were flagged as having a Weighted Risk Ratio above the cut score of 3.00. A review was conducted by the State to verify there was no over-representation of any racial/ethnic groups in specific disability categories due to inappropriate identification. Utah Program Improvement Planning System (UPIPS) monitoring data were also reviewed during this process. This included student record reviews and evaluation and identification procedures, as well as interviews with teachers, administrators, parents, and students. In addition, each of the LEAS with Risk Ratio scores over 3.0 were required to review student files. No disproportionate representation was found to be occurring in these LEAs based upon this review of policies, procedures, and practices, as required in 34 CFR § 300.600(d)(3).</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COVID-19 does not appear to have impacted the data for Indicator 9. Even though all LEAs moved to remote learning for the last two months of the school year, identification still occurred.</w:t>
      </w:r>
      <w:r w:rsidRPr="005C29F8">
        <w:rPr>
          <w:rFonts w:cs="Arial"/>
          <w:color w:val="000000" w:themeColor="text1"/>
          <w:szCs w:val="16"/>
        </w:rPr>
        <w:br/>
      </w:r>
      <w:r w:rsidRPr="005C29F8">
        <w:rPr>
          <w:rFonts w:cs="Arial"/>
          <w:color w:val="000000" w:themeColor="text1"/>
          <w:szCs w:val="16"/>
        </w:rPr>
        <w:br/>
        <w:t xml:space="preserve">Noncompliance identified for Indicator 9 is reported to OSEP upon identification. Findings of noncompliance are issued to the LEA as soon as possible, less than three months from discovery. LEAs are not provided an opportunity to correct the noncompliance before the finding is issued consistent with OSEP guidance https://www.schools.utah.gov/file/bc1fec07-59d6-4d21-86fb-a29273e6e44a. </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2B7490" w:rsidP="004E2151">
      <w:pPr>
        <w:rPr>
          <w:rFonts w:cs="Arial"/>
          <w:color w:val="000000" w:themeColor="text1"/>
          <w:szCs w:val="16"/>
        </w:rPr>
      </w:pPr>
      <w:r w:rsidRPr="005C29F8">
        <w:rPr>
          <w:rFonts w:cs="Arial"/>
          <w:color w:val="000000" w:themeColor="text1"/>
          <w:szCs w:val="16"/>
        </w:rPr>
        <w:lastRenderedPageBreak/>
        <w:t>Utah has ensured its data is valid and reliable for FFY 2019.</w:t>
      </w: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2B7490" w:rsidP="00212954">
      <w:pPr>
        <w:rPr>
          <w:rFonts w:cs="Arial"/>
          <w:color w:val="000000" w:themeColor="text1"/>
          <w:szCs w:val="16"/>
        </w:rPr>
      </w:pPr>
      <w:r w:rsidRPr="005C29F8">
        <w:rPr>
          <w:rFonts w:cs="Arial"/>
          <w:color w:val="000000" w:themeColor="text1"/>
          <w:szCs w:val="16"/>
        </w:rPr>
        <w:t xml:space="preserve">OSEP notes that, in the State’s narrative under Indicator 11, the State reports that “The USBE considers LEAs substantially compliant, relative to each compliance indicator, if the LEA’s data indicate a very high level of compliance (generally 95% or above) at the end of the Prong 1 correction window (OSEP Memo 09-02).” (Emphasis added.) OSEP cannot determine whether the State accounted for all instances of noncompliance (i.e., any compliance level under 100%) in its FFY 2019 data for this indicator, consistent with OSEP Memo 09-02 and OSEP’s September 3, 2008, Frequently Asked Questions Regarding Identification and Correction of Noncompliance and Reporting on Correction in the SPP/APR (see, in particular, Question and Answer 3).  Also, OSEP cannot determine whether the State, in circumstances where it is unable to verify correction of noncompliance consistent with OSEP Memo 09-02 within the three-week window, issues findings to LEAs regardless of the level of noncompliance identified. </w:t>
      </w: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2B7490" w:rsidP="00212954">
      <w:pPr>
        <w:rPr>
          <w:rFonts w:cs="Arial"/>
          <w:color w:val="000000" w:themeColor="text1"/>
          <w:szCs w:val="16"/>
        </w:rPr>
      </w:pPr>
      <w:r w:rsidRPr="005C29F8">
        <w:rPr>
          <w:rFonts w:cs="Arial"/>
          <w:color w:val="000000" w:themeColor="text1"/>
          <w:szCs w:val="16"/>
        </w:rPr>
        <w:t>In reporting its FFY 2020 data in the FFY 2020 SPP/APR, the State must clarify whether the State, in circumstances where it is unable to verify correction of noncompliance consistent with OSEP Memo 09-02 within the three-week window, issues findings to LEAs regardless of the level of noncompliance identified.</w:t>
      </w: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NVR</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72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NVR</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 xml:space="preserve">For Indicator 10, 154 LEAs are included in the analysis for SY 2019-2020. Of these 154 LEAs, 72 LEAs met the minimum “n” requirements of at least 10 students with disabilities with a given disability at least one time for a Final Risk Ratio to be calculated. The USBE calculates a Weighted Risk Ratio for each LEA in the State, based on the identification rate of each racial/ethnic group in each LEA. (For each LEA, in theory, 42 risk ratios could be calculated—one for each of the seven racial/ethnic groups times the six primary disability categories.) Many LEAs in Utah have between zero and five students with a particular disability of a particular race/ethnicity. Thus, very small numbers prevent reliable and meaningful risk ratios from being calculated. </w:t>
      </w:r>
      <w:r w:rsidRPr="005C29F8">
        <w:rPr>
          <w:rFonts w:cs="Arial"/>
          <w:color w:val="000000" w:themeColor="text1"/>
          <w:szCs w:val="16"/>
        </w:rPr>
        <w:br/>
      </w:r>
      <w:r w:rsidRPr="005C29F8">
        <w:rPr>
          <w:rFonts w:cs="Arial"/>
          <w:color w:val="000000" w:themeColor="text1"/>
          <w:szCs w:val="16"/>
        </w:rPr>
        <w:br/>
        <w:t>Disproportionate representation is defined as a Final Risk Ratio of 3.00 or above. Once a LEA ratio is flagged for suspected disproportionate representation, the policies, procedures, and practices of that LEA are reviewed to determine if the suspected disproportionate representation is due to inappropriate identification. Only SY 2019-2020 data is used for this calculation. A “Final” Risk Ratio (based on the Weighted Risk Ratio) is determined only if there are 10 or more students with disabilities in the group of interest (cell size) and 30 or more students in the group of interest enrolled in the LEA (n size) and if there are also 10 or more students with disabilities in the comparison group (cell size) and 30 or more students in the comparison group (n size) enrolled in the LEA.</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During FFY 2019, nine LEAs were flagged as having a Weighted Risk Ratio above the cut score of 3.00. A review was conducted by the State to verify there was no over-representation of any racial/ethnic groups in specific disability categories due to inappropriate identification. Utah Program Improvement Planning System (UPIPS) monitoring data were also reviewed during this process. This included student record reviews and evaluation and identification procedures, as well as interviews with teachers, administrators, parents, and students. In addition to a review of LEA policies and procedures, each of the LEAs with Risk Ratio scores over 3.0 were required to review student files with LEAs with a risk ratio over 4.0 required to submit a letter to the USBE with a summary of their findings. No disproportionate representation was found to be occurring in these LEAs based upon this review of policies, procedures, and practices, as required in 34 CFR § 300.600(d)(3).</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COVID-19 does not appear to have impacted the data for Indicator 10. Even though all LEAs moved to remote learning for the last two months of the school year, identification still occurred.</w:t>
      </w:r>
      <w:r w:rsidRPr="005C29F8">
        <w:rPr>
          <w:rFonts w:cs="Arial"/>
          <w:color w:val="000000" w:themeColor="text1"/>
          <w:szCs w:val="16"/>
        </w:rPr>
        <w:br/>
      </w:r>
      <w:r w:rsidRPr="005C29F8">
        <w:rPr>
          <w:rFonts w:cs="Arial"/>
          <w:color w:val="000000" w:themeColor="text1"/>
          <w:szCs w:val="16"/>
        </w:rPr>
        <w:br/>
        <w:t xml:space="preserve">Noncompliance identified for Indicator 10 is reported to OSEP upon identification. Findings of noncompliance are issued to the LEA as soon as possible, less than three months from discovery. LEAs are not provided an opportunity to correct the noncompliance before the finding is issued consistent with OSEP guidance https://www.schools.utah.gov/file/bc1fec07-59d6-4d21-86fb-a29273e6e44a. </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lastRenderedPageBreak/>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7C7C5568" w14:textId="77777777" w:rsidR="009F69E7" w:rsidRPr="005C29F8" w:rsidRDefault="009F69E7" w:rsidP="004E2151">
      <w:pPr>
        <w:rPr>
          <w:rFonts w:cs="Arial"/>
          <w:color w:val="000000" w:themeColor="text1"/>
          <w:szCs w:val="16"/>
        </w:rPr>
      </w:pPr>
    </w:p>
    <w:p w14:paraId="5DF0DC37" w14:textId="479C6237" w:rsidR="004E2151" w:rsidRPr="005C29F8" w:rsidRDefault="004E2151" w:rsidP="004369B2">
      <w:pPr>
        <w:rPr>
          <w:b/>
          <w:color w:val="000000" w:themeColor="text1"/>
        </w:rPr>
      </w:pPr>
      <w:r w:rsidRPr="005C29F8">
        <w:rPr>
          <w:b/>
          <w:color w:val="000000" w:themeColor="text1"/>
        </w:rPr>
        <w:t>Response to actions required in FFY 2018 SPP/APR</w:t>
      </w:r>
    </w:p>
    <w:p w14:paraId="16241B8F" w14:textId="77777777" w:rsidR="009F69E7" w:rsidRPr="005C29F8" w:rsidRDefault="002B7490" w:rsidP="004E2151">
      <w:pPr>
        <w:rPr>
          <w:rFonts w:cs="Arial"/>
          <w:color w:val="000000" w:themeColor="text1"/>
          <w:szCs w:val="16"/>
        </w:rPr>
      </w:pPr>
      <w:r w:rsidRPr="005C29F8">
        <w:rPr>
          <w:rFonts w:cs="Arial"/>
          <w:color w:val="000000" w:themeColor="text1"/>
          <w:szCs w:val="16"/>
        </w:rPr>
        <w:t>Utah has ensured its data is valid and reliable for FFY 2019.</w:t>
      </w: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 xml:space="preserve">OSEP notes that, in the State’s narrative under Indicator 11, the State reports that “The USBE considers LEAs substantially compliant, relative to each compliance indicator, if the LEA’s data indicate a very high level of compliance (generally 95% or above) at the end of the Prong 1 correction window (OSEP Memo 09-02).” (Emphasis added.) OSEP cannot determine whether the State accounted for all instances of noncompliance (i.e., any compliance level under 100%) in its FFY 2019 data for this indicator, consistent with OSEP Memo 09-02 and OSEP’s September 3, 2008, Frequently Asked Questions Regarding Identification and Correction of Noncompliance and Reporting on Correction in the SPP/APR (see, in particular, Question and Answer 3). OSEP cannot determine whether, in circumstances where the State is unable to verify correction of noncompliance consistent with OSEP Memo 09-02 within the three-week window, findings are issued to LEAs regardless of the level of noncompliance identified. </w:t>
      </w: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2B7490" w:rsidP="00212954">
      <w:pPr>
        <w:rPr>
          <w:rFonts w:cs="Arial"/>
          <w:color w:val="000000" w:themeColor="text1"/>
          <w:szCs w:val="16"/>
        </w:rPr>
      </w:pPr>
      <w:r w:rsidRPr="005C29F8">
        <w:rPr>
          <w:rFonts w:cs="Arial"/>
          <w:color w:val="000000" w:themeColor="text1"/>
          <w:szCs w:val="16"/>
        </w:rPr>
        <w:t>In reporting its FFY 2020 data in the FFY 2020 SPP/APR, the State must clarify whether the State, in circumstances where it is unable to verify correction of noncompliance consistent with OSEP Memo 09-02 within the three-week window, issues findings to LEAs regardless of the level of noncompliance identified.</w:t>
      </w: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76.00%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99.47%</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99.28%</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99.60%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96.21%</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620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602</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96.21%</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97.10%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620 special education files were reviewed across 62 LEAs. Of the 620 files, 601 files had evaluations completed within the State-required timeline of 45-school days. One file was completed after the 45-day time period but had a compliant reason for delay that was documented in the file in accordance with Utah Special Education Rules II.D.3.  </w:t>
      </w:r>
      <w:r w:rsidRPr="006620F3">
        <w:rPr>
          <w:color w:val="000000" w:themeColor="text1"/>
        </w:rPr>
        <w:br/>
      </w:r>
      <w:r w:rsidRPr="006620F3">
        <w:rPr>
          <w:color w:val="000000" w:themeColor="text1"/>
        </w:rPr>
        <w:br/>
        <w:t xml:space="preserve">Eighteen student files in twelve LEAs had assessments completed beyond the 45-school day timeline. These assessments were not completed within the required timelines and were reported as noncompliant at the time of the review. Seventeen student files were promptly corrected and verified by USBE. One file was not corrected and a finding was issued to the LEA.  </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Utah State Board of Education Special Education Rules II.D. states that the initial evaluation must be conducted within 45 school days of receiving parental or adult student consent for the evaluation.</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During the 2019–2020 school year, files for students aged 3 through 21 who received an initial evaluation (Indicator 11) were reviewed through monitoring established in 34 CFR § 300.601. Monitoring visits may be triggered in a variety of ways including the State dispute resolution process as part of the general supervision system. All Indicator 11 data are included in this report regardless of what general supervision process was used to collect the data. </w:t>
      </w:r>
      <w:r w:rsidRPr="005C29F8">
        <w:rPr>
          <w:rFonts w:cs="Arial"/>
          <w:color w:val="000000" w:themeColor="text1"/>
          <w:szCs w:val="16"/>
        </w:rPr>
        <w:br/>
      </w:r>
      <w:r w:rsidRPr="005C29F8">
        <w:rPr>
          <w:rFonts w:cs="Arial"/>
          <w:color w:val="000000" w:themeColor="text1"/>
          <w:szCs w:val="16"/>
        </w:rPr>
        <w:br/>
        <w:t xml:space="preserve">There were 620 files reviewed across 62 LEAs. There was a total of 26 LEAs that were scheduled to have an Indicator 11 monitoring visit between March 15, 2020 and May 15, 2020. All 26 scheduled visits were cancelled in response to the global pandemic that began to affect Utah schools in the beginning of March 2020. Utah schools went into a soft closure which meant that students shifted to an online instructional model for the remainder of the 2019-2020 school year. The impact the global pandemic had on educators and students in the State also affected the USBE’s ability to finish collecting the Indicator 11 data. The COVID-19 pandemic reduced the anticipated number of files that were scheduled to be reviewed as part of Indicator 11 monitoring. </w:t>
      </w:r>
      <w:r w:rsidRPr="005C29F8">
        <w:rPr>
          <w:rFonts w:cs="Arial"/>
          <w:color w:val="000000" w:themeColor="text1"/>
          <w:szCs w:val="16"/>
        </w:rPr>
        <w:br/>
      </w:r>
      <w:r w:rsidRPr="005C29F8">
        <w:rPr>
          <w:rFonts w:cs="Arial"/>
          <w:color w:val="000000" w:themeColor="text1"/>
          <w:szCs w:val="16"/>
        </w:rPr>
        <w:br/>
        <w:t xml:space="preserve">The USBE utilizes UPIPS to monitor and support compliance with federal and state requirements in LEAs across the state of Utah. UPIPS is based on the concept that monitoring is a continuous process to improve procedural compliance and outcomes for students with disabilities. UPIPS includes a Results Driven Accountability (RDA) process to review each LEA’s performance on APR indicators and state requirements as established (e.g., APR indicators, timeliness of data and fiscal reports, the LEA's Program Improvement Plan [PIP], use of internal monitoring for compliance, etc.). LEAs are assigned a risk score in each of the pre-identified areas and indicators, based on their data in each area. The risk range is one through five, with five designating high risk. LEAs are given a risk score of five if the compliance is ten percentage points or more below state target. After risk scores have been assigned, LEAs are assigned a program implementation monitoring tier (i.e., Supporting, Guiding, Assisting, Coaching, or Directing) which includes a package of supports and activities (including monitoring) for each LEA based on the LEA’s level of identified level of need. LEAs who are in the coaching and directing tier receive a full monitoring visit that will include a review of Indicator 11 data as part of the comprehensive review. Full monitoring visits, as mentioned previously, may also be triggered by dispute resolution or through other general supervision systems. During each file review, the LEA is encouraged to invite staff to participate and receive technical assistance during the review process and all Indicator 11 data coming from a full monitoring review is included. </w:t>
      </w:r>
      <w:r w:rsidRPr="005C29F8">
        <w:rPr>
          <w:rFonts w:cs="Arial"/>
          <w:color w:val="000000" w:themeColor="text1"/>
          <w:szCs w:val="16"/>
        </w:rPr>
        <w:br/>
      </w:r>
      <w:r w:rsidRPr="005C29F8">
        <w:rPr>
          <w:rFonts w:cs="Arial"/>
          <w:color w:val="000000" w:themeColor="text1"/>
          <w:szCs w:val="16"/>
        </w:rPr>
        <w:br/>
        <w:t xml:space="preserve">The USBE also collects Indicator 11 data through file reviews/monitoring. The file reviews are how most of the Indicator 11 data is gathered because it includes a larger number of LEAs. The plan ensures that every LEA will have files monitored biennially. The Indicator 11 monitoring is based on the Indicator 8 parent survey. Half of the LEAs in the state receive the Indicator 8 parent survey and the other half receive an Indicator 11 monitoring visit in a single year. The four largest LEAs in the state receive file monitoring on an annual basis for Indicator 11. </w:t>
      </w:r>
      <w:r w:rsidRPr="005C29F8">
        <w:rPr>
          <w:rFonts w:cs="Arial"/>
          <w:color w:val="000000" w:themeColor="text1"/>
          <w:szCs w:val="16"/>
        </w:rPr>
        <w:br/>
      </w:r>
      <w:r w:rsidRPr="005C29F8">
        <w:rPr>
          <w:rFonts w:cs="Arial"/>
          <w:color w:val="000000" w:themeColor="text1"/>
          <w:szCs w:val="16"/>
        </w:rPr>
        <w:br/>
        <w:t xml:space="preserve">Noncompliance found at the time of the review is reported to OSEP. Based on the results of monitoring, LEAs were provided three weeks to correct noncompliance before being issued any findings of noncompliance. During FFY 19 USBE considered LEAs substantially compliant, relative to each compliance indicator, if the LEA’s data indicated a very high level of compliance (generally 95% or above) at the end of the Prong 1 correction window (OSEP Memo 09-02). If an LEA was below 95% compliant on Indicator 11 at the end of Prong 1, then a finding of noncompliance was issued. </w:t>
      </w:r>
      <w:r w:rsidRPr="005C29F8">
        <w:rPr>
          <w:rFonts w:cs="Arial"/>
          <w:color w:val="000000" w:themeColor="text1"/>
          <w:szCs w:val="16"/>
        </w:rPr>
        <w:br/>
      </w:r>
      <w:r w:rsidRPr="005C29F8">
        <w:rPr>
          <w:rFonts w:cs="Arial"/>
          <w:color w:val="000000" w:themeColor="text1"/>
          <w:szCs w:val="16"/>
        </w:rPr>
        <w:br/>
        <w:t xml:space="preserve">During the OSEP call on April 21, 2021 USBE received clarifying information. USBE must issue findings of noncompliance, if it finds any level of noncompliance with IDEA. LEAs can be provided time to correct identified noncompliance before findings are issued. OSEP expects to see findings issued less than three months from discovery. USBE will issue written findings, following a period of correction, for anything lower than 100% compliance. </w:t>
      </w:r>
      <w:r w:rsidRPr="005C29F8">
        <w:rPr>
          <w:rFonts w:cs="Arial"/>
          <w:color w:val="000000" w:themeColor="text1"/>
          <w:szCs w:val="16"/>
        </w:rPr>
        <w:br/>
      </w:r>
      <w:r w:rsidRPr="005C29F8">
        <w:rPr>
          <w:rFonts w:cs="Arial"/>
          <w:color w:val="000000" w:themeColor="text1"/>
          <w:szCs w:val="16"/>
        </w:rPr>
        <w:br/>
        <w:t xml:space="preserve">USBE did an additional data review from FFY19 and found only one LEA had not promptly corrected noncompliance and was below 100% compliance. The LEA was issued a finding of noncompliance that can be provided upon request. </w:t>
      </w:r>
      <w:r w:rsidRPr="005C29F8">
        <w:rPr>
          <w:rFonts w:cs="Arial"/>
          <w:color w:val="000000" w:themeColor="text1"/>
          <w:szCs w:val="16"/>
        </w:rPr>
        <w:br/>
      </w:r>
      <w:r w:rsidRPr="005C29F8">
        <w:rPr>
          <w:rFonts w:cs="Arial"/>
          <w:color w:val="000000" w:themeColor="text1"/>
          <w:szCs w:val="16"/>
        </w:rPr>
        <w:br/>
        <w:t>Written findings from the USBE to an LEA containing the State’s conclusion the LEA program is in noncompliance and includes the citation of the statute or regulation and a description of the data supporting the conclusion. Written notifications of findings occur as soon as possible, within less than three months. If an LEA is non-compliant with Indicator 11, they would be issued a finding for General Supervision with a citation of 34 CFR § 300.301 for the initial evaluation. Upon written notification of noncompliance from the USBE, the LEA must correct the noncompliance in its policies, procedures, and practices as soon as possible, but no later than one year from identification. LEAs must demonstrate all instances of noncompliance are corrected in each individual student file. LEAs with findings of noncompliance are also required to provide additional files for compliance review, document additional professional development on the regulatory requirements, and submit additional monitoring data which demonstrate correction of the noncompliance in LEA policies, procedures, and practices (OSEP Memo 09-02).</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lastRenderedPageBreak/>
        <w:t xml:space="preserve">Indicator 11 results have been impacted by the lack of in-person schooling options during the pandemic. LEAs made a variety of efforts to conduct assessments and hold required meetings within the timelines. Technology was used widely and continues to be used where appropriate. In person assessment are conducted when required to glean accurate data as outlined by assessment publishers. In person assessments followed protocols as outlined by the USBE and the Utah Department of Health.  </w:t>
      </w:r>
      <w:r w:rsidRPr="005C29F8">
        <w:rPr>
          <w:rFonts w:cs="Arial"/>
          <w:color w:val="000000" w:themeColor="text1"/>
          <w:szCs w:val="16"/>
        </w:rPr>
        <w:br/>
      </w:r>
      <w:r w:rsidRPr="005C29F8">
        <w:rPr>
          <w:rFonts w:cs="Arial"/>
          <w:color w:val="000000" w:themeColor="text1"/>
          <w:szCs w:val="16"/>
        </w:rPr>
        <w:br/>
        <w:t>During the 2017-2018 school year, 372 files were reviewed. During the 2018-2019 school year, the number of files reviewed increased by over 300% to 1,215. During the 2019-2020 school year, the global pandemic began impacting LEAs in March of 2020 which reduced the number of files reviewed to 620 for 2019-2020.</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Four LEAs from the 2018-2019 school year were issued a finding of noncompliance specific to the length of time to complete the initial evaluation. The number of files corrected in these four LEAs was less than 95% (i.e., 93.3%, 92.9%, 91.2%, and 86.7%). The LEA moved into a correction window which required them to correct all files of individual student noncompliance and provide the corrections to the USBE for verification. USBE verified correction of individual student noncompliance, and verified the LEA was correctly implementing regulatory requirements by reviewing additional files to demonstrate a systemic understanding and a correct implementation of the regulatory requirements. Verification of 100% compliance was confirmed in all instances. The letters of findings, corrective action plans, and documentation of corrections of noncompliance for each LEA can be provided upon request. One of the four schools that was issued a finding for Indicator 11 closed in May of 2019. The USBE has documentation that all findings were completed by April 3, 2019 that can be provided upon request.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To correct noncompliance concerning student-specific requirements subject to a specific timeline, the LEA must submit documentation that the required action (i.e., the evaluation, reevaluation, or IEP) was completed, even if it is late. They must also show consent and eligibility determination for an alternate student file from the same case manager to demonstrate an understanding of the requirements.</w:t>
      </w:r>
      <w:r w:rsidRPr="005C29F8">
        <w:rPr>
          <w:rFonts w:cs="Arial"/>
          <w:color w:val="000000" w:themeColor="text1"/>
          <w:szCs w:val="16"/>
        </w:rPr>
        <w:br/>
      </w:r>
      <w:r w:rsidRPr="005C29F8">
        <w:rPr>
          <w:rFonts w:cs="Arial"/>
          <w:color w:val="000000" w:themeColor="text1"/>
          <w:szCs w:val="16"/>
        </w:rPr>
        <w:br/>
        <w:t>The USBE concludes and reports that noncompliance has been corrected by verifying, consistent with OSEP Memo 09-02, that the LEA: 1) has corrected each individual case of student-specific noncompliance (Prong 1), and 2) is correctly implementing the specific regulatory requirements (i.e., subsequently achieved 100% compliance) (Prong 2), based on the USBE review of the corrections data.</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In its narrative describing the method used to collect data for this indicator, the State reported that "[n]oncompliance found at the time of the review is reported to OSEP. Based on the results of each of the reviews outlined above, LEAs were provided three-weeks to correct non-compliance before being issued any findings of non-compliance. The USBE considers LEAs substantially compliant, relative to each compliance indicator, if the LEA’s data indicate a very high level of compliance (generally 95% or above) at the end of the Prong 1 correction window (OSEP Memo 09-02). If an LEA is below 95% compliant on Indicator 11 at the end of Prong 1, then a finding of noncompliance is issued."  The State also reported that based on guidance received from OSEP during the April 2021 clarification period, the State now understands that "USBE must issue findings of noncompliance, if it finds any level of noncompliance with IDEA. LEAs can be provided time to correct identified noncompliance before findings are issued. OSEP expects to see findings issued less than three months from discovery. USBE will issue written findings, following a period of correction, for anything lower than 100% compliance." </w:t>
      </w:r>
      <w:r w:rsidRPr="005C29F8">
        <w:rPr>
          <w:rFonts w:cs="Arial"/>
          <w:color w:val="000000" w:themeColor="text1"/>
          <w:szCs w:val="16"/>
        </w:rPr>
        <w:br/>
      </w:r>
      <w:r w:rsidRPr="005C29F8">
        <w:rPr>
          <w:rFonts w:cs="Arial"/>
          <w:color w:val="000000" w:themeColor="text1"/>
          <w:szCs w:val="16"/>
        </w:rPr>
        <w:br/>
        <w:t>Further, the State reported that during the April 2021 clarification period, "USBE did an additional data review of FFY19 data and found only one LEA had not promptly corrected noncompliance and was below 100% compliance. The LEA was issued a finding of noncompliance that can be provided upon request."</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The State must, in the FFY 2020 SPP/APR, report on the status of correction of noncompliance identified during the April 2021 clarification period, based on FFY 2019 data, for this indicator. </w:t>
      </w:r>
      <w:r w:rsidRPr="005C29F8">
        <w:rPr>
          <w:rFonts w:cs="Arial"/>
          <w:color w:val="000000" w:themeColor="text1"/>
          <w:szCs w:val="16"/>
        </w:rPr>
        <w:br/>
      </w:r>
      <w:r w:rsidRPr="005C29F8">
        <w:rPr>
          <w:rFonts w:cs="Arial"/>
          <w:color w:val="000000" w:themeColor="text1"/>
          <w:szCs w:val="16"/>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w:t>
      </w:r>
      <w:r w:rsidRPr="005C29F8">
        <w:rPr>
          <w:rFonts w:cs="Arial"/>
          <w:color w:val="000000" w:themeColor="text1"/>
          <w:szCs w:val="16"/>
        </w:rPr>
        <w:lastRenderedPageBreak/>
        <w:t>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85.80%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99.77%</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99.90%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99.74%</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99.84%</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99.62%</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2,730</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466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2,033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71</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32</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2,033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2,161</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99.62%</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94.08%</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Due to the COVID-19 school closures, eligibility assessments were delayed which impacted IEP dates for 126 of the students whose IEPs were done after the student’s third birthday. Schools were closed and unable to complete eligibility assessments. At the time of this report, all IEPs have been completed for these students.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128</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For 126 students, the IEP was completed after the student’s third birthday due to the impact of COVID-19 school closures. LEAs were unable to complete eligibility assessments due to the COVD-19 school closures. When possible, transition meetings were held remotely to discuss assessment procedures with families. Part C assessment data was considered for Part B eligibility if the assessment data met Part B criteria and was current. Many students needed additional assessments to determine eligibility. For these students, assessments were completed when the USBE and LEA deemed it safe to complete assessments in person. For most LEAs, this occurred early Fall 2020. All IEPs impacted by the spring/summer 2020 COVID-19 school closures have been completed.  </w:t>
      </w:r>
      <w:r w:rsidRPr="005C29F8">
        <w:rPr>
          <w:bCs/>
          <w:color w:val="000000" w:themeColor="text1"/>
        </w:rPr>
        <w:br/>
      </w:r>
      <w:r w:rsidRPr="005C29F8">
        <w:rPr>
          <w:bCs/>
          <w:color w:val="000000" w:themeColor="text1"/>
        </w:rPr>
        <w:br/>
        <w:t xml:space="preserve">Two of the late IEPs were not attributed to the COVID-19 school closures. The reasons for the delays are outlined below. </w:t>
      </w:r>
      <w:r w:rsidRPr="005C29F8">
        <w:rPr>
          <w:bCs/>
          <w:color w:val="000000" w:themeColor="text1"/>
        </w:rPr>
        <w:br/>
      </w:r>
      <w:r w:rsidRPr="005C29F8">
        <w:rPr>
          <w:bCs/>
          <w:color w:val="000000" w:themeColor="text1"/>
        </w:rPr>
        <w:br/>
        <w:t>LEA 1: The LEA had 28 transitions of which one IEP was late resulting in a compliance rating of 94.12%. Based on a review of why the IEP was late, the LEA reported that the student’s birthday was in the summer. The LEA was under the incorrect assumption that the IEP could be completed in the fall after the student’s third birthday since the birthday was in the summer. USBE special education preschool specialist provided training for the LEA on Indicator 12 timelines. The LEA trained staff and created new procedures to ensure that all IEPs are completed within timelines, including students with summer birthdays.</w:t>
      </w:r>
      <w:r w:rsidRPr="005C29F8">
        <w:rPr>
          <w:bCs/>
          <w:color w:val="000000" w:themeColor="text1"/>
        </w:rPr>
        <w:br/>
      </w:r>
      <w:r w:rsidRPr="005C29F8">
        <w:rPr>
          <w:bCs/>
          <w:color w:val="000000" w:themeColor="text1"/>
        </w:rPr>
        <w:br/>
        <w:t>LEA 2: The LEA had 76 transitions of which 19 IEPs were late due to the COVID-19 school closures and one was late due to the LEA’s procedures resulting in a compliance rating of 60.78%. The IEPs that were late due to COVID-19 were completed as soon as the LEA was able to complete eligibility assessments. These IEPs have been completed. Based on a review of why the one IEP was late due to LEA procedures, the LEA reported that at that time the LEA had assessment procedures that required an observation prior to scheduling eligibility assessments. This led to a backlog of testing and some IEPs were completed after the student’s third birthday. The LEA has changed assessment procedures and no longer requires an observation to ensure that all IEPs are completed by the student’s third birthday.</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 xml:space="preserve">The statewide database Transition from Early Intervention Data Input (TEDI) has been fully operational since FFY 2009. TEDI accesses the Part C statewide database daily to obtain a list of all students that meet four criteria: student is 27 months old, has not opted out, is actively enrolled, and is considered potentially eligible for Part B. Student’s data is transferred to TEDI with the student’s demographic information. As the Part C database transfers a student into TEDI, TEDI then accesses the USBE’s Statewide Student Identifier System (SIS) to provide that student with a unique identification number that will continue with that student throughout his/her public education experience in Utah. To ensure confidentiality, individual student-level data are only available to school personnel with the appropriate permissions within TEDI.  </w:t>
      </w:r>
      <w:r w:rsidRPr="005C29F8">
        <w:rPr>
          <w:rFonts w:cs="Arial"/>
          <w:color w:val="000000" w:themeColor="text1"/>
          <w:szCs w:val="16"/>
        </w:rPr>
        <w:br/>
      </w:r>
      <w:r w:rsidRPr="005C29F8">
        <w:rPr>
          <w:rFonts w:cs="Arial"/>
          <w:color w:val="000000" w:themeColor="text1"/>
          <w:szCs w:val="16"/>
        </w:rPr>
        <w:br/>
        <w:t xml:space="preserve">TEDI provides an up-to-date status of the Part C to Part B Transition meeting, the date of the student’s third birthday, and whether the student was found eligible or not eligible. The Part C database and the Part B database (TEDI) provide data back and forth daily. Before a student’s file can be closed out in Part C, the provider is required to reconcile data that has come from TEDI to ensure that the exit reason is accurately recorded for each student that has been referred to Part B.  </w:t>
      </w:r>
      <w:r w:rsidRPr="005C29F8">
        <w:rPr>
          <w:rFonts w:cs="Arial"/>
          <w:color w:val="000000" w:themeColor="text1"/>
          <w:szCs w:val="16"/>
        </w:rPr>
        <w:br/>
      </w:r>
      <w:r w:rsidRPr="005C29F8">
        <w:rPr>
          <w:rFonts w:cs="Arial"/>
          <w:color w:val="000000" w:themeColor="text1"/>
          <w:szCs w:val="16"/>
        </w:rPr>
        <w:br/>
        <w:t>TEDI provides USBE and the LEAs with the necessary census data to ensure timely transitions from Part C to Part B. These transition data were collected from July 1, 2019 through June 30, 2020. In the process of reviewing LEA data on this Indicator, USBE followed guidance provided in the Office of Special Education Programs (OSEP) 09-02 Memo. Noncompliance with timelines for Indicator 12 (34 CFR § 300.124) is identified during an annual review of the TEDI statewide database by USBE and included with general supervision data.</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lastRenderedPageBreak/>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Noncompliance identified for Indicator 12 is reported to OSEP upon identification. Findings of noncompliance are issued to the LEA as soon as possible, less than three months from discovery. LEAs are not provided an opportunity to correct the noncompliance before the finding is issued consistent with OSEP guidance https://www.schools.utah.gov/file/bc1fec07-59d6-4d21-86fb-a29273e6e44a. </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The USBE special education preschool specialist completed a fidelity checklist of the transition process with each LEA that had findings of noncompliance identified to ensure the regulatory requirements were correctly implemented. The USBE special education preschool specialist also reviewed additional files from each LEA to determine that each LEA was correctly implementing the regulatory requirements. Upon review of the files, the USBE verified that each individual case of noncompliance was corrected and that the LEA was correctly implementing the regulatory requirements.  </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In FFY 2018, eight students from six LEAs were not evaluated and determined eligible or ineligible for special education by the child’s third birthday. The USBE issued the LEAs a written finding of noncompliance. The USBE special education preschool specialist met with each LEA and verified that each individual case of noncompliance was corrected to ensure students were evaluated for special education eligibility as soon as possible, and in no case later than one year.</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 xml:space="preserve">OSEP notes that, in the State’s narrative under Indicator 11, the State reports that “The USBE considers LEAs substantially compliant, relative to each compliance indicator, if the LEA’s data indicate a very high level of compliance (generally 95% or above) at the end of the Prong 1 correction window (OSEP Memo 09-02).” (Emphasis added.) OSEP cannot determine whether, in circumstances where the State is unable to verify correction of noncompliance consistent with OSEP Memo 09-02 within the three-week window, findings are issued to LEAs regardless of the level of noncompliance identified. </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In reporting its FFY 2020 data in the FFY 2020 SPP/APR, the State must clarify whether, in circumstances where the State is unable to verify correction of noncompliance consistent with OSEP Memo 09-02 within the three-week window, findings are issued to LEAs regardless of the level of noncompliance identified.</w:t>
      </w:r>
      <w:r w:rsidRPr="005C29F8">
        <w:rPr>
          <w:rFonts w:cs="Arial"/>
          <w:color w:val="000000" w:themeColor="text1"/>
          <w:szCs w:val="16"/>
        </w:rPr>
        <w:br/>
      </w:r>
      <w:r w:rsidRPr="005C29F8">
        <w:rPr>
          <w:rFonts w:cs="Arial"/>
          <w:color w:val="000000" w:themeColor="text1"/>
          <w:szCs w:val="16"/>
        </w:rPr>
        <w:b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54.67%</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99.75%</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92.41%</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92.07%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88.40%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39.71%</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347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666</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39.71%</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52.10%</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In 2016 the USBE lowered the age for transition planning to age 14. Data for Indicator 13 is collected through onsite monitoring visits by USBE staff and contracted monitors. Monitors conduct file reviews using the UPIPS online system. Forty-seven (47) LEAs were visited during the 2019-2020 school year through full monitoring visits or as part of the Indicator 13 file monitoring. Forty-Seven (47) LEAs provided 666 files including data for youth aged 14 and above with IEPs. Of the 666 IEPs reviewed, 347 or 51.10%, met state requirements. LEAs provided immediate corrections of noncompliance that was verified by USBE staff within a three-week correction window in 44 LEAs. The LEAs who immediately corrected non-compliance were not issued any written findings of non-compliance. Three LEAs were issued written findings of noncompliance in FFY 2019 because they were below 95% compliant in one or more required transition areas at the end of the three-week correction window. </w:t>
      </w:r>
      <w:r w:rsidRPr="005C29F8">
        <w:rPr>
          <w:rFonts w:cs="Arial"/>
          <w:color w:val="000000" w:themeColor="text1"/>
          <w:szCs w:val="16"/>
        </w:rPr>
        <w:br/>
      </w:r>
      <w:r w:rsidRPr="005C29F8">
        <w:rPr>
          <w:rFonts w:cs="Arial"/>
          <w:color w:val="000000" w:themeColor="text1"/>
          <w:szCs w:val="16"/>
        </w:rPr>
        <w:br/>
        <w:t xml:space="preserve">In the FFY 2018 APR report, the USBE reported data based on 491 files that were reviewed for students that were at least 16 years old at the time the IEP was written. The data being reported for FFY 2019 includes 666 files that were reviewed representing students that were at least 14 years old at the time the IEP was written. When looking at the data it is important to recognize that the USBE is reporting on a larger sample size and gradually moving the needle with Indicator 13 compliance which is largely attributed to the intensified training and coaching efforts being made with this indicator. </w:t>
      </w:r>
      <w:r w:rsidRPr="005C29F8">
        <w:rPr>
          <w:rFonts w:cs="Arial"/>
          <w:color w:val="000000" w:themeColor="text1"/>
          <w:szCs w:val="16"/>
        </w:rPr>
        <w:br/>
      </w:r>
      <w:r w:rsidRPr="005C29F8">
        <w:rPr>
          <w:rFonts w:cs="Arial"/>
          <w:color w:val="000000" w:themeColor="text1"/>
          <w:szCs w:val="16"/>
        </w:rPr>
        <w:br/>
        <w:t xml:space="preserve">The USBE utilizes UPIPS to monitor and support compliance with federal and state requirements in LEAs across Utah. UPIPS is based on the concept that monitoring is a continuous process to improve procedural compliance and outcomes for students with disabilities. UPIPS includes a Results Driven Accountability (RDA) process to review each LEA’s performance on APR indicators and state requirements as established (e.g., APR indicators, timeliness of data and fiscal reports, the LEA's Program Improvement Plan [PIP], use of internal monitoring for compliance, etc.). LEAs are assigned a risk score in each of the pre-identified areas and indicators based on their data in each area. The risk range is one through five, with five designating high risk. LEAs are given a risk score of five if the compliance is ten percentage points or more below state target (i.e., &lt;90% for Indicator 13). After risk scores have been assigned, LEAs are assigned a program implementation monitoring tier (i.e., Supporting, Guiding, Assisting, Coaching, or Directing) which includes a package of supports and activities (including monitoring) for each LEA based on the LEA’s level of identified need. LEAs who are in the coaching and directing tier receive a full monitoring visit that will include a review of Indicator 13 data as part of the comprehensive review. Full monitoring visits, as mentioned previously, may also be triggered by dispute resolution or through other general supervision systems. During each file review, the LEA is encouraged to invite staff to participate and receive technical assistance during the review process and all Indicator 13 data that comes from a full monitoring review is included in the APR. </w:t>
      </w:r>
      <w:r w:rsidRPr="005C29F8">
        <w:rPr>
          <w:rFonts w:cs="Arial"/>
          <w:color w:val="000000" w:themeColor="text1"/>
          <w:szCs w:val="16"/>
        </w:rPr>
        <w:br/>
      </w:r>
      <w:r w:rsidRPr="005C29F8">
        <w:rPr>
          <w:rFonts w:cs="Arial"/>
          <w:color w:val="000000" w:themeColor="text1"/>
          <w:szCs w:val="16"/>
        </w:rPr>
        <w:br/>
        <w:t xml:space="preserve">The USBE also collects Indicator 13 data through monitoring file reviews. The LEA has files monitored biennially. The Indicator 13 monitoring is on an alternating schedule with the Indicator 8 parent survey. Half of the LEAs in the state receive the Indicator 8 parent survey and the other half receive an Indicator 13 monitoring visit in a single year. The four largest LEAs in the state receive monitoring visits on an annual basis for Indicator 13. </w:t>
      </w:r>
      <w:r w:rsidRPr="005C29F8">
        <w:rPr>
          <w:rFonts w:cs="Arial"/>
          <w:color w:val="000000" w:themeColor="text1"/>
          <w:szCs w:val="16"/>
        </w:rPr>
        <w:br/>
      </w:r>
      <w:r w:rsidRPr="005C29F8">
        <w:rPr>
          <w:rFonts w:cs="Arial"/>
          <w:color w:val="000000" w:themeColor="text1"/>
          <w:szCs w:val="16"/>
        </w:rPr>
        <w:br/>
        <w:t xml:space="preserve">LEAs were provided three weeks (i.e., Prong 1) to correct non-compliance before being issued any findings of non-compliance. The USBE considered LEAs substantially compliant, relative to each compliance indicator, if the LEA’s data indicated a very high level of compliance (generally 95% or above) at the end of the Prong 1 correction window (OSEP Memo 09-02). If an LEA was below 95% compliant on any of the areas outlined in the APR Measurement Table for Indicator 13 at the end of Prong 1, then a finding of noncompliance was issued. A finding is a written notification from the USBE to an LEA containing the State’s conclusion the LEA program is in noncompliance and includes the citation of the statute or regulation and a description of the data supporting the conclusion. Written notifications of findings occur as soon as possible following the Prong 1 correction window and within less than three months. The USBE ensures that all instances of non-compliance are corrected within one year whether written findings were issued or not. </w:t>
      </w:r>
      <w:r w:rsidRPr="005C29F8">
        <w:rPr>
          <w:rFonts w:cs="Arial"/>
          <w:color w:val="000000" w:themeColor="text1"/>
          <w:szCs w:val="16"/>
        </w:rPr>
        <w:br/>
      </w:r>
      <w:r w:rsidRPr="005C29F8">
        <w:rPr>
          <w:rFonts w:cs="Arial"/>
          <w:color w:val="000000" w:themeColor="text1"/>
          <w:szCs w:val="16"/>
        </w:rPr>
        <w:br/>
        <w:t xml:space="preserve">Noncompliance found at the time of the review is reported to OSEP. Based on the results of each of the reviews outlined above, LEAs were provided three-weeks to correct noncompliance before being issued any findings of noncompliance. During FFY 19 USBE considered LEAs substantially compliant, relative to each compliance indicator, if the LEA’s data indicated a very high level of compliance (generally 95% or above) at the end of the Prong 1 correction window (OSEP Memo 09-02). If an LEA was below 95% compliant on Indicator 13 at the end of Prong 1, then a finding of noncompliance is issued. </w:t>
      </w:r>
      <w:r w:rsidRPr="005C29F8">
        <w:rPr>
          <w:rFonts w:cs="Arial"/>
          <w:color w:val="000000" w:themeColor="text1"/>
          <w:szCs w:val="16"/>
        </w:rPr>
        <w:br/>
      </w:r>
      <w:r w:rsidRPr="005C29F8">
        <w:rPr>
          <w:rFonts w:cs="Arial"/>
          <w:color w:val="000000" w:themeColor="text1"/>
          <w:szCs w:val="16"/>
        </w:rPr>
        <w:br/>
        <w:t>During the OSEP call on April 21, 2021 USBE received clarifying information. USBE must issue findings of noncompliance if it finds any level of noncompliance with IDEA. LEAs can be provided time to correct identified noncompliance before findings are issued. OSEP expects to see findings issued less than three months from discovery. USBE will issue written findings, following a period of correction, for anything lower than 100%.</w:t>
      </w:r>
      <w:r w:rsidRPr="005C29F8">
        <w:rPr>
          <w:rFonts w:cs="Arial"/>
          <w:color w:val="000000" w:themeColor="text1"/>
          <w:szCs w:val="16"/>
        </w:rPr>
        <w:br/>
      </w:r>
      <w:r w:rsidRPr="005C29F8">
        <w:rPr>
          <w:rFonts w:cs="Arial"/>
          <w:color w:val="000000" w:themeColor="text1"/>
          <w:szCs w:val="16"/>
        </w:rPr>
        <w:br/>
        <w:t xml:space="preserve">USBE did an additional data reviewed from FFY19. Three LEAs had been issued formal findings and two additional LEAs should have been issued findings bringing the total to five. The two additional LEAs were notified informally through the UPIPS system with the citation of the statute or regulation and a description of the data supporting the conclusion. Individual student noncompliance has been corrected and verified. Additional files have been reviewed to ensure 100% compliance. Formal written findings will be sent to the two additional LEAs, and all findings letters can be provided upon request. </w:t>
      </w:r>
      <w:r w:rsidRPr="005C29F8">
        <w:rPr>
          <w:rFonts w:cs="Arial"/>
          <w:color w:val="000000" w:themeColor="text1"/>
          <w:szCs w:val="16"/>
        </w:rPr>
        <w:br/>
      </w:r>
      <w:r w:rsidRPr="005C29F8">
        <w:rPr>
          <w:rFonts w:cs="Arial"/>
          <w:color w:val="000000" w:themeColor="text1"/>
          <w:szCs w:val="16"/>
        </w:rPr>
        <w:br/>
        <w:t>Written findings from the USBE to an LEA containing the State’s conclusion the LEA program is in noncompliance and includes the citation of the statute or regulation and a description of the data supporting the conclusion. Written notifications of findings occur as soon as possible, within less than three months. If an LEA is non-compliant with Indicator 13, they would be issued a finding for Indicator 13 with a citation of each rule related to post-school transition (34 CFR § 300.43 and 34 CFR § 300.320) that demonstrated substantial non-compliance. Upon written notification of noncompliance from the USBE, the LEA must correct the noncompliance in its policies, procedures, and practices as soon as possible, but no later than one year from identification. LEAs must demonstrate all instances of noncompliance are corrected in each individual student file. LEAs with findings of noncompliance are also required to provide additional files for compliance review, document additional professional development on the regulatory requirements, and submit additional monitoring data which demonstrate correction of the noncompliance in LEA policies, procedures, and practices (OSEP Memo 09-02).</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lastRenderedPageBreak/>
        <w:t>There was a total of 22 LEAs that were scheduled to have an Indicator 13 file review between March 15, 2020, and May 15, 2020. The visits scheduled across the 22 LEAs were cancelled in response to the global pandemic that began to effect Utah schools in the beginning of March 2020. Utah schools went into a soft closure which meant that students shifted to an online instructional model for the remainder of the 2019-2020 school year. The impact the global pandemic had on educators and students in the State also effected USBE’s ability to finish collecting the Indicator 13 sample. The COVID-19 pandemic reduced the anticipated number of files that were scheduled to be reviewed as part of the Indicator 13 sampling.</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10</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10</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Upon written notification of noncompliance from the USBE, the LEA must correct the noncompliance in its policies, procedures, and practices as soon as possible, but no later than one year from identification. LEAs must demonstrate all instances of noncompliance are corrected in each individual student file. LEAs with findings of noncompliance are also required to document additional professional development on the regulatory requirements and submit additional monitoring data which demonstrate correction of the noncompliance in LEA policies, procedures, and practices (OSEP Memo 09-02), including completion of overdue evaluation(s), Individualized Education Programs (IEPs), etc. </w:t>
      </w:r>
      <w:r w:rsidRPr="005C29F8">
        <w:rPr>
          <w:rFonts w:cs="Arial"/>
          <w:color w:val="000000" w:themeColor="text1"/>
          <w:szCs w:val="16"/>
        </w:rPr>
        <w:br/>
      </w:r>
      <w:r w:rsidRPr="005C29F8">
        <w:rPr>
          <w:rFonts w:cs="Arial"/>
          <w:color w:val="000000" w:themeColor="text1"/>
          <w:szCs w:val="16"/>
        </w:rPr>
        <w:br/>
        <w:t xml:space="preserve">The USBE follows guidance provided in OSEP Memo 09-02. Enforcement actions include 1) accounting for all instances of noncompliance, identifying where the noncompliance occurred, the percentage level of noncompliance, and the root cause of the noncompliance; 2) requiring the correction of LEA noncompliance in the policies, procedures, and practices contributing to or resulting in the noncompliance; and 3) determining the LEA is correctly implementing the specific regulatory requirements of IDEA, including the correction of noncompliance in conformance with OSEP Memo 09-02. While files are reviewed to determine ongoing LEA compliance with all specific regulatory requirements of IDEA, each file with noncompliance is also reviewed to ensure correction at the individual student level. Targeted technical assistance continues to be provided to achieve the target of 100%. </w:t>
      </w:r>
      <w:r w:rsidRPr="005C29F8">
        <w:rPr>
          <w:rFonts w:cs="Arial"/>
          <w:color w:val="000000" w:themeColor="text1"/>
          <w:szCs w:val="16"/>
        </w:rPr>
        <w:br/>
      </w:r>
      <w:r w:rsidRPr="005C29F8">
        <w:rPr>
          <w:rFonts w:cs="Arial"/>
          <w:color w:val="000000" w:themeColor="text1"/>
          <w:szCs w:val="16"/>
        </w:rPr>
        <w:br/>
        <w:t xml:space="preserve">In the 2018-2019 school year, there were 51 LEAs that had files reviewed for Indicator 13. Forty-one (41) of those LEAs immediately completed correction of noncompliance within three-weeks from the identification of noncompliance and submitted documentation which were reviewed and verified providing evidence of correct implantation of specific regulatory requirements. These LEAs were not issued findings of noncompliance. </w:t>
      </w:r>
      <w:r w:rsidRPr="005C29F8">
        <w:rPr>
          <w:rFonts w:cs="Arial"/>
          <w:color w:val="000000" w:themeColor="text1"/>
          <w:szCs w:val="16"/>
        </w:rPr>
        <w:br/>
      </w:r>
      <w:r w:rsidRPr="005C29F8">
        <w:rPr>
          <w:rFonts w:cs="Arial"/>
          <w:color w:val="000000" w:themeColor="text1"/>
          <w:szCs w:val="16"/>
        </w:rPr>
        <w:br/>
        <w:t xml:space="preserve">On the FFY 2018 APR the USBE only reported six LEAs that received findings for the 2018-2019 school year. When reviewing data for the FFY 2019 APR the USBE realized that there were 10 LEAs that were issued findings for 2018-2019 school year. The number of files with compliant transition plans in these 10 LEAs was less than 95% in one or more of the required areas for transition which resulted in USBE issuing a finding of noncompliance. </w:t>
      </w:r>
      <w:r w:rsidRPr="005C29F8">
        <w:rPr>
          <w:rFonts w:cs="Arial"/>
          <w:color w:val="000000" w:themeColor="text1"/>
          <w:szCs w:val="16"/>
        </w:rPr>
        <w:br/>
      </w:r>
      <w:r w:rsidRPr="005C29F8">
        <w:rPr>
          <w:rFonts w:cs="Arial"/>
          <w:color w:val="000000" w:themeColor="text1"/>
          <w:szCs w:val="16"/>
        </w:rPr>
        <w:br/>
        <w:t>All LEAs who had identified noncompliance in FY 2018 have corrected all noncompliance within one year. The LEAs moved into a correction window which required them to correct all files of individual student noncompliance and provide the corrections to the USBE for verification. USBE verified correction of individual student noncompliance, and verified the LEA was correctly implementing regulatory requirements by reviewing additional files to demonstrate a systemic understanding and a correct implementation of the regulatory requirements. Verification of 100% compliance was confirmed in all instances. The letters of findings, corrective action plans, and documentation of corrections of noncompliance for each LEA can be provided upon request.</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To correct noncompliance concerning transition plans, the LEA must submit the documentation of the corrected transition plan in the areas that were identified as noncompliant. If changes are needed to be made for an existing transition plan, then the transition plan may be corrected through the IEP amendment process. If a transition plan was not developed for a student who was 14 at the time the IEP is written, then the amendment process may not be used, and the IEP team must be pulled together to develop a transition plan. Once corrections are made for the item of noncompliance that was identified, the LEA must identify that the error has been corrected and then correction must be verified and approved by the USBE to finalize the correction.</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B7490" w:rsidP="00212954">
      <w:pPr>
        <w:rPr>
          <w:rFonts w:cs="Arial"/>
          <w:color w:val="000000" w:themeColor="text1"/>
          <w:szCs w:val="16"/>
        </w:rPr>
      </w:pPr>
      <w:r w:rsidRPr="005C29F8">
        <w:rPr>
          <w:rFonts w:cs="Arial"/>
          <w:color w:val="000000" w:themeColor="text1"/>
          <w:szCs w:val="16"/>
        </w:rPr>
        <w:t>In its narrative describing the method used to collect data for this indicator, the State reported that "[n]oncompliance found at the time of the review is reported to OSEP. Based on the results of each of the reviews outlined above, LEAs were provided three-weeks to correct noncompliance before being issued any findings of noncompliance. During FFY 19 USBE considered LEAs substantially compliant, relative to each compliance indicator, if the LEA’s data indicated a very high level of compliance (generally 95% or above) at the end of the Prong 1 correction window (OSEP Memo 09-02). If an LEA was below 95% compliant on Indicator 13 at the end of Prong 1, then a finding of noncompliance is issued."  The State also reported that, based on guidance provided by OSEP during the April 2021 clarification period, the State now understands that "USBE will issue written findings, following a period of correction, for anything lower than 100%."</w:t>
      </w:r>
      <w:r w:rsidRPr="005C29F8">
        <w:rPr>
          <w:rFonts w:cs="Arial"/>
          <w:color w:val="000000" w:themeColor="text1"/>
          <w:szCs w:val="16"/>
        </w:rPr>
        <w:br/>
      </w:r>
      <w:r w:rsidRPr="005C29F8">
        <w:rPr>
          <w:rFonts w:cs="Arial"/>
          <w:color w:val="000000" w:themeColor="text1"/>
          <w:szCs w:val="16"/>
        </w:rPr>
        <w:lastRenderedPageBreak/>
        <w:br/>
        <w:t>Further, the State reported that during the April 2021 clarification period,  "USBE did an additional data review of the  FFY19 data. Three LEAs had been issued formal findings and two additional LEAs should have been issued findings bringing the total to five. The two additional LEAs were notified informally through the UPIPS system with the citation of the statute or regulation and a description of the data supporting the conclusion. Individual student noncompliance has been corrected and verified. Additional files have been reviewed to ensure 100% compliance. Formal written findings will be sent to the two additional LEAs, and all findings letters can be provided upon request."</w:t>
      </w: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The State must, in the FFY 2020 SPP/APR, report on the status of correction of noncompliance identified during the April 2021 clarification period, based on FFY 2019 data, for this indicator. </w:t>
      </w:r>
      <w:r w:rsidRPr="005C29F8">
        <w:rPr>
          <w:rFonts w:cs="Arial"/>
          <w:color w:val="000000" w:themeColor="text1"/>
          <w:szCs w:val="16"/>
        </w:rPr>
        <w:br/>
      </w:r>
      <w:r w:rsidRPr="005C29F8">
        <w:rPr>
          <w:rFonts w:cs="Arial"/>
          <w:color w:val="000000" w:themeColor="text1"/>
          <w:szCs w:val="16"/>
        </w:rPr>
        <w:b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25.25%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27.50%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28.25%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29.00%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27.56%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20.82%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19.35%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20.74%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20.24%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19.62%</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70.67%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72.67%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75.67%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78.67%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81.67%</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54.25%</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65.35%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64.63%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66.82%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68.77%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67.60%</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84.83%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87.83%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90.83%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93.83%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96.83%</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71.84%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79.72%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79.46%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82.63%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84.32%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84.37%</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29.75%</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85.07%</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99.83%</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See attachment</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See Introduction, FFY19 Stakeholder Involvement and Input. </w:t>
      </w: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2,429</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471</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1,000</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346</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208</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471</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2,429</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19.62%</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29.75%</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19.39%</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1,471</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2,429</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67.60%</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85.07%</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60.56%</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2,025</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2,429</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84.37%</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99.83%</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83.37%</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Participation in competitive employment decreased because of COVID-19. Data shows that 30% of respondents reported being laid off or not working because of COVID-19 shut-down/stay at home orders (the question on COVID-19 was a new question added this year).</w:t>
            </w:r>
            <w:r w:rsidRPr="005C29F8">
              <w:rPr>
                <w:rFonts w:cs="Arial"/>
                <w:color w:val="000000" w:themeColor="text1"/>
                <w:szCs w:val="16"/>
              </w:rPr>
              <w:br/>
            </w:r>
            <w:r w:rsidRPr="005C29F8">
              <w:rPr>
                <w:rFonts w:cs="Arial"/>
                <w:color w:val="000000" w:themeColor="text1"/>
                <w:szCs w:val="16"/>
              </w:rPr>
              <w:br/>
              <w:t>The data show that participation in the competitive employment decreased from 59.6% to 51.7%. (Note: The responses rate was significantly higher in FFY 2019 (51%) vs. FFY 2018 (39%), due to targeted efforts to reach students).</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See reasons for slippage as outlined in 14B.</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7034"/>
        <w:gridCol w:w="3756"/>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B7490" w:rsidP="00A018D4">
            <w:pPr>
              <w:jc w:val="center"/>
              <w:rPr>
                <w:rFonts w:cs="Arial"/>
                <w:color w:val="000000" w:themeColor="text1"/>
                <w:szCs w:val="16"/>
              </w:rPr>
            </w:pPr>
            <w:r w:rsidRPr="005C29F8">
              <w:rPr>
                <w:rFonts w:cs="Arial"/>
                <w:color w:val="000000" w:themeColor="text1"/>
                <w:szCs w:val="16"/>
              </w:rPr>
              <w:t>UTPartBSPPAPRFFY2019Ind14SurveyQuestions</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See attachment UTPartBSPPAPRFFY2019Ind14ExitersDisabilities.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lastRenderedPageBreak/>
        <w:t xml:space="preserve">The USBE had a 3% underrepresentation of students from historically marginalized populations (including students who identify as American Indian, Asian, Black/African American, Hispanic/Latino, Pacific Islander, or Multiple Races) in its post school outcomes survey respondents and a 2% underrepresentation of students who dropped out of school in the 2019 APR survey data. In comparison to our 2018 APR, the gaps in survey representation have decreased in the minority student survey respondents by 3%, the dropout respondents by 5% and Hispanic students by 2.4%. The USBE is aware of the disproportionality among various demographics in the survey data and is continually working to examine the root causes to implement strategies that will improve the disproportionality in the survey data. Additionally, The USBE is providing LEAs with strategies, for contacting hard to find youth, as well as encouraging and training LEAs to conduct their own surveys vs. using USBE contracted interviewers. Strategies include pre-notification techniques, creating familiarity with students, providing incentives and contacting students. There has been an increase in response rates among those LEAs that have conducted their own surveys, especially for underrepresented populations. For this year’s survey (FFY2019) the USBE matched student exit data with state adult education enrollment data to increase outcome data for those students who had dropped out and have enrolled in adult education for completion of a General Education Diploma (GED) or adult education diploma completion. This practice of adult education data matching has decreased the gap in the USBE's under-representation of survey data for students who dropped out. </w:t>
      </w:r>
    </w:p>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The USBE has increased its survey response rate from 39% in 2019 to 51% in 2020 by providing targeted training and coaching to LEAs regarding Indicator 14. National employment patterns, during much of 2020, are like those shown in the survey outcome data, with a decrease in competitive employment opportunities and an increase in other, noncompetitive employment.</w:t>
      </w:r>
      <w:r w:rsidRPr="005C29F8">
        <w:rPr>
          <w:rFonts w:cs="Arial"/>
          <w:color w:val="000000" w:themeColor="text1"/>
          <w:szCs w:val="16"/>
        </w:rPr>
        <w:br/>
      </w:r>
      <w:r w:rsidRPr="005C29F8">
        <w:rPr>
          <w:rFonts w:cs="Arial"/>
          <w:color w:val="000000" w:themeColor="text1"/>
          <w:szCs w:val="16"/>
        </w:rPr>
        <w:br/>
        <w:t>Indicator 14 outcomes were impacted by the soft closure of schools and businesses. The statewide economic impacts increased the unemployment rate to 10.4% in April 2020. We anticipate a continued impact on Indicator 14 in FFY 2020.</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74819FAA" w:rsidR="00293C7E"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6E344F7" w14:textId="2F494370" w:rsidR="00C96532" w:rsidRDefault="00D8118B" w:rsidP="00315031">
      <w:pPr>
        <w:pStyle w:val="Heading2"/>
      </w:pPr>
      <w:r w:rsidRPr="0033429D">
        <w:t xml:space="preserve">14 - </w:t>
      </w:r>
      <w:r w:rsidR="00315031">
        <w:t>State Attachments</w:t>
      </w:r>
    </w:p>
    <w:p w14:paraId="7C304AEA" w14:textId="63B6DB28" w:rsidR="00315031" w:rsidRDefault="00315031" w:rsidP="00315031"/>
    <w:p w14:paraId="790279F3" w14:textId="71D186CD" w:rsidR="00315031" w:rsidRPr="00315031" w:rsidRDefault="00F57C78" w:rsidP="00315031">
      <w:r>
        <w:object w:dxaOrig="1508" w:dyaOrig="983" w14:anchorId="45C3BDD6">
          <v:shape id="_x0000_i1033" type="#_x0000_t75" alt="UTPartBSPPAPRFFY2019Ind14ExitersDisabilities" style="width:79.5pt;height:50.25pt" o:ole="">
            <v:imagedata r:id="rId14" o:title=""/>
          </v:shape>
          <o:OLEObject Type="Embed" ProgID="Acrobat.Document.DC" ShapeID="_x0000_i1033" DrawAspect="Icon" ObjectID="_1689410569" r:id="rId15"/>
        </w:object>
      </w:r>
      <w:r w:rsidR="00C06FDF">
        <w:t xml:space="preserve">  </w:t>
      </w:r>
      <w:r w:rsidR="009A13C3">
        <w:tab/>
      </w:r>
      <w:r w:rsidR="002A7037">
        <w:object w:dxaOrig="1508" w:dyaOrig="983" w14:anchorId="0F4628B7">
          <v:shape id="_x0000_i1028" type="#_x0000_t75" alt="UTPartBSPPAPRFFY2019Ind14SurveyQuestions" style="width:75.75pt;height:48.75pt" o:ole="">
            <v:imagedata r:id="rId16" o:title=""/>
          </v:shape>
          <o:OLEObject Type="Embed" ProgID="Acrobat.Document.DC" ShapeID="_x0000_i1028" DrawAspect="Icon" ObjectID="_1689410570" r:id="rId17"/>
        </w:objec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YES</w:t>
      </w:r>
    </w:p>
    <w:p w14:paraId="0D57E3BF" w14:textId="14F35F9D" w:rsidR="00592E75" w:rsidRPr="005C29F8" w:rsidRDefault="006470C4" w:rsidP="004369B2">
      <w:pPr>
        <w:rPr>
          <w:b/>
          <w:color w:val="000000" w:themeColor="text1"/>
        </w:rPr>
      </w:pPr>
      <w:r w:rsidRPr="005C29F8">
        <w:rPr>
          <w:b/>
          <w:color w:val="000000" w:themeColor="text1"/>
        </w:rPr>
        <w:t>Provide an explanation below.</w:t>
      </w:r>
    </w:p>
    <w:p w14:paraId="0F78B93B" w14:textId="37F9DECC" w:rsidR="0087456C" w:rsidRDefault="0087456C" w:rsidP="009B76C5">
      <w:pPr>
        <w:rPr>
          <w:color w:val="000000" w:themeColor="text1"/>
        </w:rPr>
      </w:pPr>
      <w:bookmarkStart w:id="87" w:name="_Hlk20315977"/>
      <w:r w:rsidRPr="005C29F8">
        <w:rPr>
          <w:color w:val="000000" w:themeColor="text1"/>
        </w:rPr>
        <w:t>The USBE reported that six resolution sessions were held due to a reporting error that counted a resolution session that occurred outside of the reporting timeframe. Only five resolution sessions occurred between July 1, 2019, and June 30, 2020.</w:t>
      </w:r>
    </w:p>
    <w:bookmarkEnd w:id="87"/>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See attachment</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See introduction, FFY19 Stakeholder Involvement and Input.</w:t>
      </w: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p>
        </w:tc>
        <w:tc>
          <w:tcPr>
            <w:tcW w:w="1798" w:type="dxa"/>
            <w:vAlign w:val="center"/>
          </w:tcPr>
          <w:p w14:paraId="2ECB17ED" w14:textId="53ECEEAF" w:rsidR="00956DFE" w:rsidRPr="00227D4B" w:rsidRDefault="00956DFE" w:rsidP="00123D76">
            <w:pPr>
              <w:jc w:val="center"/>
              <w:rPr>
                <w:bCs/>
                <w:color w:val="000000" w:themeColor="text1"/>
              </w:rPr>
            </w:pP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06890" w:rsidP="00A018D4">
            <w:pPr>
              <w:jc w:val="center"/>
              <w:rPr>
                <w:rFonts w:cs="Arial"/>
                <w:color w:val="000000" w:themeColor="text1"/>
                <w:szCs w:val="16"/>
              </w:rPr>
            </w:pP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44.44%</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44.44%</w:t>
            </w:r>
          </w:p>
        </w:tc>
        <w:tc>
          <w:tcPr>
            <w:tcW w:w="884" w:type="pct"/>
            <w:shd w:val="clear" w:color="auto" w:fill="auto"/>
          </w:tcPr>
          <w:p w14:paraId="446CA14A" w14:textId="2AFBAFDB" w:rsidR="00372DF8" w:rsidRPr="005C29F8" w:rsidRDefault="00372DF8" w:rsidP="00A018D4">
            <w:pPr>
              <w:jc w:val="center"/>
              <w:rPr>
                <w:rFonts w:cs="Arial"/>
                <w:color w:val="000000" w:themeColor="text1"/>
                <w:szCs w:val="16"/>
              </w:rPr>
            </w:pP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ten sessions. Despite having fewer than ten resolution sessions in FFY 2018, the USBE included a target of 40% for FFY 2019. When the USBE identified this inconsistency, it determined that it did not intend to set a target for FFY 2019. Therefore, the previously included target for FFY 2019 is not included in this report.</w:t>
      </w:r>
      <w:r w:rsidRPr="005C29F8">
        <w:rPr>
          <w:rFonts w:cs="Arial"/>
          <w:color w:val="000000" w:themeColor="text1"/>
          <w:szCs w:val="16"/>
        </w:rPr>
        <w:br/>
      </w:r>
      <w:r w:rsidRPr="005C29F8">
        <w:rPr>
          <w:rFonts w:cs="Arial"/>
          <w:color w:val="000000" w:themeColor="text1"/>
          <w:szCs w:val="16"/>
        </w:rPr>
        <w:br/>
        <w:t>COVID-19 had no specific, discernible impact on this indicator or its data. Three of the five resolution sessions for FFY 2019 occurred prior to March 2020. The remaining two resolution sessions were conducted virtually in the wake of COVID-19’s impact on in-person gatherings. To mitigate COVID-19’s impact on dispute resolution processes, USBE staff attended training on conducting virtual due process hearings and met with all contracted due process hearing officers to train and provide technical assistance on using virtual platforms and ensuring that dispute resolution processes continued forth despite COVID-19 restrictions.</w:t>
      </w:r>
      <w:r w:rsidRPr="005C29F8">
        <w:rPr>
          <w:rFonts w:cs="Arial"/>
          <w:color w:val="000000" w:themeColor="text1"/>
          <w:szCs w:val="16"/>
        </w:rPr>
        <w:br/>
      </w:r>
      <w:r w:rsidRPr="005C29F8">
        <w:rPr>
          <w:rFonts w:cs="Arial"/>
          <w:color w:val="000000" w:themeColor="text1"/>
          <w:szCs w:val="16"/>
        </w:rPr>
        <w:br/>
        <w:t>The USBE works proactively with families, organizations, and LEAs to provide technical assistance and support to parties needing or potentially needing access to dispute resolution services. Through a partnership with UPC, families can access Parent Consultants who can assist in resolving disputes with LEAs in an informal way through communication, IEP meeting preparation and attendance, etc.</w:t>
      </w:r>
      <w:r w:rsidRPr="005C29F8">
        <w:rPr>
          <w:rFonts w:cs="Arial"/>
          <w:color w:val="000000" w:themeColor="text1"/>
          <w:szCs w:val="16"/>
        </w:rPr>
        <w:br/>
      </w:r>
      <w:r w:rsidRPr="005C29F8">
        <w:rPr>
          <w:rFonts w:cs="Arial"/>
          <w:color w:val="000000" w:themeColor="text1"/>
          <w:szCs w:val="16"/>
        </w:rPr>
        <w:br/>
        <w:t xml:space="preserve">Corrections to the Indicator 15 data will be made during the dispute resolution reopen period of May 3, 2021 – May 26, 2021. </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br/>
      </w:r>
      <w:r w:rsidRPr="005C29F8">
        <w:rPr>
          <w:rFonts w:cs="Arial"/>
          <w:color w:val="000000" w:themeColor="text1"/>
          <w:szCs w:val="16"/>
        </w:rPr>
        <w:br/>
        <w:t xml:space="preserve">The State reported fewer than ten resolution sessions held in FFY 2019. The State is not required to provide targets until any fiscal year in which ten or more resolution sessions were held. </w:t>
      </w:r>
      <w:r w:rsidRPr="005C29F8">
        <w:rPr>
          <w:rFonts w:cs="Arial"/>
          <w:color w:val="000000" w:themeColor="text1"/>
          <w:szCs w:val="16"/>
        </w:rPr>
        <w:br/>
      </w:r>
      <w:r w:rsidRPr="005C29F8">
        <w:rPr>
          <w:rFonts w:cs="Arial"/>
          <w:color w:val="000000" w:themeColor="text1"/>
          <w:szCs w:val="16"/>
        </w:rPr>
        <w:br/>
        <w:t xml:space="preserve"> The State reports correction to the Indicator 15 data will be made during the dispute resolution reopen period May 3, 2021- May 26 2021.</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10</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YES</w:t>
      </w:r>
    </w:p>
    <w:p w14:paraId="650D2318" w14:textId="65FB88E9" w:rsidR="00FE68B6" w:rsidRPr="005C29F8" w:rsidRDefault="00FE68B6" w:rsidP="004369B2">
      <w:pPr>
        <w:rPr>
          <w:b/>
          <w:color w:val="000000" w:themeColor="text1"/>
        </w:rPr>
      </w:pPr>
      <w:r w:rsidRPr="005C29F8">
        <w:rPr>
          <w:b/>
          <w:color w:val="000000" w:themeColor="text1"/>
        </w:rPr>
        <w:t>Provide an explanation below</w:t>
      </w:r>
    </w:p>
    <w:p w14:paraId="660CFBAB" w14:textId="45F8724E" w:rsidR="0087456C" w:rsidRDefault="0087456C" w:rsidP="009B76C5">
      <w:pPr>
        <w:rPr>
          <w:color w:val="000000" w:themeColor="text1"/>
        </w:rPr>
      </w:pPr>
      <w:r w:rsidRPr="005C29F8">
        <w:rPr>
          <w:color w:val="000000" w:themeColor="text1"/>
        </w:rPr>
        <w:t>Only eight mediations occurred between July 1, 2019, and June 30, 2020. Of those eight mediation sessions held during the reporting period, five were related to due process complaints, and the other three were not related to due process complaints. In the USBE’s data reported under Section 618, the USBE had initially erroneously reported on the FFY18 APR that ten mediations were held between July 1, 2019, and June 30, 2020.</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See attachment</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See Introduction,  FFY19 Stakeholder Involvement and Input.</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87.50%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90.00%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87.50%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90.00%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68.75%</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60.00%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8</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68.75%</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60.00%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62.50%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In SFY 2020, the USBE held eight mediation sessions, five of which resulted in mediation agreements, reflecting a 62.50% measurement, and meeting its target of 60.00%. </w:t>
      </w:r>
      <w:r w:rsidRPr="005C29F8">
        <w:rPr>
          <w:rFonts w:cs="Arial"/>
          <w:color w:val="000000" w:themeColor="text1"/>
          <w:szCs w:val="16"/>
        </w:rPr>
        <w:br/>
      </w:r>
      <w:r w:rsidRPr="005C29F8">
        <w:rPr>
          <w:rFonts w:cs="Arial"/>
          <w:color w:val="000000" w:themeColor="text1"/>
          <w:szCs w:val="16"/>
        </w:rPr>
        <w:br/>
        <w:t xml:space="preserve">The USBE works proactively with families, organizations, and LEAs to provide technical assistance and support to parties needing or potentially needing access to dispute resolution services, including mediation. Through a partnership with Utah’s Parent Training and Information Center, the Utah Parent Center (UPC), families can access Parent Consultants who can assist in resolving disputes with LEAs in an informal way through communication, IEP meeting preparation and attendance, etc. </w:t>
      </w:r>
      <w:r w:rsidRPr="005C29F8">
        <w:rPr>
          <w:rFonts w:cs="Arial"/>
          <w:color w:val="000000" w:themeColor="text1"/>
          <w:szCs w:val="16"/>
        </w:rPr>
        <w:br/>
      </w:r>
      <w:r w:rsidRPr="005C29F8">
        <w:rPr>
          <w:rFonts w:cs="Arial"/>
          <w:color w:val="000000" w:themeColor="text1"/>
          <w:szCs w:val="16"/>
        </w:rPr>
        <w:br/>
        <w:t>COVID-19 had no specific, discernible impact on this indicator or its data. Five of the eight mediation sessions for FFY 2019 were completed prior to March 2020. The remaining three mediation sessions were conducted virtually in the wake of COVID-19’s impact on in-person gatherings. Two were successful, and one resulted in impasse; a 66% success rate is commensurate with the USBE’s FFY 2019 data prior to effects of COVID-19 on education. To mitigate COVID-19’s impact on dispute resolution processes, USBE staff attended training on conducting virtual mediations and stood by to provide technical assistance to all contracted mediators on using virtual platforms (if needed) and ensuring that dispute resolution processes continued forth despite COVID-19 restrictions.</w:t>
      </w:r>
      <w:r w:rsidRPr="005C29F8">
        <w:rPr>
          <w:rFonts w:cs="Arial"/>
          <w:color w:val="000000" w:themeColor="text1"/>
          <w:szCs w:val="16"/>
        </w:rPr>
        <w:br/>
      </w:r>
      <w:r w:rsidRPr="005C29F8">
        <w:rPr>
          <w:rFonts w:cs="Arial"/>
          <w:color w:val="000000" w:themeColor="text1"/>
          <w:szCs w:val="16"/>
        </w:rPr>
        <w:br/>
        <w:t xml:space="preserve">Corrections to the Indicator 16 data will be made during the dispute resolution reopen period of May 3, 2021 – May 26, 2021.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br/>
      </w:r>
      <w:r w:rsidRPr="005C29F8">
        <w:rPr>
          <w:rFonts w:cs="Arial"/>
          <w:color w:val="000000" w:themeColor="text1"/>
          <w:szCs w:val="16"/>
        </w:rPr>
        <w:br/>
        <w:t>The State reported fewer than ten mediations held in FFY 2019. The State is not required to meet its targets until any fiscal year in which ten or more mediations were held.</w:t>
      </w:r>
      <w:r w:rsidRPr="005C29F8">
        <w:rPr>
          <w:rFonts w:cs="Arial"/>
          <w:color w:val="000000" w:themeColor="text1"/>
          <w:szCs w:val="16"/>
        </w:rPr>
        <w:br/>
      </w:r>
      <w:r w:rsidRPr="005C29F8">
        <w:rPr>
          <w:rFonts w:cs="Arial"/>
          <w:color w:val="000000" w:themeColor="text1"/>
          <w:szCs w:val="16"/>
        </w:rPr>
        <w:br/>
        <w:t>The State reports correction to the Indicator 16 data will be made during the dispute resolution reopen period May 3, 2021- May 26 2021.</w:t>
      </w:r>
    </w:p>
    <w:p w14:paraId="794D5FB9" w14:textId="7A184B06" w:rsidR="00635970" w:rsidRPr="005C29F8" w:rsidRDefault="001C46DC" w:rsidP="002A7037">
      <w:pPr>
        <w:pStyle w:val="Heading2"/>
      </w:pPr>
      <w:r w:rsidRPr="0033429D">
        <w:t>16 - Required Actions</w:t>
      </w:r>
    </w:p>
    <w:p w14:paraId="5DA37934" w14:textId="77777777" w:rsidR="00F57C78" w:rsidRDefault="00F57C78">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36F49A34" w14:textId="2931269F" w:rsidR="00635970" w:rsidRDefault="000337AC" w:rsidP="000337AC">
      <w:pPr>
        <w:pStyle w:val="Heading1"/>
        <w:rPr>
          <w:rStyle w:val="normaltextrun"/>
          <w:rFonts w:cs="Arial"/>
          <w:color w:val="000000"/>
          <w:shd w:val="clear" w:color="auto" w:fill="FFFFFF"/>
        </w:rPr>
      </w:pPr>
      <w:r>
        <w:rPr>
          <w:rStyle w:val="normaltextrun"/>
          <w:rFonts w:cs="Arial"/>
          <w:color w:val="000000"/>
          <w:shd w:val="clear" w:color="auto" w:fill="FFFFFF"/>
        </w:rPr>
        <w:lastRenderedPageBreak/>
        <w:t>Indicator 17: State Systemic Improvement Plan </w:t>
      </w:r>
    </w:p>
    <w:p w14:paraId="33ACDF47" w14:textId="09FE7EC3" w:rsidR="000337AC" w:rsidRDefault="000337AC" w:rsidP="000337AC"/>
    <w:p w14:paraId="0351BBC3" w14:textId="64AF1656" w:rsidR="000337AC" w:rsidRPr="000337AC" w:rsidRDefault="002A7037" w:rsidP="002A7037">
      <w:r>
        <w:object w:dxaOrig="1508" w:dyaOrig="983" w14:anchorId="294D4629">
          <v:shape id="_x0000_i1029" type="#_x0000_t75" alt="UTFFY2019PartBInd17APR" style="width:75.75pt;height:48.75pt" o:ole="">
            <v:imagedata r:id="rId18" o:title=""/>
          </v:shape>
          <o:OLEObject Type="Embed" ProgID="Acrobat.Document.DC" ShapeID="_x0000_i1029" DrawAspect="Icon" ObjectID="_1689410571" r:id="rId19"/>
        </w:object>
      </w: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Leah Voorhies</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Assistant Superintendent of Student Support (State 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leah.voorhies@schools.utah.gov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8015387898</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7559C55F"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5:40:15</w:t>
      </w:r>
      <w:proofErr w:type="gramEnd"/>
      <w:r w:rsidRPr="006879FA">
        <w:rPr>
          <w:rFonts w:cs="Arial"/>
          <w:color w:val="000000" w:themeColor="text1"/>
          <w:szCs w:val="16"/>
        </w:rPr>
        <w:t xml:space="preserve"> PM</w:t>
      </w:r>
    </w:p>
    <w:p w14:paraId="0FF5B763" w14:textId="60891DC4" w:rsidR="00AC1608" w:rsidRDefault="00AC1608" w:rsidP="000657F0">
      <w:pPr>
        <w:autoSpaceDE w:val="0"/>
        <w:autoSpaceDN w:val="0"/>
        <w:adjustRightInd w:val="0"/>
        <w:rPr>
          <w:rFonts w:cs="Arial"/>
          <w:color w:val="000000" w:themeColor="text1"/>
          <w:szCs w:val="16"/>
        </w:rPr>
      </w:pPr>
    </w:p>
    <w:p w14:paraId="55E4DB41" w14:textId="77777777" w:rsidR="00F57C78" w:rsidRDefault="00F57C78">
      <w:pPr>
        <w:spacing w:before="0" w:after="200" w:line="276" w:lineRule="auto"/>
        <w:rPr>
          <w:rFonts w:eastAsiaTheme="majorEastAsia" w:cstheme="majorBidi"/>
          <w:b/>
          <w:bCs/>
          <w:sz w:val="20"/>
          <w:szCs w:val="28"/>
        </w:rPr>
      </w:pPr>
      <w:r>
        <w:br w:type="page"/>
      </w:r>
    </w:p>
    <w:p w14:paraId="0747C904" w14:textId="23F05475" w:rsidR="00AC1608" w:rsidRDefault="00AC1608" w:rsidP="00AC1608">
      <w:pPr>
        <w:pStyle w:val="Heading1"/>
      </w:pPr>
      <w:r>
        <w:lastRenderedPageBreak/>
        <w:t>ED Attachments</w:t>
      </w:r>
    </w:p>
    <w:p w14:paraId="12D0AA5C" w14:textId="6A243B60" w:rsidR="00AC1608" w:rsidRDefault="00AC1608" w:rsidP="00AC1608"/>
    <w:p w14:paraId="0B06B54F" w14:textId="2867F625" w:rsidR="00AC1608" w:rsidRPr="00AC1608" w:rsidRDefault="000F39A6" w:rsidP="002A7037">
      <w:r>
        <w:object w:dxaOrig="1376" w:dyaOrig="893" w14:anchorId="7F333B83">
          <v:shape id="_x0000_i1038" type="#_x0000_t75" alt="ut-resultsmatrix-2021b" style="width:69pt;height:44.25pt" o:ole="">
            <v:imagedata r:id="rId20" o:title=""/>
          </v:shape>
          <o:OLEObject Type="Embed" ProgID="Acrobat.Document.DC" ShapeID="_x0000_i1038" DrawAspect="Icon" ObjectID="_1689410572" r:id="rId21"/>
        </w:object>
      </w:r>
      <w:r>
        <w:tab/>
      </w:r>
      <w:r w:rsidR="004D3673">
        <w:t xml:space="preserve"> </w:t>
      </w:r>
      <w:r w:rsidR="007F55E2">
        <w:tab/>
      </w:r>
      <w:r>
        <w:object w:dxaOrig="1508" w:dyaOrig="983" w14:anchorId="04EA41F0">
          <v:shape id="_x0000_i1031" type="#_x0000_t75" alt="UT-2021DataRubricPartB" style="width:75.75pt;height:48.75pt" o:ole="">
            <v:imagedata r:id="rId22" o:title=""/>
          </v:shape>
          <o:OLEObject Type="Embed" ProgID="Excel.Sheet.12" ShapeID="_x0000_i1031" DrawAspect="Icon" ObjectID="_1689410573" r:id="rId23"/>
        </w:object>
      </w:r>
      <w:r w:rsidR="004D3673">
        <w:t xml:space="preserve"> </w:t>
      </w:r>
      <w:r w:rsidR="007F55E2">
        <w:tab/>
      </w:r>
      <w:r w:rsidR="002A7037">
        <w:object w:dxaOrig="1508" w:dyaOrig="983" w14:anchorId="199947F2">
          <v:shape id="_x0000_i1032" type="#_x0000_t75" alt="UT-B-Dispute-Resolution-2019-20" style="width:75.75pt;height:48.75pt" o:ole="">
            <v:imagedata r:id="rId24" o:title=""/>
          </v:shape>
          <o:OLEObject Type="Embed" ProgID="Acrobat.Document.DC" ShapeID="_x0000_i1032" DrawAspect="Icon" ObjectID="_1689410574" r:id="rId25"/>
        </w:object>
      </w:r>
    </w:p>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6"/>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832A3" w14:textId="77777777" w:rsidR="00F96359" w:rsidRDefault="00F96359" w:rsidP="000802F7">
      <w:pPr>
        <w:spacing w:before="0" w:after="0"/>
      </w:pPr>
      <w:r>
        <w:separator/>
      </w:r>
    </w:p>
  </w:endnote>
  <w:endnote w:type="continuationSeparator" w:id="0">
    <w:p w14:paraId="67833A07" w14:textId="77777777" w:rsidR="00F96359" w:rsidRDefault="00F96359" w:rsidP="000802F7">
      <w:pPr>
        <w:spacing w:before="0" w:after="0"/>
      </w:pPr>
      <w:r>
        <w:continuationSeparator/>
      </w:r>
    </w:p>
  </w:endnote>
  <w:endnote w:type="continuationNotice" w:id="1">
    <w:p w14:paraId="6FC73B02" w14:textId="77777777" w:rsidR="00F96359" w:rsidRDefault="00F963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D60E9" w14:textId="77777777" w:rsidR="00F96359" w:rsidRDefault="00F96359" w:rsidP="000802F7">
      <w:pPr>
        <w:spacing w:before="0" w:after="0"/>
      </w:pPr>
      <w:r>
        <w:separator/>
      </w:r>
    </w:p>
  </w:footnote>
  <w:footnote w:type="continuationSeparator" w:id="0">
    <w:p w14:paraId="61350C40" w14:textId="77777777" w:rsidR="00F96359" w:rsidRDefault="00F96359" w:rsidP="000802F7">
      <w:pPr>
        <w:spacing w:before="0" w:after="0"/>
      </w:pPr>
      <w:r>
        <w:continuationSeparator/>
      </w:r>
    </w:p>
  </w:footnote>
  <w:footnote w:type="continuationNotice" w:id="1">
    <w:p w14:paraId="3840545D" w14:textId="77777777" w:rsidR="00F96359" w:rsidRDefault="00F96359">
      <w:pPr>
        <w:spacing w:before="0" w:after="0"/>
      </w:pPr>
    </w:p>
  </w:footnote>
  <w:footnote w:id="2">
    <w:p w14:paraId="0A20D5F3" w14:textId="4139FE85" w:rsidR="002F5C06" w:rsidRPr="002F5C06" w:rsidRDefault="002F5C06">
      <w:pPr>
        <w:pStyle w:val="FootnoteText"/>
        <w:rPr>
          <w:sz w:val="16"/>
          <w:szCs w:val="16"/>
        </w:rPr>
      </w:pPr>
      <w:r w:rsidRPr="002F5C06">
        <w:rPr>
          <w:rStyle w:val="FootnoteReference"/>
          <w:sz w:val="16"/>
          <w:szCs w:val="16"/>
        </w:rPr>
        <w:footnoteRef/>
      </w:r>
      <w:r w:rsidRPr="002F5C06">
        <w:rPr>
          <w:sz w:val="16"/>
          <w:szCs w:val="16"/>
        </w:rPr>
        <w:t xml:space="preserve"> Data suppressed due to privacy protection</w:t>
      </w:r>
    </w:p>
  </w:footnote>
  <w:footnote w:id="3">
    <w:p w14:paraId="5EFE8C14" w14:textId="2EF2895A" w:rsidR="002F5C06" w:rsidRDefault="002F5C06">
      <w:pPr>
        <w:pStyle w:val="FootnoteText"/>
      </w:pPr>
      <w:r w:rsidRPr="002F5C06">
        <w:rPr>
          <w:rStyle w:val="FootnoteReference"/>
          <w:sz w:val="16"/>
          <w:szCs w:val="16"/>
        </w:rPr>
        <w:footnoteRef/>
      </w:r>
      <w:r w:rsidRPr="002F5C06">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8"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37AC"/>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39A6"/>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32F"/>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37"/>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C06"/>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031"/>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0D4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75F"/>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3673"/>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4EA3"/>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70"/>
    <w:rsid w:val="006359CF"/>
    <w:rsid w:val="00636061"/>
    <w:rsid w:val="00636B0E"/>
    <w:rsid w:val="00637626"/>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62C"/>
    <w:rsid w:val="006C688C"/>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29A4"/>
    <w:rsid w:val="007E3073"/>
    <w:rsid w:val="007E4314"/>
    <w:rsid w:val="007E4572"/>
    <w:rsid w:val="007E5038"/>
    <w:rsid w:val="007E57D2"/>
    <w:rsid w:val="007E58E3"/>
    <w:rsid w:val="007E5DE7"/>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5E2"/>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9E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3C3"/>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23F"/>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07A9C"/>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25A"/>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0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2DB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6FD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532"/>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3E83"/>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18B"/>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0F77"/>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14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8F7"/>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57C78"/>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359"/>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033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032644-CC31-4C5C-82FD-797FBC2E0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28792</Words>
  <Characters>164121</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9</cp:revision>
  <cp:lastPrinted>2014-08-19T16:56:00Z</cp:lastPrinted>
  <dcterms:created xsi:type="dcterms:W3CDTF">2021-07-23T21:26:00Z</dcterms:created>
  <dcterms:modified xsi:type="dcterms:W3CDTF">2021-08-02T15:31:00Z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2809a442-61e9-4939-888d-a316d026a8b1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