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31E56" w14:textId="77777777" w:rsidR="007B35BE" w:rsidRPr="00781112" w:rsidRDefault="007B35BE" w:rsidP="0033429D">
      <w:pPr>
        <w:autoSpaceDE w:val="0"/>
        <w:autoSpaceDN w:val="0"/>
        <w:adjustRightInd w:val="0"/>
        <w:spacing w:before="1800"/>
        <w:jc w:val="center"/>
        <w:rPr>
          <w:rFonts w:cs="Arial"/>
          <w:b/>
          <w:bCs/>
          <w:smallCaps/>
          <w:color w:val="000000" w:themeColor="text1"/>
          <w:sz w:val="32"/>
          <w:szCs w:val="32"/>
        </w:rPr>
      </w:pPr>
      <w:bookmarkStart w:id="0" w:name="_Hlk121691473"/>
      <w:bookmarkStart w:id="1" w:name="_Toc382082357"/>
      <w:bookmarkStart w:id="2" w:name="_Toc392159258"/>
      <w:bookmarkStart w:id="3" w:name="_Hlk110866287"/>
      <w:bookmarkEnd w:id="0"/>
      <w:r w:rsidRPr="00781112">
        <w:rPr>
          <w:rFonts w:cs="Arial"/>
          <w:b/>
          <w:bCs/>
          <w:smallCaps/>
          <w:color w:val="000000" w:themeColor="text1"/>
          <w:sz w:val="32"/>
          <w:szCs w:val="32"/>
        </w:rPr>
        <w:t>State Performance Plan / Annual Performance Report: Part B</w:t>
      </w:r>
    </w:p>
    <w:p w14:paraId="775F9C1C" w14:textId="05570B0D" w:rsidR="007B35BE" w:rsidRPr="00781112" w:rsidRDefault="007B35BE" w:rsidP="007B35BE">
      <w:pPr>
        <w:autoSpaceDE w:val="0"/>
        <w:autoSpaceDN w:val="0"/>
        <w:adjustRightInd w:val="0"/>
        <w:spacing w:before="360"/>
        <w:jc w:val="center"/>
        <w:rPr>
          <w:rFonts w:cs="Arial"/>
          <w:b/>
          <w:bCs/>
          <w:color w:val="000000" w:themeColor="text1"/>
          <w:sz w:val="24"/>
          <w:szCs w:val="24"/>
        </w:rPr>
      </w:pPr>
      <w:r w:rsidRPr="00781112">
        <w:rPr>
          <w:rFonts w:cs="Arial"/>
          <w:b/>
          <w:bCs/>
          <w:color w:val="000000" w:themeColor="text1"/>
          <w:sz w:val="24"/>
          <w:szCs w:val="24"/>
        </w:rPr>
        <w:t>for STATE FORMULA GRANT PROGRAMS under the Individuals with Disabilities Education Act</w:t>
      </w:r>
    </w:p>
    <w:p w14:paraId="29F4DA54" w14:textId="450F569A" w:rsidR="007B35BE" w:rsidRPr="00781112" w:rsidRDefault="007B35BE" w:rsidP="007B35BE">
      <w:pPr>
        <w:autoSpaceDE w:val="0"/>
        <w:autoSpaceDN w:val="0"/>
        <w:adjustRightInd w:val="0"/>
        <w:spacing w:before="360"/>
        <w:jc w:val="center"/>
        <w:rPr>
          <w:rFonts w:cs="Arial"/>
          <w:b/>
          <w:bCs/>
          <w:color w:val="000000" w:themeColor="text1"/>
          <w:sz w:val="28"/>
          <w:szCs w:val="28"/>
        </w:rPr>
      </w:pPr>
      <w:r w:rsidRPr="00781112">
        <w:rPr>
          <w:rFonts w:cs="Arial"/>
          <w:b/>
          <w:bCs/>
          <w:color w:val="000000" w:themeColor="text1"/>
          <w:sz w:val="24"/>
          <w:szCs w:val="24"/>
        </w:rPr>
        <w:t xml:space="preserve">For reporting on </w:t>
      </w:r>
      <w:r w:rsidRPr="00781112">
        <w:rPr>
          <w:rFonts w:cs="Arial"/>
          <w:b/>
          <w:bCs/>
          <w:color w:val="000000" w:themeColor="text1"/>
          <w:sz w:val="24"/>
          <w:szCs w:val="24"/>
        </w:rPr>
        <w:br/>
      </w:r>
      <w:r w:rsidRPr="00781112">
        <w:rPr>
          <w:rFonts w:cs="Arial"/>
          <w:b/>
          <w:bCs/>
          <w:color w:val="000000" w:themeColor="text1"/>
          <w:sz w:val="28"/>
          <w:szCs w:val="28"/>
        </w:rPr>
        <w:t xml:space="preserve">FFY </w:t>
      </w:r>
      <w:r w:rsidR="00F46F21">
        <w:rPr>
          <w:rFonts w:cs="Arial"/>
          <w:b/>
          <w:bCs/>
          <w:color w:val="000000" w:themeColor="text1"/>
          <w:sz w:val="28"/>
          <w:szCs w:val="28"/>
        </w:rPr>
        <w:t>2021</w:t>
      </w:r>
    </w:p>
    <w:p w14:paraId="3168A19B" w14:textId="77777777" w:rsidR="007B35BE" w:rsidRPr="00781112" w:rsidRDefault="007B35BE" w:rsidP="007B35BE">
      <w:pPr>
        <w:autoSpaceDE w:val="0"/>
        <w:autoSpaceDN w:val="0"/>
        <w:adjustRightInd w:val="0"/>
        <w:spacing w:before="360"/>
        <w:jc w:val="center"/>
        <w:rPr>
          <w:rFonts w:cs="Arial"/>
          <w:b/>
          <w:bCs/>
          <w:color w:val="000000" w:themeColor="text1"/>
          <w:sz w:val="32"/>
          <w:szCs w:val="32"/>
        </w:rPr>
      </w:pPr>
      <w:r w:rsidRPr="00781112">
        <w:rPr>
          <w:rFonts w:cs="Arial"/>
          <w:b/>
          <w:bCs/>
          <w:color w:val="000000" w:themeColor="text1"/>
          <w:sz w:val="32"/>
          <w:szCs w:val="32"/>
        </w:rPr>
        <w:t>Utah</w:t>
      </w:r>
    </w:p>
    <w:p w14:paraId="160C9007" w14:textId="77777777" w:rsidR="007B35BE" w:rsidRPr="00781112" w:rsidRDefault="007B35BE" w:rsidP="007B35BE">
      <w:pPr>
        <w:autoSpaceDE w:val="0"/>
        <w:autoSpaceDN w:val="0"/>
        <w:adjustRightInd w:val="0"/>
        <w:spacing w:before="360"/>
        <w:jc w:val="center"/>
        <w:rPr>
          <w:rFonts w:cs="Arial"/>
          <w:b/>
          <w:bCs/>
          <w:color w:val="000000" w:themeColor="text1"/>
          <w:sz w:val="24"/>
          <w:szCs w:val="24"/>
        </w:rPr>
      </w:pPr>
      <w:r w:rsidRPr="00781112">
        <w:rPr>
          <w:rFonts w:cs="Arial"/>
          <w:noProof/>
          <w:color w:val="000000" w:themeColor="text1"/>
          <w:sz w:val="24"/>
          <w:szCs w:val="24"/>
        </w:rPr>
        <w:drawing>
          <wp:inline distT="0" distB="0" distL="0" distR="0" wp14:anchorId="135639EF" wp14:editId="6DF93301">
            <wp:extent cx="2281963" cy="2286000"/>
            <wp:effectExtent l="0" t="0" r="4445" b="0"/>
            <wp:docPr id="2" name="Picture 2" descr="U.S. Department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U.S. Department of Education seal"/>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81963" cy="2286000"/>
                    </a:xfrm>
                    <a:prstGeom prst="rect">
                      <a:avLst/>
                    </a:prstGeom>
                  </pic:spPr>
                </pic:pic>
              </a:graphicData>
            </a:graphic>
          </wp:inline>
        </w:drawing>
      </w:r>
    </w:p>
    <w:p w14:paraId="7AFE126A" w14:textId="787A2317" w:rsidR="007B35BE" w:rsidRPr="00781112" w:rsidRDefault="007B35BE" w:rsidP="007B35BE">
      <w:pPr>
        <w:autoSpaceDE w:val="0"/>
        <w:autoSpaceDN w:val="0"/>
        <w:adjustRightInd w:val="0"/>
        <w:spacing w:before="360"/>
        <w:jc w:val="center"/>
        <w:rPr>
          <w:rFonts w:cs="Arial"/>
          <w:b/>
          <w:bCs/>
          <w:color w:val="000000" w:themeColor="text1"/>
          <w:sz w:val="24"/>
          <w:szCs w:val="24"/>
        </w:rPr>
      </w:pPr>
      <w:r w:rsidRPr="00781112">
        <w:rPr>
          <w:rFonts w:cs="Arial"/>
          <w:b/>
          <w:bCs/>
          <w:color w:val="000000" w:themeColor="text1"/>
          <w:sz w:val="24"/>
          <w:szCs w:val="24"/>
        </w:rPr>
        <w:t>PART B DUE February 1, 2023</w:t>
      </w:r>
    </w:p>
    <w:p w14:paraId="00155D5B" w14:textId="77777777" w:rsidR="007B35BE" w:rsidRPr="00781112" w:rsidRDefault="007B35BE" w:rsidP="007B35BE">
      <w:pPr>
        <w:autoSpaceDE w:val="0"/>
        <w:autoSpaceDN w:val="0"/>
        <w:adjustRightInd w:val="0"/>
        <w:spacing w:before="360"/>
        <w:jc w:val="center"/>
        <w:rPr>
          <w:rFonts w:cs="Arial"/>
          <w:b/>
          <w:bCs/>
          <w:color w:val="000000" w:themeColor="text1"/>
          <w:sz w:val="18"/>
          <w:szCs w:val="18"/>
        </w:rPr>
      </w:pPr>
      <w:r w:rsidRPr="00781112">
        <w:rPr>
          <w:rFonts w:cs="Arial"/>
          <w:b/>
          <w:bCs/>
          <w:color w:val="000000" w:themeColor="text1"/>
          <w:sz w:val="18"/>
          <w:szCs w:val="18"/>
        </w:rPr>
        <w:t>U.S. DEPARTMENT OF EDUCATION</w:t>
      </w:r>
    </w:p>
    <w:p w14:paraId="4EAB0E73" w14:textId="660D4F64" w:rsidR="007B35BE" w:rsidRPr="00781112" w:rsidRDefault="007B35BE" w:rsidP="007B35BE">
      <w:pPr>
        <w:jc w:val="center"/>
        <w:rPr>
          <w:rFonts w:cs="Arial"/>
          <w:b/>
          <w:bCs/>
          <w:color w:val="000000" w:themeColor="text1"/>
          <w:sz w:val="18"/>
          <w:szCs w:val="18"/>
        </w:rPr>
      </w:pPr>
      <w:r w:rsidRPr="00781112">
        <w:rPr>
          <w:rFonts w:cs="Arial"/>
          <w:b/>
          <w:bCs/>
          <w:color w:val="000000" w:themeColor="text1"/>
          <w:sz w:val="18"/>
          <w:szCs w:val="18"/>
        </w:rPr>
        <w:t>WASHINGTON, DC 20202</w:t>
      </w:r>
    </w:p>
    <w:p w14:paraId="27ABABDC" w14:textId="7FECEC69" w:rsidR="00AB39FB" w:rsidRPr="00781112" w:rsidRDefault="00AB39FB">
      <w:pPr>
        <w:spacing w:before="0" w:after="200" w:line="276" w:lineRule="auto"/>
        <w:rPr>
          <w:rFonts w:cs="Arial"/>
          <w:b/>
          <w:bCs/>
          <w:color w:val="000000" w:themeColor="text1"/>
          <w:sz w:val="18"/>
          <w:szCs w:val="18"/>
        </w:rPr>
      </w:pPr>
      <w:r w:rsidRPr="00781112">
        <w:rPr>
          <w:rFonts w:cs="Arial"/>
          <w:b/>
          <w:bCs/>
          <w:color w:val="000000" w:themeColor="text1"/>
          <w:sz w:val="18"/>
          <w:szCs w:val="18"/>
        </w:rPr>
        <w:br w:type="page"/>
      </w:r>
    </w:p>
    <w:p w14:paraId="3F368203" w14:textId="77777777" w:rsidR="00AB39FB" w:rsidRPr="00781112" w:rsidRDefault="00AB39FB" w:rsidP="007B35BE">
      <w:pPr>
        <w:jc w:val="center"/>
        <w:rPr>
          <w:rFonts w:cs="Arial"/>
          <w:b/>
          <w:bCs/>
          <w:color w:val="000000" w:themeColor="text1"/>
          <w:sz w:val="18"/>
          <w:szCs w:val="18"/>
        </w:rPr>
      </w:pPr>
    </w:p>
    <w:p w14:paraId="0E7D29A1" w14:textId="2C077CCB" w:rsidR="00AF5649" w:rsidRPr="00781112" w:rsidRDefault="00AF5649" w:rsidP="007D435F">
      <w:pPr>
        <w:pStyle w:val="Heading1"/>
        <w:rPr>
          <w:rFonts w:cs="Arial"/>
          <w:color w:val="000000" w:themeColor="text1"/>
          <w:szCs w:val="20"/>
        </w:rPr>
      </w:pPr>
      <w:r w:rsidRPr="00781112">
        <w:rPr>
          <w:rFonts w:cs="Arial"/>
          <w:color w:val="000000" w:themeColor="text1"/>
          <w:szCs w:val="20"/>
        </w:rPr>
        <w:t>Introduction</w:t>
      </w:r>
    </w:p>
    <w:p w14:paraId="5B9171B6" w14:textId="1B94FDAA" w:rsidR="007742F1" w:rsidRPr="00781112" w:rsidRDefault="007742F1" w:rsidP="00A018D4">
      <w:pPr>
        <w:rPr>
          <w:rFonts w:asciiTheme="majorHAnsi" w:hAnsiTheme="majorHAnsi"/>
          <w:color w:val="000000" w:themeColor="text1"/>
          <w:sz w:val="20"/>
          <w:szCs w:val="20"/>
        </w:rPr>
      </w:pPr>
      <w:r w:rsidRPr="00781112">
        <w:rPr>
          <w:b/>
          <w:color w:val="000000" w:themeColor="text1"/>
          <w:sz w:val="20"/>
          <w:szCs w:val="20"/>
        </w:rPr>
        <w:t>Instructions</w:t>
      </w:r>
    </w:p>
    <w:p w14:paraId="696881EF" w14:textId="783B44AF" w:rsidR="00AA4DAF" w:rsidRPr="00781112" w:rsidRDefault="00AA4DAF" w:rsidP="00A84FF8">
      <w:pPr>
        <w:rPr>
          <w:rFonts w:cs="Arial"/>
          <w:color w:val="000000" w:themeColor="text1"/>
          <w:szCs w:val="16"/>
        </w:rPr>
      </w:pPr>
      <w:r w:rsidRPr="00781112">
        <w:rPr>
          <w:rFonts w:cs="Arial"/>
          <w:color w:val="000000" w:themeColor="text1"/>
          <w:szCs w:val="16"/>
          <w:shd w:val="clear" w:color="auto" w:fill="FFFFFF"/>
        </w:rPr>
        <w:t>Provide sufficient detail to ensure that the Secretary and the public are informed of and understand the State’s systems designed to drive improved results for students with disabilities and to ensure that the State Educational Agency (SEA) and Local Educational Agencies (LEAs) meet the requirements of IDEA Part B. This introduction must include descriptions of the State’s General Supervision System, Technical Assistance System, Professional Development System, Stakeholder Involvement, and Reporting to the Public.</w:t>
      </w:r>
    </w:p>
    <w:p w14:paraId="4A333302" w14:textId="1EA6D8FF" w:rsidR="007742F1" w:rsidRPr="00781112" w:rsidRDefault="00684B51" w:rsidP="008645AD">
      <w:pPr>
        <w:pStyle w:val="Heading2"/>
      </w:pPr>
      <w:r w:rsidRPr="00781112">
        <w:t xml:space="preserve">Intro - </w:t>
      </w:r>
      <w:r w:rsidR="007742F1" w:rsidRPr="00781112">
        <w:t>Indicator Data</w:t>
      </w:r>
    </w:p>
    <w:p w14:paraId="72B2C3E7" w14:textId="53819907" w:rsidR="00AF5649" w:rsidRPr="00781112" w:rsidRDefault="00AF5649" w:rsidP="004369B2">
      <w:pPr>
        <w:rPr>
          <w:color w:val="000000" w:themeColor="text1"/>
        </w:rPr>
      </w:pPr>
      <w:r w:rsidRPr="00781112">
        <w:rPr>
          <w:b/>
          <w:color w:val="000000" w:themeColor="text1"/>
        </w:rPr>
        <w:t xml:space="preserve">Executive Summary </w:t>
      </w:r>
    </w:p>
    <w:p w14:paraId="04B2974F" w14:textId="0DF01750" w:rsidR="000C24C2" w:rsidRPr="00781112" w:rsidRDefault="002B7490" w:rsidP="00AF5649">
      <w:pPr>
        <w:rPr>
          <w:rFonts w:cs="Arial"/>
          <w:color w:val="000000" w:themeColor="text1"/>
          <w:szCs w:val="16"/>
        </w:rPr>
      </w:pPr>
      <w:r w:rsidRPr="00781112">
        <w:rPr>
          <w:rFonts w:cs="Arial"/>
          <w:color w:val="000000" w:themeColor="text1"/>
          <w:szCs w:val="16"/>
        </w:rPr>
        <w:t>In FFY 2021, Utah met 26 of 51 targets of the applicable Part B State Performance Plan/Annual Performance Report (SPP/APR) indicators. These included indicators measuring drop out, assessments, suspension/expulsion, educational environments, preschool outcomes, parent involvement, post-school outcomes, and resolution sessions.</w:t>
      </w:r>
      <w:r w:rsidRPr="00781112">
        <w:rPr>
          <w:rFonts w:cs="Arial"/>
          <w:color w:val="000000" w:themeColor="text1"/>
          <w:szCs w:val="16"/>
        </w:rPr>
        <w:br/>
      </w:r>
      <w:r w:rsidRPr="00781112">
        <w:rPr>
          <w:rFonts w:cs="Arial"/>
          <w:color w:val="000000" w:themeColor="text1"/>
          <w:szCs w:val="16"/>
        </w:rPr>
        <w:br/>
        <w:t>All FFY 2021 indicator data has been reviewed extensively by the Utah State Board of Education Special Education Services (USBE SES) section to ensure a meaningful and continuous process that focuses on improving academic and social outcomes for students with disabilities (SWD) by linking local education agency (LEA) data to improvement efforts.</w:t>
      </w:r>
      <w:r w:rsidRPr="00781112">
        <w:rPr>
          <w:rFonts w:cs="Arial"/>
          <w:color w:val="000000" w:themeColor="text1"/>
          <w:szCs w:val="16"/>
        </w:rPr>
        <w:br/>
      </w:r>
      <w:r w:rsidRPr="00781112">
        <w:rPr>
          <w:rFonts w:cs="Arial"/>
          <w:color w:val="000000" w:themeColor="text1"/>
          <w:szCs w:val="16"/>
        </w:rPr>
        <w:br/>
        <w:t>The extensive review of Indicator 1, 2, and 3 data identified discrepancies between USBE SES data and pre-populated data on EDFacts Metadata and Process System (EMAPS). All discrepancies are noted in the narratives and include correct data or access to correct data.</w:t>
      </w:r>
      <w:r w:rsidRPr="00781112">
        <w:rPr>
          <w:rFonts w:cs="Arial"/>
          <w:color w:val="000000" w:themeColor="text1"/>
          <w:szCs w:val="16"/>
        </w:rPr>
        <w:br/>
      </w:r>
      <w:r w:rsidRPr="00781112">
        <w:rPr>
          <w:rFonts w:cs="Arial"/>
          <w:color w:val="000000" w:themeColor="text1"/>
          <w:szCs w:val="16"/>
        </w:rPr>
        <w:br/>
        <w:t xml:space="preserve">Indicators 4, 9, and 10 were reviewed and researched extensively during FFY 2021. The IDEA Data Center (IDC) helped the USBE SES redetermine calculations, more appropriately identify LEAs, and improve the process for ensuring compliance. This led to increases in identification and the inability to meet targets. We regret that we were unable to meet these targets but consider it more important to identify and support needs within the LEAs. </w:t>
      </w:r>
      <w:r w:rsidRPr="00781112">
        <w:rPr>
          <w:rFonts w:cs="Arial"/>
          <w:color w:val="000000" w:themeColor="text1"/>
          <w:szCs w:val="16"/>
        </w:rPr>
        <w:br/>
      </w:r>
      <w:r w:rsidRPr="00781112">
        <w:rPr>
          <w:rFonts w:cs="Arial"/>
          <w:color w:val="000000" w:themeColor="text1"/>
          <w:szCs w:val="16"/>
        </w:rPr>
        <w:br/>
        <w:t xml:space="preserve">The COVID-19 pandemic continued to impact Utah schools. During the 2021–2022 school year, most LEAs returned to traditional formats including virtual and in-person learning. Recoupment of lost learning is reflected in assessment data found in Indicator 3. </w:t>
      </w:r>
      <w:r w:rsidRPr="00781112">
        <w:rPr>
          <w:rFonts w:cs="Arial"/>
          <w:color w:val="000000" w:themeColor="text1"/>
          <w:szCs w:val="16"/>
        </w:rPr>
        <w:br/>
      </w:r>
      <w:r w:rsidRPr="00781112">
        <w:rPr>
          <w:rFonts w:cs="Arial"/>
          <w:color w:val="000000" w:themeColor="text1"/>
          <w:szCs w:val="16"/>
        </w:rPr>
        <w:br/>
        <w:t>Utah values the findings of this SPP/APR and continues to align efforts and budgets to address those areas most impactful to student outcomes.</w:t>
      </w:r>
    </w:p>
    <w:p w14:paraId="223A8781" w14:textId="77777777" w:rsidR="00757D21" w:rsidRPr="00781112" w:rsidRDefault="00757D21" w:rsidP="002536C1">
      <w:pPr>
        <w:rPr>
          <w:b/>
          <w:bCs/>
        </w:rPr>
      </w:pPr>
      <w:r w:rsidRPr="00781112">
        <w:rPr>
          <w:b/>
          <w:bCs/>
        </w:rPr>
        <w:t>Additional information related to data collection and reporting</w:t>
      </w:r>
    </w:p>
    <w:p w14:paraId="614EAC72" w14:textId="596641E7" w:rsidR="00757D21" w:rsidRPr="00781112" w:rsidRDefault="00757D21">
      <w:pPr>
        <w:rPr>
          <w:b/>
          <w:color w:val="000000" w:themeColor="text1"/>
        </w:rPr>
      </w:pPr>
    </w:p>
    <w:p w14:paraId="4ADBDC7F" w14:textId="2CA8C307" w:rsidR="00C01339" w:rsidRPr="00781112" w:rsidRDefault="00AF5649">
      <w:pPr>
        <w:rPr>
          <w:b/>
          <w:color w:val="000000" w:themeColor="text1"/>
        </w:rPr>
      </w:pPr>
      <w:r w:rsidRPr="00781112">
        <w:rPr>
          <w:b/>
          <w:color w:val="000000" w:themeColor="text1"/>
        </w:rPr>
        <w:t xml:space="preserve">Number of Districts in your State/Territory during reporting year </w:t>
      </w:r>
    </w:p>
    <w:p w14:paraId="36C38539" w14:textId="1E194795" w:rsidR="00AF5649" w:rsidRPr="00781112" w:rsidRDefault="002B7490" w:rsidP="004369B2">
      <w:pPr>
        <w:rPr>
          <w:color w:val="000000" w:themeColor="text1"/>
        </w:rPr>
      </w:pPr>
      <w:r w:rsidRPr="00781112">
        <w:rPr>
          <w:color w:val="000000" w:themeColor="text1"/>
        </w:rPr>
        <w:t>156</w:t>
      </w:r>
    </w:p>
    <w:p w14:paraId="785B8E3E" w14:textId="5E29FFD5" w:rsidR="00AF5649" w:rsidRPr="00781112" w:rsidRDefault="00AF5649" w:rsidP="004369B2">
      <w:pPr>
        <w:rPr>
          <w:color w:val="000000" w:themeColor="text1"/>
        </w:rPr>
      </w:pPr>
      <w:r w:rsidRPr="00781112">
        <w:rPr>
          <w:b/>
          <w:color w:val="000000" w:themeColor="text1"/>
        </w:rPr>
        <w:t>General Supervision System:</w:t>
      </w:r>
    </w:p>
    <w:p w14:paraId="6B6CEAB0" w14:textId="77777777" w:rsidR="00AF5649" w:rsidRPr="00781112" w:rsidRDefault="00AF5649" w:rsidP="00AF5649">
      <w:pPr>
        <w:rPr>
          <w:rFonts w:cs="Arial"/>
          <w:b/>
          <w:color w:val="000000" w:themeColor="text1"/>
          <w:szCs w:val="16"/>
        </w:rPr>
      </w:pPr>
      <w:r w:rsidRPr="00781112">
        <w:rPr>
          <w:rFonts w:cs="Arial"/>
          <w:b/>
          <w:color w:val="000000" w:themeColor="text1"/>
          <w:szCs w:val="16"/>
        </w:rPr>
        <w:t>The systems that are in place to ensure that IDEA Part B requirements are met, e.g., monitoring, dispute resolution, etc.</w:t>
      </w:r>
    </w:p>
    <w:p w14:paraId="7941FC2D" w14:textId="30866F75" w:rsidR="000C24C2" w:rsidRPr="00781112" w:rsidRDefault="002B7490" w:rsidP="00AF5649">
      <w:pPr>
        <w:rPr>
          <w:rFonts w:cs="Arial"/>
          <w:color w:val="000000" w:themeColor="text1"/>
          <w:szCs w:val="16"/>
        </w:rPr>
      </w:pPr>
      <w:r w:rsidRPr="00781112">
        <w:rPr>
          <w:rFonts w:cs="Arial"/>
          <w:color w:val="000000" w:themeColor="text1"/>
          <w:szCs w:val="16"/>
        </w:rPr>
        <w:t>The Individuals with Disabilities Education Improvement Act of 2004 (IDEA) and the USBE Special Education Rules (Rules) state USBE SES staff have the responsibility of monitoring compliance with federal and state requirements (20 U.S.C. § 1400; Rules VIII.C-D). The primary focus is improving educational results and functional outcomes for all SWD (Rules VIII.C.3.).</w:t>
      </w:r>
      <w:r w:rsidRPr="00781112">
        <w:rPr>
          <w:rFonts w:cs="Arial"/>
          <w:color w:val="000000" w:themeColor="text1"/>
          <w:szCs w:val="16"/>
        </w:rPr>
        <w:br/>
        <w:t>The USBE SES uses the Utah Program Improvement Planning System (UPIPS) to monitor and support compliance with requirements in Utah LEAs. This system aligns with the federal Office of Special Education Programs' (OSEP's) system to monitor states. UPIPS encompasses external monitoring by the USBE SES and internal monitoring by the LEA. The purpose of UPIPS is to ensure a meaningful and continuous process focusing on improving academic and social outcomes for SWD by linking LEA data to improvement efforts and ensuring compliance with the IDEA. This data-driven approach to monitoring provides a systematic way for the USBE SES and the LEA to evaluate the impact special education services have on student achievement and outcomes. UPIPS monitoring generates data Utah is required to report to OSEP regarding the indicators on the SPP/APR.</w:t>
      </w:r>
      <w:r w:rsidRPr="00781112">
        <w:rPr>
          <w:rFonts w:cs="Arial"/>
          <w:color w:val="000000" w:themeColor="text1"/>
          <w:szCs w:val="16"/>
        </w:rPr>
        <w:br/>
        <w:t xml:space="preserve">Data used for the SPP/APR indicators are also used by the USBE SES for the Results Driven Accountability (RDA) process. The USBE SES annually sends a letter to each LEA reporting the LEA performance on APR indicators in relation to the state targets along with additional data points. The USBE SES determines a level of risk for each LEA as well as a Targeted Improvement and Support Tier (TIST). The USBE SES provides tiered </w:t>
      </w:r>
      <w:proofErr w:type="gramStart"/>
      <w:r w:rsidRPr="00781112">
        <w:rPr>
          <w:rFonts w:cs="Arial"/>
          <w:color w:val="000000" w:themeColor="text1"/>
          <w:szCs w:val="16"/>
        </w:rPr>
        <w:t>supports</w:t>
      </w:r>
      <w:proofErr w:type="gramEnd"/>
      <w:r w:rsidRPr="00781112">
        <w:rPr>
          <w:rFonts w:cs="Arial"/>
          <w:color w:val="000000" w:themeColor="text1"/>
          <w:szCs w:val="16"/>
        </w:rPr>
        <w:t xml:space="preserve"> and activities for improvement and risk mitigation to LEAs based on their level of identified risk. LEAs must develop an annual Program Improvement Plan (PIP) to use as a tool in reducing their individual high-risk indicators and improve outcomes for SWD.</w:t>
      </w:r>
      <w:r w:rsidRPr="00781112">
        <w:rPr>
          <w:rFonts w:cs="Arial"/>
          <w:color w:val="000000" w:themeColor="text1"/>
          <w:szCs w:val="16"/>
        </w:rPr>
        <w:br/>
        <w:t>The overall system is based on the following principles or themes:</w:t>
      </w:r>
      <w:r w:rsidRPr="00781112">
        <w:rPr>
          <w:rFonts w:cs="Arial"/>
          <w:color w:val="000000" w:themeColor="text1"/>
          <w:szCs w:val="16"/>
        </w:rPr>
        <w:br/>
        <w:t>• Continuity: Monitoring is continuous rather than episodic, is linked to systemic change, and is integrated with self-assessment, continuous feedback, and response.</w:t>
      </w:r>
      <w:r w:rsidRPr="00781112">
        <w:rPr>
          <w:rFonts w:cs="Arial"/>
          <w:color w:val="000000" w:themeColor="text1"/>
          <w:szCs w:val="16"/>
        </w:rPr>
        <w:br/>
        <w:t>• Partnership with Stakeholders: The USBE SES and LEA collaborate with diverse stakeholders in the following areas: collection and analysis of self-assessment data; identification of critical issues and solutions to problems; and development, implementation, and oversight of improvement strategies to ensure compliance and improved results for SWD.</w:t>
      </w:r>
      <w:r w:rsidRPr="00781112">
        <w:rPr>
          <w:rFonts w:cs="Arial"/>
          <w:color w:val="000000" w:themeColor="text1"/>
          <w:szCs w:val="16"/>
        </w:rPr>
        <w:br/>
        <w:t>• LEA Accountability: LEAs are accountable for identifying strengths and areas of concern based upon data analysis; identifying, implementing, and revising strategies for program improvement; and submitting annual measurement and progress reports through PIPs.</w:t>
      </w:r>
      <w:r w:rsidRPr="00781112">
        <w:rPr>
          <w:rFonts w:cs="Arial"/>
          <w:color w:val="000000" w:themeColor="text1"/>
          <w:szCs w:val="16"/>
        </w:rPr>
        <w:br/>
        <w:t>• Data-Driven Self-Assessment Process: Each LEA works with stakeholders to design and implement a self-assessment and root cause analysis process to review and improve outcomes for SWD using data that align with both the USBE’s and the LEA’s performance goals and the SPP/APR indicators. Data that are available and can be critical to the self-assessment process may include, but are not limited to, the Utah State Systemic Improvement Plan (SSIP) areas and SPP/APR indicators that make up the RDA score, personnel needs, and other LEA improvement efforts and initiatives.</w:t>
      </w:r>
      <w:r w:rsidRPr="00781112">
        <w:rPr>
          <w:rFonts w:cs="Arial"/>
          <w:color w:val="000000" w:themeColor="text1"/>
          <w:szCs w:val="16"/>
        </w:rPr>
        <w:br/>
        <w:t>• Technical Assistance (TA): The UPIPS process is continuous. TA is a critical component of program improvement. The USBE SES provides TA and professional learning (PL). LEAs are encouraged to evaluate and include TA as part of their PIPs.</w:t>
      </w:r>
      <w:r w:rsidRPr="00781112">
        <w:rPr>
          <w:rFonts w:cs="Arial"/>
          <w:color w:val="000000" w:themeColor="text1"/>
          <w:szCs w:val="16"/>
        </w:rPr>
        <w:br/>
        <w:t>IDENTIFICATION AND CORRECTION OF NONCOMPLIANCE</w:t>
      </w:r>
      <w:r w:rsidRPr="00781112">
        <w:rPr>
          <w:rFonts w:cs="Arial"/>
          <w:color w:val="000000" w:themeColor="text1"/>
          <w:szCs w:val="16"/>
        </w:rPr>
        <w:br/>
        <w:t>The USBE SES reviews data collected from LEAs during program improvement monitoring, indicator monitoring, dispute resolution, LEA report/data submissions, and other areas deemed necessary to ensure compliance with the regulatory requirements of the IDEA and the USBE Rules. Data collected on the date of the visit is reported in the SPP/APR as the level of compliance.</w:t>
      </w:r>
      <w:r w:rsidRPr="00781112">
        <w:rPr>
          <w:rFonts w:cs="Arial"/>
          <w:color w:val="000000" w:themeColor="text1"/>
          <w:szCs w:val="16"/>
        </w:rPr>
        <w:br/>
        <w:t>CORRECTION OF NONCOMPLIANCE</w:t>
      </w:r>
      <w:r w:rsidRPr="00781112">
        <w:rPr>
          <w:rFonts w:cs="Arial"/>
          <w:color w:val="000000" w:themeColor="text1"/>
          <w:szCs w:val="16"/>
        </w:rPr>
        <w:br/>
        <w:t xml:space="preserve">OSEP requires that all noncompliance be corrected as soon as possible, but in no case later than one year from the date of identification of noncompliance. The USBE created a method that will require the least amount of time and effort for LEAs while providing the USBE with evidence </w:t>
      </w:r>
      <w:r w:rsidRPr="00781112">
        <w:rPr>
          <w:rFonts w:cs="Arial"/>
          <w:color w:val="000000" w:themeColor="text1"/>
          <w:szCs w:val="16"/>
        </w:rPr>
        <w:lastRenderedPageBreak/>
        <w:t>verifying corrections. Before the USBE can conclude and report that noncompliance has been corrected, it must first verify, consistent with OSEP Memo 09-02, that the LEA: 1) has corrected each individual case of student-specific noncompliance (Prong 1), and 2) is correctly implementing the specific regulatory requirements (i.e., subsequently achieved 100% compliance) (Prong 2), based on USBE SES review of the corrections data.</w:t>
      </w:r>
      <w:r w:rsidRPr="00781112">
        <w:rPr>
          <w:rFonts w:cs="Arial"/>
          <w:color w:val="000000" w:themeColor="text1"/>
          <w:szCs w:val="16"/>
        </w:rPr>
        <w:br/>
        <w:t>• Prong 1: Correcting Each Individual Case of Student-Specific Noncompliance: The LEA must submit documentation that it has corrected each individual case of noncompliance, unless the student’s special education file is no longer within the LEA's jurisdiction. The LEA documents correction by providing evidence to the USBE SES for review in-person, or by uploading the evidence to the UPIPS program.</w:t>
      </w:r>
      <w:r w:rsidRPr="00781112">
        <w:rPr>
          <w:rFonts w:cs="Arial"/>
          <w:color w:val="000000" w:themeColor="text1"/>
          <w:szCs w:val="16"/>
        </w:rPr>
        <w:br/>
        <w:t>• Prong 2: Correctly Implementing the Specific Regulatory Requirements: In conjunction with Prong 1 corrections, the LEA will be required to provide additional student special education files for review. The LEA may also be required to show evidence of training, collaboration, and/or other competency-based learning activities. The LEA documents correction by providing evidence to the USBE SES for review in-person, or by uploading the evidence to the UPIPS program.</w:t>
      </w:r>
      <w:r w:rsidRPr="00781112">
        <w:rPr>
          <w:rFonts w:cs="Arial"/>
          <w:color w:val="000000" w:themeColor="text1"/>
          <w:szCs w:val="16"/>
        </w:rPr>
        <w:br/>
        <w:t>USBE TIERED SUPPORT</w:t>
      </w:r>
      <w:r w:rsidRPr="00781112">
        <w:rPr>
          <w:rFonts w:cs="Arial"/>
          <w:color w:val="000000" w:themeColor="text1"/>
          <w:szCs w:val="16"/>
        </w:rPr>
        <w:br/>
        <w:t xml:space="preserve">The USBE SES provides differentiated levels of support to LEAs based on the assigned risk score given through the RDA process. While the USBE SES continually monitors IDEA compliance, a focus has also been placed on the systematic evaluation of the impact of special education services on student outcomes. The USBE SES has conceptualized its IDEA general supervision, monitoring, and accountability systems to </w:t>
      </w:r>
      <w:proofErr w:type="gramStart"/>
      <w:r w:rsidRPr="00781112">
        <w:rPr>
          <w:rFonts w:cs="Arial"/>
          <w:color w:val="000000" w:themeColor="text1"/>
          <w:szCs w:val="16"/>
        </w:rPr>
        <w:t>more effectively support LEAs</w:t>
      </w:r>
      <w:proofErr w:type="gramEnd"/>
      <w:r w:rsidRPr="00781112">
        <w:rPr>
          <w:rFonts w:cs="Arial"/>
          <w:color w:val="000000" w:themeColor="text1"/>
          <w:szCs w:val="16"/>
        </w:rPr>
        <w:t xml:space="preserve"> in delivering special education programs focused on improving academic and social outcomes for SWD and ensuring compliance.</w:t>
      </w:r>
      <w:r w:rsidRPr="00781112">
        <w:rPr>
          <w:rFonts w:cs="Arial"/>
          <w:color w:val="000000" w:themeColor="text1"/>
          <w:szCs w:val="16"/>
        </w:rPr>
        <w:br/>
        <w:t>SUPPORTS FOR LEAS IN ALL TIERS</w:t>
      </w:r>
      <w:r w:rsidRPr="00781112">
        <w:rPr>
          <w:rFonts w:cs="Arial"/>
          <w:color w:val="000000" w:themeColor="text1"/>
          <w:szCs w:val="16"/>
        </w:rPr>
        <w:br/>
        <w:t>The USBE SES seeks to provide support to all LEAs as they continuously review and improve special education programs. Supports and activities may include:</w:t>
      </w:r>
      <w:r w:rsidRPr="00781112">
        <w:rPr>
          <w:rFonts w:cs="Arial"/>
          <w:color w:val="000000" w:themeColor="text1"/>
          <w:szCs w:val="16"/>
        </w:rPr>
        <w:br/>
        <w:t xml:space="preserve">• TA: documents, newsletters (SpEdOmeter, </w:t>
      </w:r>
      <w:proofErr w:type="spellStart"/>
      <w:r w:rsidRPr="00781112">
        <w:rPr>
          <w:rFonts w:cs="Arial"/>
          <w:color w:val="000000" w:themeColor="text1"/>
          <w:szCs w:val="16"/>
        </w:rPr>
        <w:t>eNewsletter</w:t>
      </w:r>
      <w:proofErr w:type="spellEnd"/>
      <w:r w:rsidRPr="00781112">
        <w:rPr>
          <w:rFonts w:cs="Arial"/>
          <w:color w:val="000000" w:themeColor="text1"/>
          <w:szCs w:val="16"/>
        </w:rPr>
        <w:t>), website resources</w:t>
      </w:r>
      <w:r w:rsidRPr="00781112">
        <w:rPr>
          <w:rFonts w:cs="Arial"/>
          <w:color w:val="000000" w:themeColor="text1"/>
          <w:szCs w:val="16"/>
        </w:rPr>
        <w:br/>
        <w:t>• USBE SES Specialist coaching and support: assessment, accessibility and accommodations, behavior, collaboration with general education programs, data and reporting, dispute resolution, effective instruction, fiscal, inclusion, licensing, parent and family engagement, preschool, postsecondary transition, rules/regulations/policies and procedures, UPIPS</w:t>
      </w:r>
      <w:r w:rsidRPr="00781112">
        <w:rPr>
          <w:rFonts w:cs="Arial"/>
          <w:color w:val="000000" w:themeColor="text1"/>
          <w:szCs w:val="16"/>
        </w:rPr>
        <w:br/>
        <w:t>• Utah Special Education Administrators’ Meeting (USEAM)</w:t>
      </w:r>
      <w:r w:rsidRPr="00781112">
        <w:rPr>
          <w:rFonts w:cs="Arial"/>
          <w:color w:val="000000" w:themeColor="text1"/>
          <w:szCs w:val="16"/>
        </w:rPr>
        <w:br/>
        <w:t>• PL courses: data literacy, fiscal recorded trainings, New Leaders’ Summit (NLS; special education leaders), Running Start (special education teachers)</w:t>
      </w:r>
      <w:r w:rsidRPr="00781112">
        <w:rPr>
          <w:rFonts w:cs="Arial"/>
          <w:color w:val="000000" w:themeColor="text1"/>
          <w:szCs w:val="16"/>
        </w:rPr>
        <w:br/>
        <w:t>• LEA-identified needs submitted via the Training Request Portal (TRP)</w:t>
      </w:r>
      <w:r w:rsidRPr="00781112">
        <w:rPr>
          <w:rFonts w:cs="Arial"/>
          <w:color w:val="000000" w:themeColor="text1"/>
          <w:szCs w:val="16"/>
        </w:rPr>
        <w:br/>
        <w:t>• Conference opportunities: Institute on Special Education Law, Systems Conference, Transition Institute, etc.</w:t>
      </w:r>
      <w:r w:rsidRPr="00781112">
        <w:rPr>
          <w:rFonts w:cs="Arial"/>
          <w:color w:val="000000" w:themeColor="text1"/>
          <w:szCs w:val="16"/>
        </w:rPr>
        <w:br/>
        <w:t>ADDITIONAL SUPPORTS FOR LEAS IN ASSISTING, COACHING, AND DIRECTING TIERS</w:t>
      </w:r>
      <w:r w:rsidRPr="00781112">
        <w:rPr>
          <w:rFonts w:cs="Arial"/>
          <w:color w:val="000000" w:themeColor="text1"/>
          <w:szCs w:val="16"/>
        </w:rPr>
        <w:br/>
        <w:t xml:space="preserve">LEAs in these Tiers reflect an increased level of need. An At-Risk Support Specialist is assigned to contact LEAs to review data to determine the best ways collaboratively tackle LEA obstacles. LEAs can receive two </w:t>
      </w:r>
      <w:proofErr w:type="spellStart"/>
      <w:r w:rsidRPr="00781112">
        <w:rPr>
          <w:rFonts w:cs="Arial"/>
          <w:color w:val="000000" w:themeColor="text1"/>
          <w:szCs w:val="16"/>
        </w:rPr>
        <w:t>hrs</w:t>
      </w:r>
      <w:proofErr w:type="spellEnd"/>
      <w:r w:rsidRPr="00781112">
        <w:rPr>
          <w:rFonts w:cs="Arial"/>
          <w:color w:val="000000" w:themeColor="text1"/>
          <w:szCs w:val="16"/>
        </w:rPr>
        <w:t xml:space="preserve"> of support per month in Assisting, four </w:t>
      </w:r>
      <w:proofErr w:type="spellStart"/>
      <w:r w:rsidRPr="00781112">
        <w:rPr>
          <w:rFonts w:cs="Arial"/>
          <w:color w:val="000000" w:themeColor="text1"/>
          <w:szCs w:val="16"/>
        </w:rPr>
        <w:t>hrs</w:t>
      </w:r>
      <w:proofErr w:type="spellEnd"/>
      <w:r w:rsidRPr="00781112">
        <w:rPr>
          <w:rFonts w:cs="Arial"/>
          <w:color w:val="000000" w:themeColor="text1"/>
          <w:szCs w:val="16"/>
        </w:rPr>
        <w:t xml:space="preserve"> in Coaching, and six </w:t>
      </w:r>
      <w:proofErr w:type="spellStart"/>
      <w:r w:rsidRPr="00781112">
        <w:rPr>
          <w:rFonts w:cs="Arial"/>
          <w:color w:val="000000" w:themeColor="text1"/>
          <w:szCs w:val="16"/>
        </w:rPr>
        <w:t>hrs</w:t>
      </w:r>
      <w:proofErr w:type="spellEnd"/>
      <w:r w:rsidRPr="00781112">
        <w:rPr>
          <w:rFonts w:cs="Arial"/>
          <w:color w:val="000000" w:themeColor="text1"/>
          <w:szCs w:val="16"/>
        </w:rPr>
        <w:t xml:space="preserve"> in Directing. LEAs can request additional time as needed.</w:t>
      </w:r>
      <w:r w:rsidRPr="00781112">
        <w:rPr>
          <w:rFonts w:cs="Arial"/>
          <w:color w:val="000000" w:themeColor="text1"/>
          <w:szCs w:val="16"/>
        </w:rPr>
        <w:br/>
        <w:t>LEAs can reach out any time, but the Specialist will regularly contact LEA special education leadership. Participation in NLS is recommended. Other possible options of targeted support may include problem-solving, specific indicator support, root cause analysis, program improvement, and internal monitoring.</w:t>
      </w:r>
    </w:p>
    <w:p w14:paraId="26D57A13" w14:textId="589F2D22" w:rsidR="00AF5649" w:rsidRPr="00781112" w:rsidRDefault="00AF5649" w:rsidP="004369B2">
      <w:pPr>
        <w:rPr>
          <w:color w:val="000000" w:themeColor="text1"/>
        </w:rPr>
      </w:pPr>
      <w:r w:rsidRPr="00781112">
        <w:rPr>
          <w:b/>
          <w:color w:val="000000" w:themeColor="text1"/>
        </w:rPr>
        <w:t>Technical Assistance System:</w:t>
      </w:r>
    </w:p>
    <w:p w14:paraId="66B8EA84" w14:textId="2BA80156" w:rsidR="00AF5649" w:rsidRPr="00781112" w:rsidRDefault="00AF5649" w:rsidP="00AF5649">
      <w:pPr>
        <w:rPr>
          <w:rFonts w:cs="Arial"/>
          <w:b/>
          <w:color w:val="000000" w:themeColor="text1"/>
          <w:szCs w:val="16"/>
        </w:rPr>
      </w:pPr>
      <w:r w:rsidRPr="00781112">
        <w:rPr>
          <w:rFonts w:cs="Arial"/>
          <w:b/>
          <w:color w:val="000000" w:themeColor="text1"/>
          <w:szCs w:val="16"/>
        </w:rPr>
        <w:t xml:space="preserve">The mechanisms that the State has in place to ensure the timely delivery of high quality, </w:t>
      </w:r>
      <w:proofErr w:type="gramStart"/>
      <w:r w:rsidRPr="00781112">
        <w:rPr>
          <w:rFonts w:cs="Arial"/>
          <w:b/>
          <w:color w:val="000000" w:themeColor="text1"/>
          <w:szCs w:val="16"/>
        </w:rPr>
        <w:t>evidenced based</w:t>
      </w:r>
      <w:proofErr w:type="gramEnd"/>
      <w:r w:rsidRPr="00781112">
        <w:rPr>
          <w:rFonts w:cs="Arial"/>
          <w:b/>
          <w:color w:val="000000" w:themeColor="text1"/>
          <w:szCs w:val="16"/>
        </w:rPr>
        <w:t xml:space="preserve"> technical assistance and support to LEAs.</w:t>
      </w:r>
    </w:p>
    <w:p w14:paraId="46AFA65A" w14:textId="31299B5B" w:rsidR="000C24C2" w:rsidRPr="00781112" w:rsidRDefault="002B7490" w:rsidP="007925C6">
      <w:pPr>
        <w:rPr>
          <w:rFonts w:cs="Arial"/>
          <w:color w:val="000000" w:themeColor="text1"/>
          <w:szCs w:val="16"/>
        </w:rPr>
      </w:pPr>
      <w:r w:rsidRPr="00781112">
        <w:rPr>
          <w:rFonts w:cs="Arial"/>
          <w:color w:val="000000" w:themeColor="text1"/>
          <w:szCs w:val="16"/>
        </w:rPr>
        <w:t>USBE provided TA in a variety of ways to ensure all participants could participate in a safe way:</w:t>
      </w:r>
      <w:r w:rsidRPr="00781112">
        <w:rPr>
          <w:rFonts w:cs="Arial"/>
          <w:color w:val="000000" w:themeColor="text1"/>
          <w:szCs w:val="16"/>
        </w:rPr>
        <w:br/>
        <w:t>• Meeting and training in virtual and in-person formats.</w:t>
      </w:r>
      <w:r w:rsidRPr="00781112">
        <w:rPr>
          <w:rFonts w:cs="Arial"/>
          <w:color w:val="000000" w:themeColor="text1"/>
          <w:szCs w:val="16"/>
        </w:rPr>
        <w:br/>
        <w:t>• Asynchronous and synchronous learning opportunities.</w:t>
      </w:r>
      <w:r w:rsidRPr="00781112">
        <w:rPr>
          <w:rFonts w:cs="Arial"/>
          <w:color w:val="000000" w:themeColor="text1"/>
          <w:szCs w:val="16"/>
        </w:rPr>
        <w:br/>
        <w:t>• A webpage with resources for administrators and teachers including extensive TA on the Individualized Education Program (IEP) Framework.</w:t>
      </w:r>
      <w:r w:rsidRPr="00781112">
        <w:rPr>
          <w:rFonts w:cs="Arial"/>
          <w:color w:val="000000" w:themeColor="text1"/>
          <w:szCs w:val="16"/>
        </w:rPr>
        <w:br/>
        <w:t xml:space="preserve">• Utilization of </w:t>
      </w:r>
      <w:proofErr w:type="spellStart"/>
      <w:r w:rsidRPr="00781112">
        <w:rPr>
          <w:rFonts w:cs="Arial"/>
          <w:color w:val="000000" w:themeColor="text1"/>
          <w:szCs w:val="16"/>
        </w:rPr>
        <w:t>Padlets</w:t>
      </w:r>
      <w:proofErr w:type="spellEnd"/>
      <w:r w:rsidRPr="00781112">
        <w:rPr>
          <w:rFonts w:cs="Arial"/>
          <w:color w:val="000000" w:themeColor="text1"/>
          <w:szCs w:val="16"/>
        </w:rPr>
        <w:t xml:space="preserve"> to centralize specific information.</w:t>
      </w:r>
      <w:r w:rsidRPr="00781112">
        <w:rPr>
          <w:rFonts w:cs="Arial"/>
          <w:color w:val="000000" w:themeColor="text1"/>
          <w:szCs w:val="16"/>
        </w:rPr>
        <w:br/>
        <w:t>• Virtual and in-person monitoring visits.</w:t>
      </w:r>
      <w:r w:rsidRPr="00781112">
        <w:rPr>
          <w:rFonts w:cs="Arial"/>
          <w:color w:val="000000" w:themeColor="text1"/>
          <w:szCs w:val="16"/>
        </w:rPr>
        <w:br/>
        <w:t>• Utilization of a secure online document storage platform.</w:t>
      </w:r>
      <w:r w:rsidRPr="00781112">
        <w:rPr>
          <w:rFonts w:cs="Arial"/>
          <w:color w:val="000000" w:themeColor="text1"/>
          <w:szCs w:val="16"/>
        </w:rPr>
        <w:br/>
        <w:t>INDICATORS 1, 2</w:t>
      </w:r>
      <w:r w:rsidRPr="00781112">
        <w:rPr>
          <w:rFonts w:cs="Arial"/>
          <w:color w:val="000000" w:themeColor="text1"/>
          <w:szCs w:val="16"/>
        </w:rPr>
        <w:br/>
        <w:t>The USBE SES developed a TA video module for Indicators 1 and 2 data including support documents for LEAs to better understand data reports on these indicators. The USBE SES provides each LEA director with a "Dropout Event Summary Report" at the beginning of the school year. This allows LEAs to update inaccurate high school completion status and exit codes. Training and TA is provided to LEAs for submitting updates to codes.</w:t>
      </w:r>
      <w:r w:rsidRPr="00781112">
        <w:rPr>
          <w:rFonts w:cs="Arial"/>
          <w:color w:val="000000" w:themeColor="text1"/>
          <w:szCs w:val="16"/>
        </w:rPr>
        <w:br/>
        <w:t>INDICATOR 3</w:t>
      </w:r>
      <w:r w:rsidRPr="00781112">
        <w:rPr>
          <w:rFonts w:cs="Arial"/>
          <w:color w:val="000000" w:themeColor="text1"/>
          <w:szCs w:val="16"/>
        </w:rPr>
        <w:br/>
        <w:t>The USBE SES provided a variety of TA to help LEAs improve student academic outcomes including 1% monitoring visits focusing on students with significant cognitive disabilities (SWSCD), RDA coaching, a community of practice integrated coaching for LEAs with the lowest performing SWD, annual data literacy meetings, individual LEA Indicator 3 data sessions, alternate achievement standards instruction, and assessment PL experiences.</w:t>
      </w:r>
      <w:r w:rsidRPr="00781112">
        <w:rPr>
          <w:rFonts w:cs="Arial"/>
          <w:color w:val="000000" w:themeColor="text1"/>
          <w:szCs w:val="16"/>
        </w:rPr>
        <w:br/>
        <w:t>INDICATOR 5</w:t>
      </w:r>
      <w:r w:rsidRPr="00781112">
        <w:rPr>
          <w:rFonts w:cs="Arial"/>
          <w:color w:val="000000" w:themeColor="text1"/>
          <w:szCs w:val="16"/>
        </w:rPr>
        <w:br/>
        <w:t>The USBE SES provided TA on special education service time, environment, and placement in addition to effective instruction and inclusive practices to support students across the continuum of placement. LEAs continue to increase the percentage of SWD receiving most of their services in general education settings with support through co-teaching and ongoing collaboration between general and special education teachers. TA and PL are provided continually using the multi-tiered system of supports tools and resources developed through the personnel development grant. The USBE created a workgroup of various stakeholders to develop the IEP Framework to assist IEP teams with the alignment of compliance and best practices when developing a student's IEP by supporting the effective implementation of targeted services and supports.</w:t>
      </w:r>
      <w:r w:rsidRPr="00781112">
        <w:rPr>
          <w:rFonts w:cs="Arial"/>
          <w:color w:val="000000" w:themeColor="text1"/>
          <w:szCs w:val="16"/>
        </w:rPr>
        <w:br/>
        <w:t>INDICATORS 6, 7, 12</w:t>
      </w:r>
      <w:r w:rsidRPr="00781112">
        <w:rPr>
          <w:rFonts w:cs="Arial"/>
          <w:color w:val="000000" w:themeColor="text1"/>
          <w:szCs w:val="16"/>
        </w:rPr>
        <w:br/>
        <w:t>The USBE provided TA to LEAs on early childhood environments, preschool outcomes data collection, and Part C to Part B transition requirements. TA was provided to LEAs at monthly statewide preschool coordinator meetings and through PL opportunities.</w:t>
      </w:r>
      <w:r w:rsidRPr="00781112">
        <w:rPr>
          <w:rFonts w:cs="Arial"/>
          <w:color w:val="000000" w:themeColor="text1"/>
          <w:szCs w:val="16"/>
        </w:rPr>
        <w:br/>
        <w:t>INDICATOR 11</w:t>
      </w:r>
      <w:r w:rsidRPr="00781112">
        <w:rPr>
          <w:rFonts w:cs="Arial"/>
          <w:color w:val="000000" w:themeColor="text1"/>
          <w:szCs w:val="16"/>
        </w:rPr>
        <w:br/>
        <w:t xml:space="preserve">TA was provided to LEAs during monitoring. Based on trends uncovered during monitoring, additional training was provided to </w:t>
      </w:r>
      <w:proofErr w:type="gramStart"/>
      <w:r w:rsidRPr="00781112">
        <w:rPr>
          <w:rFonts w:cs="Arial"/>
          <w:color w:val="000000" w:themeColor="text1"/>
          <w:szCs w:val="16"/>
        </w:rPr>
        <w:t>more clearly explain the Indicator 11 requirements and the rules</w:t>
      </w:r>
      <w:proofErr w:type="gramEnd"/>
      <w:r w:rsidRPr="00781112">
        <w:rPr>
          <w:rFonts w:cs="Arial"/>
          <w:color w:val="000000" w:themeColor="text1"/>
          <w:szCs w:val="16"/>
        </w:rPr>
        <w:t xml:space="preserve"> regarding consent. In February 2022, a newsletter article was distributed to special education directors outlining initial evaluation requirements.</w:t>
      </w:r>
      <w:r w:rsidRPr="00781112">
        <w:rPr>
          <w:rFonts w:cs="Arial"/>
          <w:color w:val="000000" w:themeColor="text1"/>
          <w:szCs w:val="16"/>
        </w:rPr>
        <w:br/>
        <w:t>INDICATORS 13, 14</w:t>
      </w:r>
      <w:r w:rsidRPr="00781112">
        <w:rPr>
          <w:rFonts w:cs="Arial"/>
          <w:color w:val="000000" w:themeColor="text1"/>
          <w:szCs w:val="16"/>
        </w:rPr>
        <w:br/>
        <w:t xml:space="preserve">The USBE SES brought multiple online resources together using Padlet. The </w:t>
      </w:r>
      <w:proofErr w:type="spellStart"/>
      <w:r w:rsidRPr="00781112">
        <w:rPr>
          <w:rFonts w:cs="Arial"/>
          <w:color w:val="000000" w:themeColor="text1"/>
          <w:szCs w:val="16"/>
        </w:rPr>
        <w:t>Padlets</w:t>
      </w:r>
      <w:proofErr w:type="spellEnd"/>
      <w:r w:rsidRPr="00781112">
        <w:rPr>
          <w:rFonts w:cs="Arial"/>
          <w:color w:val="000000" w:themeColor="text1"/>
          <w:szCs w:val="16"/>
        </w:rPr>
        <w:t xml:space="preserve"> cover topics such as postsecondary transition assessments, the postsecondary transition process, virtual resources, and post-school outcomes. The </w:t>
      </w:r>
      <w:proofErr w:type="spellStart"/>
      <w:r w:rsidRPr="00781112">
        <w:rPr>
          <w:rFonts w:cs="Arial"/>
          <w:color w:val="000000" w:themeColor="text1"/>
          <w:szCs w:val="16"/>
        </w:rPr>
        <w:t>Padlets</w:t>
      </w:r>
      <w:proofErr w:type="spellEnd"/>
      <w:r w:rsidRPr="00781112">
        <w:rPr>
          <w:rFonts w:cs="Arial"/>
          <w:color w:val="000000" w:themeColor="text1"/>
          <w:szCs w:val="16"/>
        </w:rPr>
        <w:t xml:space="preserve"> offer educators a central location to access links to needed resources and support to maximize their PL opportunities. The USBE continues to facilitate an inter-agency state transition team with the USBE Postsecondary Transition Specialists, the USBE Career and Technical Education (CTE) Special Populations Specialist, the Utah State Office of Rehabilitation (USOR) Transition Specialist, the USOR Pre-Employment Transition Services (Pre-ETS) Specialist, and the Institute for Disability Research, </w:t>
      </w:r>
      <w:proofErr w:type="gramStart"/>
      <w:r w:rsidRPr="00781112">
        <w:rPr>
          <w:rFonts w:cs="Arial"/>
          <w:color w:val="000000" w:themeColor="text1"/>
          <w:szCs w:val="16"/>
        </w:rPr>
        <w:t>Policy</w:t>
      </w:r>
      <w:proofErr w:type="gramEnd"/>
      <w:r w:rsidRPr="00781112">
        <w:rPr>
          <w:rFonts w:cs="Arial"/>
          <w:color w:val="000000" w:themeColor="text1"/>
          <w:szCs w:val="16"/>
        </w:rPr>
        <w:t xml:space="preserve"> and Practice (IDRPP) School to Work Specialists. The team meets regularly to work on implementation of statewide goals for postsecondary transition and anticipates expanding to include school counseling. USBE Postsecondary Transition Specialists updated TA documents (Tips for Writing Compliant Transition Plans (Indicator 13) and Postsecondary Transition Services Examples). USBE Postsecondary Transition Specialists held monthly Postsecondary Transition Talks for all educators to receive TA with a variety of postsecondary transition areas. A USBE Postsecondary Transition Specialist provided coaching during virtual monitoring visits for Indicator 13.</w:t>
      </w:r>
      <w:r w:rsidRPr="00781112">
        <w:rPr>
          <w:rFonts w:cs="Arial"/>
          <w:color w:val="000000" w:themeColor="text1"/>
          <w:szCs w:val="16"/>
        </w:rPr>
        <w:br/>
      </w:r>
      <w:r w:rsidRPr="00781112">
        <w:rPr>
          <w:rFonts w:cs="Arial"/>
          <w:color w:val="000000" w:themeColor="text1"/>
          <w:szCs w:val="16"/>
        </w:rPr>
        <w:lastRenderedPageBreak/>
        <w:t>INDICATORS 15, 16</w:t>
      </w:r>
      <w:r w:rsidRPr="00781112">
        <w:rPr>
          <w:rFonts w:cs="Arial"/>
          <w:color w:val="000000" w:themeColor="text1"/>
          <w:szCs w:val="16"/>
        </w:rPr>
        <w:br/>
        <w:t>The USBE SES provides ongoing information regarding current trends in dispute resolution data as well as TA to address recurring issues at quarterly meetings with special education directors.</w:t>
      </w:r>
      <w:r w:rsidRPr="00781112">
        <w:rPr>
          <w:rFonts w:cs="Arial"/>
          <w:color w:val="000000" w:themeColor="text1"/>
          <w:szCs w:val="16"/>
        </w:rPr>
        <w:br/>
        <w:t>NATIONAL TA PARTICIPATION</w:t>
      </w:r>
      <w:r w:rsidRPr="00781112">
        <w:rPr>
          <w:rFonts w:cs="Arial"/>
          <w:color w:val="000000" w:themeColor="text1"/>
          <w:szCs w:val="16"/>
        </w:rPr>
        <w:br/>
        <w:t>Utah’s Part B IDEA determination in 2022 was "needs assistance." National TA participation has been a strength as the USBE SES works to improve outcomes. The USBE SES appreciates the resources and opportunity to receive TA from various centers to improve state performance leading to improved outcomes for SWD.</w:t>
      </w:r>
      <w:r w:rsidRPr="00781112">
        <w:rPr>
          <w:rFonts w:cs="Arial"/>
          <w:color w:val="000000" w:themeColor="text1"/>
          <w:szCs w:val="16"/>
        </w:rPr>
        <w:br/>
        <w:t>Indicators 1, 2, 13, 14</w:t>
      </w:r>
      <w:r w:rsidRPr="00781112">
        <w:rPr>
          <w:rFonts w:cs="Arial"/>
          <w:color w:val="000000" w:themeColor="text1"/>
          <w:szCs w:val="16"/>
        </w:rPr>
        <w:br/>
        <w:t>The USBE Postsecondary Transition Specialists attended National Technical Assistance on Transition: The Collaborative (NTACT:C) state-to-state sharing calls on collaboration between Special Education, Vocational Rehabilitation, and CTE, which provides the needed TA for USBE to support LEAs with Indicator 13. The USBE receives ongoing Indicator 14 support from Jennifer Jacobs, Utah's Indicator 14 contractor with the Cooperative Education Service Agency (CESA) #7. The team continues to attend the NTACT:C Capacity Building Institute and the Division on Career Development and Transition (DCDT) of the Council for Exceptional Children (CEC) mid-year cadre meetings with NTACT:C.</w:t>
      </w:r>
      <w:r w:rsidRPr="00781112">
        <w:rPr>
          <w:rFonts w:cs="Arial"/>
          <w:color w:val="000000" w:themeColor="text1"/>
          <w:szCs w:val="16"/>
        </w:rPr>
        <w:br/>
        <w:t>Indicator 3</w:t>
      </w:r>
      <w:r w:rsidRPr="00781112">
        <w:rPr>
          <w:rFonts w:cs="Arial"/>
          <w:color w:val="000000" w:themeColor="text1"/>
          <w:szCs w:val="16"/>
        </w:rPr>
        <w:br/>
        <w:t>The USBE SES participated in the TA group hosted by the National Center on Educational Outcomes (NCEO), the 1% Cap Community of Practice (CoP) related to the 1% cap and SWSCD. The CoP has a focus on building capacity of IEP teams to increase participation in assessments, further development and implementation of a 1% data analysis and use best practices for inclusion of SWSCD. The USBE utilized TA from the Council of Chief State School Officers (CCSSO) to ensure access for SWD in formative assessment measuring progress toward goals linked to state standards. The USBE participates in the National Center for Systemic Improvement (NCSI) Evidence-Based Practices Collaborative meeting monthly with state partners to discuss current research on evidence-based practices. The USBE participates in a low incidence workgroup with the Center for Technical Assistance for Excellence in Special Education (TAESE), a multi-state collaborative to share data and implementation plans regarding assessment for SWSCD.</w:t>
      </w:r>
      <w:r w:rsidRPr="00781112">
        <w:rPr>
          <w:rFonts w:cs="Arial"/>
          <w:color w:val="000000" w:themeColor="text1"/>
          <w:szCs w:val="16"/>
        </w:rPr>
        <w:br/>
        <w:t xml:space="preserve">Indicators 4, 6, 7, 8, 9, 10, 12, 15, 16 </w:t>
      </w:r>
      <w:r w:rsidRPr="00781112">
        <w:rPr>
          <w:rFonts w:cs="Arial"/>
          <w:color w:val="000000" w:themeColor="text1"/>
          <w:szCs w:val="16"/>
        </w:rPr>
        <w:br/>
        <w:t xml:space="preserve">The USBE received TA from TAESE, IDC, NCSI, and the Early Childhood Technical Assistance Center (ECTA). NCSI collaboratives focused on COVID-19 implications have provided insight for the USBE regarding monitoring processes, virtual formats of service delivery, and data collection. The USBE Special Education Preschool Specialist participated in calls with IDC, ECTA, and NCSI. The USBE SES received additional general and COVID-19-specific TA from the Center for IDEA Early Childhood Data Systems (DaSy), the Division of Early Childhood (DEC), and the Early Childhood Personnel Center (ECPC). NCSI was utilized for Indicator 8 with TA through the </w:t>
      </w:r>
      <w:proofErr w:type="spellStart"/>
      <w:r w:rsidRPr="00781112">
        <w:rPr>
          <w:rFonts w:cs="Arial"/>
          <w:color w:val="000000" w:themeColor="text1"/>
          <w:szCs w:val="16"/>
        </w:rPr>
        <w:t>Flamboyan</w:t>
      </w:r>
      <w:proofErr w:type="spellEnd"/>
      <w:r w:rsidRPr="00781112">
        <w:rPr>
          <w:rFonts w:cs="Arial"/>
          <w:color w:val="000000" w:themeColor="text1"/>
          <w:szCs w:val="16"/>
        </w:rPr>
        <w:t xml:space="preserve"> Foundation fellowship. The USBE SES continues to work with the Utah Parent Center (Utah's OSEP-funded Parent Training Information Center) in collecting and analyzing data to address statewide needs. The Center for Appropriate Dispute Resolution in Special Education (CADRE) provided guidance regarding Indicators 15 and 16. USBE SES staff attended training on conducting virtual mediations and hearings and provided TA to all dispute resolution contractors on using virtual platforms and ensuring dispute resolution processes continued despite COVID-19 restrictions. The USBE SES and its dispute resolution contractors participated in quarterly mediation, due process, State complaint, and IEP facilitator workgroups hosted by TAESE.</w:t>
      </w:r>
    </w:p>
    <w:p w14:paraId="31C31C58" w14:textId="6D9367D0" w:rsidR="00AF5649" w:rsidRPr="00781112" w:rsidRDefault="00AF5649" w:rsidP="004369B2">
      <w:pPr>
        <w:rPr>
          <w:color w:val="000000" w:themeColor="text1"/>
        </w:rPr>
      </w:pPr>
      <w:r w:rsidRPr="00781112">
        <w:rPr>
          <w:b/>
          <w:color w:val="000000" w:themeColor="text1"/>
        </w:rPr>
        <w:t>Professional Development System:</w:t>
      </w:r>
    </w:p>
    <w:p w14:paraId="25232CAB" w14:textId="27BBB727" w:rsidR="00AF5649" w:rsidRPr="00781112" w:rsidRDefault="00AF5649" w:rsidP="00AF5649">
      <w:pPr>
        <w:rPr>
          <w:rFonts w:cs="Arial"/>
          <w:b/>
          <w:color w:val="000000" w:themeColor="text1"/>
          <w:szCs w:val="16"/>
        </w:rPr>
      </w:pPr>
      <w:r w:rsidRPr="00781112">
        <w:rPr>
          <w:rFonts w:cs="Arial"/>
          <w:b/>
          <w:color w:val="000000" w:themeColor="text1"/>
          <w:szCs w:val="16"/>
        </w:rPr>
        <w:t>The mechanisms the State has in place to ensure that service providers have the skills to effectively provide services that improve results for children with disabilities.</w:t>
      </w:r>
    </w:p>
    <w:p w14:paraId="0B77B8C1" w14:textId="3CE3A35D" w:rsidR="007742F1" w:rsidRPr="00781112" w:rsidRDefault="002B7490" w:rsidP="007925C6">
      <w:pPr>
        <w:rPr>
          <w:rFonts w:cs="Arial"/>
          <w:color w:val="000000" w:themeColor="text1"/>
          <w:szCs w:val="16"/>
        </w:rPr>
      </w:pPr>
      <w:r w:rsidRPr="00781112">
        <w:rPr>
          <w:rFonts w:cs="Arial"/>
          <w:color w:val="000000" w:themeColor="text1"/>
          <w:szCs w:val="16"/>
        </w:rPr>
        <w:t>The USBE SES continues to provide PL in a variety of ways including:</w:t>
      </w:r>
      <w:r w:rsidRPr="00781112">
        <w:rPr>
          <w:rFonts w:cs="Arial"/>
          <w:color w:val="000000" w:themeColor="text1"/>
          <w:szCs w:val="16"/>
        </w:rPr>
        <w:br/>
        <w:t>• In-person and virtual opportunities.</w:t>
      </w:r>
      <w:r w:rsidRPr="00781112">
        <w:rPr>
          <w:rFonts w:cs="Arial"/>
          <w:color w:val="000000" w:themeColor="text1"/>
          <w:szCs w:val="16"/>
        </w:rPr>
        <w:br/>
        <w:t>• Asynchronous and synchronous opportunities.</w:t>
      </w:r>
      <w:r w:rsidRPr="00781112">
        <w:rPr>
          <w:rFonts w:cs="Arial"/>
          <w:color w:val="000000" w:themeColor="text1"/>
          <w:szCs w:val="16"/>
        </w:rPr>
        <w:br/>
        <w:t>• Protecting class time by limiting meetings and PL experiences during school hours.</w:t>
      </w:r>
      <w:r w:rsidRPr="00781112">
        <w:rPr>
          <w:rFonts w:cs="Arial"/>
          <w:color w:val="000000" w:themeColor="text1"/>
          <w:szCs w:val="16"/>
        </w:rPr>
        <w:br/>
        <w:t>In July 2021, the USBE SES hosted a free annual institute on special education law. Virtual and in-person options were provided for attendees. Over 1,300 educators, lawyers, and administrators attended to receive current information on IDEA requirements. This was a 30% increase in participation over the 2020 institute. Sessions included dispute resolution, special education law, family engagement, and compliant practices.</w:t>
      </w:r>
      <w:r w:rsidRPr="00781112">
        <w:rPr>
          <w:rFonts w:cs="Arial"/>
          <w:color w:val="000000" w:themeColor="text1"/>
          <w:szCs w:val="16"/>
        </w:rPr>
        <w:br/>
        <w:t>An asynchronous data literacy course was provided to LEAs in February 2022. Each SPP/APR indicator was explained including what the indicator is, how it is calculated, and where LEAs can find more information and form goals around the indicator. USBE SES Specialists held virtual office hours where LEAs could make appointments to review data and develop goals. Over 85 appointments were held. The course has remained open and continues to be viewed as LEAs have questions about specific indicators.</w:t>
      </w:r>
      <w:r w:rsidRPr="00781112">
        <w:rPr>
          <w:rFonts w:cs="Arial"/>
          <w:color w:val="000000" w:themeColor="text1"/>
          <w:szCs w:val="16"/>
        </w:rPr>
        <w:br/>
        <w:t>The TRP allows LEAs to request training in specific areas of need. The TRP is available for special education and all other areas of student support at the USBE (e.g., equity, prevention, behavior support, etc.). This provides an opportunity for USBE cross-collaboration that would be better served by more systemic PL experiences. The USBE coordinating staff meet weekly to review requests and assign staff to follow up on the requests. Requests lead to PL opportunities, TA, and support. Fifty-three LEAs made 122 requests in the 2021-2022 school year.</w:t>
      </w:r>
      <w:r w:rsidRPr="00781112">
        <w:rPr>
          <w:rFonts w:cs="Arial"/>
          <w:color w:val="000000" w:themeColor="text1"/>
          <w:szCs w:val="16"/>
        </w:rPr>
        <w:br/>
        <w:t>LEAs identified as high risk are provided additional TA and support determined annually by the TIST. All LEAs are provided PL, TA, and online resources. Details are outlined in the “General Supervision System” section above.</w:t>
      </w:r>
      <w:r w:rsidRPr="00781112">
        <w:rPr>
          <w:rFonts w:cs="Arial"/>
          <w:color w:val="000000" w:themeColor="text1"/>
          <w:szCs w:val="16"/>
        </w:rPr>
        <w:br/>
        <w:t>In addition to the PL described below for specific indicators, the USBE SES provided data literacy training in February 2022 with recorded training videos on all indicators. Special education directors were able to schedule TA/coaching sessions with USBE SES Specialists on the indicators.</w:t>
      </w:r>
      <w:r w:rsidRPr="00781112">
        <w:rPr>
          <w:rFonts w:cs="Arial"/>
          <w:color w:val="000000" w:themeColor="text1"/>
          <w:szCs w:val="16"/>
        </w:rPr>
        <w:br/>
        <w:t>INDICATORS 1, 2</w:t>
      </w:r>
      <w:r w:rsidRPr="00781112">
        <w:rPr>
          <w:rFonts w:cs="Arial"/>
          <w:color w:val="000000" w:themeColor="text1"/>
          <w:szCs w:val="16"/>
        </w:rPr>
        <w:br/>
        <w:t>The USBE SES provided training on Indicators 1 and 2 for new special education directors and special education directors with high-risk scores for these indicators.</w:t>
      </w:r>
      <w:r w:rsidRPr="00781112">
        <w:rPr>
          <w:rFonts w:cs="Arial"/>
          <w:color w:val="000000" w:themeColor="text1"/>
          <w:szCs w:val="16"/>
        </w:rPr>
        <w:br/>
        <w:t>INDICATOR 3</w:t>
      </w:r>
      <w:r w:rsidRPr="00781112">
        <w:rPr>
          <w:rFonts w:cs="Arial"/>
          <w:color w:val="000000" w:themeColor="text1"/>
          <w:szCs w:val="16"/>
        </w:rPr>
        <w:br/>
        <w:t>PL provided to help LEAs improve student academic outcomes included co-teaching, literacy and mathematics, alternate achievement standards instruction and assessment, online book studies with teachers and parents, and accommodations and assessment administration.</w:t>
      </w:r>
      <w:r w:rsidRPr="00781112">
        <w:rPr>
          <w:rFonts w:cs="Arial"/>
          <w:color w:val="000000" w:themeColor="text1"/>
          <w:szCs w:val="16"/>
        </w:rPr>
        <w:br/>
        <w:t>INDICATOR 4</w:t>
      </w:r>
      <w:r w:rsidRPr="00781112">
        <w:rPr>
          <w:rFonts w:cs="Arial"/>
          <w:color w:val="000000" w:themeColor="text1"/>
          <w:szCs w:val="16"/>
        </w:rPr>
        <w:br/>
        <w:t>In February 2022, training was provided to a select group of special education directors and USBE SES staff. The intent was to educate staff on the purpose and intent of the indicator and the rationale for changing the calculation and data collection process.</w:t>
      </w:r>
      <w:r w:rsidRPr="00781112">
        <w:rPr>
          <w:rFonts w:cs="Arial"/>
          <w:color w:val="000000" w:themeColor="text1"/>
          <w:szCs w:val="16"/>
        </w:rPr>
        <w:br/>
        <w:t>INDICATORS 6, 7, 12</w:t>
      </w:r>
      <w:r w:rsidRPr="00781112">
        <w:rPr>
          <w:rFonts w:cs="Arial"/>
          <w:color w:val="000000" w:themeColor="text1"/>
          <w:szCs w:val="16"/>
        </w:rPr>
        <w:br/>
        <w:t>The USBE provided TA to LEAs on early childhood environments, preschool outcome data collection, and Part C to Part B transition requirements. TA was provided to LEAs at monthly statewide preschool coordinator meetings and through PL opportunities.</w:t>
      </w:r>
      <w:r w:rsidRPr="00781112">
        <w:rPr>
          <w:rFonts w:cs="Arial"/>
          <w:color w:val="000000" w:themeColor="text1"/>
          <w:szCs w:val="16"/>
        </w:rPr>
        <w:br/>
        <w:t>INDICATOR 8</w:t>
      </w:r>
      <w:r w:rsidRPr="00781112">
        <w:rPr>
          <w:rFonts w:cs="Arial"/>
          <w:color w:val="000000" w:themeColor="text1"/>
          <w:szCs w:val="16"/>
        </w:rPr>
        <w:br/>
        <w:t>Each year, the USBE helps onboard new special education directors through NLS where parent engagement is taught and discussed.</w:t>
      </w:r>
      <w:r w:rsidRPr="00781112">
        <w:rPr>
          <w:rFonts w:cs="Arial"/>
          <w:color w:val="000000" w:themeColor="text1"/>
          <w:szCs w:val="16"/>
        </w:rPr>
        <w:br/>
        <w:t>INDICATORS 9, 10</w:t>
      </w:r>
      <w:r w:rsidRPr="00781112">
        <w:rPr>
          <w:rFonts w:cs="Arial"/>
          <w:color w:val="000000" w:themeColor="text1"/>
          <w:szCs w:val="16"/>
        </w:rPr>
        <w:br/>
        <w:t>In February 2022, training was provided to a select group of special education directors and USBE SES staff. The intent was to educate staff on the purpose and intent of the of these indicators and the rationale for changing the calculation and data collection process.</w:t>
      </w:r>
      <w:r w:rsidRPr="00781112">
        <w:rPr>
          <w:rFonts w:cs="Arial"/>
          <w:color w:val="000000" w:themeColor="text1"/>
          <w:szCs w:val="16"/>
        </w:rPr>
        <w:br/>
        <w:t>INDICATOR 11</w:t>
      </w:r>
      <w:r w:rsidRPr="00781112">
        <w:rPr>
          <w:rFonts w:cs="Arial"/>
          <w:color w:val="000000" w:themeColor="text1"/>
          <w:szCs w:val="16"/>
        </w:rPr>
        <w:br/>
        <w:t xml:space="preserve">Based on trends uncovered during monitoring, training was provided to </w:t>
      </w:r>
      <w:proofErr w:type="gramStart"/>
      <w:r w:rsidRPr="00781112">
        <w:rPr>
          <w:rFonts w:cs="Arial"/>
          <w:color w:val="000000" w:themeColor="text1"/>
          <w:szCs w:val="16"/>
        </w:rPr>
        <w:t>more clearly explain the indicator 11 requirements and the rules</w:t>
      </w:r>
      <w:proofErr w:type="gramEnd"/>
      <w:r w:rsidRPr="00781112">
        <w:rPr>
          <w:rFonts w:cs="Arial"/>
          <w:color w:val="000000" w:themeColor="text1"/>
          <w:szCs w:val="16"/>
        </w:rPr>
        <w:t xml:space="preserve"> regarding consent. FFY 2021 training provided is pivotal for monitoring changes made in FFY 2022.</w:t>
      </w:r>
      <w:r w:rsidRPr="00781112">
        <w:rPr>
          <w:rFonts w:cs="Arial"/>
          <w:color w:val="000000" w:themeColor="text1"/>
          <w:szCs w:val="16"/>
        </w:rPr>
        <w:br/>
        <w:t>INDICATORS 13, 14</w:t>
      </w:r>
      <w:r w:rsidRPr="00781112">
        <w:rPr>
          <w:rFonts w:cs="Arial"/>
          <w:color w:val="000000" w:themeColor="text1"/>
          <w:szCs w:val="16"/>
        </w:rPr>
        <w:br/>
        <w:t xml:space="preserve">The USBE places high importance on providing the foundation for writing compliant and effective postsecondary transition plans through an introductory </w:t>
      </w:r>
      <w:r w:rsidRPr="00781112">
        <w:rPr>
          <w:rFonts w:cs="Arial"/>
          <w:color w:val="000000" w:themeColor="text1"/>
          <w:szCs w:val="16"/>
        </w:rPr>
        <w:lastRenderedPageBreak/>
        <w:t>training segment on Indicator 13. All statewide and LEA data are presented to participants along with a tutorial on how to access their LEA information on the Utah Post School Outcomes Survey website. The USBE offers a series of PL opportunities to support LEAs with sessions focused on postsecondary outcomes including:</w:t>
      </w:r>
      <w:r w:rsidRPr="00781112">
        <w:rPr>
          <w:rFonts w:cs="Arial"/>
          <w:color w:val="000000" w:themeColor="text1"/>
          <w:szCs w:val="16"/>
        </w:rPr>
        <w:br/>
        <w:t>• NLS: Training on Indicators 1, 2, 13, 14.</w:t>
      </w:r>
      <w:r w:rsidRPr="00781112">
        <w:rPr>
          <w:rFonts w:cs="Arial"/>
          <w:color w:val="000000" w:themeColor="text1"/>
          <w:szCs w:val="16"/>
        </w:rPr>
        <w:br/>
        <w:t>• Running Start: Training on Indicator 13.</w:t>
      </w:r>
      <w:r w:rsidRPr="00781112">
        <w:rPr>
          <w:rFonts w:cs="Arial"/>
          <w:color w:val="000000" w:themeColor="text1"/>
          <w:szCs w:val="16"/>
        </w:rPr>
        <w:br/>
        <w:t>• Writing Compliant Transition Plans: An online course with a dedicated coaching module for participants to ask questions in each area of the postsecondary transition plan. Participants were required to complete all the course modules and a self-assessment of a transition-aged student’s IEP.</w:t>
      </w:r>
      <w:r w:rsidRPr="00781112">
        <w:rPr>
          <w:rFonts w:cs="Arial"/>
          <w:color w:val="000000" w:themeColor="text1"/>
          <w:szCs w:val="16"/>
        </w:rPr>
        <w:br/>
        <w:t>• Indicator 13 and 14 Data Literacy Training: Targeted sessions for LEAs to examine and analyze their indicator reports for areas of strength and concern. Special education directors completed the training via a combination of a Canvas course and sessions with USBE Postsecondary Transition Specialists.</w:t>
      </w:r>
      <w:r w:rsidRPr="00781112">
        <w:rPr>
          <w:rFonts w:cs="Arial"/>
          <w:color w:val="000000" w:themeColor="text1"/>
          <w:szCs w:val="16"/>
        </w:rPr>
        <w:br/>
        <w:t>• Indicator 14 Training: A live virtual training was provided in May 2021 to 57 LEAs interested in collecting Post School Outcomes Survey data. Following the training, 33 LEAs conducted their own surveys, and 24 LEAs conducted surveys after a contractor conducted the surveys.</w:t>
      </w:r>
      <w:r w:rsidRPr="00781112">
        <w:rPr>
          <w:rFonts w:cs="Arial"/>
          <w:color w:val="000000" w:themeColor="text1"/>
          <w:szCs w:val="16"/>
        </w:rPr>
        <w:br/>
        <w:t>• Fall 2021 Postsecondary Transition Institute: Delivered in a self-paced online learning management system instead of the traditional in-person format due to continuing pandemic restrictions. LEAs participated in the sessions with their postsecondary transition teams. Approximately 161 people participated, representing 16 LEAs with partnering agencies participating from around Utah. Support was provided by the USBE SES to postsecondary transition team leaders in the form of virtual CoP sessions during the 2021–2022 school year to guide them in work with their LEA transition teams.</w:t>
      </w:r>
      <w:r w:rsidRPr="00781112">
        <w:rPr>
          <w:rFonts w:cs="Arial"/>
          <w:color w:val="000000" w:themeColor="text1"/>
          <w:szCs w:val="16"/>
        </w:rPr>
        <w:br/>
        <w:t>• June 2022 Postsecondary Transition Institute: Delivered in an in-person learning environment. LEAs participated in the sessions with their postsecondary transition teams. Approximately 256 people participated across two days, representing 25 LEAs with partnering agencies participating from around Utah. The second day was open to anyone working with postsecondary transition age youth who's not a member of an existing team. Of the 256 total participants, 49 attended only this day of the Institute, representing multiple agencies and LEAs.</w:t>
      </w:r>
      <w:r w:rsidRPr="00781112">
        <w:rPr>
          <w:rFonts w:cs="Arial"/>
          <w:color w:val="000000" w:themeColor="text1"/>
          <w:szCs w:val="16"/>
        </w:rPr>
        <w:br/>
        <w:t>•Building Meaningful Lives: Training to build capacity in LEAs and create a statewide CoP around inclusion and employment for transition-aged youth with complex needs. Site-based teams had an opportunity to participate in a series of facilitated conversations and guided practice to implement the tools and strategies presented in webinars. The webinars and CoP workshops were held during the school year and included 31participants (educators, vocational rehabilitation counselors, and parents).</w:t>
      </w:r>
      <w:r w:rsidRPr="00781112">
        <w:rPr>
          <w:rFonts w:cs="Arial"/>
          <w:color w:val="000000" w:themeColor="text1"/>
          <w:szCs w:val="16"/>
        </w:rPr>
        <w:br/>
        <w:t>• The Utah Postsecondary Transition Team (UPTT) (formerly the Capacity Building Institute Team): This inter-agency state team annually attends the NTACT:C CBI and develops and incorporates tools and PL for LEA transition teams. During the 2021–2022 school year, the Utah team developed goals to analyze special education enrollment in CTE pathways to examine the level of underrepresentation of students with IEPs in CTE concentration and completion. The team will hold focus groups with exemplary LEAs and develop a TA document for the field to facilitate increased enrollment of students with IEPs in CTE pathways.</w:t>
      </w:r>
      <w:r w:rsidRPr="00781112">
        <w:rPr>
          <w:rFonts w:cs="Arial"/>
          <w:color w:val="000000" w:themeColor="text1"/>
          <w:szCs w:val="16"/>
        </w:rPr>
        <w:br/>
        <w:t>INDICATORS 15, 16</w:t>
      </w:r>
      <w:r w:rsidRPr="00781112">
        <w:rPr>
          <w:rFonts w:cs="Arial"/>
          <w:color w:val="000000" w:themeColor="text1"/>
          <w:szCs w:val="16"/>
        </w:rPr>
        <w:br/>
        <w:t>The USBE and its dispute resolution contractors participated in quarterly mediation, due process, State complaint, and IEP facilitator workgroups hosted by TAESE.</w:t>
      </w:r>
    </w:p>
    <w:p w14:paraId="0D25C7E9" w14:textId="3ADA39B6" w:rsidR="00AF5649" w:rsidRPr="00781112" w:rsidRDefault="00F72E24" w:rsidP="004369B2">
      <w:pPr>
        <w:rPr>
          <w:color w:val="000000" w:themeColor="text1"/>
        </w:rPr>
      </w:pPr>
      <w:r w:rsidRPr="00781112">
        <w:rPr>
          <w:b/>
          <w:color w:val="000000" w:themeColor="text1"/>
        </w:rPr>
        <w:t>Broad Stakeholder Input:</w:t>
      </w:r>
    </w:p>
    <w:p w14:paraId="0EB1658A" w14:textId="77777777" w:rsidR="006457D1" w:rsidRPr="006457D1" w:rsidRDefault="006457D1" w:rsidP="006457D1">
      <w:pPr>
        <w:rPr>
          <w:rFonts w:cs="Arial"/>
          <w:b/>
          <w:color w:val="000000" w:themeColor="text1"/>
          <w:szCs w:val="16"/>
        </w:rPr>
      </w:pPr>
      <w:r w:rsidRPr="006457D1">
        <w:rPr>
          <w:rFonts w:cs="Arial"/>
          <w:b/>
          <w:color w:val="000000" w:themeColor="text1"/>
          <w:szCs w:val="16"/>
        </w:rPr>
        <w:t>The mechanisms for soliciting broad stakeholder input on the State’s targets in the SPP/APR and any subsequent revisions that the State has made to those targets, and the development and implementation of Indicator 17, the State’s Systemic Improvement Plan (SSIP).</w:t>
      </w:r>
    </w:p>
    <w:p w14:paraId="7621D9ED" w14:textId="6E2BA22E" w:rsidR="000C24C2" w:rsidRPr="00781112" w:rsidRDefault="002B7490" w:rsidP="000C24C2">
      <w:pPr>
        <w:rPr>
          <w:rFonts w:cs="Arial"/>
          <w:color w:val="000000" w:themeColor="text1"/>
          <w:szCs w:val="16"/>
        </w:rPr>
      </w:pPr>
      <w:r w:rsidRPr="00781112">
        <w:rPr>
          <w:rFonts w:cs="Arial"/>
          <w:color w:val="000000" w:themeColor="text1"/>
          <w:szCs w:val="16"/>
        </w:rPr>
        <w:t>The USBE SES values stakeholder engagement and input and solicits ongoing feedback and review. Stakeholders consistently provide input through collaborative meetings, public comment, written communication, survey data, data analysis, and informal conversations. To share data and information and collect feedback on areas such as SPP/APR targets, the USBE SES employs meetings, newsletters, emails, surveys, and social media with stakeholder groups:</w:t>
      </w:r>
      <w:r w:rsidRPr="00781112">
        <w:rPr>
          <w:rFonts w:cs="Arial"/>
          <w:color w:val="000000" w:themeColor="text1"/>
          <w:szCs w:val="16"/>
        </w:rPr>
        <w:br/>
        <w:t>• LEA Special Education Directors</w:t>
      </w:r>
      <w:r w:rsidRPr="00781112">
        <w:rPr>
          <w:rFonts w:cs="Arial"/>
          <w:color w:val="000000" w:themeColor="text1"/>
          <w:szCs w:val="16"/>
        </w:rPr>
        <w:br/>
        <w:t>• Utah Special Education Advisory Panel (USEAP)</w:t>
      </w:r>
      <w:r w:rsidRPr="00781112">
        <w:rPr>
          <w:rFonts w:cs="Arial"/>
          <w:color w:val="000000" w:themeColor="text1"/>
          <w:szCs w:val="16"/>
        </w:rPr>
        <w:br/>
        <w:t>• USBE Committees</w:t>
      </w:r>
      <w:r w:rsidRPr="00781112">
        <w:rPr>
          <w:rFonts w:cs="Arial"/>
          <w:color w:val="000000" w:themeColor="text1"/>
          <w:szCs w:val="16"/>
        </w:rPr>
        <w:br/>
        <w:t>• Utah Legislative Committees</w:t>
      </w:r>
      <w:r w:rsidRPr="00781112">
        <w:rPr>
          <w:rFonts w:cs="Arial"/>
          <w:color w:val="000000" w:themeColor="text1"/>
          <w:szCs w:val="16"/>
        </w:rPr>
        <w:br/>
        <w:t>• Utah Parent Center (UPC)</w:t>
      </w:r>
      <w:r w:rsidRPr="00781112">
        <w:rPr>
          <w:rFonts w:cs="Arial"/>
          <w:color w:val="000000" w:themeColor="text1"/>
          <w:szCs w:val="16"/>
        </w:rPr>
        <w:br/>
        <w:t>• LEA Curriculum and Assessment Directors</w:t>
      </w:r>
      <w:r w:rsidRPr="00781112">
        <w:rPr>
          <w:rFonts w:cs="Arial"/>
          <w:color w:val="000000" w:themeColor="text1"/>
          <w:szCs w:val="16"/>
        </w:rPr>
        <w:br/>
        <w:t>• LEA Preschool Coordinators</w:t>
      </w:r>
      <w:r w:rsidRPr="00781112">
        <w:rPr>
          <w:rFonts w:cs="Arial"/>
          <w:color w:val="000000" w:themeColor="text1"/>
          <w:szCs w:val="16"/>
        </w:rPr>
        <w:br/>
        <w:t>• LEA Administrators</w:t>
      </w:r>
      <w:r w:rsidRPr="00781112">
        <w:rPr>
          <w:rFonts w:cs="Arial"/>
          <w:color w:val="000000" w:themeColor="text1"/>
          <w:szCs w:val="16"/>
        </w:rPr>
        <w:br/>
        <w:t>•Utah Institutes of Higher Education (IHEs)</w:t>
      </w:r>
      <w:r w:rsidRPr="00781112">
        <w:rPr>
          <w:rFonts w:cs="Arial"/>
          <w:color w:val="000000" w:themeColor="text1"/>
          <w:szCs w:val="16"/>
        </w:rPr>
        <w:br/>
        <w:t>• Baby Watch/Early Intervention (Utah’s Part C agency)</w:t>
      </w:r>
      <w:r w:rsidRPr="00781112">
        <w:rPr>
          <w:rFonts w:cs="Arial"/>
          <w:color w:val="000000" w:themeColor="text1"/>
          <w:szCs w:val="16"/>
        </w:rPr>
        <w:br/>
        <w:t>• Agencies and non-profit organizations that provide services to SWD</w:t>
      </w:r>
      <w:r w:rsidRPr="00781112">
        <w:rPr>
          <w:rFonts w:cs="Arial"/>
          <w:color w:val="000000" w:themeColor="text1"/>
          <w:szCs w:val="16"/>
        </w:rPr>
        <w:br/>
        <w:t>• Utah Educators</w:t>
      </w:r>
      <w:r w:rsidRPr="00781112">
        <w:rPr>
          <w:rFonts w:cs="Arial"/>
          <w:color w:val="000000" w:themeColor="text1"/>
          <w:szCs w:val="16"/>
        </w:rPr>
        <w:br/>
        <w:t>• Advocacy groups throughout the State</w:t>
      </w:r>
      <w:r w:rsidRPr="00781112">
        <w:rPr>
          <w:rFonts w:cs="Arial"/>
          <w:color w:val="000000" w:themeColor="text1"/>
          <w:szCs w:val="16"/>
        </w:rPr>
        <w:br/>
        <w:t>During FFY 2021, no changes were made to the SPP/APR targets. The USBE SES reviewed the progress of the implementation of the Theory of Action for the SSIP and SPP/APR data with USEAM, USEAP, and the Coordinating Council for People with Disabilities (CCPD) (which includes all state agencies that serve individuals with disabilities and all nonprofit organizations that receive any state funding and/or grants).</w:t>
      </w:r>
      <w:r w:rsidRPr="00781112">
        <w:rPr>
          <w:rFonts w:cs="Arial"/>
          <w:color w:val="000000" w:themeColor="text1"/>
          <w:szCs w:val="16"/>
        </w:rPr>
        <w:br/>
        <w:t>The APR summit was held virtually on July 30, 2021. Over 100 participants attended from the stakeholder groups and those with individual interests. Participants reviewed data and projections for the State in 2025–2026. Participants were provided with an overview of the advantages and disadvantages of predictive models as well as an overview of the mindset for target-setting. Participants were asked to select the end targets (2025–2026) for indicators. The USBE SES would then calculate intervening targets between FFY 2020 and FFY 2025 whereby there would be no increase in the target the first year, followed by small increases, then large increases near the end. This is to allow enough time for LEAs to implement initiatives and change practices to realistically meet targets along their way to the rigorous end targets. After this overview, participants determined challenging and achievable end targets. The USBE SES calculated intervening targets and shared these intervening targets with the participants and additional stakeholders to get final approval for all the targets.</w:t>
      </w:r>
      <w:r w:rsidRPr="00781112">
        <w:rPr>
          <w:rFonts w:cs="Arial"/>
          <w:color w:val="000000" w:themeColor="text1"/>
          <w:szCs w:val="16"/>
        </w:rPr>
        <w:br/>
        <w:t>A survey was sent out and 101 individuals participated. Most participants identified as white females in suburban parts of Utah. American Indian/Native Alaskan, Hispanic/Latino, and individuals who identified as multiracial also participated. As a result of this additional feedback, the USBE SES revised Indicator 5 targets to maintain rigor and develop reasonable targets manageable by the LEAs. Targets for all indicators were developed after review of historical indicator and trend data, recommendations from the USBE statistician, the impact of COVID-19, APR summit and APR survey review. All targets were subsequently reviewed and adopted by USBE staff, USEAP, and LEAs. OSEP approved SPP/APR targets in the FFY 2020 SPP/APR.</w:t>
      </w:r>
      <w:r w:rsidRPr="00781112">
        <w:rPr>
          <w:rFonts w:cs="Arial"/>
          <w:color w:val="000000" w:themeColor="text1"/>
          <w:szCs w:val="16"/>
        </w:rPr>
        <w:br/>
        <w:t>During FFY 2021, the SPP/APR and SSIP were discussed regularly with LEA special education directors, USEAP, UPC, the state Parent Teacher Association (PTA), and other parent groups focused on inclusionary practices in Utah schools. Regular meetings are held with all these groups typically on a quarterly basis. Emails, phone calls, and in-person meetings provide for informal opportunities to gain insight and adjust.</w:t>
      </w:r>
      <w:r w:rsidRPr="00781112">
        <w:rPr>
          <w:rFonts w:cs="Arial"/>
          <w:color w:val="000000" w:themeColor="text1"/>
          <w:szCs w:val="16"/>
        </w:rPr>
        <w:br/>
        <w:t>The UPC works closely with USBE to increase the capacity of diverse groups of parents. Meetings at UPC are held in Spanish as the second highest language in the State. Refugee populations are connected through UPC staff assigned to specific LEAs with large populations of refugees.</w:t>
      </w:r>
      <w:r w:rsidRPr="00781112">
        <w:rPr>
          <w:rFonts w:cs="Arial"/>
          <w:color w:val="000000" w:themeColor="text1"/>
          <w:szCs w:val="16"/>
        </w:rPr>
        <w:br/>
        <w:t>The USBE family engagement specialist seeks to increase capacity through cross collaboration with other parent and family engagement programs provided in LEAs that we will continue to target.</w:t>
      </w:r>
      <w:r w:rsidRPr="00781112">
        <w:rPr>
          <w:rFonts w:cs="Arial"/>
          <w:color w:val="000000" w:themeColor="text1"/>
          <w:szCs w:val="16"/>
        </w:rPr>
        <w:br/>
        <w:t>INDICATOR 1</w:t>
      </w:r>
      <w:r w:rsidRPr="00781112">
        <w:rPr>
          <w:rFonts w:cs="Arial"/>
          <w:color w:val="000000" w:themeColor="text1"/>
          <w:szCs w:val="16"/>
        </w:rPr>
        <w:br/>
      </w:r>
      <w:r w:rsidRPr="00781112">
        <w:rPr>
          <w:rFonts w:cs="Arial"/>
          <w:color w:val="000000" w:themeColor="text1"/>
          <w:szCs w:val="16"/>
        </w:rPr>
        <w:lastRenderedPageBreak/>
        <w:t>Data from 2018 was determined to be an appropriate baseline. With a baseline of 67.90%, targets will increase with consideration for COVID-19 impacts.</w:t>
      </w:r>
      <w:r w:rsidRPr="00781112">
        <w:rPr>
          <w:rFonts w:cs="Arial"/>
          <w:color w:val="000000" w:themeColor="text1"/>
          <w:szCs w:val="16"/>
        </w:rPr>
        <w:br/>
        <w:t>INDICATOR 2</w:t>
      </w:r>
      <w:r w:rsidRPr="00781112">
        <w:rPr>
          <w:rFonts w:cs="Arial"/>
          <w:color w:val="000000" w:themeColor="text1"/>
          <w:szCs w:val="16"/>
        </w:rPr>
        <w:br/>
        <w:t>Data from 2018 was determined to be an appropriate baseline. With a baseline of 25.81%, targets will decrease with consideration for COVID-19 impacts.</w:t>
      </w:r>
      <w:r w:rsidRPr="00781112">
        <w:rPr>
          <w:rFonts w:cs="Arial"/>
          <w:color w:val="000000" w:themeColor="text1"/>
          <w:szCs w:val="16"/>
        </w:rPr>
        <w:br/>
        <w:t>INDICATOR 3A</w:t>
      </w:r>
      <w:r w:rsidRPr="00781112">
        <w:rPr>
          <w:rFonts w:cs="Arial"/>
          <w:color w:val="000000" w:themeColor="text1"/>
          <w:szCs w:val="16"/>
        </w:rPr>
        <w:br/>
        <w:t>This target is set by OSEP. Stakeholders discussed ways to improve participation.</w:t>
      </w:r>
      <w:r w:rsidRPr="00781112">
        <w:rPr>
          <w:rFonts w:cs="Arial"/>
          <w:color w:val="000000" w:themeColor="text1"/>
          <w:szCs w:val="16"/>
        </w:rPr>
        <w:br/>
        <w:t>INDICATORS 3B, C, D</w:t>
      </w:r>
      <w:r w:rsidRPr="00781112">
        <w:rPr>
          <w:rFonts w:cs="Arial"/>
          <w:color w:val="000000" w:themeColor="text1"/>
          <w:szCs w:val="16"/>
        </w:rPr>
        <w:br/>
        <w:t>Participants looked at the average mean from the previous four years of data in conjunction with the linear trend and forecasting. This process allowed participants to analyze the best statistical guess of where Utah’s data would most likely be in six years while also seeing the forecasting of possible error over time for predicting far into the future.</w:t>
      </w:r>
      <w:r w:rsidRPr="00781112">
        <w:rPr>
          <w:rFonts w:cs="Arial"/>
          <w:color w:val="000000" w:themeColor="text1"/>
          <w:szCs w:val="16"/>
        </w:rPr>
        <w:br/>
        <w:t>INDICATOR 5</w:t>
      </w:r>
      <w:r w:rsidRPr="00781112">
        <w:rPr>
          <w:rFonts w:cs="Arial"/>
          <w:color w:val="000000" w:themeColor="text1"/>
          <w:szCs w:val="16"/>
        </w:rPr>
        <w:br/>
        <w:t>During FFY 2020, the Indicator 5 baseline was reset. In FFY 2021, all targets were met. A comprehensive approach was taken to provide informative learning sessions to support special education directors who are accountable for reviewing Indicator 5 outcome data. Recognizing the need to differentiate support, the USBE SES offered individual LEA data analysis and problem-solving sessions.</w:t>
      </w:r>
      <w:r w:rsidRPr="00781112">
        <w:rPr>
          <w:rFonts w:cs="Arial"/>
          <w:color w:val="000000" w:themeColor="text1"/>
          <w:szCs w:val="16"/>
        </w:rPr>
        <w:br/>
        <w:t>INDICATOR 6</w:t>
      </w:r>
      <w:r w:rsidRPr="00781112">
        <w:rPr>
          <w:rFonts w:cs="Arial"/>
          <w:color w:val="000000" w:themeColor="text1"/>
          <w:szCs w:val="16"/>
        </w:rPr>
        <w:br/>
        <w:t>Data from 2018 was determined to be an appropriate baseline. With baselines of (A) 46.86%, (B) 32.67%, (C) 0.25%, targets will gradually increase and decrease with consideration for COVID-19 impacts.</w:t>
      </w:r>
      <w:r w:rsidRPr="00781112">
        <w:rPr>
          <w:rFonts w:cs="Arial"/>
          <w:color w:val="000000" w:themeColor="text1"/>
          <w:szCs w:val="16"/>
        </w:rPr>
        <w:br/>
        <w:t>INDICATOR 7</w:t>
      </w:r>
      <w:r w:rsidRPr="00781112">
        <w:rPr>
          <w:rFonts w:cs="Arial"/>
          <w:color w:val="000000" w:themeColor="text1"/>
          <w:szCs w:val="16"/>
        </w:rPr>
        <w:br/>
        <w:t>Data from 2018 was determined to be an appropriate baseline. The USBE predicts outcomes for this indicator are still being largely impacted by COVID-19, and targets are currently set below the baseline. With baselines of (A1) 88.86%, (A2) 58.94%, (B1) 88.41%, (B2) 50.48%, (C1) 89.86%, (C2) 70.52%, targets will increase with consideration for COVID-19 impacts.</w:t>
      </w:r>
      <w:r w:rsidRPr="00781112">
        <w:rPr>
          <w:rFonts w:cs="Arial"/>
          <w:color w:val="000000" w:themeColor="text1"/>
          <w:szCs w:val="16"/>
        </w:rPr>
        <w:br/>
        <w:t>INDICATOR 8</w:t>
      </w:r>
      <w:r w:rsidRPr="00781112">
        <w:rPr>
          <w:rFonts w:cs="Arial"/>
          <w:color w:val="000000" w:themeColor="text1"/>
          <w:szCs w:val="16"/>
        </w:rPr>
        <w:br/>
        <w:t>Data from 2018 was determined to be an appropriate baseline. With a baseline of 78.38%, targets will gradually increase with consideration for COVID-19 impacts.</w:t>
      </w:r>
      <w:r w:rsidRPr="00781112">
        <w:rPr>
          <w:rFonts w:cs="Arial"/>
          <w:color w:val="000000" w:themeColor="text1"/>
          <w:szCs w:val="16"/>
        </w:rPr>
        <w:br/>
        <w:t>INDICATORS 4, 9, 10</w:t>
      </w:r>
      <w:r w:rsidRPr="00781112">
        <w:rPr>
          <w:rFonts w:cs="Arial"/>
          <w:color w:val="000000" w:themeColor="text1"/>
          <w:szCs w:val="16"/>
        </w:rPr>
        <w:br/>
        <w:t>During the APR Summit, stakeholders reviewed current data trends and ways to improve outcomes. Although targets cannot be changed, stakeholder input has been instrumental in meeting targets for these indicators. The calculations and data collection process for these indicators has been updated to improve outcomes for SWD. Stakeholder input has been utilized to determine processes, PL, and support provided to bridge the gap between current performance and targets.</w:t>
      </w:r>
      <w:r w:rsidRPr="00781112">
        <w:rPr>
          <w:rFonts w:cs="Arial"/>
          <w:color w:val="000000" w:themeColor="text1"/>
          <w:szCs w:val="16"/>
        </w:rPr>
        <w:br/>
        <w:t>INDICATORS 11, 12</w:t>
      </w:r>
      <w:r w:rsidRPr="00781112">
        <w:rPr>
          <w:rFonts w:cs="Arial"/>
          <w:color w:val="000000" w:themeColor="text1"/>
          <w:szCs w:val="16"/>
        </w:rPr>
        <w:br/>
        <w:t>During the APR Summit, stakeholders reviewed current data trends and ways to improve outcomes. Although targets cannot be changed, stakeholder input has been instrumental in meeting targets for these indicators. Input has been utilized to determine PL and support provided to bridge the gap between current performance and targets.</w:t>
      </w:r>
      <w:r w:rsidRPr="00781112">
        <w:rPr>
          <w:rFonts w:cs="Arial"/>
          <w:color w:val="000000" w:themeColor="text1"/>
          <w:szCs w:val="16"/>
        </w:rPr>
        <w:br/>
        <w:t>INDICATOR 13</w:t>
      </w:r>
      <w:r w:rsidRPr="00781112">
        <w:rPr>
          <w:rFonts w:cs="Arial"/>
          <w:color w:val="000000" w:themeColor="text1"/>
          <w:szCs w:val="16"/>
        </w:rPr>
        <w:br/>
        <w:t>The USBE SES recognizes this is an area requiring improvement. During the APR Summit, stakeholders reviewed current data trends and ways to improve outcomes. Although targets cannot be changed, stakeholder input has been instrumental in the progression toward meeting the target.</w:t>
      </w:r>
      <w:r w:rsidRPr="00781112">
        <w:rPr>
          <w:rFonts w:cs="Arial"/>
          <w:color w:val="000000" w:themeColor="text1"/>
          <w:szCs w:val="16"/>
        </w:rPr>
        <w:br/>
        <w:t>INDICATOR 14</w:t>
      </w:r>
      <w:r w:rsidRPr="00781112">
        <w:rPr>
          <w:rFonts w:cs="Arial"/>
          <w:color w:val="000000" w:themeColor="text1"/>
          <w:szCs w:val="16"/>
        </w:rPr>
        <w:br/>
        <w:t>Data from 2018 was determined to be an appropriate baseline. The USBE predicts outcomes for this indicator are still being largely impacted by COVID-19, and targets are currently set below the baseline. With baselines of (A) 19.62%, (B) 67.60%, (C) 84.37%, targets will increase with consideration for COVID-19 impacts.</w:t>
      </w:r>
      <w:r w:rsidRPr="00781112">
        <w:rPr>
          <w:rFonts w:cs="Arial"/>
          <w:color w:val="000000" w:themeColor="text1"/>
          <w:szCs w:val="16"/>
        </w:rPr>
        <w:br/>
        <w:t xml:space="preserve">INDICATOR 15 </w:t>
      </w:r>
      <w:r w:rsidRPr="00781112">
        <w:rPr>
          <w:rFonts w:cs="Arial"/>
          <w:color w:val="000000" w:themeColor="text1"/>
          <w:szCs w:val="16"/>
        </w:rPr>
        <w:br/>
        <w:t>The USBE continues to experience relatively low levels of due process hearing requests and resolution meetings and is not required to set a target.</w:t>
      </w:r>
      <w:r w:rsidRPr="00781112">
        <w:rPr>
          <w:rFonts w:cs="Arial"/>
          <w:color w:val="000000" w:themeColor="text1"/>
          <w:szCs w:val="16"/>
        </w:rPr>
        <w:br/>
        <w:t xml:space="preserve">INDICATOR 16 </w:t>
      </w:r>
      <w:r w:rsidRPr="00781112">
        <w:rPr>
          <w:rFonts w:cs="Arial"/>
          <w:color w:val="000000" w:themeColor="text1"/>
          <w:szCs w:val="16"/>
        </w:rPr>
        <w:br/>
        <w:t>The USBE continues to experience relatively low levels of dispute resolution requests, including mediation. Targets have been set based on the low level of mediation requests.</w:t>
      </w:r>
    </w:p>
    <w:p w14:paraId="159721AE" w14:textId="7E456FC5" w:rsidR="00084FF1" w:rsidRPr="00781112" w:rsidRDefault="00084FF1" w:rsidP="000C24C2">
      <w:pPr>
        <w:rPr>
          <w:rFonts w:cs="Arial"/>
          <w:b/>
          <w:color w:val="000000" w:themeColor="text1"/>
          <w:szCs w:val="16"/>
        </w:rPr>
      </w:pPr>
      <w:r w:rsidRPr="00781112">
        <w:rPr>
          <w:rFonts w:cs="Arial"/>
          <w:b/>
          <w:color w:val="000000" w:themeColor="text1"/>
          <w:szCs w:val="16"/>
        </w:rPr>
        <w:t>Apply stakeholder involvement from introduction to all Part B results indicators (y/n)</w:t>
      </w:r>
    </w:p>
    <w:p w14:paraId="2E10E7B0" w14:textId="00B67F00" w:rsidR="00FB0D0A" w:rsidRPr="00781112" w:rsidRDefault="002B7490" w:rsidP="004369B2">
      <w:pPr>
        <w:rPr>
          <w:color w:val="000000" w:themeColor="text1"/>
        </w:rPr>
      </w:pPr>
      <w:r w:rsidRPr="00781112">
        <w:rPr>
          <w:color w:val="000000" w:themeColor="text1"/>
        </w:rPr>
        <w:t>YES</w:t>
      </w:r>
    </w:p>
    <w:p w14:paraId="039304C3" w14:textId="77777777" w:rsidR="00F72E24" w:rsidRPr="00781112" w:rsidRDefault="00F72E24" w:rsidP="00F72E24">
      <w:pPr>
        <w:rPr>
          <w:b/>
          <w:color w:val="000000" w:themeColor="text1"/>
        </w:rPr>
      </w:pPr>
      <w:r w:rsidRPr="00781112">
        <w:rPr>
          <w:b/>
          <w:color w:val="000000" w:themeColor="text1"/>
        </w:rPr>
        <w:t>Number of Parent Members:</w:t>
      </w:r>
    </w:p>
    <w:p w14:paraId="3A2A60D7" w14:textId="5F5224C2" w:rsidR="00F72E24" w:rsidRPr="00781112" w:rsidRDefault="00F72E24" w:rsidP="00F72E24">
      <w:pPr>
        <w:rPr>
          <w:color w:val="000000" w:themeColor="text1"/>
          <w:szCs w:val="16"/>
        </w:rPr>
      </w:pPr>
      <w:r w:rsidRPr="00781112">
        <w:rPr>
          <w:color w:val="000000" w:themeColor="text1"/>
          <w:szCs w:val="16"/>
        </w:rPr>
        <w:t>48</w:t>
      </w:r>
    </w:p>
    <w:p w14:paraId="06D1F432" w14:textId="77777777" w:rsidR="00F72E24" w:rsidRPr="00781112" w:rsidRDefault="00F72E24" w:rsidP="00F72E24">
      <w:pPr>
        <w:rPr>
          <w:b/>
          <w:color w:val="000000" w:themeColor="text1"/>
        </w:rPr>
      </w:pPr>
      <w:r w:rsidRPr="00781112">
        <w:rPr>
          <w:b/>
          <w:color w:val="000000" w:themeColor="text1"/>
        </w:rPr>
        <w:t>Parent Members Engagement:</w:t>
      </w:r>
    </w:p>
    <w:p w14:paraId="243421D1" w14:textId="676E0957" w:rsidR="00F72E24" w:rsidRPr="00781112" w:rsidRDefault="00F72E24" w:rsidP="00F72E24">
      <w:pPr>
        <w:rPr>
          <w:b/>
          <w:color w:val="000000" w:themeColor="text1"/>
        </w:rPr>
      </w:pPr>
      <w:r w:rsidRPr="00781112">
        <w:rPr>
          <w:b/>
          <w:color w:val="000000" w:themeColor="text1"/>
        </w:rPr>
        <w:t>Describe how the parent members of the State Advisory Panel, parent center staff, parents from local and statewide advocacy and advisory committees, and individual parents were engaged in setting targets, analyzing data, developing improvement strategies, and evaluating progress.</w:t>
      </w:r>
    </w:p>
    <w:p w14:paraId="5A19969A" w14:textId="0D5C2CEC" w:rsidR="00F72E24" w:rsidRPr="00781112" w:rsidRDefault="00F72E24" w:rsidP="00F72E24">
      <w:pPr>
        <w:rPr>
          <w:color w:val="000000" w:themeColor="text1"/>
          <w:szCs w:val="16"/>
        </w:rPr>
      </w:pPr>
      <w:r w:rsidRPr="00781112">
        <w:rPr>
          <w:color w:val="000000" w:themeColor="text1"/>
          <w:szCs w:val="16"/>
        </w:rPr>
        <w:t>Twenty parents attended the APR Summit and provided input on indicators. Additional feedback was provided by parents through the survey sent following the event. The USBE SES also included parents who did and who did not participate in the APR summit or respond to the subsequent survey by presenting information about the target setting process to USEAP, UPC staff, and Utah Parent Teacher Association (PTA) leadership.</w:t>
      </w:r>
      <w:r w:rsidRPr="00781112">
        <w:rPr>
          <w:color w:val="000000" w:themeColor="text1"/>
          <w:szCs w:val="16"/>
        </w:rPr>
        <w:br/>
      </w:r>
      <w:r w:rsidRPr="00781112">
        <w:rPr>
          <w:color w:val="000000" w:themeColor="text1"/>
          <w:szCs w:val="16"/>
        </w:rPr>
        <w:br/>
        <w:t>Data is shared with USEAP, UPC staff, PTA, and online annually. USEAP often bases priorities on the information provided from the SPP/APR. Comments and feedback are always requested and responded to.</w:t>
      </w:r>
    </w:p>
    <w:p w14:paraId="22B36B69" w14:textId="77777777" w:rsidR="00F72E24" w:rsidRPr="00781112" w:rsidRDefault="00F72E24" w:rsidP="00F72E24">
      <w:pPr>
        <w:rPr>
          <w:b/>
          <w:color w:val="000000" w:themeColor="text1"/>
        </w:rPr>
      </w:pPr>
      <w:r w:rsidRPr="00781112">
        <w:rPr>
          <w:b/>
          <w:color w:val="000000" w:themeColor="text1"/>
        </w:rPr>
        <w:t>Activities to Improve Outcomes for Children with Disabilities:</w:t>
      </w:r>
    </w:p>
    <w:p w14:paraId="362D1ECF" w14:textId="77777777" w:rsidR="006457D1" w:rsidRPr="006457D1" w:rsidRDefault="006457D1" w:rsidP="006457D1">
      <w:pPr>
        <w:rPr>
          <w:b/>
          <w:color w:val="000000" w:themeColor="text1"/>
        </w:rPr>
      </w:pPr>
      <w:r w:rsidRPr="006457D1">
        <w:rPr>
          <w:b/>
          <w:color w:val="000000" w:themeColor="text1"/>
        </w:rPr>
        <w:t>The activities conducted to increase the capacity of diverse groups of parents to support the development of implementation activities designed to improve outcomes for children with disabilities.</w:t>
      </w:r>
    </w:p>
    <w:p w14:paraId="3BDE813D" w14:textId="522F6FB0" w:rsidR="00F72E24" w:rsidRPr="00781112" w:rsidRDefault="00F72E24" w:rsidP="00F72E24">
      <w:pPr>
        <w:rPr>
          <w:color w:val="000000" w:themeColor="text1"/>
          <w:szCs w:val="16"/>
        </w:rPr>
      </w:pPr>
      <w:r w:rsidRPr="00781112">
        <w:rPr>
          <w:color w:val="000000" w:themeColor="text1"/>
          <w:szCs w:val="16"/>
        </w:rPr>
        <w:t>USBE SES staff discussed with members of USEAP and UPC staff ways to reach out to and connect with parents who are traditionally underrepresented in the stakeholder feedback collection process. Members of USEAP and UPC staff both proactively shared information about the target setting process with their parent constituencies from diverse backgrounds. The USBE SES will continue to work with these leaders to increase the feedback we receive from traditionally underrepresented parents.</w:t>
      </w:r>
    </w:p>
    <w:p w14:paraId="6210CD83" w14:textId="77777777" w:rsidR="00F72E24" w:rsidRPr="00781112" w:rsidRDefault="00F72E24" w:rsidP="00F72E24">
      <w:pPr>
        <w:rPr>
          <w:b/>
          <w:color w:val="000000" w:themeColor="text1"/>
        </w:rPr>
      </w:pPr>
      <w:r w:rsidRPr="00781112">
        <w:rPr>
          <w:b/>
          <w:color w:val="000000" w:themeColor="text1"/>
        </w:rPr>
        <w:t>Soliciting Public Input:</w:t>
      </w:r>
    </w:p>
    <w:p w14:paraId="39A8F7F4" w14:textId="036934F6" w:rsidR="00F72E24" w:rsidRPr="00781112" w:rsidRDefault="00F72E24" w:rsidP="00F72E24">
      <w:pPr>
        <w:rPr>
          <w:b/>
          <w:color w:val="000000" w:themeColor="text1"/>
        </w:rPr>
      </w:pPr>
      <w:r w:rsidRPr="00781112">
        <w:rPr>
          <w:b/>
          <w:color w:val="000000" w:themeColor="text1"/>
        </w:rPr>
        <w:t>The mechanisms and timelines for soliciting public input for setting targets, analyzing data, developing improvement strategies, and evaluating progress.</w:t>
      </w:r>
    </w:p>
    <w:p w14:paraId="223D0B8E" w14:textId="16A98311" w:rsidR="00F72E24" w:rsidRPr="00781112" w:rsidRDefault="00F72E24" w:rsidP="00F72E24">
      <w:pPr>
        <w:rPr>
          <w:color w:val="000000" w:themeColor="text1"/>
          <w:szCs w:val="16"/>
        </w:rPr>
      </w:pPr>
      <w:r w:rsidRPr="00781112">
        <w:rPr>
          <w:color w:val="000000" w:themeColor="text1"/>
          <w:szCs w:val="16"/>
        </w:rPr>
        <w:t>The stakeholders listed in the “Broad Stakeholder Input” section were provided formal and informal notification on the APR summit and the additional survey seeking input. Mechanisms included announcements during meetings, emails, newsletter notifications, website publication, and individual conversations.</w:t>
      </w:r>
      <w:r w:rsidRPr="00781112">
        <w:rPr>
          <w:color w:val="000000" w:themeColor="text1"/>
          <w:szCs w:val="16"/>
        </w:rPr>
        <w:br/>
      </w:r>
      <w:r w:rsidRPr="00781112">
        <w:rPr>
          <w:color w:val="000000" w:themeColor="text1"/>
          <w:szCs w:val="16"/>
        </w:rPr>
        <w:lastRenderedPageBreak/>
        <w:br/>
        <w:t>Notifications began in the fall of 2020. In June 2021, a flyer including registration for the APR summit was provided to stakeholders through email and newsletters. It is evident the public received notification and responded, as over 100 participants attended and provided feedback.</w:t>
      </w:r>
      <w:r w:rsidRPr="00781112">
        <w:rPr>
          <w:color w:val="000000" w:themeColor="text1"/>
          <w:szCs w:val="16"/>
        </w:rPr>
        <w:br/>
      </w:r>
      <w:r w:rsidRPr="00781112">
        <w:rPr>
          <w:color w:val="000000" w:themeColor="text1"/>
          <w:szCs w:val="16"/>
        </w:rPr>
        <w:br/>
        <w:t>In addition, stakeholders were sent the survey following the event through emails and newsletters to provide additional perspective and input. The survey resulted in over 100 responses.</w:t>
      </w:r>
    </w:p>
    <w:p w14:paraId="60517C6B" w14:textId="77777777" w:rsidR="001628C0" w:rsidRPr="00781112" w:rsidRDefault="001628C0" w:rsidP="001628C0">
      <w:pPr>
        <w:rPr>
          <w:b/>
          <w:color w:val="000000" w:themeColor="text1"/>
        </w:rPr>
      </w:pPr>
      <w:r w:rsidRPr="00781112">
        <w:rPr>
          <w:b/>
          <w:color w:val="000000" w:themeColor="text1"/>
        </w:rPr>
        <w:t>Making Results Available to the Public:</w:t>
      </w:r>
    </w:p>
    <w:p w14:paraId="311EF023" w14:textId="34EDFFF0" w:rsidR="001628C0" w:rsidRPr="00781112" w:rsidRDefault="001628C0" w:rsidP="001628C0">
      <w:pPr>
        <w:rPr>
          <w:b/>
          <w:color w:val="000000" w:themeColor="text1"/>
        </w:rPr>
      </w:pPr>
      <w:r w:rsidRPr="00781112">
        <w:rPr>
          <w:b/>
          <w:color w:val="000000" w:themeColor="text1"/>
        </w:rPr>
        <w:t>The mechanisms and timelines for making the results of the target setting, data analysis, development of the improvement strategies, and evaluation available to the public.</w:t>
      </w:r>
    </w:p>
    <w:p w14:paraId="0AEF38F9" w14:textId="1C0CFAA1" w:rsidR="001628C0" w:rsidRPr="00781112" w:rsidRDefault="001628C0" w:rsidP="001628C0">
      <w:pPr>
        <w:rPr>
          <w:color w:val="000000" w:themeColor="text1"/>
          <w:szCs w:val="16"/>
        </w:rPr>
      </w:pPr>
      <w:r w:rsidRPr="00781112">
        <w:rPr>
          <w:color w:val="000000" w:themeColor="text1"/>
          <w:szCs w:val="16"/>
        </w:rPr>
        <w:t>The results of the target setting process were shared with LEA special education leaders, USEAP, UPC staff, Disability Law Center (DLC) staff, relevant Utah PTA leadership, as well as the relevant staff at all State of Utah Agencies and most of the nonprofit organizations that serve individuals with disabilities. The target setting process results were also shared in newsletters and on the USBE special education website.</w:t>
      </w:r>
      <w:r w:rsidRPr="00781112">
        <w:rPr>
          <w:color w:val="000000" w:themeColor="text1"/>
          <w:szCs w:val="16"/>
        </w:rPr>
        <w:br/>
      </w:r>
      <w:r w:rsidRPr="00781112">
        <w:rPr>
          <w:color w:val="000000" w:themeColor="text1"/>
          <w:szCs w:val="16"/>
        </w:rPr>
        <w:br/>
        <w:t>There were no proposed changes to the FFY 2021 SPP/APR that required notification to the public.</w:t>
      </w:r>
    </w:p>
    <w:p w14:paraId="7432C5B0" w14:textId="77777777" w:rsidR="00F72E24" w:rsidRPr="00781112" w:rsidRDefault="00F72E24" w:rsidP="004369B2">
      <w:pPr>
        <w:rPr>
          <w:color w:val="000000" w:themeColor="text1"/>
        </w:rPr>
      </w:pPr>
    </w:p>
    <w:p w14:paraId="41976EFD" w14:textId="52C6C218" w:rsidR="00AF5649" w:rsidRPr="00781112" w:rsidRDefault="00AF5649" w:rsidP="004369B2">
      <w:pPr>
        <w:rPr>
          <w:color w:val="000000" w:themeColor="text1"/>
        </w:rPr>
      </w:pPr>
      <w:r w:rsidRPr="00781112">
        <w:rPr>
          <w:b/>
          <w:color w:val="000000" w:themeColor="text1"/>
        </w:rPr>
        <w:t>Reporting to the Public</w:t>
      </w:r>
    </w:p>
    <w:p w14:paraId="6989C68F" w14:textId="34FB353D" w:rsidR="00AF5649" w:rsidRPr="00781112" w:rsidRDefault="00AF5649" w:rsidP="004369B2">
      <w:pPr>
        <w:rPr>
          <w:b/>
          <w:color w:val="000000" w:themeColor="text1"/>
        </w:rPr>
      </w:pPr>
      <w:r w:rsidRPr="00781112">
        <w:rPr>
          <w:b/>
          <w:color w:val="000000" w:themeColor="text1"/>
        </w:rPr>
        <w:t>How and where the State reported to the public on the FFY 2020 performance of each LEA located in the State on the targets in the SPP/APR as soon as practicable, but no later than 120 days following the State’s submission of its FFY 2020 APR, as required by 34 CFR §300.602(b)(1)(i)(A); and a description of where, on its Web site, a complete copy of the State’s SPP/APR, including any revision if the State has revised the targets that it submitted with its FFY 2020 APR in 2022, is available.</w:t>
      </w:r>
    </w:p>
    <w:p w14:paraId="4B111ECA" w14:textId="48A73890" w:rsidR="000C24C2" w:rsidRPr="00781112" w:rsidRDefault="002B7490" w:rsidP="007925C6">
      <w:pPr>
        <w:rPr>
          <w:rFonts w:cs="Arial"/>
          <w:color w:val="000000" w:themeColor="text1"/>
          <w:szCs w:val="16"/>
        </w:rPr>
      </w:pPr>
      <w:r w:rsidRPr="00781112">
        <w:rPr>
          <w:rFonts w:cs="Arial"/>
          <w:color w:val="000000" w:themeColor="text1"/>
          <w:szCs w:val="16"/>
        </w:rPr>
        <w:t>Starting in February each year, the State reports to the public on its progress and/or slippage in meeting the measurable and rigorous targets. The SPP/APR is posted on the USBE special education website (https://www.schools.utah.gov/specialeducation/programs/datareporting?mid=5342&amp;tid=1).</w:t>
      </w:r>
      <w:r w:rsidRPr="00781112">
        <w:rPr>
          <w:rFonts w:cs="Arial"/>
          <w:color w:val="000000" w:themeColor="text1"/>
          <w:szCs w:val="16"/>
        </w:rPr>
        <w:br/>
      </w:r>
      <w:r w:rsidRPr="00781112">
        <w:rPr>
          <w:rFonts w:cs="Arial"/>
          <w:color w:val="000000" w:themeColor="text1"/>
          <w:szCs w:val="16"/>
        </w:rPr>
        <w:br/>
        <w:t>The final SPP/APR is shared at the first regularly scheduled meetings of the USBE and USEAP and with the special education directors after submission. Results are also shared with UPC. Prior to April 15 of each year (within 120 days of the State’s submission of its APR), the USBE SES prepares and publishes a summary of Indicators that are required to be publicly reported for each LEA. The summary is posted on the USBE special education website (https://www.schools.utah.gov/specialeducation/programs/datareporting?mid=5342&amp;tid=1) and is made available for posting on LEA websites. The results of the FFY 2021 APR will be reported to the Utah State Board of Education in the March 2023 Board meeting.</w:t>
      </w:r>
    </w:p>
    <w:p w14:paraId="5231B97D" w14:textId="77777777" w:rsidR="00466646" w:rsidRPr="00781112" w:rsidRDefault="00466646" w:rsidP="007925C6">
      <w:pPr>
        <w:rPr>
          <w:rFonts w:cs="Arial"/>
          <w:color w:val="000000" w:themeColor="text1"/>
          <w:szCs w:val="16"/>
        </w:rPr>
      </w:pPr>
    </w:p>
    <w:p w14:paraId="149B9F3D" w14:textId="71D786D9" w:rsidR="00AA4DAF" w:rsidRPr="00781112" w:rsidRDefault="00684B51" w:rsidP="008645AD">
      <w:pPr>
        <w:pStyle w:val="Heading2"/>
      </w:pPr>
      <w:r w:rsidRPr="00781112">
        <w:t xml:space="preserve">Intro - </w:t>
      </w:r>
      <w:r w:rsidR="006B0FD9" w:rsidRPr="00781112">
        <w:t xml:space="preserve">Prior FFY Required </w:t>
      </w:r>
      <w:r w:rsidR="00AA4DAF" w:rsidRPr="00781112">
        <w:t xml:space="preserve">Actions </w:t>
      </w:r>
    </w:p>
    <w:p w14:paraId="66CEC339" w14:textId="2D6DB901" w:rsidR="000C24C2" w:rsidRPr="00781112" w:rsidRDefault="002B7490" w:rsidP="000B4AA4">
      <w:pPr>
        <w:rPr>
          <w:rFonts w:cs="Arial"/>
          <w:color w:val="000000" w:themeColor="text1"/>
          <w:szCs w:val="16"/>
        </w:rPr>
      </w:pPr>
      <w:r w:rsidRPr="00781112">
        <w:rPr>
          <w:rFonts w:cs="Arial"/>
          <w:color w:val="000000" w:themeColor="text1"/>
          <w:szCs w:val="16"/>
        </w:rPr>
        <w:t>None</w:t>
      </w:r>
    </w:p>
    <w:p w14:paraId="6ECA4985" w14:textId="77777777" w:rsidR="008C56EE" w:rsidRPr="00781112" w:rsidRDefault="008C56EE" w:rsidP="000B4AA4">
      <w:pPr>
        <w:rPr>
          <w:rFonts w:cs="Arial"/>
          <w:color w:val="000000" w:themeColor="text1"/>
          <w:szCs w:val="16"/>
        </w:rPr>
      </w:pPr>
    </w:p>
    <w:p w14:paraId="4A252D01" w14:textId="7879CF0B" w:rsidR="00CE6EB0" w:rsidRPr="00781112" w:rsidRDefault="00684B51" w:rsidP="008645AD">
      <w:pPr>
        <w:pStyle w:val="Heading2"/>
      </w:pPr>
      <w:r w:rsidRPr="00781112">
        <w:t xml:space="preserve">Intro - </w:t>
      </w:r>
      <w:r w:rsidR="00CE6EB0" w:rsidRPr="00781112">
        <w:t>OSEP Response</w:t>
      </w:r>
    </w:p>
    <w:p w14:paraId="75883DD0" w14:textId="26E7A768" w:rsidR="000C24C2" w:rsidRPr="00781112" w:rsidRDefault="000C24C2" w:rsidP="001F692C">
      <w:pPr>
        <w:rPr>
          <w:rFonts w:cs="Arial"/>
          <w:color w:val="000000" w:themeColor="text1"/>
          <w:szCs w:val="16"/>
        </w:rPr>
      </w:pPr>
    </w:p>
    <w:p w14:paraId="53B509C2" w14:textId="7458BB00" w:rsidR="00CE6EB0" w:rsidRPr="00781112" w:rsidRDefault="00684B51" w:rsidP="008645AD">
      <w:pPr>
        <w:pStyle w:val="Heading2"/>
      </w:pPr>
      <w:r w:rsidRPr="00781112">
        <w:t>Intro - Required Actions</w:t>
      </w:r>
    </w:p>
    <w:p w14:paraId="4593FA49" w14:textId="4CE6B2B1" w:rsidR="000C24C2" w:rsidRPr="00781112" w:rsidRDefault="002B7490" w:rsidP="001F692C">
      <w:pPr>
        <w:rPr>
          <w:rFonts w:cs="Arial"/>
          <w:color w:val="000000" w:themeColor="text1"/>
          <w:szCs w:val="16"/>
        </w:rPr>
      </w:pPr>
      <w:r w:rsidRPr="00781112">
        <w:rPr>
          <w:rFonts w:cs="Arial"/>
          <w:color w:val="000000" w:themeColor="text1"/>
          <w:szCs w:val="16"/>
        </w:rPr>
        <w:t xml:space="preserve">The State's IDEA Part B determination for both 2022 and 2023 is Needs Assistance. In the State's 2023 determination letter, the Department advised the State of available sources of technical assistance, including OSEP-funded technical assistance centers, and required the State to work with appropriate entities. The Department directed the State to determine the results elements and/or compliance indicators, and improvement strategies, on which it will focus its use of available technical assistance, </w:t>
      </w:r>
      <w:proofErr w:type="gramStart"/>
      <w:r w:rsidRPr="00781112">
        <w:rPr>
          <w:rFonts w:cs="Arial"/>
          <w:color w:val="000000" w:themeColor="text1"/>
          <w:szCs w:val="16"/>
        </w:rPr>
        <w:t>in order to</w:t>
      </w:r>
      <w:proofErr w:type="gramEnd"/>
      <w:r w:rsidRPr="00781112">
        <w:rPr>
          <w:rFonts w:cs="Arial"/>
          <w:color w:val="000000" w:themeColor="text1"/>
          <w:szCs w:val="16"/>
        </w:rPr>
        <w:t xml:space="preserve"> improve its performance. The State must report, with its FFY 2022 SPP/APR submission, due February 1, 2024, on: (1) the technical assistance sources from which the State received assistance; and (2) the actions the State took </w:t>
      </w:r>
      <w:proofErr w:type="gramStart"/>
      <w:r w:rsidRPr="00781112">
        <w:rPr>
          <w:rFonts w:cs="Arial"/>
          <w:color w:val="000000" w:themeColor="text1"/>
          <w:szCs w:val="16"/>
        </w:rPr>
        <w:t>as a result of</w:t>
      </w:r>
      <w:proofErr w:type="gramEnd"/>
      <w:r w:rsidRPr="00781112">
        <w:rPr>
          <w:rFonts w:cs="Arial"/>
          <w:color w:val="000000" w:themeColor="text1"/>
          <w:szCs w:val="16"/>
        </w:rPr>
        <w:t xml:space="preserve"> that technical assistance.</w:t>
      </w:r>
    </w:p>
    <w:p w14:paraId="42393C4C" w14:textId="77777777" w:rsidR="00D37BF0" w:rsidRPr="00781112" w:rsidRDefault="00D37BF0">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38F1108C" w14:textId="1387D8AF" w:rsidR="00EB0146" w:rsidRPr="00781112" w:rsidRDefault="00EB0146" w:rsidP="000444E2">
      <w:pPr>
        <w:pStyle w:val="Heading1"/>
        <w:rPr>
          <w:color w:val="000000" w:themeColor="text1"/>
          <w:sz w:val="22"/>
        </w:rPr>
      </w:pPr>
      <w:r w:rsidRPr="00781112">
        <w:rPr>
          <w:color w:val="000000" w:themeColor="text1"/>
          <w:sz w:val="22"/>
        </w:rPr>
        <w:lastRenderedPageBreak/>
        <w:t>Indicator 1: Graduation</w:t>
      </w:r>
      <w:bookmarkEnd w:id="1"/>
      <w:bookmarkEnd w:id="2"/>
    </w:p>
    <w:p w14:paraId="5D906D37" w14:textId="00C8F8B1" w:rsidR="009A62A4" w:rsidRPr="00781112" w:rsidRDefault="009A62A4" w:rsidP="00A018D4">
      <w:pPr>
        <w:rPr>
          <w:color w:val="000000" w:themeColor="text1"/>
          <w:szCs w:val="20"/>
        </w:rPr>
      </w:pPr>
      <w:r w:rsidRPr="00781112">
        <w:rPr>
          <w:b/>
          <w:color w:val="000000" w:themeColor="text1"/>
          <w:sz w:val="20"/>
          <w:szCs w:val="20"/>
        </w:rPr>
        <w:t>Instructions and Measurement</w:t>
      </w:r>
    </w:p>
    <w:p w14:paraId="13149CC2" w14:textId="77777777" w:rsidR="004B782D" w:rsidRPr="00781112" w:rsidRDefault="004B782D" w:rsidP="004369B2">
      <w:pPr>
        <w:rPr>
          <w:color w:val="000000" w:themeColor="text1"/>
        </w:rPr>
      </w:pPr>
      <w:bookmarkStart w:id="4" w:name="_Toc392159259"/>
      <w:r w:rsidRPr="00781112">
        <w:rPr>
          <w:b/>
          <w:color w:val="000000" w:themeColor="text1"/>
        </w:rPr>
        <w:t>Monitoring Priority:</w:t>
      </w:r>
      <w:r w:rsidRPr="00781112">
        <w:rPr>
          <w:color w:val="000000" w:themeColor="text1"/>
        </w:rPr>
        <w:t xml:space="preserve"> FAPE in the LRE </w:t>
      </w:r>
    </w:p>
    <w:p w14:paraId="18CE8669" w14:textId="0A91E220" w:rsidR="00531ED7" w:rsidRPr="00781112" w:rsidRDefault="004B782D" w:rsidP="009340E3">
      <w:pPr>
        <w:rPr>
          <w:color w:val="000000" w:themeColor="text1"/>
        </w:rPr>
      </w:pPr>
      <w:r w:rsidRPr="00781112">
        <w:rPr>
          <w:b/>
          <w:color w:val="000000" w:themeColor="text1"/>
        </w:rPr>
        <w:t>Results indicator:</w:t>
      </w:r>
      <w:r w:rsidRPr="00781112">
        <w:rPr>
          <w:color w:val="000000" w:themeColor="text1"/>
        </w:rPr>
        <w:t xml:space="preserve"> Percent of youth with</w:t>
      </w:r>
      <w:r w:rsidR="005F5514" w:rsidRPr="00781112">
        <w:rPr>
          <w:color w:val="000000" w:themeColor="text1"/>
        </w:rPr>
        <w:t xml:space="preserve"> Individualized Education </w:t>
      </w:r>
      <w:r w:rsidR="00DA7FAE" w:rsidRPr="00781112">
        <w:rPr>
          <w:color w:val="000000" w:themeColor="text1"/>
        </w:rPr>
        <w:t>Programs</w:t>
      </w:r>
      <w:r w:rsidRPr="00781112">
        <w:rPr>
          <w:color w:val="000000" w:themeColor="text1"/>
        </w:rPr>
        <w:t xml:space="preserve"> </w:t>
      </w:r>
      <w:r w:rsidR="005F5514" w:rsidRPr="00781112">
        <w:rPr>
          <w:color w:val="000000" w:themeColor="text1"/>
        </w:rPr>
        <w:t>(</w:t>
      </w:r>
      <w:r w:rsidRPr="00781112">
        <w:rPr>
          <w:color w:val="000000" w:themeColor="text1"/>
        </w:rPr>
        <w:t>IEPs</w:t>
      </w:r>
      <w:r w:rsidR="005F5514" w:rsidRPr="00781112">
        <w:rPr>
          <w:color w:val="000000" w:themeColor="text1"/>
        </w:rPr>
        <w:t>)</w:t>
      </w:r>
      <w:r w:rsidRPr="00781112">
        <w:rPr>
          <w:color w:val="000000" w:themeColor="text1"/>
        </w:rPr>
        <w:t xml:space="preserve"> </w:t>
      </w:r>
      <w:r w:rsidR="003068D4" w:rsidRPr="00781112">
        <w:rPr>
          <w:color w:val="000000" w:themeColor="text1"/>
        </w:rPr>
        <w:t>exiting</w:t>
      </w:r>
      <w:r w:rsidR="00EF4CAF" w:rsidRPr="00781112">
        <w:rPr>
          <w:color w:val="000000" w:themeColor="text1"/>
        </w:rPr>
        <w:t xml:space="preserve"> </w:t>
      </w:r>
      <w:r w:rsidR="00EF4CAF" w:rsidRPr="00781112">
        <w:rPr>
          <w:rFonts w:cs="Arial"/>
          <w:szCs w:val="16"/>
        </w:rPr>
        <w:t>special education due to graduating</w:t>
      </w:r>
      <w:r w:rsidR="003068D4" w:rsidRPr="00781112">
        <w:rPr>
          <w:color w:val="000000" w:themeColor="text1"/>
        </w:rPr>
        <w:t xml:space="preserve"> </w:t>
      </w:r>
      <w:r w:rsidRPr="00781112">
        <w:rPr>
          <w:color w:val="000000" w:themeColor="text1"/>
        </w:rPr>
        <w:t>with a regular</w:t>
      </w:r>
      <w:r w:rsidR="005F5514" w:rsidRPr="00781112">
        <w:rPr>
          <w:color w:val="000000" w:themeColor="text1"/>
        </w:rPr>
        <w:t xml:space="preserve"> high school diploma</w:t>
      </w:r>
      <w:r w:rsidRPr="00781112">
        <w:rPr>
          <w:color w:val="000000" w:themeColor="text1"/>
        </w:rPr>
        <w:t>.</w:t>
      </w:r>
      <w:r w:rsidR="00552927" w:rsidRPr="00781112">
        <w:rPr>
          <w:color w:val="000000" w:themeColor="text1"/>
        </w:rPr>
        <w:t xml:space="preserve"> </w:t>
      </w:r>
      <w:r w:rsidRPr="00781112">
        <w:rPr>
          <w:color w:val="000000" w:themeColor="text1"/>
        </w:rPr>
        <w:t>(20 U.S.C. 1416 (a)(3)(A))</w:t>
      </w:r>
    </w:p>
    <w:p w14:paraId="6446BBA4" w14:textId="09E75AD8" w:rsidR="005F5514" w:rsidRPr="00781112" w:rsidRDefault="00460298" w:rsidP="004369B2">
      <w:pPr>
        <w:rPr>
          <w:rFonts w:cs="Arial"/>
          <w:bCs/>
          <w:color w:val="000000" w:themeColor="text1"/>
          <w:szCs w:val="16"/>
        </w:rPr>
      </w:pPr>
      <w:r w:rsidRPr="00781112">
        <w:rPr>
          <w:rFonts w:cs="Arial"/>
          <w:b/>
          <w:bCs/>
          <w:color w:val="000000" w:themeColor="text1"/>
          <w:szCs w:val="16"/>
        </w:rPr>
        <w:t>Data Source</w:t>
      </w:r>
    </w:p>
    <w:p w14:paraId="08997539" w14:textId="281A6713" w:rsidR="005F5514" w:rsidRPr="00781112" w:rsidRDefault="00460298" w:rsidP="003A6167">
      <w:pPr>
        <w:rPr>
          <w:rFonts w:cs="Arial"/>
          <w:color w:val="000000" w:themeColor="text1"/>
          <w:szCs w:val="16"/>
        </w:rPr>
      </w:pPr>
      <w:r w:rsidRPr="00781112">
        <w:rPr>
          <w:rFonts w:cs="Arial"/>
          <w:color w:val="000000" w:themeColor="text1"/>
          <w:szCs w:val="16"/>
          <w:shd w:val="clear" w:color="auto" w:fill="FFFFFF"/>
        </w:rPr>
        <w:t xml:space="preserve">Same data as used for reporting to the Department </w:t>
      </w:r>
      <w:r w:rsidR="001A0C28" w:rsidRPr="00781112">
        <w:rPr>
          <w:rFonts w:cs="Arial"/>
          <w:szCs w:val="16"/>
          <w:shd w:val="clear" w:color="auto" w:fill="FFFFFF"/>
        </w:rPr>
        <w:t>under section 618 of the Individuals with Disabilities Education Act (IDEA), using the definitions in EDFacts file specification FS009</w:t>
      </w:r>
      <w:r w:rsidRPr="00781112">
        <w:rPr>
          <w:rFonts w:cs="Arial"/>
          <w:color w:val="000000" w:themeColor="text1"/>
          <w:szCs w:val="16"/>
          <w:shd w:val="clear" w:color="auto" w:fill="FFFFFF"/>
        </w:rPr>
        <w:t>.</w:t>
      </w:r>
    </w:p>
    <w:p w14:paraId="453C54CF" w14:textId="0B94BC61" w:rsidR="005F5514" w:rsidRPr="00781112" w:rsidRDefault="005F5514" w:rsidP="004369B2">
      <w:pPr>
        <w:rPr>
          <w:color w:val="000000" w:themeColor="text1"/>
        </w:rPr>
      </w:pPr>
      <w:r w:rsidRPr="00781112">
        <w:rPr>
          <w:b/>
          <w:color w:val="000000" w:themeColor="text1"/>
        </w:rPr>
        <w:t>Measurement</w:t>
      </w:r>
    </w:p>
    <w:p w14:paraId="368E5D32" w14:textId="2D879251" w:rsidR="005F5514" w:rsidRPr="00781112" w:rsidRDefault="005F5514" w:rsidP="003A6167">
      <w:pPr>
        <w:rPr>
          <w:rFonts w:cs="Arial"/>
          <w:color w:val="000000" w:themeColor="text1"/>
          <w:szCs w:val="16"/>
        </w:rPr>
      </w:pPr>
      <w:r w:rsidRPr="00781112">
        <w:rPr>
          <w:rFonts w:cs="Arial"/>
          <w:color w:val="000000" w:themeColor="text1"/>
          <w:szCs w:val="16"/>
          <w:shd w:val="clear" w:color="auto" w:fill="FFFFFF"/>
        </w:rPr>
        <w:t xml:space="preserve">States </w:t>
      </w:r>
      <w:r w:rsidR="0084727C" w:rsidRPr="00781112">
        <w:rPr>
          <w:rFonts w:cs="Arial"/>
          <w:szCs w:val="16"/>
          <w:shd w:val="clear" w:color="auto" w:fill="FFFFFF"/>
        </w:rPr>
        <w:t xml:space="preserve">must report a percentage using the number of </w:t>
      </w:r>
      <w:proofErr w:type="gramStart"/>
      <w:r w:rsidR="0084727C" w:rsidRPr="00781112">
        <w:rPr>
          <w:rFonts w:cs="Arial"/>
          <w:szCs w:val="16"/>
          <w:shd w:val="clear" w:color="auto" w:fill="FFFFFF"/>
        </w:rPr>
        <w:t>youth</w:t>
      </w:r>
      <w:proofErr w:type="gramEnd"/>
      <w:r w:rsidR="0084727C" w:rsidRPr="00781112">
        <w:rPr>
          <w:rFonts w:cs="Arial"/>
          <w:szCs w:val="16"/>
          <w:shd w:val="clear" w:color="auto" w:fill="FFFFFF"/>
        </w:rPr>
        <w:t xml:space="preserve"> with IEPs (ages 14-21) who exited special education due to graduating with a regular high school diploma in the numerator and the number of all youth with IEPs who </w:t>
      </w:r>
      <w:r w:rsidR="00CB505C" w:rsidRPr="00781112">
        <w:rPr>
          <w:rFonts w:cs="Arial"/>
          <w:szCs w:val="16"/>
          <w:shd w:val="clear" w:color="auto" w:fill="FFFFFF"/>
        </w:rPr>
        <w:t>exited</w:t>
      </w:r>
      <w:r w:rsidR="0084727C" w:rsidRPr="00781112">
        <w:rPr>
          <w:rFonts w:cs="Arial"/>
          <w:szCs w:val="16"/>
          <w:shd w:val="clear" w:color="auto" w:fill="FFFFFF"/>
        </w:rPr>
        <w:t xml:space="preserve"> high school (ages 14-21) in the denominator</w:t>
      </w:r>
      <w:r w:rsidRPr="00781112">
        <w:rPr>
          <w:rFonts w:cs="Arial"/>
          <w:color w:val="000000" w:themeColor="text1"/>
          <w:szCs w:val="16"/>
          <w:shd w:val="clear" w:color="auto" w:fill="FFFFFF"/>
        </w:rPr>
        <w:t>.</w:t>
      </w:r>
    </w:p>
    <w:p w14:paraId="3C528AFB" w14:textId="76079BAD" w:rsidR="005F5514" w:rsidRPr="00781112" w:rsidRDefault="005F5514" w:rsidP="004369B2">
      <w:pPr>
        <w:rPr>
          <w:color w:val="000000" w:themeColor="text1"/>
        </w:rPr>
      </w:pPr>
      <w:r w:rsidRPr="00781112">
        <w:rPr>
          <w:b/>
          <w:color w:val="000000" w:themeColor="text1"/>
        </w:rPr>
        <w:t>Instructions</w:t>
      </w:r>
    </w:p>
    <w:p w14:paraId="675BD796" w14:textId="6D333C0C" w:rsidR="005F5514" w:rsidRPr="00781112" w:rsidRDefault="005F5514" w:rsidP="004369B2">
      <w:pPr>
        <w:rPr>
          <w:i/>
          <w:color w:val="000000" w:themeColor="text1"/>
        </w:rPr>
      </w:pPr>
      <w:r w:rsidRPr="00781112">
        <w:rPr>
          <w:i/>
          <w:color w:val="000000" w:themeColor="text1"/>
        </w:rPr>
        <w:t>Sampling is not allowed.</w:t>
      </w:r>
    </w:p>
    <w:p w14:paraId="496A7DDE" w14:textId="60DA3384" w:rsidR="005F5514" w:rsidRPr="00781112" w:rsidRDefault="00815B9B" w:rsidP="003A6167">
      <w:pPr>
        <w:rPr>
          <w:rFonts w:cs="Arial"/>
          <w:color w:val="000000" w:themeColor="text1"/>
          <w:szCs w:val="16"/>
        </w:rPr>
      </w:pPr>
      <w:r w:rsidRPr="00781112">
        <w:t xml:space="preserve">Data for this indicator </w:t>
      </w:r>
      <w:proofErr w:type="gramStart"/>
      <w:r w:rsidRPr="00781112">
        <w:t>are</w:t>
      </w:r>
      <w:proofErr w:type="gramEnd"/>
      <w:r w:rsidRPr="00781112">
        <w:t xml:space="preserve"> “lag” data. </w:t>
      </w:r>
      <w:r w:rsidR="005F5514" w:rsidRPr="00781112">
        <w:rPr>
          <w:rFonts w:cs="Arial"/>
          <w:color w:val="000000" w:themeColor="text1"/>
          <w:szCs w:val="16"/>
        </w:rPr>
        <w:t xml:space="preserve">Describe the results of the State’s examination of the data for the year before the reporting year (e.g., for </w:t>
      </w:r>
      <w:r w:rsidR="007639D7">
        <w:rPr>
          <w:rFonts w:cs="Arial"/>
          <w:color w:val="000000" w:themeColor="text1"/>
          <w:szCs w:val="16"/>
        </w:rPr>
        <w:t>the FFY 2021 SPP/APR, use data from 2020-2021</w:t>
      </w:r>
      <w:r w:rsidR="005F5514" w:rsidRPr="00781112">
        <w:rPr>
          <w:rFonts w:cs="Arial"/>
          <w:color w:val="000000" w:themeColor="text1"/>
          <w:szCs w:val="16"/>
        </w:rPr>
        <w:t>), and compare the results to the target. Provide the actual numbers used in the calculation.</w:t>
      </w:r>
    </w:p>
    <w:p w14:paraId="7E94BD74" w14:textId="77777777" w:rsidR="003069AE" w:rsidRPr="00781112" w:rsidRDefault="003069AE" w:rsidP="003069AE">
      <w:proofErr w:type="gramStart"/>
      <w:r w:rsidRPr="00781112">
        <w:t>Include</w:t>
      </w:r>
      <w:proofErr w:type="gramEnd"/>
      <w:r w:rsidRPr="00781112">
        <w:t xml:space="preserve"> in the denominator the following exiting categories: (a) graduated with a regular high school diploma; (b) graduated with a state-defined alternate diploma; (c) received a certificate; (d) reached maximum age; or (e) dropped out. </w:t>
      </w:r>
    </w:p>
    <w:p w14:paraId="6D62B3B3" w14:textId="4F597FD3" w:rsidR="003069AE" w:rsidRPr="00781112" w:rsidRDefault="003069AE" w:rsidP="003A6167">
      <w:r w:rsidRPr="00781112">
        <w:t xml:space="preserve">Do not include in the denominator the number of youths with IEPs who exited special education due to: (a) transferring to regular education; or (b) who moved but are known to be continuing in an educational program. </w:t>
      </w:r>
    </w:p>
    <w:p w14:paraId="156B8877" w14:textId="52998CDB" w:rsidR="005F5514" w:rsidRPr="00781112" w:rsidRDefault="005F5514" w:rsidP="003A6167">
      <w:pPr>
        <w:rPr>
          <w:rFonts w:cs="Arial"/>
          <w:color w:val="000000" w:themeColor="text1"/>
          <w:szCs w:val="16"/>
        </w:rPr>
      </w:pPr>
      <w:r w:rsidRPr="00781112">
        <w:rPr>
          <w:rFonts w:cs="Arial"/>
          <w:color w:val="000000" w:themeColor="text1"/>
          <w:szCs w:val="16"/>
        </w:rPr>
        <w:t xml:space="preserve">Provide a narrative that describes the conditions youth must meet </w:t>
      </w:r>
      <w:proofErr w:type="gramStart"/>
      <w:r w:rsidRPr="00781112">
        <w:rPr>
          <w:rFonts w:cs="Arial"/>
          <w:color w:val="000000" w:themeColor="text1"/>
          <w:szCs w:val="16"/>
        </w:rPr>
        <w:t>in order to</w:t>
      </w:r>
      <w:proofErr w:type="gramEnd"/>
      <w:r w:rsidRPr="00781112">
        <w:rPr>
          <w:rFonts w:cs="Arial"/>
          <w:color w:val="000000" w:themeColor="text1"/>
          <w:szCs w:val="16"/>
        </w:rPr>
        <w:t xml:space="preserve"> graduate with a regular high school diploma. If the conditions that youth with IEPs must meet </w:t>
      </w:r>
      <w:proofErr w:type="gramStart"/>
      <w:r w:rsidRPr="00781112">
        <w:rPr>
          <w:rFonts w:cs="Arial"/>
          <w:color w:val="000000" w:themeColor="text1"/>
          <w:szCs w:val="16"/>
        </w:rPr>
        <w:t>in order to</w:t>
      </w:r>
      <w:proofErr w:type="gramEnd"/>
      <w:r w:rsidRPr="00781112">
        <w:rPr>
          <w:rFonts w:cs="Arial"/>
          <w:color w:val="000000" w:themeColor="text1"/>
          <w:szCs w:val="16"/>
        </w:rPr>
        <w:t xml:space="preserve"> graduate with a regular high school diploma are different, please explain.</w:t>
      </w:r>
    </w:p>
    <w:p w14:paraId="17C36F54" w14:textId="0B0AD4FB" w:rsidR="00B34EE6" w:rsidRPr="00781112" w:rsidRDefault="00B0742B" w:rsidP="008645AD">
      <w:pPr>
        <w:pStyle w:val="Heading2"/>
      </w:pPr>
      <w:r w:rsidRPr="00781112">
        <w:t>1</w:t>
      </w:r>
      <w:r w:rsidR="00684B51" w:rsidRPr="00781112">
        <w:t xml:space="preserve"> </w:t>
      </w:r>
      <w:r w:rsidRPr="00781112">
        <w:t xml:space="preserve">- </w:t>
      </w:r>
      <w:r w:rsidR="007742F1" w:rsidRPr="00781112">
        <w:t xml:space="preserve">Indicator </w:t>
      </w:r>
      <w:r w:rsidR="00B34EE6" w:rsidRPr="00781112">
        <w:t xml:space="preserve">Data </w:t>
      </w:r>
    </w:p>
    <w:bookmarkEnd w:id="4"/>
    <w:p w14:paraId="7BB99CB8" w14:textId="68B0E60A" w:rsidR="005E59DB" w:rsidRPr="00781112" w:rsidRDefault="005E59DB" w:rsidP="00B65C2C">
      <w:pPr>
        <w:rPr>
          <w:b/>
          <w:color w:val="000000" w:themeColor="text1"/>
        </w:rPr>
      </w:pPr>
      <w:r w:rsidRPr="00781112">
        <w:rPr>
          <w:b/>
          <w:color w:val="000000" w:themeColor="text1"/>
        </w:rPr>
        <w:t>Historical Data</w:t>
      </w:r>
      <w:r w:rsidR="009369B1">
        <w:rPr>
          <w:rStyle w:val="FootnoteReference"/>
          <w:b/>
          <w:color w:val="000000" w:themeColor="text1"/>
        </w:rPr>
        <w:footnoteReference w:id="2"/>
      </w:r>
    </w:p>
    <w:tbl>
      <w:tblPr>
        <w:tblStyle w:val="TableGrid"/>
        <w:tblW w:w="0" w:type="auto"/>
        <w:tblLayout w:type="fixed"/>
        <w:tblLook w:val="04A0" w:firstRow="1" w:lastRow="0" w:firstColumn="1" w:lastColumn="0" w:noHBand="0" w:noVBand="1"/>
        <w:tblCaption w:val="B01BASELINEDATA"/>
      </w:tblPr>
      <w:tblGrid>
        <w:gridCol w:w="1797"/>
        <w:gridCol w:w="1798"/>
      </w:tblGrid>
      <w:tr w:rsidR="008F3F33" w:rsidRPr="00781112" w14:paraId="58873103" w14:textId="77777777" w:rsidTr="0033429D">
        <w:trPr>
          <w:trHeight w:val="311"/>
          <w:tblHeader/>
        </w:trPr>
        <w:tc>
          <w:tcPr>
            <w:tcW w:w="1797" w:type="dxa"/>
          </w:tcPr>
          <w:p w14:paraId="3521E7AE" w14:textId="2CED297B" w:rsidR="008F3F33" w:rsidRPr="00781112" w:rsidRDefault="008F3F33" w:rsidP="0033429D">
            <w:pPr>
              <w:jc w:val="center"/>
              <w:rPr>
                <w:b/>
                <w:color w:val="000000" w:themeColor="text1"/>
              </w:rPr>
            </w:pPr>
            <w:r w:rsidRPr="00781112">
              <w:rPr>
                <w:rFonts w:cs="Arial"/>
                <w:b/>
                <w:color w:val="000000" w:themeColor="text1"/>
                <w:szCs w:val="16"/>
              </w:rPr>
              <w:t>Baseline Year</w:t>
            </w:r>
          </w:p>
        </w:tc>
        <w:tc>
          <w:tcPr>
            <w:tcW w:w="1798" w:type="dxa"/>
          </w:tcPr>
          <w:p w14:paraId="70C1DEA4" w14:textId="362D12BF" w:rsidR="008F3F33" w:rsidRPr="00781112" w:rsidRDefault="008F3F33" w:rsidP="0033429D">
            <w:pPr>
              <w:jc w:val="center"/>
              <w:rPr>
                <w:b/>
                <w:color w:val="000000" w:themeColor="text1"/>
              </w:rPr>
            </w:pPr>
            <w:r w:rsidRPr="00781112">
              <w:rPr>
                <w:b/>
                <w:color w:val="000000" w:themeColor="text1"/>
              </w:rPr>
              <w:t>Baseline Data</w:t>
            </w:r>
          </w:p>
        </w:tc>
      </w:tr>
      <w:tr w:rsidR="008F3F33" w:rsidRPr="00781112" w14:paraId="1079C891" w14:textId="77777777" w:rsidTr="0033429D">
        <w:trPr>
          <w:trHeight w:val="311"/>
        </w:trPr>
        <w:tc>
          <w:tcPr>
            <w:tcW w:w="1797" w:type="dxa"/>
            <w:vAlign w:val="center"/>
          </w:tcPr>
          <w:p w14:paraId="55702E9C" w14:textId="3300C91F" w:rsidR="008F3F33" w:rsidRPr="00781112" w:rsidRDefault="008F3F33" w:rsidP="0033429D">
            <w:pPr>
              <w:jc w:val="center"/>
              <w:rPr>
                <w:b/>
                <w:color w:val="000000" w:themeColor="text1"/>
              </w:rPr>
            </w:pPr>
            <w:r w:rsidRPr="00781112">
              <w:rPr>
                <w:rFonts w:cs="Arial"/>
                <w:color w:val="000000" w:themeColor="text1"/>
                <w:szCs w:val="16"/>
              </w:rPr>
              <w:t>2018</w:t>
            </w:r>
          </w:p>
        </w:tc>
        <w:tc>
          <w:tcPr>
            <w:tcW w:w="1798" w:type="dxa"/>
            <w:vAlign w:val="center"/>
          </w:tcPr>
          <w:p w14:paraId="4BB8ED70" w14:textId="40307D5C" w:rsidR="008F3F33" w:rsidRPr="00781112" w:rsidRDefault="008F3F33" w:rsidP="0033429D">
            <w:pPr>
              <w:jc w:val="center"/>
              <w:rPr>
                <w:b/>
                <w:color w:val="000000" w:themeColor="text1"/>
              </w:rPr>
            </w:pPr>
            <w:r w:rsidRPr="00781112">
              <w:rPr>
                <w:rFonts w:cs="Arial"/>
                <w:color w:val="000000" w:themeColor="text1"/>
                <w:szCs w:val="16"/>
              </w:rPr>
              <w:t>67.90%</w:t>
            </w:r>
          </w:p>
        </w:tc>
      </w:tr>
    </w:tbl>
    <w:p w14:paraId="04BDDA65" w14:textId="77777777" w:rsidR="008F3F33" w:rsidRPr="00781112" w:rsidRDefault="008F3F33" w:rsidP="00B65C2C">
      <w:pPr>
        <w:rPr>
          <w:b/>
          <w:bCs/>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1HISTDATA"/>
      </w:tblPr>
      <w:tblGrid>
        <w:gridCol w:w="1798"/>
        <w:gridCol w:w="1798"/>
        <w:gridCol w:w="1798"/>
        <w:gridCol w:w="1798"/>
        <w:gridCol w:w="1798"/>
        <w:gridCol w:w="1800"/>
      </w:tblGrid>
      <w:tr w:rsidR="005C29F8" w:rsidRPr="00781112" w14:paraId="6EF7C6D0" w14:textId="1CEAEBAE" w:rsidTr="00087EB9">
        <w:trPr>
          <w:trHeight w:val="350"/>
        </w:trPr>
        <w:tc>
          <w:tcPr>
            <w:tcW w:w="833" w:type="pct"/>
            <w:tcBorders>
              <w:bottom w:val="single" w:sz="4" w:space="0" w:color="auto"/>
            </w:tcBorders>
            <w:shd w:val="clear" w:color="auto" w:fill="auto"/>
          </w:tcPr>
          <w:p w14:paraId="4483C39A" w14:textId="77777777" w:rsidR="007F24E2" w:rsidRPr="00781112" w:rsidRDefault="007F24E2" w:rsidP="00CD2DF5">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0DF3D5A6" w14:textId="2DA8A75D" w:rsidR="007F24E2" w:rsidRPr="00781112" w:rsidRDefault="002B7490" w:rsidP="00894709">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5E57E797" w14:textId="6309195B" w:rsidR="007F24E2" w:rsidRPr="00781112" w:rsidRDefault="002B7490" w:rsidP="00894709">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6D5C8516" w14:textId="2F8BF9E2" w:rsidR="007F24E2" w:rsidRPr="00781112" w:rsidRDefault="002B7490" w:rsidP="00894709">
            <w:pPr>
              <w:jc w:val="center"/>
              <w:rPr>
                <w:rFonts w:cs="Arial"/>
                <w:b/>
                <w:color w:val="000000" w:themeColor="text1"/>
                <w:szCs w:val="16"/>
              </w:rPr>
            </w:pPr>
            <w:r w:rsidRPr="00781112">
              <w:rPr>
                <w:rFonts w:cs="Arial"/>
                <w:b/>
                <w:color w:val="000000" w:themeColor="text1"/>
                <w:szCs w:val="16"/>
              </w:rPr>
              <w:t>2018</w:t>
            </w:r>
          </w:p>
        </w:tc>
        <w:tc>
          <w:tcPr>
            <w:tcW w:w="833" w:type="pct"/>
            <w:shd w:val="clear" w:color="auto" w:fill="auto"/>
          </w:tcPr>
          <w:p w14:paraId="116A9927" w14:textId="1D308C81" w:rsidR="007F24E2" w:rsidRPr="00781112" w:rsidRDefault="002B7490" w:rsidP="00894709">
            <w:pPr>
              <w:jc w:val="center"/>
              <w:rPr>
                <w:rFonts w:cs="Arial"/>
                <w:b/>
                <w:color w:val="000000" w:themeColor="text1"/>
                <w:szCs w:val="16"/>
              </w:rPr>
            </w:pPr>
            <w:r w:rsidRPr="00781112">
              <w:rPr>
                <w:rFonts w:cs="Arial"/>
                <w:b/>
                <w:color w:val="000000" w:themeColor="text1"/>
                <w:szCs w:val="16"/>
              </w:rPr>
              <w:t>2019</w:t>
            </w:r>
          </w:p>
        </w:tc>
        <w:tc>
          <w:tcPr>
            <w:tcW w:w="834" w:type="pct"/>
            <w:shd w:val="clear" w:color="auto" w:fill="auto"/>
          </w:tcPr>
          <w:p w14:paraId="41821FE5" w14:textId="02E4CA44" w:rsidR="007F24E2" w:rsidRPr="00781112" w:rsidRDefault="002B7490" w:rsidP="00894709">
            <w:pPr>
              <w:jc w:val="center"/>
              <w:rPr>
                <w:rFonts w:cs="Arial"/>
                <w:b/>
                <w:color w:val="000000" w:themeColor="text1"/>
                <w:szCs w:val="16"/>
              </w:rPr>
            </w:pPr>
            <w:r w:rsidRPr="00781112">
              <w:rPr>
                <w:rFonts w:cs="Arial"/>
                <w:b/>
                <w:color w:val="000000" w:themeColor="text1"/>
                <w:szCs w:val="16"/>
              </w:rPr>
              <w:t>2020</w:t>
            </w:r>
          </w:p>
        </w:tc>
      </w:tr>
      <w:tr w:rsidR="005C29F8" w:rsidRPr="00781112" w14:paraId="69850889" w14:textId="5FBD9A23" w:rsidTr="0033429D">
        <w:trPr>
          <w:trHeight w:val="357"/>
        </w:trPr>
        <w:tc>
          <w:tcPr>
            <w:tcW w:w="833" w:type="pct"/>
            <w:shd w:val="clear" w:color="auto" w:fill="auto"/>
            <w:vAlign w:val="center"/>
          </w:tcPr>
          <w:p w14:paraId="329304B6" w14:textId="1D4FEA84" w:rsidR="007F24E2" w:rsidRPr="00781112" w:rsidRDefault="007F24E2" w:rsidP="004369B2">
            <w:pPr>
              <w:rPr>
                <w:rFonts w:cs="Arial"/>
                <w:color w:val="000000" w:themeColor="text1"/>
                <w:szCs w:val="16"/>
              </w:rPr>
            </w:pPr>
            <w:r w:rsidRPr="00781112">
              <w:rPr>
                <w:rFonts w:cs="Arial"/>
                <w:color w:val="000000" w:themeColor="text1"/>
                <w:szCs w:val="16"/>
              </w:rPr>
              <w:t>Target &gt;=</w:t>
            </w:r>
          </w:p>
        </w:tc>
        <w:tc>
          <w:tcPr>
            <w:tcW w:w="833" w:type="pct"/>
            <w:shd w:val="clear" w:color="auto" w:fill="auto"/>
            <w:vAlign w:val="center"/>
          </w:tcPr>
          <w:p w14:paraId="4D288A5D" w14:textId="1DE49DCD" w:rsidR="007F24E2" w:rsidRPr="00781112" w:rsidRDefault="002B7490" w:rsidP="00E0321D">
            <w:pPr>
              <w:jc w:val="center"/>
              <w:rPr>
                <w:rFonts w:cs="Arial"/>
                <w:color w:val="000000" w:themeColor="text1"/>
                <w:szCs w:val="16"/>
              </w:rPr>
            </w:pPr>
            <w:r w:rsidRPr="00781112">
              <w:rPr>
                <w:rFonts w:cs="Arial"/>
                <w:color w:val="000000" w:themeColor="text1"/>
                <w:szCs w:val="16"/>
              </w:rPr>
              <w:t>71.48%</w:t>
            </w:r>
          </w:p>
        </w:tc>
        <w:tc>
          <w:tcPr>
            <w:tcW w:w="833" w:type="pct"/>
            <w:shd w:val="clear" w:color="auto" w:fill="auto"/>
            <w:vAlign w:val="center"/>
          </w:tcPr>
          <w:p w14:paraId="2751003B" w14:textId="66867EC3" w:rsidR="007F24E2" w:rsidRPr="00781112" w:rsidRDefault="002B7490" w:rsidP="00E0321D">
            <w:pPr>
              <w:jc w:val="center"/>
              <w:rPr>
                <w:rFonts w:cs="Arial"/>
                <w:color w:val="000000" w:themeColor="text1"/>
                <w:szCs w:val="16"/>
              </w:rPr>
            </w:pPr>
            <w:r w:rsidRPr="00781112">
              <w:rPr>
                <w:rFonts w:cs="Arial"/>
                <w:color w:val="000000" w:themeColor="text1"/>
                <w:szCs w:val="16"/>
              </w:rPr>
              <w:t>72.91%</w:t>
            </w:r>
          </w:p>
        </w:tc>
        <w:tc>
          <w:tcPr>
            <w:tcW w:w="833" w:type="pct"/>
            <w:shd w:val="clear" w:color="auto" w:fill="auto"/>
            <w:vAlign w:val="center"/>
          </w:tcPr>
          <w:p w14:paraId="6982A73B" w14:textId="50B9EF02" w:rsidR="007F24E2" w:rsidRPr="00781112" w:rsidRDefault="002B7490" w:rsidP="00E0321D">
            <w:pPr>
              <w:jc w:val="center"/>
              <w:rPr>
                <w:rFonts w:cs="Arial"/>
                <w:color w:val="000000" w:themeColor="text1"/>
                <w:szCs w:val="16"/>
              </w:rPr>
            </w:pPr>
            <w:r w:rsidRPr="00781112">
              <w:rPr>
                <w:rFonts w:cs="Arial"/>
                <w:color w:val="000000" w:themeColor="text1"/>
                <w:szCs w:val="16"/>
              </w:rPr>
              <w:t>74.37%</w:t>
            </w:r>
          </w:p>
        </w:tc>
        <w:tc>
          <w:tcPr>
            <w:tcW w:w="833" w:type="pct"/>
            <w:shd w:val="clear" w:color="auto" w:fill="auto"/>
            <w:vAlign w:val="center"/>
          </w:tcPr>
          <w:p w14:paraId="54566D6E" w14:textId="0812F659" w:rsidR="007F24E2" w:rsidRPr="00781112" w:rsidRDefault="002B7490" w:rsidP="00E0321D">
            <w:pPr>
              <w:jc w:val="center"/>
              <w:rPr>
                <w:rFonts w:cs="Arial"/>
                <w:color w:val="000000" w:themeColor="text1"/>
                <w:szCs w:val="16"/>
              </w:rPr>
            </w:pPr>
            <w:r w:rsidRPr="00781112">
              <w:rPr>
                <w:rFonts w:cs="Arial"/>
                <w:color w:val="000000" w:themeColor="text1"/>
                <w:szCs w:val="16"/>
              </w:rPr>
              <w:t>75.86%</w:t>
            </w:r>
          </w:p>
        </w:tc>
        <w:tc>
          <w:tcPr>
            <w:tcW w:w="834" w:type="pct"/>
            <w:shd w:val="clear" w:color="auto" w:fill="auto"/>
            <w:vAlign w:val="center"/>
          </w:tcPr>
          <w:p w14:paraId="12B0FD7D" w14:textId="7E3C835D" w:rsidR="007F24E2" w:rsidRPr="00781112" w:rsidRDefault="002B7490" w:rsidP="00E0321D">
            <w:pPr>
              <w:jc w:val="center"/>
              <w:rPr>
                <w:rFonts w:cs="Arial"/>
                <w:color w:val="000000" w:themeColor="text1"/>
                <w:szCs w:val="16"/>
              </w:rPr>
            </w:pPr>
            <w:r w:rsidRPr="00781112">
              <w:rPr>
                <w:rFonts w:cs="Arial"/>
                <w:color w:val="000000" w:themeColor="text1"/>
                <w:szCs w:val="16"/>
              </w:rPr>
              <w:t>67.90%</w:t>
            </w:r>
          </w:p>
        </w:tc>
      </w:tr>
      <w:tr w:rsidR="005C29F8" w:rsidRPr="00781112" w14:paraId="146BC5C2" w14:textId="426AC9C6" w:rsidTr="0033429D">
        <w:trPr>
          <w:trHeight w:val="85"/>
        </w:trPr>
        <w:tc>
          <w:tcPr>
            <w:tcW w:w="833" w:type="pct"/>
            <w:shd w:val="clear" w:color="auto" w:fill="auto"/>
            <w:vAlign w:val="center"/>
          </w:tcPr>
          <w:p w14:paraId="2FA56C27" w14:textId="77777777" w:rsidR="007F24E2" w:rsidRPr="00781112" w:rsidRDefault="007F24E2" w:rsidP="004369B2">
            <w:pPr>
              <w:rPr>
                <w:rFonts w:cs="Arial"/>
                <w:color w:val="000000" w:themeColor="text1"/>
                <w:szCs w:val="16"/>
              </w:rPr>
            </w:pPr>
            <w:r w:rsidRPr="00781112">
              <w:rPr>
                <w:rFonts w:cs="Arial"/>
                <w:color w:val="000000" w:themeColor="text1"/>
                <w:szCs w:val="16"/>
              </w:rPr>
              <w:t>Data</w:t>
            </w:r>
          </w:p>
        </w:tc>
        <w:tc>
          <w:tcPr>
            <w:tcW w:w="833" w:type="pct"/>
            <w:shd w:val="clear" w:color="auto" w:fill="auto"/>
            <w:vAlign w:val="center"/>
          </w:tcPr>
          <w:p w14:paraId="7832DBB9" w14:textId="0E41C477" w:rsidR="007F24E2" w:rsidRPr="00781112" w:rsidRDefault="002B7490" w:rsidP="00E0321D">
            <w:pPr>
              <w:jc w:val="center"/>
              <w:rPr>
                <w:rFonts w:cs="Arial"/>
                <w:color w:val="000000" w:themeColor="text1"/>
                <w:szCs w:val="16"/>
              </w:rPr>
            </w:pPr>
            <w:r w:rsidRPr="00781112">
              <w:rPr>
                <w:rFonts w:cs="Arial"/>
                <w:color w:val="000000" w:themeColor="text1"/>
                <w:szCs w:val="16"/>
              </w:rPr>
              <w:t>70.22%</w:t>
            </w:r>
          </w:p>
        </w:tc>
        <w:tc>
          <w:tcPr>
            <w:tcW w:w="833" w:type="pct"/>
            <w:shd w:val="clear" w:color="auto" w:fill="auto"/>
            <w:vAlign w:val="center"/>
          </w:tcPr>
          <w:p w14:paraId="522433F4" w14:textId="15824FD9" w:rsidR="007F24E2" w:rsidRPr="00781112" w:rsidRDefault="002B7490" w:rsidP="00E0321D">
            <w:pPr>
              <w:jc w:val="center"/>
              <w:rPr>
                <w:rFonts w:cs="Arial"/>
                <w:color w:val="000000" w:themeColor="text1"/>
                <w:szCs w:val="16"/>
              </w:rPr>
            </w:pPr>
            <w:r w:rsidRPr="00781112">
              <w:rPr>
                <w:rFonts w:cs="Arial"/>
                <w:color w:val="000000" w:themeColor="text1"/>
                <w:szCs w:val="16"/>
              </w:rPr>
              <w:t>69.36%</w:t>
            </w:r>
          </w:p>
        </w:tc>
        <w:tc>
          <w:tcPr>
            <w:tcW w:w="833" w:type="pct"/>
            <w:tcBorders>
              <w:bottom w:val="single" w:sz="4" w:space="0" w:color="auto"/>
            </w:tcBorders>
            <w:shd w:val="clear" w:color="auto" w:fill="auto"/>
            <w:vAlign w:val="center"/>
          </w:tcPr>
          <w:p w14:paraId="51E9F945" w14:textId="1DED232A" w:rsidR="007F24E2" w:rsidRPr="00781112" w:rsidRDefault="002B7490" w:rsidP="00E0321D">
            <w:pPr>
              <w:jc w:val="center"/>
              <w:rPr>
                <w:rFonts w:cs="Arial"/>
                <w:color w:val="000000" w:themeColor="text1"/>
                <w:szCs w:val="16"/>
              </w:rPr>
            </w:pPr>
            <w:r w:rsidRPr="00781112">
              <w:rPr>
                <w:rFonts w:cs="Arial"/>
                <w:color w:val="000000" w:themeColor="text1"/>
                <w:szCs w:val="16"/>
              </w:rPr>
              <w:t>69.97%</w:t>
            </w:r>
          </w:p>
        </w:tc>
        <w:tc>
          <w:tcPr>
            <w:tcW w:w="833" w:type="pct"/>
            <w:tcBorders>
              <w:bottom w:val="single" w:sz="4" w:space="0" w:color="auto"/>
            </w:tcBorders>
            <w:shd w:val="clear" w:color="auto" w:fill="auto"/>
            <w:vAlign w:val="center"/>
          </w:tcPr>
          <w:p w14:paraId="180CBFE9" w14:textId="2128C442" w:rsidR="007F24E2" w:rsidRPr="00781112" w:rsidRDefault="002B7490" w:rsidP="00E0321D">
            <w:pPr>
              <w:jc w:val="center"/>
              <w:rPr>
                <w:rFonts w:cs="Arial"/>
                <w:color w:val="000000" w:themeColor="text1"/>
                <w:szCs w:val="16"/>
              </w:rPr>
            </w:pPr>
            <w:r w:rsidRPr="00781112">
              <w:rPr>
                <w:rFonts w:cs="Arial"/>
                <w:color w:val="000000" w:themeColor="text1"/>
                <w:szCs w:val="16"/>
              </w:rPr>
              <w:t>72.</w:t>
            </w:r>
            <w:r w:rsidR="00EB41ED">
              <w:rPr>
                <w:rFonts w:cs="Arial"/>
                <w:color w:val="000000" w:themeColor="text1"/>
                <w:szCs w:val="16"/>
              </w:rPr>
              <w:t>4</w:t>
            </w:r>
            <w:r w:rsidRPr="00781112">
              <w:rPr>
                <w:rFonts w:cs="Arial"/>
                <w:color w:val="000000" w:themeColor="text1"/>
                <w:szCs w:val="16"/>
              </w:rPr>
              <w:t>%</w:t>
            </w:r>
            <w:r w:rsidR="00EB41ED">
              <w:rPr>
                <w:rStyle w:val="FootnoteReference"/>
                <w:rFonts w:cs="Arial"/>
                <w:color w:val="000000" w:themeColor="text1"/>
                <w:szCs w:val="16"/>
              </w:rPr>
              <w:footnoteReference w:id="3"/>
            </w:r>
          </w:p>
        </w:tc>
        <w:tc>
          <w:tcPr>
            <w:tcW w:w="834" w:type="pct"/>
            <w:tcBorders>
              <w:bottom w:val="single" w:sz="4" w:space="0" w:color="auto"/>
            </w:tcBorders>
            <w:shd w:val="clear" w:color="auto" w:fill="auto"/>
            <w:vAlign w:val="center"/>
          </w:tcPr>
          <w:p w14:paraId="3C2AFA14" w14:textId="153E7CE5" w:rsidR="007F24E2" w:rsidRPr="00781112" w:rsidRDefault="002B7490" w:rsidP="00E0321D">
            <w:pPr>
              <w:jc w:val="center"/>
              <w:rPr>
                <w:rFonts w:cs="Arial"/>
                <w:color w:val="000000" w:themeColor="text1"/>
                <w:szCs w:val="16"/>
              </w:rPr>
            </w:pPr>
            <w:r w:rsidRPr="00781112">
              <w:rPr>
                <w:rFonts w:cs="Arial"/>
                <w:color w:val="000000" w:themeColor="text1"/>
                <w:szCs w:val="16"/>
              </w:rPr>
              <w:t>56.34%</w:t>
            </w:r>
          </w:p>
        </w:tc>
      </w:tr>
    </w:tbl>
    <w:p w14:paraId="43E7AA4B" w14:textId="77777777" w:rsidR="00654A4B" w:rsidRPr="00781112" w:rsidRDefault="00654A4B" w:rsidP="00B65C2C">
      <w:pPr>
        <w:rPr>
          <w:color w:val="000000" w:themeColor="text1"/>
        </w:rPr>
      </w:pPr>
    </w:p>
    <w:p w14:paraId="058E572E" w14:textId="747B93F2" w:rsidR="005E59DB" w:rsidRPr="00781112" w:rsidRDefault="005E59DB" w:rsidP="00B65C2C">
      <w:pPr>
        <w:rPr>
          <w:b/>
          <w:color w:val="000000" w:themeColor="text1"/>
        </w:rPr>
      </w:pPr>
      <w:r w:rsidRPr="00781112">
        <w:rPr>
          <w:b/>
          <w:color w:val="000000" w:themeColor="text1"/>
        </w:rPr>
        <w:t>Targets</w:t>
      </w:r>
    </w:p>
    <w:tbl>
      <w:tblPr>
        <w:tblW w:w="42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1TARGETS"/>
      </w:tblPr>
      <w:tblGrid>
        <w:gridCol w:w="1156"/>
        <w:gridCol w:w="1611"/>
        <w:gridCol w:w="1611"/>
        <w:gridCol w:w="1611"/>
        <w:gridCol w:w="1611"/>
        <w:gridCol w:w="1606"/>
      </w:tblGrid>
      <w:tr w:rsidR="00B14519" w:rsidRPr="00781112" w14:paraId="2AA1A231" w14:textId="4E09135F" w:rsidTr="00451D7E">
        <w:trPr>
          <w:trHeight w:val="366"/>
        </w:trPr>
        <w:tc>
          <w:tcPr>
            <w:tcW w:w="628" w:type="pct"/>
            <w:tcBorders>
              <w:bottom w:val="single" w:sz="4" w:space="0" w:color="auto"/>
            </w:tcBorders>
            <w:shd w:val="clear" w:color="auto" w:fill="auto"/>
          </w:tcPr>
          <w:p w14:paraId="40B33FED" w14:textId="77777777" w:rsidR="00B14519" w:rsidRPr="00781112" w:rsidRDefault="00B14519" w:rsidP="00373F78">
            <w:pPr>
              <w:jc w:val="center"/>
              <w:rPr>
                <w:b/>
                <w:color w:val="000000" w:themeColor="text1"/>
              </w:rPr>
            </w:pPr>
            <w:r w:rsidRPr="00781112">
              <w:rPr>
                <w:b/>
                <w:color w:val="000000" w:themeColor="text1"/>
              </w:rPr>
              <w:t>FFY</w:t>
            </w:r>
          </w:p>
        </w:tc>
        <w:tc>
          <w:tcPr>
            <w:tcW w:w="875" w:type="pct"/>
            <w:shd w:val="clear" w:color="auto" w:fill="auto"/>
          </w:tcPr>
          <w:p w14:paraId="71086D9D" w14:textId="38ED494E" w:rsidR="00B14519" w:rsidRPr="00781112" w:rsidRDefault="00B14519" w:rsidP="00373F78">
            <w:pPr>
              <w:jc w:val="center"/>
              <w:rPr>
                <w:b/>
                <w:color w:val="000000" w:themeColor="text1"/>
              </w:rPr>
            </w:pPr>
            <w:r w:rsidRPr="00781112">
              <w:rPr>
                <w:b/>
                <w:color w:val="000000" w:themeColor="text1"/>
              </w:rPr>
              <w:t>2021</w:t>
            </w:r>
          </w:p>
        </w:tc>
        <w:tc>
          <w:tcPr>
            <w:tcW w:w="875" w:type="pct"/>
          </w:tcPr>
          <w:p w14:paraId="4D39066B" w14:textId="301F6A49" w:rsidR="00B14519" w:rsidRPr="00781112" w:rsidRDefault="00B14519" w:rsidP="00373F78">
            <w:pPr>
              <w:jc w:val="center"/>
              <w:rPr>
                <w:b/>
                <w:color w:val="000000" w:themeColor="text1"/>
              </w:rPr>
            </w:pPr>
            <w:r w:rsidRPr="00781112">
              <w:rPr>
                <w:rFonts w:cs="Arial"/>
                <w:b/>
                <w:color w:val="000000" w:themeColor="text1"/>
                <w:szCs w:val="16"/>
              </w:rPr>
              <w:t>2022</w:t>
            </w:r>
          </w:p>
        </w:tc>
        <w:tc>
          <w:tcPr>
            <w:tcW w:w="875" w:type="pct"/>
          </w:tcPr>
          <w:p w14:paraId="1FB807B9" w14:textId="403D43E4" w:rsidR="00B14519" w:rsidRPr="00781112" w:rsidRDefault="00B14519" w:rsidP="00373F78">
            <w:pPr>
              <w:jc w:val="center"/>
              <w:rPr>
                <w:b/>
                <w:color w:val="000000" w:themeColor="text1"/>
              </w:rPr>
            </w:pPr>
            <w:r w:rsidRPr="00781112">
              <w:rPr>
                <w:rFonts w:cs="Arial"/>
                <w:b/>
                <w:color w:val="000000" w:themeColor="text1"/>
                <w:szCs w:val="16"/>
              </w:rPr>
              <w:t>2023</w:t>
            </w:r>
          </w:p>
        </w:tc>
        <w:tc>
          <w:tcPr>
            <w:tcW w:w="875" w:type="pct"/>
          </w:tcPr>
          <w:p w14:paraId="720CF74E" w14:textId="096265B6" w:rsidR="00B14519" w:rsidRPr="00781112" w:rsidRDefault="00B14519" w:rsidP="00373F78">
            <w:pPr>
              <w:jc w:val="center"/>
              <w:rPr>
                <w:b/>
                <w:color w:val="000000" w:themeColor="text1"/>
              </w:rPr>
            </w:pPr>
            <w:r w:rsidRPr="00781112">
              <w:rPr>
                <w:rFonts w:cs="Arial"/>
                <w:b/>
                <w:color w:val="000000" w:themeColor="text1"/>
                <w:szCs w:val="16"/>
              </w:rPr>
              <w:t>2024</w:t>
            </w:r>
          </w:p>
        </w:tc>
        <w:tc>
          <w:tcPr>
            <w:tcW w:w="874" w:type="pct"/>
          </w:tcPr>
          <w:p w14:paraId="767866E4" w14:textId="1EE4AF77" w:rsidR="00B14519" w:rsidRPr="00781112" w:rsidRDefault="00B14519" w:rsidP="00373F78">
            <w:pPr>
              <w:jc w:val="center"/>
              <w:rPr>
                <w:b/>
                <w:color w:val="000000" w:themeColor="text1"/>
              </w:rPr>
            </w:pPr>
            <w:r w:rsidRPr="00781112">
              <w:rPr>
                <w:rFonts w:cs="Arial"/>
                <w:b/>
                <w:color w:val="000000" w:themeColor="text1"/>
                <w:szCs w:val="16"/>
              </w:rPr>
              <w:t>2025</w:t>
            </w:r>
          </w:p>
        </w:tc>
      </w:tr>
      <w:tr w:rsidR="00B14519" w:rsidRPr="00781112" w14:paraId="30C65E4A" w14:textId="7AB118F2" w:rsidTr="00451D7E">
        <w:trPr>
          <w:trHeight w:val="374"/>
        </w:trPr>
        <w:tc>
          <w:tcPr>
            <w:tcW w:w="628" w:type="pct"/>
            <w:shd w:val="clear" w:color="auto" w:fill="auto"/>
            <w:vAlign w:val="center"/>
          </w:tcPr>
          <w:p w14:paraId="15D80559" w14:textId="5A8166E8" w:rsidR="00B14519" w:rsidRPr="00781112" w:rsidRDefault="00B14519" w:rsidP="00373F78">
            <w:pPr>
              <w:rPr>
                <w:rFonts w:cs="Arial"/>
                <w:color w:val="000000" w:themeColor="text1"/>
                <w:szCs w:val="16"/>
              </w:rPr>
            </w:pPr>
            <w:r w:rsidRPr="00781112">
              <w:rPr>
                <w:rFonts w:cs="Arial"/>
                <w:color w:val="000000" w:themeColor="text1"/>
                <w:szCs w:val="16"/>
              </w:rPr>
              <w:t>Target &gt;=</w:t>
            </w:r>
          </w:p>
        </w:tc>
        <w:tc>
          <w:tcPr>
            <w:tcW w:w="875" w:type="pct"/>
            <w:shd w:val="clear" w:color="auto" w:fill="auto"/>
            <w:vAlign w:val="center"/>
          </w:tcPr>
          <w:p w14:paraId="5C1E2097" w14:textId="7100F4DF" w:rsidR="00B14519" w:rsidRPr="00781112" w:rsidRDefault="00B14519" w:rsidP="00373F78">
            <w:pPr>
              <w:jc w:val="center"/>
              <w:rPr>
                <w:rFonts w:cs="Arial"/>
                <w:color w:val="000000" w:themeColor="text1"/>
                <w:szCs w:val="16"/>
              </w:rPr>
            </w:pPr>
            <w:r w:rsidRPr="00781112">
              <w:rPr>
                <w:rFonts w:cs="Arial"/>
                <w:color w:val="000000" w:themeColor="text1"/>
                <w:szCs w:val="16"/>
              </w:rPr>
              <w:t>67.90%</w:t>
            </w:r>
          </w:p>
        </w:tc>
        <w:tc>
          <w:tcPr>
            <w:tcW w:w="875" w:type="pct"/>
          </w:tcPr>
          <w:p w14:paraId="7717027B" w14:textId="1C4C1650" w:rsidR="00B14519" w:rsidRPr="00781112" w:rsidRDefault="00B14519" w:rsidP="00373F78">
            <w:pPr>
              <w:jc w:val="center"/>
              <w:rPr>
                <w:rFonts w:cs="Arial"/>
                <w:color w:val="000000" w:themeColor="text1"/>
                <w:szCs w:val="16"/>
              </w:rPr>
            </w:pPr>
            <w:r w:rsidRPr="00781112">
              <w:rPr>
                <w:color w:val="000000" w:themeColor="text1"/>
                <w:szCs w:val="16"/>
              </w:rPr>
              <w:t>68.66%</w:t>
            </w:r>
          </w:p>
        </w:tc>
        <w:tc>
          <w:tcPr>
            <w:tcW w:w="875" w:type="pct"/>
          </w:tcPr>
          <w:p w14:paraId="48C73194" w14:textId="78C93C75" w:rsidR="00B14519" w:rsidRPr="00781112" w:rsidRDefault="00B14519" w:rsidP="00373F78">
            <w:pPr>
              <w:jc w:val="center"/>
              <w:rPr>
                <w:rFonts w:cs="Arial"/>
                <w:color w:val="000000" w:themeColor="text1"/>
                <w:szCs w:val="16"/>
              </w:rPr>
            </w:pPr>
            <w:r w:rsidRPr="00781112">
              <w:rPr>
                <w:color w:val="000000" w:themeColor="text1"/>
                <w:szCs w:val="16"/>
              </w:rPr>
              <w:t>69.43%</w:t>
            </w:r>
          </w:p>
        </w:tc>
        <w:tc>
          <w:tcPr>
            <w:tcW w:w="875" w:type="pct"/>
          </w:tcPr>
          <w:p w14:paraId="1CC5CF36" w14:textId="47158C2B" w:rsidR="00B14519" w:rsidRPr="00781112" w:rsidRDefault="00B14519" w:rsidP="00373F78">
            <w:pPr>
              <w:jc w:val="center"/>
              <w:rPr>
                <w:rFonts w:cs="Arial"/>
                <w:color w:val="000000" w:themeColor="text1"/>
                <w:szCs w:val="16"/>
              </w:rPr>
            </w:pPr>
            <w:r w:rsidRPr="00781112">
              <w:rPr>
                <w:color w:val="000000" w:themeColor="text1"/>
                <w:szCs w:val="16"/>
              </w:rPr>
              <w:t>70.95%</w:t>
            </w:r>
          </w:p>
        </w:tc>
        <w:tc>
          <w:tcPr>
            <w:tcW w:w="874" w:type="pct"/>
          </w:tcPr>
          <w:p w14:paraId="6BAB194A" w14:textId="42E53978" w:rsidR="00B14519" w:rsidRPr="00781112" w:rsidRDefault="00B14519" w:rsidP="00373F78">
            <w:pPr>
              <w:jc w:val="center"/>
              <w:rPr>
                <w:rFonts w:cs="Arial"/>
                <w:color w:val="000000" w:themeColor="text1"/>
                <w:szCs w:val="16"/>
              </w:rPr>
            </w:pPr>
            <w:r w:rsidRPr="00781112">
              <w:rPr>
                <w:color w:val="000000" w:themeColor="text1"/>
                <w:szCs w:val="16"/>
              </w:rPr>
              <w:t>74.00%</w:t>
            </w:r>
          </w:p>
        </w:tc>
      </w:tr>
    </w:tbl>
    <w:p w14:paraId="346A80A2" w14:textId="77777777" w:rsidR="00654A4B" w:rsidRPr="00781112" w:rsidRDefault="00654A4B" w:rsidP="004369B2">
      <w:pPr>
        <w:rPr>
          <w:color w:val="000000" w:themeColor="text1"/>
        </w:rPr>
      </w:pPr>
    </w:p>
    <w:p w14:paraId="451C0051" w14:textId="1929A141" w:rsidR="005E59DB" w:rsidRPr="00781112" w:rsidRDefault="005E59DB">
      <w:pPr>
        <w:rPr>
          <w:b/>
          <w:color w:val="000000" w:themeColor="text1"/>
        </w:rPr>
      </w:pPr>
      <w:r w:rsidRPr="00781112">
        <w:rPr>
          <w:b/>
          <w:color w:val="000000" w:themeColor="text1"/>
        </w:rPr>
        <w:t xml:space="preserve">Targets: Description of Stakeholder Input </w:t>
      </w:r>
    </w:p>
    <w:p w14:paraId="2B946CE6" w14:textId="3BAAFC14" w:rsidR="0051170F" w:rsidRPr="00781112" w:rsidRDefault="0051170F" w:rsidP="004369B2">
      <w:pPr>
        <w:rPr>
          <w:rFonts w:cs="Arial"/>
          <w:color w:val="000000" w:themeColor="text1"/>
          <w:szCs w:val="16"/>
        </w:rPr>
      </w:pPr>
      <w:r w:rsidRPr="00781112">
        <w:rPr>
          <w:rFonts w:cs="Arial"/>
          <w:color w:val="000000" w:themeColor="text1"/>
          <w:szCs w:val="16"/>
        </w:rPr>
        <w:t>The USBE SES values stakeholder engagement and input and solicits ongoing feedback and review. Stakeholders consistently provide input through collaborative meetings, public comment, written communication, survey data, data analysis, and informal conversations. To share data and information and collect feedback on areas such as SPP/APR targets, the USBE SES employs meetings, newsletters, emails, surveys, and social media with stakeholder groups:</w:t>
      </w:r>
      <w:r w:rsidRPr="00781112">
        <w:rPr>
          <w:rFonts w:cs="Arial"/>
          <w:color w:val="000000" w:themeColor="text1"/>
          <w:szCs w:val="16"/>
        </w:rPr>
        <w:br/>
        <w:t>• LEA Special Education Directors</w:t>
      </w:r>
      <w:r w:rsidRPr="00781112">
        <w:rPr>
          <w:rFonts w:cs="Arial"/>
          <w:color w:val="000000" w:themeColor="text1"/>
          <w:szCs w:val="16"/>
        </w:rPr>
        <w:br/>
        <w:t>• Utah Special Education Advisory Panel (USEAP)</w:t>
      </w:r>
      <w:r w:rsidRPr="00781112">
        <w:rPr>
          <w:rFonts w:cs="Arial"/>
          <w:color w:val="000000" w:themeColor="text1"/>
          <w:szCs w:val="16"/>
        </w:rPr>
        <w:br/>
        <w:t>• USBE Committees</w:t>
      </w:r>
      <w:r w:rsidRPr="00781112">
        <w:rPr>
          <w:rFonts w:cs="Arial"/>
          <w:color w:val="000000" w:themeColor="text1"/>
          <w:szCs w:val="16"/>
        </w:rPr>
        <w:br/>
        <w:t>• Utah Legislative Committees</w:t>
      </w:r>
      <w:r w:rsidRPr="00781112">
        <w:rPr>
          <w:rFonts w:cs="Arial"/>
          <w:color w:val="000000" w:themeColor="text1"/>
          <w:szCs w:val="16"/>
        </w:rPr>
        <w:br/>
        <w:t>• Utah Parent Center (UPC)</w:t>
      </w:r>
      <w:r w:rsidRPr="00781112">
        <w:rPr>
          <w:rFonts w:cs="Arial"/>
          <w:color w:val="000000" w:themeColor="text1"/>
          <w:szCs w:val="16"/>
        </w:rPr>
        <w:br/>
        <w:t>• LEA Curriculum and Assessment Directors</w:t>
      </w:r>
      <w:r w:rsidRPr="00781112">
        <w:rPr>
          <w:rFonts w:cs="Arial"/>
          <w:color w:val="000000" w:themeColor="text1"/>
          <w:szCs w:val="16"/>
        </w:rPr>
        <w:br/>
        <w:t>• LEA Preschool Coordinators</w:t>
      </w:r>
      <w:r w:rsidRPr="00781112">
        <w:rPr>
          <w:rFonts w:cs="Arial"/>
          <w:color w:val="000000" w:themeColor="text1"/>
          <w:szCs w:val="16"/>
        </w:rPr>
        <w:br/>
        <w:t>• LEA Administrators</w:t>
      </w:r>
      <w:r w:rsidRPr="00781112">
        <w:rPr>
          <w:rFonts w:cs="Arial"/>
          <w:color w:val="000000" w:themeColor="text1"/>
          <w:szCs w:val="16"/>
        </w:rPr>
        <w:br/>
        <w:t>•Utah Institutes of Higher Education (IHEs)</w:t>
      </w:r>
      <w:r w:rsidRPr="00781112">
        <w:rPr>
          <w:rFonts w:cs="Arial"/>
          <w:color w:val="000000" w:themeColor="text1"/>
          <w:szCs w:val="16"/>
        </w:rPr>
        <w:br/>
        <w:t>• Baby Watch/Early Intervention (Utah’s Part C agency)</w:t>
      </w:r>
      <w:r w:rsidRPr="00781112">
        <w:rPr>
          <w:rFonts w:cs="Arial"/>
          <w:color w:val="000000" w:themeColor="text1"/>
          <w:szCs w:val="16"/>
        </w:rPr>
        <w:br/>
        <w:t>• Agencies and non-profit organizations that provide services to SWD</w:t>
      </w:r>
      <w:r w:rsidRPr="00781112">
        <w:rPr>
          <w:rFonts w:cs="Arial"/>
          <w:color w:val="000000" w:themeColor="text1"/>
          <w:szCs w:val="16"/>
        </w:rPr>
        <w:br/>
        <w:t>• Utah Educators</w:t>
      </w:r>
      <w:r w:rsidRPr="00781112">
        <w:rPr>
          <w:rFonts w:cs="Arial"/>
          <w:color w:val="000000" w:themeColor="text1"/>
          <w:szCs w:val="16"/>
        </w:rPr>
        <w:br/>
        <w:t>• Advocacy groups throughout the State</w:t>
      </w:r>
      <w:r w:rsidRPr="00781112">
        <w:rPr>
          <w:rFonts w:cs="Arial"/>
          <w:color w:val="000000" w:themeColor="text1"/>
          <w:szCs w:val="16"/>
        </w:rPr>
        <w:br/>
        <w:t>During FFY 2021, no changes were made to the SPP/APR targets. The USBE SES reviewed the progress of the implementation of the Theory of Action for the SSIP and SPP/APR data with USEAM, USEAP, and the Coordinating Council for People with Disabilities (CCPD) (which includes all state agencies that serve individuals with disabilities and all nonprofit organizations that receive any state funding and/or grants).</w:t>
      </w:r>
      <w:r w:rsidRPr="00781112">
        <w:rPr>
          <w:rFonts w:cs="Arial"/>
          <w:color w:val="000000" w:themeColor="text1"/>
          <w:szCs w:val="16"/>
        </w:rPr>
        <w:br/>
        <w:t>The APR summit was held virtually on July 30, 2021. Over 100 participants attended from the stakeholder groups and those with individual interests. Participants reviewed data and projections for the State in 2025–2026. Participants were provided with an overview of the advantages and disadvantages of predictive models as well as an overview of the mindset for target-setting. Participants were asked to select the end targets (2025–</w:t>
      </w:r>
      <w:r w:rsidRPr="00781112">
        <w:rPr>
          <w:rFonts w:cs="Arial"/>
          <w:color w:val="000000" w:themeColor="text1"/>
          <w:szCs w:val="16"/>
        </w:rPr>
        <w:lastRenderedPageBreak/>
        <w:t>2026) for indicators. The USBE SES would then calculate intervening targets between FFY 2020 and FFY 2025 whereby there would be no increase in the target the first year, followed by small increases, then large increases near the end. This is to allow enough time for LEAs to implement initiatives and change practices to realistically meet targets along their way to the rigorous end targets. After this overview, participants determined challenging and achievable end targets. The USBE SES calculated intervening targets and shared these intervening targets with the participants and additional stakeholders to get final approval for all the targets.</w:t>
      </w:r>
      <w:r w:rsidRPr="00781112">
        <w:rPr>
          <w:rFonts w:cs="Arial"/>
          <w:color w:val="000000" w:themeColor="text1"/>
          <w:szCs w:val="16"/>
        </w:rPr>
        <w:br/>
        <w:t>A survey was sent out and 101 individuals participated. Most participants identified as white females in suburban parts of Utah. American Indian/Native Alaskan, Hispanic/Latino, and individuals who identified as multiracial also participated. As a result of this additional feedback, the USBE SES revised Indicator 5 targets to maintain rigor and develop reasonable targets manageable by the LEAs. Targets for all indicators were developed after review of historical indicator and trend data, recommendations from the USBE statistician, the impact of COVID-19, APR summit and APR survey review. All targets were subsequently reviewed and adopted by USBE staff, USEAP, and LEAs. OSEP approved SPP/APR targets in the FFY 2020 SPP/APR.</w:t>
      </w:r>
      <w:r w:rsidRPr="00781112">
        <w:rPr>
          <w:rFonts w:cs="Arial"/>
          <w:color w:val="000000" w:themeColor="text1"/>
          <w:szCs w:val="16"/>
        </w:rPr>
        <w:br/>
        <w:t>During FFY 2021, the SPP/APR and SSIP were discussed regularly with LEA special education directors, USEAP, UPC, the state Parent Teacher Association (PTA), and other parent groups focused on inclusionary practices in Utah schools. Regular meetings are held with all these groups typically on a quarterly basis. Emails, phone calls, and in-person meetings provide for informal opportunities to gain insight and adjust.</w:t>
      </w:r>
      <w:r w:rsidRPr="00781112">
        <w:rPr>
          <w:rFonts w:cs="Arial"/>
          <w:color w:val="000000" w:themeColor="text1"/>
          <w:szCs w:val="16"/>
        </w:rPr>
        <w:br/>
        <w:t>The UPC works closely with USBE to increase the capacity of diverse groups of parents. Meetings at UPC are held in Spanish as the second highest language in the State. Refugee populations are connected through UPC staff assigned to specific LEAs with large populations of refugees.</w:t>
      </w:r>
      <w:r w:rsidRPr="00781112">
        <w:rPr>
          <w:rFonts w:cs="Arial"/>
          <w:color w:val="000000" w:themeColor="text1"/>
          <w:szCs w:val="16"/>
        </w:rPr>
        <w:br/>
        <w:t>The USBE family engagement specialist seeks to increase capacity through cross collaboration with other parent and family engagement programs provided in LEAs that we will continue to target.</w:t>
      </w:r>
      <w:r w:rsidRPr="00781112">
        <w:rPr>
          <w:rFonts w:cs="Arial"/>
          <w:color w:val="000000" w:themeColor="text1"/>
          <w:szCs w:val="16"/>
        </w:rPr>
        <w:br/>
        <w:t>INDICATOR 1</w:t>
      </w:r>
      <w:r w:rsidRPr="00781112">
        <w:rPr>
          <w:rFonts w:cs="Arial"/>
          <w:color w:val="000000" w:themeColor="text1"/>
          <w:szCs w:val="16"/>
        </w:rPr>
        <w:br/>
        <w:t>Data from 2018 was determined to be an appropriate baseline. With a baseline of 67.90%, targets will increase with consideration for COVID-19 impacts.</w:t>
      </w:r>
      <w:r w:rsidRPr="00781112">
        <w:rPr>
          <w:rFonts w:cs="Arial"/>
          <w:color w:val="000000" w:themeColor="text1"/>
          <w:szCs w:val="16"/>
        </w:rPr>
        <w:br/>
        <w:t>INDICATOR 2</w:t>
      </w:r>
      <w:r w:rsidRPr="00781112">
        <w:rPr>
          <w:rFonts w:cs="Arial"/>
          <w:color w:val="000000" w:themeColor="text1"/>
          <w:szCs w:val="16"/>
        </w:rPr>
        <w:br/>
        <w:t>Data from 2018 was determined to be an appropriate baseline. With a baseline of 25.81%, targets will decrease with consideration for COVID-19 impacts.</w:t>
      </w:r>
      <w:r w:rsidRPr="00781112">
        <w:rPr>
          <w:rFonts w:cs="Arial"/>
          <w:color w:val="000000" w:themeColor="text1"/>
          <w:szCs w:val="16"/>
        </w:rPr>
        <w:br/>
        <w:t>INDICATOR 3A</w:t>
      </w:r>
      <w:r w:rsidRPr="00781112">
        <w:rPr>
          <w:rFonts w:cs="Arial"/>
          <w:color w:val="000000" w:themeColor="text1"/>
          <w:szCs w:val="16"/>
        </w:rPr>
        <w:br/>
        <w:t>This target is set by OSEP. Stakeholders discussed ways to improve participation.</w:t>
      </w:r>
      <w:r w:rsidRPr="00781112">
        <w:rPr>
          <w:rFonts w:cs="Arial"/>
          <w:color w:val="000000" w:themeColor="text1"/>
          <w:szCs w:val="16"/>
        </w:rPr>
        <w:br/>
        <w:t>INDICATORS 3B, C, D</w:t>
      </w:r>
      <w:r w:rsidRPr="00781112">
        <w:rPr>
          <w:rFonts w:cs="Arial"/>
          <w:color w:val="000000" w:themeColor="text1"/>
          <w:szCs w:val="16"/>
        </w:rPr>
        <w:br/>
        <w:t>Participants looked at the average mean from the previous four years of data in conjunction with the linear trend and forecasting. This process allowed participants to analyze the best statistical guess of where Utah’s data would most likely be in six years while also seeing the forecasting of possible error over time for predicting far into the future.</w:t>
      </w:r>
      <w:r w:rsidRPr="00781112">
        <w:rPr>
          <w:rFonts w:cs="Arial"/>
          <w:color w:val="000000" w:themeColor="text1"/>
          <w:szCs w:val="16"/>
        </w:rPr>
        <w:br/>
        <w:t>INDICATOR 5</w:t>
      </w:r>
      <w:r w:rsidRPr="00781112">
        <w:rPr>
          <w:rFonts w:cs="Arial"/>
          <w:color w:val="000000" w:themeColor="text1"/>
          <w:szCs w:val="16"/>
        </w:rPr>
        <w:br/>
        <w:t>During FFY 2020, the Indicator 5 baseline was reset. In FFY 2021, all targets were met. A comprehensive approach was taken to provide informative learning sessions to support special education directors who are accountable for reviewing Indicator 5 outcome data. Recognizing the need to differentiate support, the USBE SES offered individual LEA data analysis and problem-solving sessions.</w:t>
      </w:r>
      <w:r w:rsidRPr="00781112">
        <w:rPr>
          <w:rFonts w:cs="Arial"/>
          <w:color w:val="000000" w:themeColor="text1"/>
          <w:szCs w:val="16"/>
        </w:rPr>
        <w:br/>
        <w:t>INDICATOR 6</w:t>
      </w:r>
      <w:r w:rsidRPr="00781112">
        <w:rPr>
          <w:rFonts w:cs="Arial"/>
          <w:color w:val="000000" w:themeColor="text1"/>
          <w:szCs w:val="16"/>
        </w:rPr>
        <w:br/>
        <w:t>Data from 2018 was determined to be an appropriate baseline. With baselines of (A) 46.86%, (B) 32.67%, (C) 0.25%, targets will gradually increase and decrease with consideration for COVID-19 impacts.</w:t>
      </w:r>
      <w:r w:rsidRPr="00781112">
        <w:rPr>
          <w:rFonts w:cs="Arial"/>
          <w:color w:val="000000" w:themeColor="text1"/>
          <w:szCs w:val="16"/>
        </w:rPr>
        <w:br/>
        <w:t>INDICATOR 7</w:t>
      </w:r>
      <w:r w:rsidRPr="00781112">
        <w:rPr>
          <w:rFonts w:cs="Arial"/>
          <w:color w:val="000000" w:themeColor="text1"/>
          <w:szCs w:val="16"/>
        </w:rPr>
        <w:br/>
        <w:t>Data from 2018 was determined to be an appropriate baseline. The USBE predicts outcomes for this indicator are still being largely impacted by COVID-19, and targets are currently set below the baseline. With baselines of (A1) 88.86%, (A2) 58.94%, (B1) 88.41%, (B2) 50.48%, (C1) 89.86%, (C2) 70.52%, targets will increase with consideration for COVID-19 impacts.</w:t>
      </w:r>
      <w:r w:rsidRPr="00781112">
        <w:rPr>
          <w:rFonts w:cs="Arial"/>
          <w:color w:val="000000" w:themeColor="text1"/>
          <w:szCs w:val="16"/>
        </w:rPr>
        <w:br/>
        <w:t>INDICATOR 8</w:t>
      </w:r>
      <w:r w:rsidRPr="00781112">
        <w:rPr>
          <w:rFonts w:cs="Arial"/>
          <w:color w:val="000000" w:themeColor="text1"/>
          <w:szCs w:val="16"/>
        </w:rPr>
        <w:br/>
        <w:t>Data from 2018 was determined to be an appropriate baseline. With a baseline of 78.38%, targets will gradually increase with consideration for COVID-19 impacts.</w:t>
      </w:r>
      <w:r w:rsidRPr="00781112">
        <w:rPr>
          <w:rFonts w:cs="Arial"/>
          <w:color w:val="000000" w:themeColor="text1"/>
          <w:szCs w:val="16"/>
        </w:rPr>
        <w:br/>
        <w:t>INDICATORS 4, 9, 10</w:t>
      </w:r>
      <w:r w:rsidRPr="00781112">
        <w:rPr>
          <w:rFonts w:cs="Arial"/>
          <w:color w:val="000000" w:themeColor="text1"/>
          <w:szCs w:val="16"/>
        </w:rPr>
        <w:br/>
        <w:t>During the APR Summit, stakeholders reviewed current data trends and ways to improve outcomes. Although targets cannot be changed, stakeholder input has been instrumental in meeting targets for these indicators. The calculations and data collection process for these indicators has been updated to improve outcomes for SWD. Stakeholder input has been utilized to determine processes, PL, and support provided to bridge the gap between current performance and targets.</w:t>
      </w:r>
      <w:r w:rsidRPr="00781112">
        <w:rPr>
          <w:rFonts w:cs="Arial"/>
          <w:color w:val="000000" w:themeColor="text1"/>
          <w:szCs w:val="16"/>
        </w:rPr>
        <w:br/>
        <w:t>INDICATORS 11, 12</w:t>
      </w:r>
      <w:r w:rsidRPr="00781112">
        <w:rPr>
          <w:rFonts w:cs="Arial"/>
          <w:color w:val="000000" w:themeColor="text1"/>
          <w:szCs w:val="16"/>
        </w:rPr>
        <w:br/>
        <w:t>During the APR Summit, stakeholders reviewed current data trends and ways to improve outcomes. Although targets cannot be changed, stakeholder input has been instrumental in meeting targets for these indicators. Input has been utilized to determine PL and support provided to bridge the gap between current performance and targets.</w:t>
      </w:r>
      <w:r w:rsidRPr="00781112">
        <w:rPr>
          <w:rFonts w:cs="Arial"/>
          <w:color w:val="000000" w:themeColor="text1"/>
          <w:szCs w:val="16"/>
        </w:rPr>
        <w:br/>
        <w:t>INDICATOR 13</w:t>
      </w:r>
      <w:r w:rsidRPr="00781112">
        <w:rPr>
          <w:rFonts w:cs="Arial"/>
          <w:color w:val="000000" w:themeColor="text1"/>
          <w:szCs w:val="16"/>
        </w:rPr>
        <w:br/>
        <w:t>The USBE SES recognizes this is an area requiring improvement. During the APR Summit, stakeholders reviewed current data trends and ways to improve outcomes. Although targets cannot be changed, stakeholder input has been instrumental in the progression toward meeting the target.</w:t>
      </w:r>
      <w:r w:rsidRPr="00781112">
        <w:rPr>
          <w:rFonts w:cs="Arial"/>
          <w:color w:val="000000" w:themeColor="text1"/>
          <w:szCs w:val="16"/>
        </w:rPr>
        <w:br/>
        <w:t>INDICATOR 14</w:t>
      </w:r>
      <w:r w:rsidRPr="00781112">
        <w:rPr>
          <w:rFonts w:cs="Arial"/>
          <w:color w:val="000000" w:themeColor="text1"/>
          <w:szCs w:val="16"/>
        </w:rPr>
        <w:br/>
        <w:t>Data from 2018 was determined to be an appropriate baseline. The USBE predicts outcomes for this indicator are still being largely impacted by COVID-19, and targets are currently set below the baseline. With baselines of (A) 19.62%, (B) 67.60%, (C) 84.37%, targets will increase with consideration for COVID-19 impacts.</w:t>
      </w:r>
      <w:r w:rsidRPr="00781112">
        <w:rPr>
          <w:rFonts w:cs="Arial"/>
          <w:color w:val="000000" w:themeColor="text1"/>
          <w:szCs w:val="16"/>
        </w:rPr>
        <w:br/>
        <w:t xml:space="preserve">INDICATOR 15 </w:t>
      </w:r>
      <w:r w:rsidRPr="00781112">
        <w:rPr>
          <w:rFonts w:cs="Arial"/>
          <w:color w:val="000000" w:themeColor="text1"/>
          <w:szCs w:val="16"/>
        </w:rPr>
        <w:br/>
        <w:t>The USBE continues to experience relatively low levels of due process hearing requests and resolution meetings and is not required to set a target.</w:t>
      </w:r>
      <w:r w:rsidRPr="00781112">
        <w:rPr>
          <w:rFonts w:cs="Arial"/>
          <w:color w:val="000000" w:themeColor="text1"/>
          <w:szCs w:val="16"/>
        </w:rPr>
        <w:br/>
        <w:t xml:space="preserve">INDICATOR 16 </w:t>
      </w:r>
      <w:r w:rsidRPr="00781112">
        <w:rPr>
          <w:rFonts w:cs="Arial"/>
          <w:color w:val="000000" w:themeColor="text1"/>
          <w:szCs w:val="16"/>
        </w:rPr>
        <w:br/>
        <w:t>The USBE continues to experience relatively low levels of dispute resolution requests, including mediation. Targets have been set based on the low level of mediation requests.</w:t>
      </w:r>
    </w:p>
    <w:p w14:paraId="6F475956" w14:textId="6AAE3895" w:rsidR="000C24C2" w:rsidRPr="00781112" w:rsidRDefault="000C24C2" w:rsidP="001011BB">
      <w:pPr>
        <w:rPr>
          <w:rFonts w:cs="Arial"/>
          <w:color w:val="000000" w:themeColor="text1"/>
          <w:szCs w:val="16"/>
        </w:rPr>
      </w:pPr>
    </w:p>
    <w:p w14:paraId="4026D322" w14:textId="77777777" w:rsidR="00654A4B" w:rsidRPr="00781112" w:rsidRDefault="00654A4B" w:rsidP="00B65C2C">
      <w:pPr>
        <w:rPr>
          <w:color w:val="000000" w:themeColor="text1"/>
        </w:rPr>
      </w:pPr>
    </w:p>
    <w:p w14:paraId="5BFE0C1F" w14:textId="74D590F4" w:rsidR="00995737" w:rsidRPr="00781112" w:rsidRDefault="00995737" w:rsidP="00B65C2C">
      <w:pPr>
        <w:rPr>
          <w:b/>
          <w:bCs/>
          <w:color w:val="000000" w:themeColor="text1"/>
        </w:rPr>
      </w:pPr>
      <w:r w:rsidRPr="00781112">
        <w:rPr>
          <w:b/>
          <w:bCs/>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1PREPOPDATA"/>
      </w:tblPr>
      <w:tblGrid>
        <w:gridCol w:w="2909"/>
        <w:gridCol w:w="2130"/>
        <w:gridCol w:w="3507"/>
        <w:gridCol w:w="2244"/>
      </w:tblGrid>
      <w:tr w:rsidR="005C29F8" w:rsidRPr="00781112" w14:paraId="30F51C80" w14:textId="4B2A2ADB" w:rsidTr="00044B5C">
        <w:trPr>
          <w:trHeight w:val="372"/>
          <w:tblHeader/>
        </w:trPr>
        <w:tc>
          <w:tcPr>
            <w:tcW w:w="1348" w:type="pct"/>
            <w:shd w:val="clear" w:color="auto" w:fill="auto"/>
          </w:tcPr>
          <w:p w14:paraId="323D50E8" w14:textId="6779F814" w:rsidR="00866B4D" w:rsidRPr="00781112" w:rsidRDefault="00866B4D" w:rsidP="000B4AA4">
            <w:pPr>
              <w:spacing w:after="0"/>
              <w:jc w:val="center"/>
              <w:rPr>
                <w:rFonts w:cs="Arial"/>
                <w:b/>
                <w:color w:val="000000" w:themeColor="text1"/>
                <w:szCs w:val="16"/>
              </w:rPr>
            </w:pPr>
            <w:r w:rsidRPr="00781112">
              <w:rPr>
                <w:rFonts w:cs="Arial"/>
                <w:b/>
                <w:color w:val="000000" w:themeColor="text1"/>
                <w:szCs w:val="16"/>
              </w:rPr>
              <w:t>Source</w:t>
            </w:r>
          </w:p>
        </w:tc>
        <w:tc>
          <w:tcPr>
            <w:tcW w:w="987" w:type="pct"/>
            <w:shd w:val="clear" w:color="auto" w:fill="auto"/>
          </w:tcPr>
          <w:p w14:paraId="01C2B5F0" w14:textId="1D5140A6" w:rsidR="00866B4D" w:rsidRPr="00781112" w:rsidRDefault="00866B4D" w:rsidP="000B4AA4">
            <w:pPr>
              <w:spacing w:after="0"/>
              <w:jc w:val="center"/>
              <w:rPr>
                <w:rFonts w:cs="Arial"/>
                <w:b/>
                <w:color w:val="000000" w:themeColor="text1"/>
                <w:szCs w:val="16"/>
              </w:rPr>
            </w:pPr>
            <w:r w:rsidRPr="00781112">
              <w:rPr>
                <w:rFonts w:cs="Arial"/>
                <w:b/>
                <w:color w:val="000000" w:themeColor="text1"/>
                <w:szCs w:val="16"/>
              </w:rPr>
              <w:t>Date</w:t>
            </w:r>
          </w:p>
        </w:tc>
        <w:tc>
          <w:tcPr>
            <w:tcW w:w="1625" w:type="pct"/>
            <w:shd w:val="clear" w:color="auto" w:fill="auto"/>
          </w:tcPr>
          <w:p w14:paraId="1FC5546A" w14:textId="059B9945" w:rsidR="00866B4D" w:rsidRPr="00781112" w:rsidRDefault="00866B4D" w:rsidP="000B4AA4">
            <w:pPr>
              <w:spacing w:after="0"/>
              <w:jc w:val="center"/>
              <w:rPr>
                <w:rFonts w:cs="Arial"/>
                <w:b/>
                <w:color w:val="000000" w:themeColor="text1"/>
                <w:szCs w:val="16"/>
              </w:rPr>
            </w:pPr>
            <w:r w:rsidRPr="00781112">
              <w:rPr>
                <w:rFonts w:cs="Arial"/>
                <w:b/>
                <w:color w:val="000000" w:themeColor="text1"/>
                <w:szCs w:val="16"/>
              </w:rPr>
              <w:t>Description</w:t>
            </w:r>
          </w:p>
        </w:tc>
        <w:tc>
          <w:tcPr>
            <w:tcW w:w="1040" w:type="pct"/>
            <w:shd w:val="clear" w:color="auto" w:fill="auto"/>
          </w:tcPr>
          <w:p w14:paraId="189AD2F4" w14:textId="2C14B569" w:rsidR="00866B4D" w:rsidRPr="00781112" w:rsidRDefault="00866B4D" w:rsidP="000B4AA4">
            <w:pPr>
              <w:spacing w:after="0"/>
              <w:jc w:val="center"/>
              <w:rPr>
                <w:rFonts w:cs="Arial"/>
                <w:b/>
                <w:color w:val="000000" w:themeColor="text1"/>
                <w:szCs w:val="16"/>
              </w:rPr>
            </w:pPr>
            <w:r w:rsidRPr="00781112">
              <w:rPr>
                <w:rFonts w:cs="Arial"/>
                <w:b/>
                <w:color w:val="000000" w:themeColor="text1"/>
                <w:szCs w:val="16"/>
              </w:rPr>
              <w:t>Data</w:t>
            </w:r>
          </w:p>
        </w:tc>
      </w:tr>
      <w:tr w:rsidR="005A75AD" w:rsidRPr="00781112" w14:paraId="30B629CE" w14:textId="3D9C8EF1" w:rsidTr="00044B5C">
        <w:trPr>
          <w:trHeight w:val="380"/>
        </w:trPr>
        <w:tc>
          <w:tcPr>
            <w:tcW w:w="1348" w:type="pct"/>
            <w:shd w:val="clear" w:color="auto" w:fill="auto"/>
          </w:tcPr>
          <w:p w14:paraId="73323AED" w14:textId="61550716" w:rsidR="005A75AD" w:rsidRPr="00781112" w:rsidRDefault="005A75AD" w:rsidP="005A75AD">
            <w:pPr>
              <w:jc w:val="center"/>
              <w:rPr>
                <w:rFonts w:cs="Arial"/>
                <w:color w:val="000000" w:themeColor="text1"/>
                <w:szCs w:val="16"/>
              </w:rPr>
            </w:pPr>
            <w:r w:rsidRPr="00781112">
              <w:rPr>
                <w:rFonts w:cs="Arial"/>
                <w:color w:val="000000" w:themeColor="text1"/>
                <w:szCs w:val="16"/>
              </w:rPr>
              <w:t>SY 2020-21 Exiting Data Groups (EDFacts file spec FS009; Data Group 85)</w:t>
            </w:r>
          </w:p>
        </w:tc>
        <w:tc>
          <w:tcPr>
            <w:tcW w:w="987" w:type="pct"/>
            <w:shd w:val="clear" w:color="auto" w:fill="auto"/>
          </w:tcPr>
          <w:p w14:paraId="5E976CB4" w14:textId="15FDC9EF" w:rsidR="005A75AD" w:rsidRPr="00781112" w:rsidRDefault="005A75AD" w:rsidP="005A75AD">
            <w:pPr>
              <w:jc w:val="center"/>
              <w:rPr>
                <w:rFonts w:cs="Arial"/>
                <w:color w:val="000000" w:themeColor="text1"/>
                <w:szCs w:val="16"/>
              </w:rPr>
            </w:pPr>
            <w:r w:rsidRPr="00781112">
              <w:rPr>
                <w:rFonts w:cs="Arial"/>
                <w:color w:val="000000" w:themeColor="text1"/>
                <w:szCs w:val="16"/>
              </w:rPr>
              <w:t>05/25/2022</w:t>
            </w:r>
          </w:p>
        </w:tc>
        <w:tc>
          <w:tcPr>
            <w:tcW w:w="1625" w:type="pct"/>
            <w:shd w:val="clear" w:color="auto" w:fill="auto"/>
          </w:tcPr>
          <w:p w14:paraId="01C211E9" w14:textId="4BA1367C" w:rsidR="005A75AD" w:rsidRPr="00781112" w:rsidRDefault="005A75AD" w:rsidP="005A75AD">
            <w:pPr>
              <w:rPr>
                <w:rFonts w:cs="Arial"/>
                <w:color w:val="000000" w:themeColor="text1"/>
                <w:szCs w:val="16"/>
              </w:rPr>
            </w:pPr>
            <w:r w:rsidRPr="00781112">
              <w:rPr>
                <w:rFonts w:cs="Arial"/>
                <w:szCs w:val="16"/>
              </w:rPr>
              <w:t xml:space="preserve">Number of </w:t>
            </w:r>
            <w:proofErr w:type="gramStart"/>
            <w:r w:rsidRPr="00781112">
              <w:rPr>
                <w:rFonts w:cs="Arial"/>
                <w:szCs w:val="16"/>
              </w:rPr>
              <w:t>youth</w:t>
            </w:r>
            <w:proofErr w:type="gramEnd"/>
            <w:r w:rsidRPr="00781112">
              <w:rPr>
                <w:rFonts w:cs="Arial"/>
                <w:szCs w:val="16"/>
              </w:rPr>
              <w:t xml:space="preserve"> with IEPs (ages 14-21) who exited special education by graduating with a regular high school diploma (a)</w:t>
            </w:r>
          </w:p>
        </w:tc>
        <w:tc>
          <w:tcPr>
            <w:tcW w:w="1040" w:type="pct"/>
            <w:shd w:val="clear" w:color="auto" w:fill="auto"/>
          </w:tcPr>
          <w:p w14:paraId="18434B19" w14:textId="3271491A" w:rsidR="005A75AD" w:rsidRPr="00781112" w:rsidRDefault="005A75AD" w:rsidP="005A75AD">
            <w:pPr>
              <w:jc w:val="center"/>
              <w:rPr>
                <w:rFonts w:cs="Arial"/>
                <w:color w:val="000000" w:themeColor="text1"/>
                <w:szCs w:val="16"/>
              </w:rPr>
            </w:pPr>
            <w:r w:rsidRPr="00781112">
              <w:rPr>
                <w:rFonts w:cs="Arial"/>
                <w:color w:val="000000" w:themeColor="text1"/>
                <w:szCs w:val="16"/>
              </w:rPr>
              <w:t>3,812</w:t>
            </w:r>
          </w:p>
        </w:tc>
      </w:tr>
      <w:tr w:rsidR="005A75AD" w:rsidRPr="00781112" w14:paraId="2E9BAC4B" w14:textId="77777777" w:rsidTr="00044B5C">
        <w:trPr>
          <w:trHeight w:val="380"/>
        </w:trPr>
        <w:tc>
          <w:tcPr>
            <w:tcW w:w="1348" w:type="pct"/>
            <w:shd w:val="clear" w:color="auto" w:fill="auto"/>
          </w:tcPr>
          <w:p w14:paraId="019DE2CA" w14:textId="1C16E7CC" w:rsidR="005A75AD" w:rsidRPr="00781112" w:rsidRDefault="005A75AD" w:rsidP="005A75AD">
            <w:pPr>
              <w:jc w:val="center"/>
              <w:rPr>
                <w:rFonts w:cs="Arial"/>
                <w:color w:val="000000" w:themeColor="text1"/>
                <w:szCs w:val="16"/>
              </w:rPr>
            </w:pPr>
            <w:r w:rsidRPr="00781112">
              <w:rPr>
                <w:rFonts w:cs="Arial"/>
                <w:color w:val="000000" w:themeColor="text1"/>
                <w:szCs w:val="16"/>
              </w:rPr>
              <w:t>SY 2020-21 Exiting Data Groups (EDFacts file spec FS009; Data Group 85)</w:t>
            </w:r>
          </w:p>
        </w:tc>
        <w:tc>
          <w:tcPr>
            <w:tcW w:w="987" w:type="pct"/>
            <w:shd w:val="clear" w:color="auto" w:fill="auto"/>
          </w:tcPr>
          <w:p w14:paraId="21121509" w14:textId="35C72B6A" w:rsidR="005A75AD" w:rsidRPr="00781112" w:rsidRDefault="005A75AD" w:rsidP="005A75AD">
            <w:pPr>
              <w:jc w:val="center"/>
              <w:rPr>
                <w:rFonts w:cs="Arial"/>
                <w:color w:val="000000" w:themeColor="text1"/>
                <w:szCs w:val="16"/>
              </w:rPr>
            </w:pPr>
            <w:r w:rsidRPr="00781112">
              <w:rPr>
                <w:rFonts w:cs="Arial"/>
                <w:color w:val="000000" w:themeColor="text1"/>
                <w:szCs w:val="16"/>
              </w:rPr>
              <w:t>05/25/2022</w:t>
            </w:r>
          </w:p>
        </w:tc>
        <w:tc>
          <w:tcPr>
            <w:tcW w:w="1625" w:type="pct"/>
            <w:shd w:val="clear" w:color="auto" w:fill="auto"/>
          </w:tcPr>
          <w:p w14:paraId="4DBDAFD8" w14:textId="70B6722B" w:rsidR="005A75AD" w:rsidRPr="00781112" w:rsidRDefault="005A75AD" w:rsidP="005A75AD">
            <w:pPr>
              <w:rPr>
                <w:rFonts w:cs="Arial"/>
                <w:color w:val="000000" w:themeColor="text1"/>
                <w:szCs w:val="16"/>
              </w:rPr>
            </w:pPr>
            <w:r w:rsidRPr="00781112">
              <w:rPr>
                <w:rFonts w:cs="Arial"/>
                <w:szCs w:val="16"/>
              </w:rPr>
              <w:t xml:space="preserve">Number of </w:t>
            </w:r>
            <w:proofErr w:type="gramStart"/>
            <w:r w:rsidRPr="00781112">
              <w:rPr>
                <w:rFonts w:cs="Arial"/>
                <w:szCs w:val="16"/>
              </w:rPr>
              <w:t>youth</w:t>
            </w:r>
            <w:proofErr w:type="gramEnd"/>
            <w:r w:rsidRPr="00781112">
              <w:rPr>
                <w:rFonts w:cs="Arial"/>
                <w:szCs w:val="16"/>
              </w:rPr>
              <w:t xml:space="preserve"> with IEPs (ages 14-21) who exited special education by graduating with a state-defined alternate diploma (b)</w:t>
            </w:r>
          </w:p>
        </w:tc>
        <w:tc>
          <w:tcPr>
            <w:tcW w:w="1040" w:type="pct"/>
            <w:shd w:val="clear" w:color="auto" w:fill="auto"/>
          </w:tcPr>
          <w:p w14:paraId="010FD1F1" w14:textId="7C43793B" w:rsidR="005A75AD" w:rsidRPr="00781112" w:rsidRDefault="005A75AD" w:rsidP="005A75AD">
            <w:pPr>
              <w:jc w:val="center"/>
              <w:rPr>
                <w:rFonts w:cs="Arial"/>
                <w:color w:val="000000" w:themeColor="text1"/>
                <w:szCs w:val="16"/>
              </w:rPr>
            </w:pPr>
            <w:r w:rsidRPr="00781112">
              <w:rPr>
                <w:rFonts w:cs="Arial"/>
                <w:color w:val="000000" w:themeColor="text1"/>
                <w:szCs w:val="16"/>
              </w:rPr>
              <w:t>160</w:t>
            </w:r>
          </w:p>
        </w:tc>
      </w:tr>
      <w:tr w:rsidR="005A75AD" w:rsidRPr="00781112" w14:paraId="032776B0" w14:textId="77777777" w:rsidTr="00044B5C">
        <w:trPr>
          <w:trHeight w:val="380"/>
        </w:trPr>
        <w:tc>
          <w:tcPr>
            <w:tcW w:w="1348" w:type="pct"/>
            <w:shd w:val="clear" w:color="auto" w:fill="auto"/>
          </w:tcPr>
          <w:p w14:paraId="5813DAD1" w14:textId="06D60F55" w:rsidR="005A75AD" w:rsidRPr="00781112" w:rsidRDefault="005A75AD" w:rsidP="005A75AD">
            <w:pPr>
              <w:jc w:val="center"/>
              <w:rPr>
                <w:rFonts w:cs="Arial"/>
                <w:color w:val="000000" w:themeColor="text1"/>
                <w:szCs w:val="16"/>
              </w:rPr>
            </w:pPr>
            <w:r w:rsidRPr="00781112">
              <w:rPr>
                <w:rFonts w:cs="Arial"/>
                <w:color w:val="000000" w:themeColor="text1"/>
                <w:szCs w:val="16"/>
              </w:rPr>
              <w:lastRenderedPageBreak/>
              <w:t>SY 2020-21 Exiting Data Groups (EDFacts file spec FS009; Data Group 85)</w:t>
            </w:r>
          </w:p>
        </w:tc>
        <w:tc>
          <w:tcPr>
            <w:tcW w:w="987" w:type="pct"/>
            <w:shd w:val="clear" w:color="auto" w:fill="auto"/>
          </w:tcPr>
          <w:p w14:paraId="0CBE5647" w14:textId="5D16DC3C" w:rsidR="005A75AD" w:rsidRPr="00781112" w:rsidRDefault="005A75AD" w:rsidP="005A75AD">
            <w:pPr>
              <w:jc w:val="center"/>
              <w:rPr>
                <w:rFonts w:cs="Arial"/>
                <w:color w:val="000000" w:themeColor="text1"/>
                <w:szCs w:val="16"/>
              </w:rPr>
            </w:pPr>
            <w:r w:rsidRPr="00781112">
              <w:rPr>
                <w:rFonts w:cs="Arial"/>
                <w:color w:val="000000" w:themeColor="text1"/>
                <w:szCs w:val="16"/>
              </w:rPr>
              <w:t>05/25/2022</w:t>
            </w:r>
          </w:p>
        </w:tc>
        <w:tc>
          <w:tcPr>
            <w:tcW w:w="1625" w:type="pct"/>
            <w:shd w:val="clear" w:color="auto" w:fill="auto"/>
          </w:tcPr>
          <w:p w14:paraId="7D0086CE" w14:textId="510BD804" w:rsidR="005A75AD" w:rsidRPr="00781112" w:rsidRDefault="005A75AD" w:rsidP="005A75AD">
            <w:pPr>
              <w:rPr>
                <w:rFonts w:cs="Arial"/>
                <w:color w:val="000000" w:themeColor="text1"/>
                <w:szCs w:val="16"/>
              </w:rPr>
            </w:pPr>
            <w:r w:rsidRPr="00781112">
              <w:rPr>
                <w:rFonts w:cs="Arial"/>
                <w:szCs w:val="16"/>
              </w:rPr>
              <w:t xml:space="preserve">Number of </w:t>
            </w:r>
            <w:proofErr w:type="gramStart"/>
            <w:r w:rsidRPr="00781112">
              <w:rPr>
                <w:rFonts w:cs="Arial"/>
                <w:szCs w:val="16"/>
              </w:rPr>
              <w:t>youth</w:t>
            </w:r>
            <w:proofErr w:type="gramEnd"/>
            <w:r w:rsidRPr="00781112">
              <w:rPr>
                <w:rFonts w:cs="Arial"/>
                <w:szCs w:val="16"/>
              </w:rPr>
              <w:t xml:space="preserve"> with IEPs (ages 14-21) who exited special education by receiving a certificate (c)</w:t>
            </w:r>
          </w:p>
        </w:tc>
        <w:tc>
          <w:tcPr>
            <w:tcW w:w="1040" w:type="pct"/>
            <w:shd w:val="clear" w:color="auto" w:fill="auto"/>
          </w:tcPr>
          <w:p w14:paraId="184082B3" w14:textId="438EC66B" w:rsidR="005A75AD" w:rsidRPr="00781112" w:rsidRDefault="005A75AD" w:rsidP="005A75AD">
            <w:pPr>
              <w:jc w:val="center"/>
              <w:rPr>
                <w:rFonts w:cs="Arial"/>
                <w:color w:val="000000" w:themeColor="text1"/>
                <w:szCs w:val="16"/>
              </w:rPr>
            </w:pPr>
            <w:r w:rsidRPr="00781112">
              <w:rPr>
                <w:rFonts w:cs="Arial"/>
                <w:color w:val="000000" w:themeColor="text1"/>
                <w:szCs w:val="16"/>
              </w:rPr>
              <w:t>207</w:t>
            </w:r>
          </w:p>
        </w:tc>
      </w:tr>
      <w:tr w:rsidR="00E1624B" w:rsidRPr="00781112" w14:paraId="73AB7466" w14:textId="77777777" w:rsidTr="00044B5C">
        <w:trPr>
          <w:trHeight w:val="380"/>
        </w:trPr>
        <w:tc>
          <w:tcPr>
            <w:tcW w:w="1348" w:type="pct"/>
            <w:shd w:val="clear" w:color="auto" w:fill="auto"/>
          </w:tcPr>
          <w:p w14:paraId="4B56ED01" w14:textId="0B62D17A" w:rsidR="00E1624B" w:rsidRPr="00781112" w:rsidRDefault="00E1624B" w:rsidP="00E1624B">
            <w:pPr>
              <w:jc w:val="center"/>
              <w:rPr>
                <w:rFonts w:cs="Arial"/>
                <w:color w:val="000000" w:themeColor="text1"/>
                <w:szCs w:val="16"/>
              </w:rPr>
            </w:pPr>
            <w:r w:rsidRPr="00781112">
              <w:rPr>
                <w:rFonts w:cs="Arial"/>
                <w:color w:val="000000" w:themeColor="text1"/>
                <w:szCs w:val="16"/>
              </w:rPr>
              <w:t>SY 2020-21 Exiting Data Groups (EDFacts file spec FS009; Data Group 85)</w:t>
            </w:r>
          </w:p>
        </w:tc>
        <w:tc>
          <w:tcPr>
            <w:tcW w:w="987" w:type="pct"/>
            <w:shd w:val="clear" w:color="auto" w:fill="auto"/>
          </w:tcPr>
          <w:p w14:paraId="60CF2903" w14:textId="690ADEAE" w:rsidR="00E1624B" w:rsidRPr="00781112" w:rsidRDefault="00E1624B" w:rsidP="00E1624B">
            <w:pPr>
              <w:jc w:val="center"/>
              <w:rPr>
                <w:rFonts w:cs="Arial"/>
                <w:color w:val="000000" w:themeColor="text1"/>
                <w:szCs w:val="16"/>
              </w:rPr>
            </w:pPr>
            <w:r w:rsidRPr="00781112">
              <w:rPr>
                <w:rFonts w:cs="Arial"/>
                <w:color w:val="000000" w:themeColor="text1"/>
                <w:szCs w:val="16"/>
              </w:rPr>
              <w:t>05/25/2022</w:t>
            </w:r>
          </w:p>
        </w:tc>
        <w:tc>
          <w:tcPr>
            <w:tcW w:w="1625" w:type="pct"/>
            <w:shd w:val="clear" w:color="auto" w:fill="auto"/>
          </w:tcPr>
          <w:p w14:paraId="06653647" w14:textId="36FF0607" w:rsidR="00E1624B" w:rsidRPr="00781112" w:rsidRDefault="00E1624B">
            <w:pPr>
              <w:rPr>
                <w:rFonts w:cs="Arial"/>
                <w:szCs w:val="16"/>
              </w:rPr>
            </w:pPr>
            <w:r w:rsidRPr="00781112">
              <w:rPr>
                <w:rFonts w:cs="Arial"/>
                <w:szCs w:val="16"/>
              </w:rPr>
              <w:t xml:space="preserve">Number of </w:t>
            </w:r>
            <w:proofErr w:type="gramStart"/>
            <w:r w:rsidRPr="00781112">
              <w:rPr>
                <w:rFonts w:cs="Arial"/>
                <w:szCs w:val="16"/>
              </w:rPr>
              <w:t>youth</w:t>
            </w:r>
            <w:proofErr w:type="gramEnd"/>
            <w:r w:rsidRPr="00781112">
              <w:rPr>
                <w:rFonts w:cs="Arial"/>
                <w:szCs w:val="16"/>
              </w:rPr>
              <w:t xml:space="preserve"> with IEPs (ages 14-21) who exited special education by reaching maximum age (d)</w:t>
            </w:r>
          </w:p>
        </w:tc>
        <w:tc>
          <w:tcPr>
            <w:tcW w:w="1040" w:type="pct"/>
            <w:shd w:val="clear" w:color="auto" w:fill="auto"/>
          </w:tcPr>
          <w:p w14:paraId="73E001A1" w14:textId="747191F4" w:rsidR="00E1624B" w:rsidRPr="00781112" w:rsidRDefault="00E1624B" w:rsidP="00E1624B">
            <w:pPr>
              <w:jc w:val="center"/>
              <w:rPr>
                <w:rFonts w:cs="Arial"/>
                <w:color w:val="000000" w:themeColor="text1"/>
                <w:szCs w:val="16"/>
              </w:rPr>
            </w:pPr>
            <w:r w:rsidRPr="00781112">
              <w:rPr>
                <w:rFonts w:cs="Arial"/>
                <w:color w:val="000000" w:themeColor="text1"/>
                <w:szCs w:val="16"/>
              </w:rPr>
              <w:t>89</w:t>
            </w:r>
          </w:p>
        </w:tc>
      </w:tr>
      <w:tr w:rsidR="00E1624B" w:rsidRPr="00781112" w14:paraId="14CC53E0" w14:textId="77777777" w:rsidTr="00044B5C">
        <w:trPr>
          <w:trHeight w:val="380"/>
        </w:trPr>
        <w:tc>
          <w:tcPr>
            <w:tcW w:w="1348" w:type="pct"/>
            <w:shd w:val="clear" w:color="auto" w:fill="auto"/>
          </w:tcPr>
          <w:p w14:paraId="3B200D0B" w14:textId="610D9D3D" w:rsidR="00E1624B" w:rsidRPr="00781112" w:rsidRDefault="00E1624B" w:rsidP="00E1624B">
            <w:pPr>
              <w:jc w:val="center"/>
              <w:rPr>
                <w:rFonts w:cs="Arial"/>
                <w:color w:val="000000" w:themeColor="text1"/>
                <w:szCs w:val="16"/>
              </w:rPr>
            </w:pPr>
            <w:r w:rsidRPr="00781112">
              <w:rPr>
                <w:rFonts w:cs="Arial"/>
                <w:color w:val="000000" w:themeColor="text1"/>
                <w:szCs w:val="16"/>
              </w:rPr>
              <w:t>SY 2020-21 Exiting Data Groups (EDFacts file spec FS009; Data Group 85)</w:t>
            </w:r>
          </w:p>
        </w:tc>
        <w:tc>
          <w:tcPr>
            <w:tcW w:w="987" w:type="pct"/>
            <w:shd w:val="clear" w:color="auto" w:fill="auto"/>
          </w:tcPr>
          <w:p w14:paraId="57A125A7" w14:textId="625619CE" w:rsidR="00E1624B" w:rsidRPr="00781112" w:rsidRDefault="00E1624B" w:rsidP="00E1624B">
            <w:pPr>
              <w:jc w:val="center"/>
              <w:rPr>
                <w:rFonts w:cs="Arial"/>
                <w:color w:val="000000" w:themeColor="text1"/>
                <w:szCs w:val="16"/>
              </w:rPr>
            </w:pPr>
            <w:r w:rsidRPr="00781112">
              <w:rPr>
                <w:rFonts w:cs="Arial"/>
                <w:color w:val="000000" w:themeColor="text1"/>
                <w:szCs w:val="16"/>
              </w:rPr>
              <w:t>05/25/2022</w:t>
            </w:r>
          </w:p>
        </w:tc>
        <w:tc>
          <w:tcPr>
            <w:tcW w:w="1625" w:type="pct"/>
            <w:shd w:val="clear" w:color="auto" w:fill="auto"/>
          </w:tcPr>
          <w:p w14:paraId="5C2E5C85" w14:textId="316DABB1" w:rsidR="00E1624B" w:rsidRPr="00781112" w:rsidRDefault="00E1624B" w:rsidP="00E1624B">
            <w:pPr>
              <w:rPr>
                <w:rFonts w:cs="Arial"/>
                <w:szCs w:val="16"/>
              </w:rPr>
            </w:pPr>
            <w:r w:rsidRPr="00781112">
              <w:rPr>
                <w:rFonts w:cs="Arial"/>
                <w:szCs w:val="16"/>
              </w:rPr>
              <w:t xml:space="preserve">Number of </w:t>
            </w:r>
            <w:proofErr w:type="gramStart"/>
            <w:r w:rsidRPr="00781112">
              <w:rPr>
                <w:rFonts w:cs="Arial"/>
                <w:szCs w:val="16"/>
              </w:rPr>
              <w:t>youth</w:t>
            </w:r>
            <w:proofErr w:type="gramEnd"/>
            <w:r w:rsidRPr="00781112">
              <w:rPr>
                <w:rFonts w:cs="Arial"/>
                <w:szCs w:val="16"/>
              </w:rPr>
              <w:t xml:space="preserve"> with IEPs (ages 14-21) who exited special education due to dropping out (e)</w:t>
            </w:r>
          </w:p>
        </w:tc>
        <w:tc>
          <w:tcPr>
            <w:tcW w:w="1040" w:type="pct"/>
            <w:shd w:val="clear" w:color="auto" w:fill="auto"/>
          </w:tcPr>
          <w:p w14:paraId="79A046E2" w14:textId="17FE2759" w:rsidR="00E1624B" w:rsidRPr="00781112" w:rsidRDefault="00E1624B" w:rsidP="00E1624B">
            <w:pPr>
              <w:jc w:val="center"/>
              <w:rPr>
                <w:rFonts w:cs="Arial"/>
                <w:color w:val="000000" w:themeColor="text1"/>
                <w:szCs w:val="16"/>
              </w:rPr>
            </w:pPr>
            <w:r w:rsidRPr="00781112">
              <w:rPr>
                <w:rFonts w:cs="Arial"/>
                <w:color w:val="000000" w:themeColor="text1"/>
                <w:szCs w:val="16"/>
              </w:rPr>
              <w:t>1,428</w:t>
            </w:r>
          </w:p>
        </w:tc>
      </w:tr>
    </w:tbl>
    <w:p w14:paraId="0D2CDC7B" w14:textId="77777777" w:rsidR="00654A4B" w:rsidRPr="00781112" w:rsidRDefault="00654A4B" w:rsidP="00B65C2C">
      <w:pPr>
        <w:rPr>
          <w:color w:val="000000" w:themeColor="text1"/>
        </w:rPr>
      </w:pPr>
    </w:p>
    <w:p w14:paraId="7939D078" w14:textId="460D13CB" w:rsidR="00995737" w:rsidRPr="00781112" w:rsidRDefault="0047313F" w:rsidP="00C74928">
      <w:pPr>
        <w:keepNext/>
        <w:rPr>
          <w:b/>
          <w:bCs/>
          <w:color w:val="000000" w:themeColor="text1"/>
        </w:rPr>
      </w:pPr>
      <w:r>
        <w:rPr>
          <w:b/>
          <w:bCs/>
          <w:color w:val="000000" w:themeColor="text1"/>
        </w:rPr>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1CFFYAPRDATA"/>
      </w:tblPr>
      <w:tblGrid>
        <w:gridCol w:w="1502"/>
        <w:gridCol w:w="1688"/>
        <w:gridCol w:w="1344"/>
        <w:gridCol w:w="2022"/>
        <w:gridCol w:w="1208"/>
        <w:gridCol w:w="1539"/>
        <w:gridCol w:w="1487"/>
      </w:tblGrid>
      <w:tr w:rsidR="0047313F" w:rsidRPr="00781112" w14:paraId="02722994" w14:textId="4BCF686A" w:rsidTr="0047313F">
        <w:trPr>
          <w:trHeight w:val="333"/>
          <w:tblHeader/>
        </w:trPr>
        <w:tc>
          <w:tcPr>
            <w:tcW w:w="696" w:type="pct"/>
            <w:shd w:val="clear" w:color="auto" w:fill="auto"/>
            <w:vAlign w:val="bottom"/>
          </w:tcPr>
          <w:p w14:paraId="272BBF68" w14:textId="161B6D1A" w:rsidR="0047313F" w:rsidRPr="00781112" w:rsidRDefault="0047313F" w:rsidP="0047313F">
            <w:pPr>
              <w:spacing w:after="0"/>
              <w:jc w:val="center"/>
              <w:rPr>
                <w:rFonts w:cs="Arial"/>
                <w:b/>
                <w:color w:val="000000" w:themeColor="text1"/>
                <w:szCs w:val="16"/>
              </w:rPr>
            </w:pPr>
            <w:r w:rsidRPr="00781112">
              <w:rPr>
                <w:rFonts w:cs="Arial"/>
                <w:b/>
                <w:color w:val="000000" w:themeColor="text1"/>
                <w:szCs w:val="16"/>
              </w:rPr>
              <w:t xml:space="preserve">Number of </w:t>
            </w:r>
            <w:proofErr w:type="gramStart"/>
            <w:r w:rsidRPr="00781112">
              <w:rPr>
                <w:rFonts w:cs="Arial"/>
                <w:b/>
                <w:color w:val="000000" w:themeColor="text1"/>
                <w:szCs w:val="16"/>
              </w:rPr>
              <w:t>youth</w:t>
            </w:r>
            <w:proofErr w:type="gramEnd"/>
            <w:r w:rsidRPr="00781112">
              <w:rPr>
                <w:rFonts w:cs="Arial"/>
                <w:b/>
                <w:color w:val="000000" w:themeColor="text1"/>
                <w:szCs w:val="16"/>
              </w:rPr>
              <w:t xml:space="preserve"> with IEPs (ages 14-21) who exited special education due to graduating with a regular high school diploma</w:t>
            </w:r>
          </w:p>
        </w:tc>
        <w:tc>
          <w:tcPr>
            <w:tcW w:w="782" w:type="pct"/>
            <w:shd w:val="clear" w:color="auto" w:fill="auto"/>
            <w:vAlign w:val="bottom"/>
          </w:tcPr>
          <w:p w14:paraId="055EF61F" w14:textId="6ADAF307" w:rsidR="0047313F" w:rsidRPr="00781112" w:rsidRDefault="0047313F" w:rsidP="0047313F">
            <w:pPr>
              <w:spacing w:after="0"/>
              <w:jc w:val="center"/>
              <w:rPr>
                <w:rFonts w:cs="Arial"/>
                <w:b/>
                <w:bCs/>
                <w:color w:val="000000" w:themeColor="text1"/>
                <w:szCs w:val="16"/>
              </w:rPr>
            </w:pPr>
            <w:r w:rsidRPr="00781112">
              <w:rPr>
                <w:b/>
                <w:bCs/>
              </w:rPr>
              <w:t xml:space="preserve">Number of all youth with IEPs who exited special education (ages 14-21)  </w:t>
            </w:r>
          </w:p>
        </w:tc>
        <w:tc>
          <w:tcPr>
            <w:tcW w:w="623" w:type="pct"/>
            <w:shd w:val="clear" w:color="auto" w:fill="auto"/>
            <w:vAlign w:val="bottom"/>
          </w:tcPr>
          <w:p w14:paraId="74998318" w14:textId="7EBD313A" w:rsidR="0047313F" w:rsidRPr="00073BD7" w:rsidRDefault="0047313F" w:rsidP="0047313F">
            <w:pPr>
              <w:spacing w:after="0"/>
              <w:jc w:val="center"/>
              <w:rPr>
                <w:rFonts w:cs="Arial"/>
                <w:b/>
                <w:bCs/>
                <w:color w:val="000000" w:themeColor="text1"/>
                <w:szCs w:val="16"/>
              </w:rPr>
            </w:pPr>
            <w:r w:rsidRPr="00073BD7">
              <w:rPr>
                <w:b/>
                <w:bCs/>
              </w:rPr>
              <w:t>FFY 2020 Data</w:t>
            </w:r>
          </w:p>
        </w:tc>
        <w:tc>
          <w:tcPr>
            <w:tcW w:w="937" w:type="pct"/>
            <w:shd w:val="clear" w:color="auto" w:fill="auto"/>
            <w:vAlign w:val="bottom"/>
          </w:tcPr>
          <w:p w14:paraId="5A1C61A6" w14:textId="3B168025" w:rsidR="0047313F" w:rsidRPr="00073BD7" w:rsidRDefault="0047313F" w:rsidP="0047313F">
            <w:pPr>
              <w:spacing w:after="0"/>
              <w:jc w:val="center"/>
              <w:rPr>
                <w:rFonts w:cs="Arial"/>
                <w:b/>
                <w:bCs/>
                <w:color w:val="000000" w:themeColor="text1"/>
                <w:szCs w:val="16"/>
              </w:rPr>
            </w:pPr>
            <w:r w:rsidRPr="00073BD7">
              <w:rPr>
                <w:b/>
                <w:bCs/>
              </w:rPr>
              <w:t>FFY 2021 Target</w:t>
            </w:r>
          </w:p>
        </w:tc>
        <w:tc>
          <w:tcPr>
            <w:tcW w:w="560" w:type="pct"/>
            <w:shd w:val="clear" w:color="auto" w:fill="auto"/>
            <w:vAlign w:val="bottom"/>
          </w:tcPr>
          <w:p w14:paraId="51DD5A1B" w14:textId="693EF1DE" w:rsidR="0047313F" w:rsidRPr="00073BD7" w:rsidRDefault="0047313F" w:rsidP="0047313F">
            <w:pPr>
              <w:spacing w:after="0"/>
              <w:jc w:val="center"/>
              <w:rPr>
                <w:rFonts w:cs="Arial"/>
                <w:b/>
                <w:bCs/>
                <w:color w:val="000000" w:themeColor="text1"/>
                <w:szCs w:val="16"/>
              </w:rPr>
            </w:pPr>
            <w:r w:rsidRPr="00073BD7">
              <w:rPr>
                <w:b/>
                <w:bCs/>
              </w:rPr>
              <w:t>FFY 2021 Data</w:t>
            </w:r>
          </w:p>
        </w:tc>
        <w:tc>
          <w:tcPr>
            <w:tcW w:w="713" w:type="pct"/>
            <w:shd w:val="clear" w:color="auto" w:fill="auto"/>
            <w:vAlign w:val="bottom"/>
          </w:tcPr>
          <w:p w14:paraId="23C86FAA" w14:textId="7FC8D54B" w:rsidR="0047313F" w:rsidRPr="00781112" w:rsidRDefault="0047313F" w:rsidP="0047313F">
            <w:pPr>
              <w:spacing w:after="0"/>
              <w:jc w:val="center"/>
              <w:rPr>
                <w:rFonts w:cs="Arial"/>
                <w:b/>
                <w:color w:val="000000" w:themeColor="text1"/>
                <w:szCs w:val="16"/>
              </w:rPr>
            </w:pPr>
            <w:r w:rsidRPr="00781112">
              <w:rPr>
                <w:rFonts w:cs="Arial"/>
                <w:b/>
                <w:color w:val="000000" w:themeColor="text1"/>
                <w:szCs w:val="16"/>
              </w:rPr>
              <w:t>Status</w:t>
            </w:r>
          </w:p>
        </w:tc>
        <w:tc>
          <w:tcPr>
            <w:tcW w:w="690" w:type="pct"/>
            <w:shd w:val="clear" w:color="auto" w:fill="auto"/>
            <w:vAlign w:val="bottom"/>
          </w:tcPr>
          <w:p w14:paraId="6EE58552" w14:textId="4AA8F220" w:rsidR="0047313F" w:rsidRPr="00781112" w:rsidRDefault="0047313F" w:rsidP="0047313F">
            <w:pPr>
              <w:spacing w:after="0"/>
              <w:jc w:val="center"/>
              <w:rPr>
                <w:rFonts w:cs="Arial"/>
                <w:b/>
                <w:color w:val="000000" w:themeColor="text1"/>
                <w:szCs w:val="16"/>
              </w:rPr>
            </w:pPr>
            <w:r w:rsidRPr="00781112">
              <w:rPr>
                <w:rFonts w:cs="Arial"/>
                <w:b/>
                <w:color w:val="000000" w:themeColor="text1"/>
                <w:szCs w:val="16"/>
              </w:rPr>
              <w:t>Slippage</w:t>
            </w:r>
          </w:p>
        </w:tc>
      </w:tr>
      <w:tr w:rsidR="005C29F8" w:rsidRPr="00781112" w14:paraId="601A0599" w14:textId="76387A52" w:rsidTr="0047313F">
        <w:trPr>
          <w:trHeight w:val="340"/>
        </w:trPr>
        <w:tc>
          <w:tcPr>
            <w:tcW w:w="696" w:type="pct"/>
            <w:shd w:val="clear" w:color="auto" w:fill="auto"/>
            <w:vAlign w:val="center"/>
          </w:tcPr>
          <w:p w14:paraId="70B1C138" w14:textId="6CAA41C3" w:rsidR="0098478C" w:rsidRPr="00781112" w:rsidRDefault="002B7490" w:rsidP="00A018D4">
            <w:pPr>
              <w:jc w:val="center"/>
              <w:rPr>
                <w:rFonts w:cs="Arial"/>
                <w:color w:val="000000" w:themeColor="text1"/>
                <w:szCs w:val="16"/>
              </w:rPr>
            </w:pPr>
            <w:r w:rsidRPr="00781112">
              <w:rPr>
                <w:rFonts w:cs="Arial"/>
                <w:color w:val="000000" w:themeColor="text1"/>
                <w:szCs w:val="16"/>
              </w:rPr>
              <w:t>3,812</w:t>
            </w:r>
          </w:p>
        </w:tc>
        <w:tc>
          <w:tcPr>
            <w:tcW w:w="782" w:type="pct"/>
            <w:shd w:val="clear" w:color="auto" w:fill="auto"/>
          </w:tcPr>
          <w:p w14:paraId="614E7B59" w14:textId="5AA9B72C" w:rsidR="0098478C" w:rsidRPr="00781112" w:rsidRDefault="002B7490" w:rsidP="00A018D4">
            <w:pPr>
              <w:jc w:val="center"/>
              <w:rPr>
                <w:rFonts w:cs="Arial"/>
                <w:color w:val="000000" w:themeColor="text1"/>
                <w:szCs w:val="16"/>
              </w:rPr>
            </w:pPr>
            <w:r w:rsidRPr="00781112">
              <w:rPr>
                <w:rFonts w:cs="Arial"/>
                <w:color w:val="000000" w:themeColor="text1"/>
                <w:szCs w:val="16"/>
              </w:rPr>
              <w:t>5,696</w:t>
            </w:r>
          </w:p>
        </w:tc>
        <w:tc>
          <w:tcPr>
            <w:tcW w:w="623" w:type="pct"/>
            <w:shd w:val="clear" w:color="auto" w:fill="auto"/>
          </w:tcPr>
          <w:p w14:paraId="02406DF0" w14:textId="52BAECC6" w:rsidR="0098478C" w:rsidRPr="00781112" w:rsidRDefault="002B7490" w:rsidP="00A018D4">
            <w:pPr>
              <w:jc w:val="center"/>
              <w:rPr>
                <w:rFonts w:cs="Arial"/>
                <w:color w:val="000000" w:themeColor="text1"/>
                <w:szCs w:val="16"/>
              </w:rPr>
            </w:pPr>
            <w:r w:rsidRPr="00781112">
              <w:rPr>
                <w:rFonts w:cs="Arial"/>
                <w:color w:val="000000" w:themeColor="text1"/>
                <w:szCs w:val="16"/>
              </w:rPr>
              <w:t>56.34%</w:t>
            </w:r>
          </w:p>
        </w:tc>
        <w:tc>
          <w:tcPr>
            <w:tcW w:w="937" w:type="pct"/>
            <w:shd w:val="clear" w:color="auto" w:fill="auto"/>
          </w:tcPr>
          <w:p w14:paraId="2398C001" w14:textId="76ED9E04" w:rsidR="0098478C" w:rsidRPr="00781112" w:rsidRDefault="002B7490" w:rsidP="00A018D4">
            <w:pPr>
              <w:jc w:val="center"/>
              <w:rPr>
                <w:rFonts w:cs="Arial"/>
                <w:color w:val="000000" w:themeColor="text1"/>
                <w:szCs w:val="16"/>
              </w:rPr>
            </w:pPr>
            <w:r w:rsidRPr="00781112">
              <w:rPr>
                <w:rFonts w:cs="Arial"/>
                <w:color w:val="000000" w:themeColor="text1"/>
                <w:szCs w:val="16"/>
              </w:rPr>
              <w:t>67.90%</w:t>
            </w:r>
          </w:p>
        </w:tc>
        <w:tc>
          <w:tcPr>
            <w:tcW w:w="560" w:type="pct"/>
            <w:shd w:val="clear" w:color="auto" w:fill="auto"/>
          </w:tcPr>
          <w:p w14:paraId="4A53AF2D" w14:textId="3BE4EB07" w:rsidR="0098478C" w:rsidRPr="00781112" w:rsidRDefault="002B7490" w:rsidP="00A018D4">
            <w:pPr>
              <w:jc w:val="center"/>
              <w:rPr>
                <w:rFonts w:cs="Arial"/>
                <w:color w:val="000000" w:themeColor="text1"/>
                <w:szCs w:val="16"/>
              </w:rPr>
            </w:pPr>
            <w:r w:rsidRPr="00781112">
              <w:rPr>
                <w:rFonts w:cs="Arial"/>
                <w:color w:val="000000" w:themeColor="text1"/>
                <w:szCs w:val="16"/>
              </w:rPr>
              <w:t>66.92%</w:t>
            </w:r>
          </w:p>
        </w:tc>
        <w:tc>
          <w:tcPr>
            <w:tcW w:w="713" w:type="pct"/>
            <w:shd w:val="clear" w:color="auto" w:fill="auto"/>
          </w:tcPr>
          <w:p w14:paraId="0A60DC85" w14:textId="479F7096" w:rsidR="0098478C"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690" w:type="pct"/>
            <w:shd w:val="clear" w:color="auto" w:fill="auto"/>
          </w:tcPr>
          <w:p w14:paraId="6FB98C67" w14:textId="68AEDB07" w:rsidR="0098478C"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p w14:paraId="2BB119D0" w14:textId="387277D1" w:rsidR="005E59DB" w:rsidRPr="00781112" w:rsidRDefault="005E59DB" w:rsidP="004369B2">
      <w:pPr>
        <w:rPr>
          <w:color w:val="000000" w:themeColor="text1"/>
        </w:rPr>
      </w:pPr>
      <w:r w:rsidRPr="00781112">
        <w:rPr>
          <w:b/>
          <w:color w:val="000000" w:themeColor="text1"/>
        </w:rPr>
        <w:t xml:space="preserve">Graduation Conditions </w:t>
      </w:r>
    </w:p>
    <w:p w14:paraId="44381070" w14:textId="5786BC0C" w:rsidR="005E59DB" w:rsidRPr="00781112" w:rsidRDefault="00C14D48" w:rsidP="00552927">
      <w:pPr>
        <w:rPr>
          <w:rFonts w:cs="Arial"/>
          <w:b/>
          <w:i/>
          <w:color w:val="000000" w:themeColor="text1"/>
          <w:szCs w:val="16"/>
        </w:rPr>
      </w:pPr>
      <w:r w:rsidRPr="00781112">
        <w:rPr>
          <w:rFonts w:cs="Arial"/>
          <w:b/>
          <w:color w:val="000000" w:themeColor="text1"/>
          <w:szCs w:val="16"/>
        </w:rPr>
        <w:t xml:space="preserve">Provide a narrative that describes the conditions youth must meet </w:t>
      </w:r>
      <w:proofErr w:type="gramStart"/>
      <w:r w:rsidRPr="00781112">
        <w:rPr>
          <w:rFonts w:cs="Arial"/>
          <w:b/>
          <w:color w:val="000000" w:themeColor="text1"/>
          <w:szCs w:val="16"/>
        </w:rPr>
        <w:t>in order to</w:t>
      </w:r>
      <w:proofErr w:type="gramEnd"/>
      <w:r w:rsidRPr="00781112">
        <w:rPr>
          <w:rFonts w:cs="Arial"/>
          <w:b/>
          <w:color w:val="000000" w:themeColor="text1"/>
          <w:szCs w:val="16"/>
        </w:rPr>
        <w:t xml:space="preserve"> graduate with a regular high school diploma. </w:t>
      </w:r>
    </w:p>
    <w:p w14:paraId="7C1B3984" w14:textId="08BD1460" w:rsidR="002D145D" w:rsidRPr="00781112" w:rsidRDefault="002B7490" w:rsidP="006618C8">
      <w:pPr>
        <w:rPr>
          <w:rFonts w:cs="Arial"/>
          <w:color w:val="000000" w:themeColor="text1"/>
          <w:szCs w:val="16"/>
        </w:rPr>
      </w:pPr>
      <w:r w:rsidRPr="00781112">
        <w:rPr>
          <w:rFonts w:cs="Arial"/>
          <w:color w:val="000000" w:themeColor="text1"/>
          <w:szCs w:val="16"/>
        </w:rPr>
        <w:t>The USBE Graduation requirements include a minimum of 24 units of credit through course completion or through competency assessment:</w:t>
      </w:r>
      <w:r w:rsidRPr="00781112">
        <w:rPr>
          <w:rFonts w:cs="Arial"/>
          <w:color w:val="000000" w:themeColor="text1"/>
          <w:szCs w:val="16"/>
        </w:rPr>
        <w:br/>
        <w:t>• Language Arts (4.0 Units of Credit)</w:t>
      </w:r>
      <w:r w:rsidRPr="00781112">
        <w:rPr>
          <w:rFonts w:cs="Arial"/>
          <w:color w:val="000000" w:themeColor="text1"/>
          <w:szCs w:val="16"/>
        </w:rPr>
        <w:br/>
        <w:t>• Mathematics (3.0 Units of Credit)</w:t>
      </w:r>
      <w:r w:rsidRPr="00781112">
        <w:rPr>
          <w:rFonts w:cs="Arial"/>
          <w:color w:val="000000" w:themeColor="text1"/>
          <w:szCs w:val="16"/>
        </w:rPr>
        <w:br/>
        <w:t>• Science (3.0 Units of Credit)</w:t>
      </w:r>
      <w:r w:rsidRPr="00781112">
        <w:rPr>
          <w:rFonts w:cs="Arial"/>
          <w:color w:val="000000" w:themeColor="text1"/>
          <w:szCs w:val="16"/>
        </w:rPr>
        <w:br/>
        <w:t>• Social Studies (3.0 Units of Credit)</w:t>
      </w:r>
      <w:r w:rsidRPr="00781112">
        <w:rPr>
          <w:rFonts w:cs="Arial"/>
          <w:color w:val="000000" w:themeColor="text1"/>
          <w:szCs w:val="16"/>
        </w:rPr>
        <w:br/>
        <w:t>• Arts (1.5 Units of Credit)</w:t>
      </w:r>
      <w:r w:rsidRPr="00781112">
        <w:rPr>
          <w:rFonts w:cs="Arial"/>
          <w:color w:val="000000" w:themeColor="text1"/>
          <w:szCs w:val="16"/>
        </w:rPr>
        <w:br/>
        <w:t>• Physical and Health Education (2.0 Units of Credit)</w:t>
      </w:r>
      <w:r w:rsidRPr="00781112">
        <w:rPr>
          <w:rFonts w:cs="Arial"/>
          <w:color w:val="000000" w:themeColor="text1"/>
          <w:szCs w:val="16"/>
        </w:rPr>
        <w:br/>
        <w:t>• Career and Technical Education (1.0 Units of Credit)</w:t>
      </w:r>
      <w:r w:rsidRPr="00781112">
        <w:rPr>
          <w:rFonts w:cs="Arial"/>
          <w:color w:val="000000" w:themeColor="text1"/>
          <w:szCs w:val="16"/>
        </w:rPr>
        <w:br/>
        <w:t>• Digital Studies (0.5 Units of Credit)</w:t>
      </w:r>
      <w:r w:rsidRPr="00781112">
        <w:rPr>
          <w:rFonts w:cs="Arial"/>
          <w:color w:val="000000" w:themeColor="text1"/>
          <w:szCs w:val="16"/>
        </w:rPr>
        <w:br/>
        <w:t>• General Financial Literacy (0.5 Units of Credit)</w:t>
      </w:r>
      <w:r w:rsidRPr="00781112">
        <w:rPr>
          <w:rFonts w:cs="Arial"/>
          <w:color w:val="000000" w:themeColor="text1"/>
          <w:szCs w:val="16"/>
        </w:rPr>
        <w:br/>
        <w:t>• Electives (5.5 Units of Credit)</w:t>
      </w:r>
      <w:r w:rsidRPr="00781112">
        <w:rPr>
          <w:rFonts w:cs="Arial"/>
          <w:color w:val="000000" w:themeColor="text1"/>
          <w:szCs w:val="16"/>
        </w:rPr>
        <w:br/>
        <w:t>• Library Media Skills (integrated into all subject areas)</w:t>
      </w:r>
      <w:r w:rsidRPr="00781112">
        <w:rPr>
          <w:rFonts w:cs="Arial"/>
          <w:color w:val="000000" w:themeColor="text1"/>
          <w:szCs w:val="16"/>
        </w:rPr>
        <w:br/>
      </w:r>
      <w:r w:rsidRPr="00781112">
        <w:rPr>
          <w:rFonts w:cs="Arial"/>
          <w:color w:val="000000" w:themeColor="text1"/>
          <w:szCs w:val="16"/>
        </w:rPr>
        <w:br/>
        <w:t>LEAs use USBE-approved summative adaptive assessments to assess student mastery (Utah Administrative Rule R277-700-6.). Students with disabilities served by special education programs satisfy high school completion or graduation requirements consistent with state and federal law and the students’ IEPs (Utah Administrative Rule R277-705-4.).</w:t>
      </w:r>
      <w:r w:rsidRPr="00781112">
        <w:rPr>
          <w:rFonts w:cs="Arial"/>
          <w:color w:val="000000" w:themeColor="text1"/>
          <w:szCs w:val="16"/>
        </w:rPr>
        <w:br/>
      </w:r>
      <w:r w:rsidRPr="00781112">
        <w:rPr>
          <w:rFonts w:cs="Arial"/>
          <w:color w:val="000000" w:themeColor="text1"/>
          <w:szCs w:val="16"/>
        </w:rPr>
        <w:br/>
        <w:t>An LEA may substitute a student’s course requirements for graduation to meet the unique educational needs of a student if 1) the student has a disability and 2) the substitutions to the student's graduation requirements are made through the student's individual IEP. LEAs document the nature and extent of the substitution made to a student’s course requirements in the student’s IEP (Utah Administrative Rule R277-700-6(23)). Whether or not an IEP team substitutes a student with a disability’s course requirements, the student graduates with a regular diploma.</w:t>
      </w:r>
      <w:r w:rsidRPr="00781112">
        <w:rPr>
          <w:rFonts w:cs="Arial"/>
          <w:color w:val="000000" w:themeColor="text1"/>
          <w:szCs w:val="16"/>
        </w:rPr>
        <w:br/>
      </w:r>
      <w:r w:rsidRPr="00781112">
        <w:rPr>
          <w:rFonts w:cs="Arial"/>
          <w:color w:val="000000" w:themeColor="text1"/>
          <w:szCs w:val="16"/>
        </w:rPr>
        <w:br/>
        <w:t>In accordance with Utah Administrative Rule R277-700-6(26), an LEA may modify graduation requirements for an individual student with or without an IEP.</w:t>
      </w:r>
      <w:r w:rsidRPr="00781112">
        <w:rPr>
          <w:rFonts w:cs="Arial"/>
          <w:color w:val="000000" w:themeColor="text1"/>
          <w:szCs w:val="16"/>
        </w:rPr>
        <w:br/>
        <w:t>An LEA may modify graduation requirements for an individual student to achieve an appropriate route to student success if the modification:</w:t>
      </w:r>
      <w:r w:rsidRPr="00781112">
        <w:rPr>
          <w:rFonts w:cs="Arial"/>
          <w:color w:val="000000" w:themeColor="text1"/>
          <w:szCs w:val="16"/>
        </w:rPr>
        <w:br/>
        <w:t>a. Is consistent with</w:t>
      </w:r>
      <w:r w:rsidRPr="00781112">
        <w:rPr>
          <w:rFonts w:cs="Arial"/>
          <w:color w:val="000000" w:themeColor="text1"/>
          <w:szCs w:val="16"/>
        </w:rPr>
        <w:br/>
        <w:t>i. the student's IEP; or</w:t>
      </w:r>
      <w:r w:rsidRPr="00781112">
        <w:rPr>
          <w:rFonts w:cs="Arial"/>
          <w:color w:val="000000" w:themeColor="text1"/>
          <w:szCs w:val="16"/>
        </w:rPr>
        <w:br/>
        <w:t>ii. SEOP/Plan for College and Career Readiness;</w:t>
      </w:r>
      <w:r w:rsidRPr="00781112">
        <w:rPr>
          <w:rFonts w:cs="Arial"/>
          <w:color w:val="000000" w:themeColor="text1"/>
          <w:szCs w:val="16"/>
        </w:rPr>
        <w:br/>
        <w:t>b. is maintained in the student's file;</w:t>
      </w:r>
      <w:r w:rsidRPr="00781112">
        <w:rPr>
          <w:rFonts w:cs="Arial"/>
          <w:color w:val="000000" w:themeColor="text1"/>
          <w:szCs w:val="16"/>
        </w:rPr>
        <w:br/>
        <w:t>c. includes the parent's signature; and</w:t>
      </w:r>
      <w:r w:rsidRPr="00781112">
        <w:rPr>
          <w:rFonts w:cs="Arial"/>
          <w:color w:val="000000" w:themeColor="text1"/>
          <w:szCs w:val="16"/>
        </w:rPr>
        <w:br/>
        <w:t>d. maintains the integrity and rigor expected for high school graduation, as determined by the Board.</w:t>
      </w:r>
      <w:r w:rsidRPr="00781112">
        <w:rPr>
          <w:rFonts w:cs="Arial"/>
          <w:color w:val="000000" w:themeColor="text1"/>
          <w:szCs w:val="16"/>
        </w:rPr>
        <w:br/>
      </w:r>
      <w:r w:rsidRPr="00781112">
        <w:rPr>
          <w:rFonts w:cs="Arial"/>
          <w:color w:val="000000" w:themeColor="text1"/>
          <w:szCs w:val="16"/>
        </w:rPr>
        <w:br/>
        <w:t>In December 2017, the USBE passed the Alternate Diploma for students with the most significant cognitive disabilities. The state-defined Alternate Diploma is outlined in the Every Student Succeeds Act (ESSA) (20 USC § 6301; Utah Administrative Rule R277-705-5.).</w:t>
      </w:r>
      <w:r w:rsidRPr="00781112">
        <w:rPr>
          <w:rFonts w:cs="Arial"/>
          <w:color w:val="000000" w:themeColor="text1"/>
          <w:szCs w:val="16"/>
        </w:rPr>
        <w:br/>
      </w:r>
      <w:r w:rsidRPr="00781112">
        <w:rPr>
          <w:rFonts w:cs="Arial"/>
          <w:color w:val="000000" w:themeColor="text1"/>
          <w:szCs w:val="16"/>
        </w:rPr>
        <w:br/>
        <w:t>An LEA may award an alternate diploma to a student with a significant cognitive disability if 1) the student accesses grade-level core standards through the Essential Elements (Utah's alternate achievement standards), 2) the student's IEP team makes graduation substitutions in the same content area from a list of alternative courses approved by the USBE, and 3) the student meets all graduation requirements prior to exiting school at or before age 22. An Alternate Diploma may not indicate the recipient is a student with a disability.</w:t>
      </w:r>
      <w:r w:rsidRPr="00781112">
        <w:rPr>
          <w:rFonts w:cs="Arial"/>
          <w:color w:val="000000" w:themeColor="text1"/>
          <w:szCs w:val="16"/>
        </w:rPr>
        <w:br/>
      </w:r>
      <w:r w:rsidRPr="00781112">
        <w:rPr>
          <w:rFonts w:cs="Arial"/>
          <w:color w:val="000000" w:themeColor="text1"/>
          <w:szCs w:val="16"/>
        </w:rPr>
        <w:br/>
        <w:t>The USBE provides a list of alternative courses that may be considered for students with cognitive disabilities working to receive an Alternate Diploma. An LEA may submit courses to the USBE to be considered for possible inclusion on the list of alternate courses.</w:t>
      </w:r>
      <w:r w:rsidRPr="00781112">
        <w:rPr>
          <w:rFonts w:cs="Arial"/>
          <w:color w:val="000000" w:themeColor="text1"/>
          <w:szCs w:val="16"/>
        </w:rPr>
        <w:br/>
      </w:r>
      <w:r w:rsidRPr="00781112">
        <w:rPr>
          <w:rFonts w:cs="Arial"/>
          <w:color w:val="000000" w:themeColor="text1"/>
          <w:szCs w:val="16"/>
        </w:rPr>
        <w:br/>
        <w:t>For additional information, the USBE graduation requirements are outlined in Utah Administrative Rule R277-700-6 (www.schools.utah.gov/file/87566e17-47ee-4f0d-9bd4-28ef5f947bc8), and Utah Administrative Rule R277-705 (https://www.schools.utah.gov/file/d933343a-bf15-40e7-95a1-a2c1bfd5111f). The USBE Special Education Services Graduation Guidelines for Students with Disabilities outlines the process for amending graduation requirements (https://schools.utah.gov/file/eee3c56e-3b7a-4954-9b44-30619d04c6e0).</w:t>
      </w:r>
    </w:p>
    <w:p w14:paraId="58C36CC8" w14:textId="7DE9B0CE" w:rsidR="00F672DF" w:rsidRPr="00781112" w:rsidRDefault="00F672DF" w:rsidP="006618C8">
      <w:pPr>
        <w:rPr>
          <w:rFonts w:cs="Arial"/>
          <w:b/>
          <w:color w:val="000000" w:themeColor="text1"/>
          <w:szCs w:val="16"/>
        </w:rPr>
      </w:pPr>
      <w:r w:rsidRPr="00781112">
        <w:rPr>
          <w:rFonts w:cs="Arial"/>
          <w:b/>
          <w:color w:val="000000" w:themeColor="text1"/>
          <w:szCs w:val="16"/>
        </w:rPr>
        <w:lastRenderedPageBreak/>
        <w:t>Are the conditions that youth with IEPs must meet to graduate with a regular high school diploma different from the conditions noted above? (yes/no)</w:t>
      </w:r>
    </w:p>
    <w:p w14:paraId="0930BD95" w14:textId="4EF39A81" w:rsidR="00F672DF" w:rsidRPr="00781112" w:rsidRDefault="00F672DF" w:rsidP="006618C8">
      <w:pPr>
        <w:rPr>
          <w:rFonts w:cs="Arial"/>
          <w:color w:val="000000" w:themeColor="text1"/>
          <w:szCs w:val="16"/>
        </w:rPr>
      </w:pPr>
      <w:r w:rsidRPr="00781112">
        <w:rPr>
          <w:rFonts w:cs="Arial"/>
          <w:color w:val="000000" w:themeColor="text1"/>
          <w:szCs w:val="16"/>
        </w:rPr>
        <w:t>NO</w:t>
      </w:r>
    </w:p>
    <w:p w14:paraId="51BF8B64" w14:textId="746664C9" w:rsidR="0098478C" w:rsidRPr="00781112" w:rsidRDefault="0098478C" w:rsidP="004369B2">
      <w:pPr>
        <w:rPr>
          <w:b/>
          <w:color w:val="000000" w:themeColor="text1"/>
        </w:rPr>
      </w:pPr>
      <w:r w:rsidRPr="00781112">
        <w:rPr>
          <w:b/>
          <w:color w:val="000000" w:themeColor="text1"/>
        </w:rPr>
        <w:t>Provide additional information about this indicator (optional)</w:t>
      </w:r>
    </w:p>
    <w:p w14:paraId="2CDAC437" w14:textId="58A5CDB2" w:rsidR="002D145D" w:rsidRPr="00781112" w:rsidRDefault="002B7490" w:rsidP="000E33D0">
      <w:pPr>
        <w:rPr>
          <w:rFonts w:cs="Arial"/>
          <w:color w:val="000000" w:themeColor="text1"/>
          <w:szCs w:val="16"/>
        </w:rPr>
      </w:pPr>
      <w:r w:rsidRPr="00781112">
        <w:rPr>
          <w:rFonts w:cs="Arial"/>
          <w:color w:val="000000" w:themeColor="text1"/>
          <w:szCs w:val="16"/>
        </w:rPr>
        <w:t>The prepopulated EDFacts data above are incorrect. The correct data are:</w:t>
      </w:r>
      <w:r w:rsidRPr="00781112">
        <w:rPr>
          <w:rFonts w:cs="Arial"/>
          <w:color w:val="000000" w:themeColor="text1"/>
          <w:szCs w:val="16"/>
        </w:rPr>
        <w:br/>
        <w:t>• Number of youth with IEPs (ages 14-21) who exited special education by graduating with a regular high school diploma (a) = 3,657</w:t>
      </w:r>
      <w:r w:rsidRPr="00781112">
        <w:rPr>
          <w:rFonts w:cs="Arial"/>
          <w:color w:val="000000" w:themeColor="text1"/>
          <w:szCs w:val="16"/>
        </w:rPr>
        <w:br/>
        <w:t>• Number of youth with IEPs (ages 14-21) who exited special education by graduating with a state-defined alternate diploma (b) = 158</w:t>
      </w:r>
      <w:r w:rsidRPr="00781112">
        <w:rPr>
          <w:rFonts w:cs="Arial"/>
          <w:color w:val="000000" w:themeColor="text1"/>
          <w:szCs w:val="16"/>
        </w:rPr>
        <w:br/>
        <w:t>• Number of youth with IEPs (ages 14-21) who exited special education by receiving a certificate (c) = 200</w:t>
      </w:r>
      <w:r w:rsidRPr="00781112">
        <w:rPr>
          <w:rFonts w:cs="Arial"/>
          <w:color w:val="000000" w:themeColor="text1"/>
          <w:szCs w:val="16"/>
        </w:rPr>
        <w:br/>
        <w:t>• Number of youth with IEPs (ages 14-21) who exited special education by reaching maximum age (d) = 86</w:t>
      </w:r>
      <w:r w:rsidRPr="00781112">
        <w:rPr>
          <w:rFonts w:cs="Arial"/>
          <w:color w:val="000000" w:themeColor="text1"/>
          <w:szCs w:val="16"/>
        </w:rPr>
        <w:br/>
        <w:t>• Number of youth with IEPs (ages 14-21) who exited special education due to dropping out (e) = 1,309</w:t>
      </w:r>
      <w:r w:rsidRPr="00781112">
        <w:rPr>
          <w:rFonts w:cs="Arial"/>
          <w:color w:val="000000" w:themeColor="text1"/>
          <w:szCs w:val="16"/>
        </w:rPr>
        <w:br/>
      </w:r>
      <w:r w:rsidRPr="00781112">
        <w:rPr>
          <w:rFonts w:cs="Arial"/>
          <w:color w:val="000000" w:themeColor="text1"/>
          <w:szCs w:val="16"/>
        </w:rPr>
        <w:br/>
        <w:t xml:space="preserve">The prepopulated FFY 2021 SPP/APR Data above are incorrect. The correct data are: </w:t>
      </w:r>
      <w:r w:rsidRPr="00781112">
        <w:rPr>
          <w:rFonts w:cs="Arial"/>
          <w:color w:val="000000" w:themeColor="text1"/>
          <w:szCs w:val="16"/>
        </w:rPr>
        <w:br/>
        <w:t xml:space="preserve">• Number of </w:t>
      </w:r>
      <w:proofErr w:type="gramStart"/>
      <w:r w:rsidRPr="00781112">
        <w:rPr>
          <w:rFonts w:cs="Arial"/>
          <w:color w:val="000000" w:themeColor="text1"/>
          <w:szCs w:val="16"/>
        </w:rPr>
        <w:t>youth</w:t>
      </w:r>
      <w:proofErr w:type="gramEnd"/>
      <w:r w:rsidRPr="00781112">
        <w:rPr>
          <w:rFonts w:cs="Arial"/>
          <w:color w:val="000000" w:themeColor="text1"/>
          <w:szCs w:val="16"/>
        </w:rPr>
        <w:t xml:space="preserve"> with IEPs (ages 14-21) who exited special education due to graduating with a regular high school diploma = 3,657</w:t>
      </w:r>
      <w:r w:rsidRPr="00781112">
        <w:rPr>
          <w:rFonts w:cs="Arial"/>
          <w:color w:val="000000" w:themeColor="text1"/>
          <w:szCs w:val="16"/>
        </w:rPr>
        <w:br/>
        <w:t>• Number of all youth with IEPs who exited special education (ages 14-21) = 5,410</w:t>
      </w:r>
      <w:r w:rsidRPr="00781112">
        <w:rPr>
          <w:rFonts w:cs="Arial"/>
          <w:color w:val="000000" w:themeColor="text1"/>
          <w:szCs w:val="16"/>
        </w:rPr>
        <w:br/>
      </w:r>
      <w:r w:rsidRPr="00781112">
        <w:rPr>
          <w:rFonts w:cs="Arial"/>
          <w:color w:val="000000" w:themeColor="text1"/>
          <w:szCs w:val="16"/>
        </w:rPr>
        <w:br/>
        <w:t>The FFY 2020 Data is also prepopulated incorrectly. The correct data is 71.10%. The FFY 2021 Data is 67.60%.</w:t>
      </w:r>
      <w:r w:rsidRPr="00781112">
        <w:rPr>
          <w:rFonts w:cs="Arial"/>
          <w:color w:val="000000" w:themeColor="text1"/>
          <w:szCs w:val="16"/>
        </w:rPr>
        <w:br/>
      </w:r>
      <w:r w:rsidRPr="00781112">
        <w:rPr>
          <w:rFonts w:cs="Arial"/>
          <w:color w:val="000000" w:themeColor="text1"/>
          <w:szCs w:val="16"/>
        </w:rPr>
        <w:br/>
        <w:t>REASONS FOR SLIPPAGE</w:t>
      </w:r>
      <w:r w:rsidRPr="00781112">
        <w:rPr>
          <w:rFonts w:cs="Arial"/>
          <w:color w:val="000000" w:themeColor="text1"/>
          <w:szCs w:val="16"/>
        </w:rPr>
        <w:br/>
        <w:t>COVID-19 impacts on credit completion toward graduation (see below for additional explanation). Many LEAs implemented a “no fail” policy for seniors in 2020 when schools experienced soft closures due to COVID-19. This may have slightly inflated graduation rates for 2020 and is now reflected in a slippage for 2021. Moving forward, we will use the “why x 5” root cause analysis strategy to examine historical credit completion data of students with disabilities to test this hypothesis.</w:t>
      </w:r>
      <w:r w:rsidRPr="00781112">
        <w:rPr>
          <w:rFonts w:cs="Arial"/>
          <w:color w:val="000000" w:themeColor="text1"/>
          <w:szCs w:val="16"/>
        </w:rPr>
        <w:br/>
      </w:r>
      <w:r w:rsidRPr="00781112">
        <w:rPr>
          <w:rFonts w:cs="Arial"/>
          <w:color w:val="000000" w:themeColor="text1"/>
          <w:szCs w:val="16"/>
        </w:rPr>
        <w:br/>
        <w:t>Utah’s Alternate Diploma for students with the most significant cognitive disabilities are not counted in Indicator 1 graduation calculations. Utah had 158 students earn the Alternate Diploma in FFY 2021.</w:t>
      </w:r>
      <w:r w:rsidRPr="00781112">
        <w:rPr>
          <w:rFonts w:cs="Arial"/>
          <w:color w:val="000000" w:themeColor="text1"/>
          <w:szCs w:val="16"/>
        </w:rPr>
        <w:br/>
      </w:r>
      <w:r w:rsidRPr="00781112">
        <w:rPr>
          <w:rFonts w:cs="Arial"/>
          <w:color w:val="000000" w:themeColor="text1"/>
          <w:szCs w:val="16"/>
        </w:rPr>
        <w:br/>
        <w:t>LEAs developed their own strategies and practices regarding student credit completion toward graduation in response to school soft closures due to COVID-19 in the spring of 2020. The USBE released guidance in April 2020 to help LEAs support students toward graduation. Anecdotal evidence from LEAs suggested that despite LEAs efforts to sustain credit completion levels, students still struggled to achieve credit completion toward graduation. This impacted all grade levels. As such, we expect to see impacts on graduation rates for at least four years while students in grades 9 or higher from 2020 are progressing through their high school careers.</w:t>
      </w:r>
      <w:r w:rsidRPr="00781112">
        <w:rPr>
          <w:rFonts w:cs="Arial"/>
          <w:color w:val="000000" w:themeColor="text1"/>
          <w:szCs w:val="16"/>
        </w:rPr>
        <w:br/>
      </w:r>
      <w:r w:rsidRPr="00781112">
        <w:rPr>
          <w:rFonts w:cs="Arial"/>
          <w:color w:val="000000" w:themeColor="text1"/>
          <w:szCs w:val="16"/>
        </w:rPr>
        <w:br/>
        <w:t>The Indicator 1 calculation at the time the FFY 2018 APR was due was 69.97%, with 3,292 students in the numerator and 4,705 students in the denominator.</w:t>
      </w:r>
      <w:r w:rsidRPr="00781112">
        <w:rPr>
          <w:rFonts w:cs="Arial"/>
          <w:color w:val="000000" w:themeColor="text1"/>
          <w:szCs w:val="16"/>
        </w:rPr>
        <w:br/>
      </w:r>
      <w:r w:rsidRPr="00781112">
        <w:rPr>
          <w:rFonts w:cs="Arial"/>
          <w:color w:val="000000" w:themeColor="text1"/>
          <w:szCs w:val="16"/>
        </w:rPr>
        <w:br/>
        <w:t xml:space="preserve">More detail about the 2018 calculation based on the new calculation (based on EDFacts FS009) </w:t>
      </w:r>
      <w:r w:rsidRPr="00781112">
        <w:rPr>
          <w:rFonts w:cs="Arial"/>
          <w:color w:val="000000" w:themeColor="text1"/>
          <w:szCs w:val="16"/>
        </w:rPr>
        <w:br/>
        <w:t xml:space="preserve">• Looking more closely at the FFY 2018 Indicator 1 rate recalculated based on the FFY 2020 calculation, the numerator of 3,544 includes all students age 14–21 with an IEP in the 2017–2018 school year who exited by graduating with a regular high school diploma. The denominator of 5,222 includes all students </w:t>
      </w:r>
      <w:proofErr w:type="gramStart"/>
      <w:r w:rsidRPr="00781112">
        <w:rPr>
          <w:rFonts w:cs="Arial"/>
          <w:color w:val="000000" w:themeColor="text1"/>
          <w:szCs w:val="16"/>
        </w:rPr>
        <w:t>age</w:t>
      </w:r>
      <w:proofErr w:type="gramEnd"/>
      <w:r w:rsidRPr="00781112">
        <w:rPr>
          <w:rFonts w:cs="Arial"/>
          <w:color w:val="000000" w:themeColor="text1"/>
          <w:szCs w:val="16"/>
        </w:rPr>
        <w:t xml:space="preserve"> 14–21 with an IEP in the 2017–2018 school year who exited special education with a regular high school diploma, alternate diploma, or certificate of completion; or by dropping out, aging out, or transferring to regular placement.</w:t>
      </w:r>
      <w:r w:rsidRPr="00781112">
        <w:rPr>
          <w:rFonts w:cs="Arial"/>
          <w:color w:val="000000" w:themeColor="text1"/>
          <w:szCs w:val="16"/>
        </w:rPr>
        <w:br/>
        <w:t>• Comparing the two calculations, the new calculation includes more students in both the numerator and denominator. The four-year cohort graduation rate for SWD is only based on students in their cohort year, and as such, any one student will only ever be included in a cohort rate once (for their last exit status from between their first entry into high school and their cohort year). The EDFacts FS009 exiter file, on the other hand, can potentially include students every year they are enrolled between ages 14 and 21 if their final exit status each year meets the definitions of the EDFacts FS009 exiter types and their eligibility for FAPE has not ended. The number of graduates in the EDFacts FS009 exiter file can also be higher than the graduation count in the cohort rate since, in addition to students who graduated in their cohort year, it can include students who received their regular high school diploma before or after their cohort year. Due to the fundamental differences between the old and new Indicator 1 rates it was necessary, for baseline and target setting purposes, to recalculate indicator 1 graduation rates for prior years using the updated calculation.</w:t>
      </w:r>
    </w:p>
    <w:p w14:paraId="7D2A5658" w14:textId="39995CE7" w:rsidR="000C60E1" w:rsidRPr="00781112" w:rsidRDefault="00B0742B" w:rsidP="008645AD">
      <w:pPr>
        <w:pStyle w:val="Heading2"/>
      </w:pPr>
      <w:bookmarkStart w:id="6" w:name="_Toc382082358"/>
      <w:r w:rsidRPr="00781112">
        <w:t>1</w:t>
      </w:r>
      <w:r w:rsidR="00684B51" w:rsidRPr="00781112">
        <w:t xml:space="preserve"> </w:t>
      </w:r>
      <w:r w:rsidRPr="00781112">
        <w:t xml:space="preserve">- </w:t>
      </w:r>
      <w:r w:rsidR="002D145D" w:rsidRPr="00781112">
        <w:t>Prior FFY Required Actions</w:t>
      </w:r>
    </w:p>
    <w:p w14:paraId="42534530" w14:textId="7BEF428C" w:rsidR="002D145D" w:rsidRPr="00781112" w:rsidRDefault="002B7490" w:rsidP="00CE5723">
      <w:pPr>
        <w:rPr>
          <w:rFonts w:cs="Arial"/>
          <w:color w:val="000000" w:themeColor="text1"/>
          <w:szCs w:val="16"/>
        </w:rPr>
      </w:pPr>
      <w:r w:rsidRPr="00781112">
        <w:rPr>
          <w:rFonts w:cs="Arial"/>
          <w:color w:val="000000" w:themeColor="text1"/>
          <w:szCs w:val="16"/>
        </w:rPr>
        <w:t>None</w:t>
      </w:r>
    </w:p>
    <w:p w14:paraId="12317A47" w14:textId="75A98BEA" w:rsidR="00A2794A" w:rsidRPr="00781112" w:rsidRDefault="00A2794A" w:rsidP="00CE5723">
      <w:pPr>
        <w:rPr>
          <w:rFonts w:cs="Arial"/>
          <w:color w:val="000000" w:themeColor="text1"/>
          <w:szCs w:val="16"/>
        </w:rPr>
      </w:pPr>
    </w:p>
    <w:p w14:paraId="0D99EF95" w14:textId="4B8DDAD7" w:rsidR="004C462E" w:rsidRPr="00781112" w:rsidRDefault="00862B20" w:rsidP="008645AD">
      <w:pPr>
        <w:pStyle w:val="Heading2"/>
      </w:pPr>
      <w:r w:rsidRPr="00781112">
        <w:t>1</w:t>
      </w:r>
      <w:r w:rsidR="00684B51" w:rsidRPr="00781112">
        <w:t xml:space="preserve"> </w:t>
      </w:r>
      <w:r w:rsidRPr="00781112">
        <w:t xml:space="preserve">- </w:t>
      </w:r>
      <w:r w:rsidR="004C462E" w:rsidRPr="00781112">
        <w:t>OSEP Response</w:t>
      </w:r>
    </w:p>
    <w:p w14:paraId="47549565" w14:textId="0718C089" w:rsidR="002D145D" w:rsidRPr="00781112" w:rsidRDefault="002B7490" w:rsidP="001F692C">
      <w:pPr>
        <w:rPr>
          <w:rFonts w:cs="Arial"/>
          <w:color w:val="000000" w:themeColor="text1"/>
          <w:szCs w:val="16"/>
        </w:rPr>
      </w:pPr>
      <w:r w:rsidRPr="00781112">
        <w:rPr>
          <w:rFonts w:cs="Arial"/>
          <w:color w:val="000000" w:themeColor="text1"/>
          <w:szCs w:val="16"/>
        </w:rPr>
        <w:t>The State reported in its narrative, "[</w:t>
      </w:r>
      <w:proofErr w:type="gramStart"/>
      <w:r w:rsidRPr="00781112">
        <w:rPr>
          <w:rFonts w:cs="Arial"/>
          <w:color w:val="000000" w:themeColor="text1"/>
          <w:szCs w:val="16"/>
        </w:rPr>
        <w:t>t]he</w:t>
      </w:r>
      <w:proofErr w:type="gramEnd"/>
      <w:r w:rsidRPr="00781112">
        <w:rPr>
          <w:rFonts w:cs="Arial"/>
          <w:color w:val="000000" w:themeColor="text1"/>
          <w:szCs w:val="16"/>
        </w:rPr>
        <w:t xml:space="preserve"> prepopulated EDFacts data above are incorrect" and provided alternate data for this indicator. However, the data for Indicators 1 and 2 are prefilled using the final State-level exiting data. School year 2020-21 exiting data used for this indicator were finalized by OSEP on May 25, 2022.  Those final data submitted by the State were used to prefill the State's SPP/APR, used in the IDEA Part B Results Matrix, and published in the IDEA Part B Exiting data file and associated products. </w:t>
      </w:r>
    </w:p>
    <w:p w14:paraId="5F7376D0" w14:textId="1C114A8A" w:rsidR="004C462E" w:rsidRPr="00781112" w:rsidRDefault="00B0742B" w:rsidP="008645AD">
      <w:pPr>
        <w:pStyle w:val="Heading2"/>
      </w:pPr>
      <w:bookmarkStart w:id="7" w:name="_Hlk21352084"/>
      <w:r w:rsidRPr="00781112">
        <w:t xml:space="preserve">1 - </w:t>
      </w:r>
      <w:bookmarkEnd w:id="7"/>
      <w:r w:rsidR="004C462E" w:rsidRPr="00781112">
        <w:t>Required Actions</w:t>
      </w:r>
    </w:p>
    <w:p w14:paraId="1EB5204A" w14:textId="0BB66F29" w:rsidR="002D145D" w:rsidRPr="00781112" w:rsidRDefault="002D145D" w:rsidP="001F692C">
      <w:pPr>
        <w:rPr>
          <w:rFonts w:cs="Arial"/>
          <w:color w:val="000000" w:themeColor="text1"/>
          <w:szCs w:val="16"/>
        </w:rPr>
      </w:pPr>
    </w:p>
    <w:p w14:paraId="14062900" w14:textId="77777777" w:rsidR="00D37BF0" w:rsidRPr="00781112" w:rsidRDefault="00D37BF0">
      <w:pPr>
        <w:spacing w:before="0" w:after="200" w:line="276" w:lineRule="auto"/>
        <w:rPr>
          <w:rFonts w:eastAsiaTheme="majorEastAsia" w:cs="Arial"/>
          <w:b/>
          <w:bCs/>
          <w:color w:val="000000" w:themeColor="text1"/>
          <w:szCs w:val="16"/>
        </w:rPr>
      </w:pPr>
      <w:bookmarkStart w:id="8" w:name="_Toc392159262"/>
      <w:r w:rsidRPr="00781112">
        <w:rPr>
          <w:rFonts w:cs="Arial"/>
          <w:color w:val="000000" w:themeColor="text1"/>
          <w:szCs w:val="16"/>
        </w:rPr>
        <w:br w:type="page"/>
      </w:r>
    </w:p>
    <w:p w14:paraId="06F42DD3" w14:textId="793A19C1" w:rsidR="00D21EAA" w:rsidRPr="00781112" w:rsidRDefault="00D21EAA">
      <w:pPr>
        <w:pStyle w:val="Heading1"/>
        <w:rPr>
          <w:color w:val="000000" w:themeColor="text1"/>
          <w:sz w:val="22"/>
        </w:rPr>
      </w:pPr>
      <w:r w:rsidRPr="00781112">
        <w:rPr>
          <w:color w:val="000000" w:themeColor="text1"/>
          <w:sz w:val="22"/>
        </w:rPr>
        <w:lastRenderedPageBreak/>
        <w:t>Indicator 2: Drop Out</w:t>
      </w:r>
      <w:bookmarkEnd w:id="6"/>
      <w:bookmarkEnd w:id="8"/>
    </w:p>
    <w:p w14:paraId="7F31959F" w14:textId="6C15FFEB" w:rsidR="002C60D5" w:rsidRPr="00781112" w:rsidRDefault="002C60D5" w:rsidP="00A018D4">
      <w:pPr>
        <w:rPr>
          <w:color w:val="000000" w:themeColor="text1"/>
          <w:szCs w:val="20"/>
        </w:rPr>
      </w:pPr>
      <w:r w:rsidRPr="00781112">
        <w:rPr>
          <w:b/>
          <w:color w:val="000000" w:themeColor="text1"/>
          <w:sz w:val="20"/>
          <w:szCs w:val="20"/>
        </w:rPr>
        <w:t>Instructions and Measurement</w:t>
      </w:r>
    </w:p>
    <w:p w14:paraId="135DFB11" w14:textId="77777777" w:rsidR="00820751" w:rsidRPr="00651E83" w:rsidRDefault="00820751" w:rsidP="00820751">
      <w:pPr>
        <w:pStyle w:val="Subhed"/>
      </w:pPr>
      <w:bookmarkStart w:id="9" w:name="_Toc392159263"/>
      <w:r w:rsidRPr="00651E83">
        <w:t xml:space="preserve">Monitoring Priority: </w:t>
      </w:r>
      <w:r w:rsidRPr="004A6DE5">
        <w:rPr>
          <w:b w:val="0"/>
        </w:rPr>
        <w:t>FAPE in the LRE</w:t>
      </w:r>
    </w:p>
    <w:p w14:paraId="1775856F" w14:textId="77777777" w:rsidR="00820751" w:rsidRPr="00651E83" w:rsidRDefault="00820751" w:rsidP="00820751">
      <w:pPr>
        <w:rPr>
          <w:rFonts w:cs="Arial"/>
          <w:szCs w:val="16"/>
        </w:rPr>
      </w:pPr>
      <w:r w:rsidRPr="00DC263A">
        <w:rPr>
          <w:rFonts w:cs="Arial"/>
          <w:b/>
          <w:szCs w:val="16"/>
        </w:rPr>
        <w:t>Results indicator</w:t>
      </w:r>
      <w:r w:rsidRPr="00651E83">
        <w:rPr>
          <w:rFonts w:cs="Arial"/>
          <w:szCs w:val="16"/>
        </w:rPr>
        <w:t>: Percent of youth with IEPs</w:t>
      </w:r>
      <w:r>
        <w:rPr>
          <w:rFonts w:cs="Arial"/>
          <w:szCs w:val="16"/>
        </w:rPr>
        <w:t xml:space="preserve"> who exited special education due to</w:t>
      </w:r>
      <w:r w:rsidRPr="00651E83">
        <w:rPr>
          <w:rFonts w:cs="Arial"/>
          <w:szCs w:val="16"/>
        </w:rPr>
        <w:t xml:space="preserve"> dropping out. (20 U.S.C. 1416 (a)(3)(A))</w:t>
      </w:r>
    </w:p>
    <w:p w14:paraId="128CA707" w14:textId="77777777" w:rsidR="00820751" w:rsidRPr="00651E83" w:rsidRDefault="00820751" w:rsidP="00820751">
      <w:pPr>
        <w:pStyle w:val="Subhed"/>
      </w:pPr>
      <w:r w:rsidRPr="00651E83">
        <w:t>Data Source</w:t>
      </w:r>
    </w:p>
    <w:p w14:paraId="38F077C2" w14:textId="77777777" w:rsidR="00820751" w:rsidRPr="00651E83" w:rsidRDefault="00820751" w:rsidP="00820751">
      <w:pPr>
        <w:rPr>
          <w:rFonts w:cs="Arial"/>
          <w:szCs w:val="16"/>
        </w:rPr>
      </w:pPr>
      <w:bookmarkStart w:id="10" w:name="_Hlk51055176"/>
      <w:r w:rsidRPr="00651E83">
        <w:rPr>
          <w:rFonts w:cs="Arial"/>
          <w:szCs w:val="16"/>
        </w:rPr>
        <w:t>Same data as used for reporting to the Department under section 618 of the Individuals with Disabilities Education Act (IDEA), using the definitions in EDFacts file specification FS009.</w:t>
      </w:r>
    </w:p>
    <w:bookmarkEnd w:id="10"/>
    <w:p w14:paraId="7C2F1A80" w14:textId="77777777" w:rsidR="00820751" w:rsidRPr="00651E83" w:rsidRDefault="00820751" w:rsidP="00820751">
      <w:pPr>
        <w:rPr>
          <w:rFonts w:cs="Arial"/>
          <w:szCs w:val="16"/>
        </w:rPr>
      </w:pPr>
      <w:r w:rsidRPr="00651E83">
        <w:rPr>
          <w:rFonts w:cs="Arial"/>
          <w:szCs w:val="16"/>
        </w:rPr>
        <w:t>Use same data source and measurement that the State used to report in its FFY 2010 SPP/APR that was submitted on February 1, 2012.</w:t>
      </w:r>
    </w:p>
    <w:p w14:paraId="36189637" w14:textId="77777777" w:rsidR="00820751" w:rsidRPr="00651E83" w:rsidRDefault="00820751" w:rsidP="00820751">
      <w:pPr>
        <w:pStyle w:val="Subhed"/>
      </w:pPr>
      <w:r w:rsidRPr="00651E83">
        <w:t>Measurement</w:t>
      </w:r>
    </w:p>
    <w:p w14:paraId="68477D3E" w14:textId="77777777" w:rsidR="00820751" w:rsidRPr="00651E83" w:rsidRDefault="00820751" w:rsidP="00820751">
      <w:pPr>
        <w:rPr>
          <w:rFonts w:cs="Arial"/>
          <w:szCs w:val="16"/>
        </w:rPr>
      </w:pPr>
      <w:r w:rsidRPr="00651E83">
        <w:rPr>
          <w:rFonts w:cs="Arial"/>
          <w:szCs w:val="16"/>
        </w:rPr>
        <w:t xml:space="preserve">States must report a percentage using the number of </w:t>
      </w:r>
      <w:proofErr w:type="gramStart"/>
      <w:r w:rsidRPr="00651E83">
        <w:rPr>
          <w:rFonts w:cs="Arial"/>
          <w:szCs w:val="16"/>
        </w:rPr>
        <w:t>youth</w:t>
      </w:r>
      <w:proofErr w:type="gramEnd"/>
      <w:r w:rsidRPr="00651E83">
        <w:rPr>
          <w:rFonts w:cs="Arial"/>
          <w:szCs w:val="16"/>
        </w:rPr>
        <w:t xml:space="preserve"> with IEPs (ages 14-21) who exited special education due to dropping out in the numerator and the number of all youth with IEPs who exited special education (ages 14-21) in the denominator.</w:t>
      </w:r>
    </w:p>
    <w:p w14:paraId="199C9562" w14:textId="77777777" w:rsidR="00820751" w:rsidRPr="00651E83" w:rsidRDefault="00820751" w:rsidP="00820751">
      <w:pPr>
        <w:pStyle w:val="Subhed"/>
      </w:pPr>
      <w:r w:rsidRPr="00651E83">
        <w:t>Instructions</w:t>
      </w:r>
    </w:p>
    <w:p w14:paraId="271B8C9F" w14:textId="77777777" w:rsidR="00820751" w:rsidRPr="00FE4C6C" w:rsidRDefault="00820751" w:rsidP="00820751">
      <w:pPr>
        <w:rPr>
          <w:rFonts w:cs="Arial"/>
          <w:i/>
          <w:iCs/>
          <w:szCs w:val="16"/>
        </w:rPr>
      </w:pPr>
      <w:r w:rsidRPr="00FE4C6C">
        <w:rPr>
          <w:rFonts w:cs="Arial"/>
          <w:i/>
          <w:iCs/>
          <w:szCs w:val="16"/>
        </w:rPr>
        <w:t>Sampling is not allowed.</w:t>
      </w:r>
    </w:p>
    <w:p w14:paraId="66EE7631" w14:textId="77777777" w:rsidR="00820751" w:rsidRDefault="00820751" w:rsidP="00820751">
      <w:pPr>
        <w:rPr>
          <w:rFonts w:cs="Arial"/>
          <w:szCs w:val="16"/>
        </w:rPr>
      </w:pPr>
      <w:r w:rsidRPr="00937503">
        <w:rPr>
          <w:rFonts w:cs="Arial"/>
          <w:szCs w:val="16"/>
        </w:rPr>
        <w:t xml:space="preserve">Data for this indicator </w:t>
      </w:r>
      <w:proofErr w:type="gramStart"/>
      <w:r w:rsidRPr="00937503">
        <w:rPr>
          <w:rFonts w:cs="Arial"/>
          <w:szCs w:val="16"/>
        </w:rPr>
        <w:t>are</w:t>
      </w:r>
      <w:proofErr w:type="gramEnd"/>
      <w:r w:rsidRPr="00937503">
        <w:rPr>
          <w:rFonts w:cs="Arial"/>
          <w:szCs w:val="16"/>
        </w:rPr>
        <w:t xml:space="preserve"> “lag” data. Describe the results of the State’s examination of the data for the year before the reporting year (e.g., for the FFY 2021 SPP/APR, use data from 2020-2021), and compare the results to the target.</w:t>
      </w:r>
    </w:p>
    <w:p w14:paraId="65392C1C" w14:textId="77777777" w:rsidR="00820751" w:rsidRPr="008E308B" w:rsidRDefault="00820751" w:rsidP="00820751">
      <w:pPr>
        <w:rPr>
          <w:rFonts w:cs="Arial"/>
          <w:szCs w:val="16"/>
        </w:rPr>
      </w:pPr>
      <w:r w:rsidRPr="00651E83">
        <w:rPr>
          <w:rFonts w:cs="Arial"/>
          <w:szCs w:val="16"/>
        </w:rPr>
        <w:t>Include in the denominator the following exiting categories: (a) graduated with a regular high school diploma; (b) graduated with a</w:t>
      </w:r>
    </w:p>
    <w:p w14:paraId="5D5E271B" w14:textId="77777777" w:rsidR="00820751" w:rsidRPr="00651E83" w:rsidRDefault="00820751" w:rsidP="00820751">
      <w:pPr>
        <w:rPr>
          <w:rFonts w:cs="Arial"/>
          <w:szCs w:val="16"/>
        </w:rPr>
      </w:pPr>
      <w:r w:rsidRPr="008E308B">
        <w:rPr>
          <w:rFonts w:cs="Arial"/>
          <w:szCs w:val="16"/>
        </w:rPr>
        <w:t xml:space="preserve">state-defined alternate diploma; (c) received a certificate; (d) reached maximum age; or (e) dropped out. </w:t>
      </w:r>
    </w:p>
    <w:p w14:paraId="000F1718" w14:textId="77777777" w:rsidR="00820751" w:rsidRPr="00651E83" w:rsidRDefault="00820751" w:rsidP="00820751">
      <w:pPr>
        <w:rPr>
          <w:rFonts w:cs="Arial"/>
          <w:szCs w:val="16"/>
        </w:rPr>
      </w:pPr>
      <w:r w:rsidRPr="00651E83">
        <w:rPr>
          <w:rFonts w:cs="Arial"/>
          <w:szCs w:val="16"/>
        </w:rPr>
        <w:t>Do not include in the denominator the number of youths with IEPs who exited special education due to: (a) transferring to regular education; or (b) who moved but are known to be continuing in an educational program.</w:t>
      </w:r>
    </w:p>
    <w:p w14:paraId="5DF5B6DA" w14:textId="77777777" w:rsidR="00820751" w:rsidRPr="00651E83" w:rsidRDefault="00820751" w:rsidP="00820751">
      <w:pPr>
        <w:rPr>
          <w:rFonts w:cs="Arial"/>
          <w:szCs w:val="16"/>
        </w:rPr>
      </w:pPr>
      <w:r w:rsidRPr="00651E83">
        <w:rPr>
          <w:rFonts w:cs="Arial"/>
          <w:szCs w:val="16"/>
        </w:rPr>
        <w:t>Use the annual event school dropout rate for students leaving a school in a single year determined in accordance with the National Center for Education Statistic's Common Core of Data.</w:t>
      </w:r>
    </w:p>
    <w:p w14:paraId="37EF3DEB" w14:textId="77777777" w:rsidR="00820751" w:rsidRDefault="00820751" w:rsidP="00820751">
      <w:pPr>
        <w:rPr>
          <w:rFonts w:cs="Arial"/>
          <w:szCs w:val="16"/>
        </w:rPr>
      </w:pPr>
      <w:r w:rsidRPr="0019013F">
        <w:rPr>
          <w:rFonts w:cs="Arial"/>
          <w:szCs w:val="16"/>
        </w:rPr>
        <w:t>Provide a narrative that describes what counts as dropping out for all youth. Please explain if there is a difference between what counts as dropping out for all students and what counts as dropping out for students with IEPs.</w:t>
      </w:r>
    </w:p>
    <w:bookmarkEnd w:id="9"/>
    <w:p w14:paraId="7F3C4C70" w14:textId="5E656134" w:rsidR="002C60D5" w:rsidRPr="00781112" w:rsidRDefault="00F914B4" w:rsidP="008645AD">
      <w:pPr>
        <w:pStyle w:val="Heading2"/>
      </w:pPr>
      <w:r w:rsidRPr="00781112">
        <w:t>2</w:t>
      </w:r>
      <w:r w:rsidR="00684B51" w:rsidRPr="00781112">
        <w:t xml:space="preserve"> </w:t>
      </w:r>
      <w:r w:rsidRPr="00781112">
        <w:t xml:space="preserve">- </w:t>
      </w:r>
      <w:r w:rsidR="002C60D5" w:rsidRPr="00781112">
        <w:t>Indicator Data</w:t>
      </w:r>
    </w:p>
    <w:p w14:paraId="6F5DCECF" w14:textId="739F0BA3" w:rsidR="00907A35" w:rsidRPr="00781112" w:rsidRDefault="00907A35"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02BASELINEDATA"/>
      </w:tblPr>
      <w:tblGrid>
        <w:gridCol w:w="1797"/>
        <w:gridCol w:w="1798"/>
      </w:tblGrid>
      <w:tr w:rsidR="008F3F33" w:rsidRPr="00781112" w14:paraId="628BEDAF" w14:textId="77777777" w:rsidTr="0033429D">
        <w:trPr>
          <w:trHeight w:val="311"/>
          <w:tblHeader/>
        </w:trPr>
        <w:tc>
          <w:tcPr>
            <w:tcW w:w="1797" w:type="dxa"/>
          </w:tcPr>
          <w:p w14:paraId="43FEF78C" w14:textId="77777777" w:rsidR="008F3F33" w:rsidRPr="00781112" w:rsidRDefault="008F3F33" w:rsidP="002B6965">
            <w:pPr>
              <w:jc w:val="center"/>
              <w:rPr>
                <w:b/>
                <w:color w:val="000000" w:themeColor="text1"/>
              </w:rPr>
            </w:pPr>
            <w:r w:rsidRPr="00781112">
              <w:rPr>
                <w:rFonts w:cs="Arial"/>
                <w:b/>
                <w:color w:val="000000" w:themeColor="text1"/>
                <w:szCs w:val="16"/>
              </w:rPr>
              <w:t>Baseline Year</w:t>
            </w:r>
          </w:p>
        </w:tc>
        <w:tc>
          <w:tcPr>
            <w:tcW w:w="1798" w:type="dxa"/>
          </w:tcPr>
          <w:p w14:paraId="276B82F6" w14:textId="77777777" w:rsidR="008F3F33" w:rsidRPr="00781112" w:rsidRDefault="008F3F33" w:rsidP="002B6965">
            <w:pPr>
              <w:jc w:val="center"/>
              <w:rPr>
                <w:b/>
                <w:color w:val="000000" w:themeColor="text1"/>
              </w:rPr>
            </w:pPr>
            <w:r w:rsidRPr="00781112">
              <w:rPr>
                <w:b/>
                <w:color w:val="000000" w:themeColor="text1"/>
              </w:rPr>
              <w:t>Baseline Data</w:t>
            </w:r>
          </w:p>
        </w:tc>
      </w:tr>
      <w:tr w:rsidR="008F3F33" w:rsidRPr="00781112" w14:paraId="4706A01B" w14:textId="77777777" w:rsidTr="0033429D">
        <w:trPr>
          <w:trHeight w:val="311"/>
        </w:trPr>
        <w:tc>
          <w:tcPr>
            <w:tcW w:w="1797" w:type="dxa"/>
            <w:vAlign w:val="center"/>
          </w:tcPr>
          <w:p w14:paraId="2D2A3601" w14:textId="2E05C132" w:rsidR="008F3F33" w:rsidRPr="00781112" w:rsidRDefault="008F3F33" w:rsidP="002B6965">
            <w:pPr>
              <w:jc w:val="center"/>
              <w:rPr>
                <w:bCs/>
                <w:color w:val="000000" w:themeColor="text1"/>
              </w:rPr>
            </w:pPr>
            <w:r w:rsidRPr="00781112">
              <w:rPr>
                <w:bCs/>
                <w:color w:val="000000" w:themeColor="text1"/>
              </w:rPr>
              <w:t>2018</w:t>
            </w:r>
          </w:p>
        </w:tc>
        <w:tc>
          <w:tcPr>
            <w:tcW w:w="1798" w:type="dxa"/>
            <w:vAlign w:val="center"/>
          </w:tcPr>
          <w:p w14:paraId="47669FA0" w14:textId="71ECEF5D" w:rsidR="008F3F33" w:rsidRPr="00781112" w:rsidRDefault="008F3F33" w:rsidP="002B6965">
            <w:pPr>
              <w:jc w:val="center"/>
              <w:rPr>
                <w:bCs/>
                <w:color w:val="000000" w:themeColor="text1"/>
              </w:rPr>
            </w:pPr>
            <w:r w:rsidRPr="00781112">
              <w:rPr>
                <w:bCs/>
                <w:color w:val="000000" w:themeColor="text1"/>
              </w:rPr>
              <w:t>25.81%</w:t>
            </w:r>
          </w:p>
        </w:tc>
      </w:tr>
    </w:tbl>
    <w:p w14:paraId="1D724648" w14:textId="77777777" w:rsidR="008F3F33" w:rsidRPr="00781112" w:rsidRDefault="008F3F33"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2HISTDATA"/>
      </w:tblPr>
      <w:tblGrid>
        <w:gridCol w:w="1798"/>
        <w:gridCol w:w="1798"/>
        <w:gridCol w:w="1798"/>
        <w:gridCol w:w="1798"/>
        <w:gridCol w:w="1798"/>
        <w:gridCol w:w="1800"/>
      </w:tblGrid>
      <w:tr w:rsidR="005C29F8" w:rsidRPr="00781112" w14:paraId="4B5BBF62" w14:textId="77777777" w:rsidTr="00DF4C35">
        <w:trPr>
          <w:trHeight w:val="350"/>
        </w:trPr>
        <w:tc>
          <w:tcPr>
            <w:tcW w:w="833" w:type="pct"/>
            <w:tcBorders>
              <w:bottom w:val="single" w:sz="4" w:space="0" w:color="auto"/>
            </w:tcBorders>
            <w:shd w:val="clear" w:color="auto" w:fill="auto"/>
          </w:tcPr>
          <w:p w14:paraId="7CE940CD" w14:textId="77777777" w:rsidR="00907A35" w:rsidRPr="00781112" w:rsidRDefault="00907A35" w:rsidP="004369B2">
            <w:pPr>
              <w:jc w:val="center"/>
              <w:rPr>
                <w:b/>
                <w:color w:val="000000" w:themeColor="text1"/>
              </w:rPr>
            </w:pPr>
            <w:r w:rsidRPr="00781112">
              <w:rPr>
                <w:b/>
                <w:color w:val="000000" w:themeColor="text1"/>
              </w:rPr>
              <w:t>FFY</w:t>
            </w:r>
          </w:p>
        </w:tc>
        <w:tc>
          <w:tcPr>
            <w:tcW w:w="833" w:type="pct"/>
            <w:shd w:val="clear" w:color="auto" w:fill="auto"/>
          </w:tcPr>
          <w:p w14:paraId="1B67E69F" w14:textId="56F9072E" w:rsidR="00907A35" w:rsidRPr="00781112" w:rsidRDefault="002B7490" w:rsidP="00894709">
            <w:pPr>
              <w:jc w:val="center"/>
              <w:rPr>
                <w:b/>
                <w:color w:val="000000" w:themeColor="text1"/>
              </w:rPr>
            </w:pPr>
            <w:r w:rsidRPr="00781112">
              <w:rPr>
                <w:b/>
                <w:color w:val="000000" w:themeColor="text1"/>
              </w:rPr>
              <w:t>2016</w:t>
            </w:r>
          </w:p>
        </w:tc>
        <w:tc>
          <w:tcPr>
            <w:tcW w:w="833" w:type="pct"/>
            <w:shd w:val="clear" w:color="auto" w:fill="auto"/>
          </w:tcPr>
          <w:p w14:paraId="7C0715D5" w14:textId="197F633E" w:rsidR="00907A35" w:rsidRPr="00781112" w:rsidRDefault="002B7490" w:rsidP="00894709">
            <w:pPr>
              <w:jc w:val="center"/>
              <w:rPr>
                <w:b/>
                <w:color w:val="000000" w:themeColor="text1"/>
              </w:rPr>
            </w:pPr>
            <w:r w:rsidRPr="00781112">
              <w:rPr>
                <w:b/>
                <w:color w:val="000000" w:themeColor="text1"/>
              </w:rPr>
              <w:t>2017</w:t>
            </w:r>
          </w:p>
        </w:tc>
        <w:tc>
          <w:tcPr>
            <w:tcW w:w="833" w:type="pct"/>
            <w:shd w:val="clear" w:color="auto" w:fill="auto"/>
          </w:tcPr>
          <w:p w14:paraId="36DD95CC" w14:textId="1D95C11E" w:rsidR="00907A35" w:rsidRPr="00781112" w:rsidRDefault="002B7490" w:rsidP="00894709">
            <w:pPr>
              <w:jc w:val="center"/>
              <w:rPr>
                <w:b/>
                <w:color w:val="000000" w:themeColor="text1"/>
              </w:rPr>
            </w:pPr>
            <w:r w:rsidRPr="00781112">
              <w:rPr>
                <w:b/>
                <w:color w:val="000000" w:themeColor="text1"/>
              </w:rPr>
              <w:t>2018</w:t>
            </w:r>
          </w:p>
        </w:tc>
        <w:tc>
          <w:tcPr>
            <w:tcW w:w="833" w:type="pct"/>
            <w:shd w:val="clear" w:color="auto" w:fill="auto"/>
          </w:tcPr>
          <w:p w14:paraId="6DC8920B" w14:textId="560E0E60" w:rsidR="00907A35" w:rsidRPr="00781112" w:rsidRDefault="002B7490" w:rsidP="00894709">
            <w:pPr>
              <w:jc w:val="center"/>
              <w:rPr>
                <w:b/>
                <w:color w:val="000000" w:themeColor="text1"/>
              </w:rPr>
            </w:pPr>
            <w:r w:rsidRPr="00781112">
              <w:rPr>
                <w:b/>
                <w:color w:val="000000" w:themeColor="text1"/>
              </w:rPr>
              <w:t>2019</w:t>
            </w:r>
          </w:p>
        </w:tc>
        <w:tc>
          <w:tcPr>
            <w:tcW w:w="834" w:type="pct"/>
            <w:shd w:val="clear" w:color="auto" w:fill="auto"/>
          </w:tcPr>
          <w:p w14:paraId="42978F28" w14:textId="43280835" w:rsidR="00907A35" w:rsidRPr="00781112" w:rsidRDefault="002B7490" w:rsidP="00894709">
            <w:pPr>
              <w:jc w:val="center"/>
              <w:rPr>
                <w:b/>
                <w:color w:val="000000" w:themeColor="text1"/>
              </w:rPr>
            </w:pPr>
            <w:r w:rsidRPr="00781112">
              <w:rPr>
                <w:b/>
                <w:color w:val="000000" w:themeColor="text1"/>
              </w:rPr>
              <w:t>2020</w:t>
            </w:r>
          </w:p>
        </w:tc>
      </w:tr>
      <w:tr w:rsidR="005C29F8" w:rsidRPr="00781112" w14:paraId="58F3D93E" w14:textId="77777777" w:rsidTr="00DF4C35">
        <w:trPr>
          <w:trHeight w:val="357"/>
        </w:trPr>
        <w:tc>
          <w:tcPr>
            <w:tcW w:w="833" w:type="pct"/>
            <w:shd w:val="clear" w:color="auto" w:fill="auto"/>
            <w:vAlign w:val="center"/>
          </w:tcPr>
          <w:p w14:paraId="19C9E1E1" w14:textId="72240B64" w:rsidR="00907A35" w:rsidRPr="00781112" w:rsidRDefault="00907A35" w:rsidP="001F692C">
            <w:pPr>
              <w:rPr>
                <w:rFonts w:cs="Arial"/>
                <w:color w:val="000000" w:themeColor="text1"/>
                <w:szCs w:val="16"/>
              </w:rPr>
            </w:pPr>
            <w:r w:rsidRPr="00781112">
              <w:rPr>
                <w:rFonts w:cs="Arial"/>
                <w:color w:val="000000" w:themeColor="text1"/>
                <w:szCs w:val="16"/>
              </w:rPr>
              <w:t xml:space="preserve">Target </w:t>
            </w:r>
            <w:r w:rsidR="0051170F" w:rsidRPr="00781112">
              <w:rPr>
                <w:rFonts w:cs="Arial"/>
                <w:color w:val="000000" w:themeColor="text1"/>
                <w:szCs w:val="16"/>
                <w:shd w:val="clear" w:color="auto" w:fill="FFFFFF"/>
              </w:rPr>
              <w:t>&lt;=</w:t>
            </w:r>
          </w:p>
        </w:tc>
        <w:tc>
          <w:tcPr>
            <w:tcW w:w="833" w:type="pct"/>
            <w:shd w:val="clear" w:color="auto" w:fill="auto"/>
            <w:vAlign w:val="center"/>
          </w:tcPr>
          <w:p w14:paraId="70EB2EF4" w14:textId="3E0F0873" w:rsidR="00907A35" w:rsidRPr="00781112" w:rsidRDefault="002B7490" w:rsidP="00E0321D">
            <w:pPr>
              <w:jc w:val="center"/>
              <w:rPr>
                <w:rFonts w:cs="Arial"/>
                <w:color w:val="000000" w:themeColor="text1"/>
                <w:szCs w:val="16"/>
              </w:rPr>
            </w:pPr>
            <w:r w:rsidRPr="00781112">
              <w:rPr>
                <w:rFonts w:cs="Arial"/>
                <w:color w:val="000000" w:themeColor="text1"/>
                <w:szCs w:val="16"/>
              </w:rPr>
              <w:t>36.00%</w:t>
            </w:r>
          </w:p>
        </w:tc>
        <w:tc>
          <w:tcPr>
            <w:tcW w:w="833" w:type="pct"/>
            <w:shd w:val="clear" w:color="auto" w:fill="auto"/>
            <w:vAlign w:val="center"/>
          </w:tcPr>
          <w:p w14:paraId="09754C04" w14:textId="6AA1C908" w:rsidR="00907A35" w:rsidRPr="00781112" w:rsidRDefault="002B7490" w:rsidP="00E0321D">
            <w:pPr>
              <w:jc w:val="center"/>
              <w:rPr>
                <w:rFonts w:cs="Arial"/>
                <w:color w:val="000000" w:themeColor="text1"/>
                <w:szCs w:val="16"/>
              </w:rPr>
            </w:pPr>
            <w:r w:rsidRPr="00781112">
              <w:rPr>
                <w:rFonts w:cs="Arial"/>
                <w:color w:val="000000" w:themeColor="text1"/>
                <w:szCs w:val="16"/>
              </w:rPr>
              <w:t>34.20%</w:t>
            </w:r>
          </w:p>
        </w:tc>
        <w:tc>
          <w:tcPr>
            <w:tcW w:w="833" w:type="pct"/>
            <w:shd w:val="clear" w:color="auto" w:fill="auto"/>
            <w:vAlign w:val="center"/>
          </w:tcPr>
          <w:p w14:paraId="73F1F537" w14:textId="213B7CF6" w:rsidR="00907A35" w:rsidRPr="00781112" w:rsidRDefault="002B7490" w:rsidP="00E0321D">
            <w:pPr>
              <w:jc w:val="center"/>
              <w:rPr>
                <w:rFonts w:cs="Arial"/>
                <w:color w:val="000000" w:themeColor="text1"/>
                <w:szCs w:val="16"/>
              </w:rPr>
            </w:pPr>
            <w:r w:rsidRPr="00781112">
              <w:rPr>
                <w:rFonts w:cs="Arial"/>
                <w:color w:val="000000" w:themeColor="text1"/>
                <w:szCs w:val="16"/>
              </w:rPr>
              <w:t>32.49%</w:t>
            </w:r>
          </w:p>
        </w:tc>
        <w:tc>
          <w:tcPr>
            <w:tcW w:w="833" w:type="pct"/>
            <w:shd w:val="clear" w:color="auto" w:fill="auto"/>
            <w:vAlign w:val="center"/>
          </w:tcPr>
          <w:p w14:paraId="24592EED" w14:textId="5BE30DC5" w:rsidR="00907A35" w:rsidRPr="00781112" w:rsidRDefault="002B7490" w:rsidP="00E0321D">
            <w:pPr>
              <w:jc w:val="center"/>
              <w:rPr>
                <w:rFonts w:cs="Arial"/>
                <w:color w:val="000000" w:themeColor="text1"/>
                <w:szCs w:val="16"/>
              </w:rPr>
            </w:pPr>
            <w:r w:rsidRPr="00781112">
              <w:rPr>
                <w:rFonts w:cs="Arial"/>
                <w:color w:val="000000" w:themeColor="text1"/>
                <w:szCs w:val="16"/>
              </w:rPr>
              <w:t>30.86%</w:t>
            </w:r>
          </w:p>
        </w:tc>
        <w:tc>
          <w:tcPr>
            <w:tcW w:w="834" w:type="pct"/>
            <w:shd w:val="clear" w:color="auto" w:fill="auto"/>
            <w:vAlign w:val="center"/>
          </w:tcPr>
          <w:p w14:paraId="0C69FBF7" w14:textId="5FED7341" w:rsidR="00907A35" w:rsidRPr="00781112" w:rsidRDefault="002B7490" w:rsidP="00E0321D">
            <w:pPr>
              <w:jc w:val="center"/>
              <w:rPr>
                <w:rFonts w:cs="Arial"/>
                <w:color w:val="000000" w:themeColor="text1"/>
                <w:szCs w:val="16"/>
              </w:rPr>
            </w:pPr>
            <w:r w:rsidRPr="00781112">
              <w:rPr>
                <w:rFonts w:cs="Arial"/>
                <w:color w:val="000000" w:themeColor="text1"/>
                <w:szCs w:val="16"/>
              </w:rPr>
              <w:t>25.81%</w:t>
            </w:r>
          </w:p>
        </w:tc>
      </w:tr>
      <w:tr w:rsidR="005C29F8" w:rsidRPr="00781112" w14:paraId="06558B7E" w14:textId="77777777" w:rsidTr="00DF4C35">
        <w:trPr>
          <w:trHeight w:val="85"/>
        </w:trPr>
        <w:tc>
          <w:tcPr>
            <w:tcW w:w="833" w:type="pct"/>
            <w:shd w:val="clear" w:color="auto" w:fill="auto"/>
            <w:vAlign w:val="center"/>
          </w:tcPr>
          <w:p w14:paraId="1DE2074D" w14:textId="77777777" w:rsidR="00907A35" w:rsidRPr="00781112" w:rsidRDefault="00907A35" w:rsidP="001F692C">
            <w:pPr>
              <w:rPr>
                <w:rFonts w:cs="Arial"/>
                <w:color w:val="000000" w:themeColor="text1"/>
                <w:szCs w:val="16"/>
              </w:rPr>
            </w:pPr>
            <w:r w:rsidRPr="00781112">
              <w:rPr>
                <w:rFonts w:cs="Arial"/>
                <w:color w:val="000000" w:themeColor="text1"/>
                <w:szCs w:val="16"/>
              </w:rPr>
              <w:t>Data</w:t>
            </w:r>
          </w:p>
        </w:tc>
        <w:tc>
          <w:tcPr>
            <w:tcW w:w="833" w:type="pct"/>
            <w:shd w:val="clear" w:color="auto" w:fill="auto"/>
            <w:vAlign w:val="center"/>
          </w:tcPr>
          <w:p w14:paraId="033EDE68" w14:textId="28E51F4E" w:rsidR="00907A35" w:rsidRPr="00781112" w:rsidRDefault="002B7490" w:rsidP="00E0321D">
            <w:pPr>
              <w:jc w:val="center"/>
              <w:rPr>
                <w:rFonts w:cs="Arial"/>
                <w:color w:val="000000" w:themeColor="text1"/>
                <w:szCs w:val="16"/>
              </w:rPr>
            </w:pPr>
            <w:r w:rsidRPr="00781112">
              <w:rPr>
                <w:rFonts w:cs="Arial"/>
                <w:color w:val="000000" w:themeColor="text1"/>
                <w:szCs w:val="16"/>
              </w:rPr>
              <w:t>27.69%</w:t>
            </w:r>
          </w:p>
        </w:tc>
        <w:tc>
          <w:tcPr>
            <w:tcW w:w="833" w:type="pct"/>
            <w:shd w:val="clear" w:color="auto" w:fill="auto"/>
            <w:vAlign w:val="center"/>
          </w:tcPr>
          <w:p w14:paraId="1DE6EF8F" w14:textId="2C6399B2" w:rsidR="00907A35" w:rsidRPr="00781112" w:rsidRDefault="002B7490" w:rsidP="00E0321D">
            <w:pPr>
              <w:jc w:val="center"/>
              <w:rPr>
                <w:rFonts w:cs="Arial"/>
                <w:color w:val="000000" w:themeColor="text1"/>
                <w:szCs w:val="16"/>
              </w:rPr>
            </w:pPr>
            <w:r w:rsidRPr="00781112">
              <w:rPr>
                <w:rFonts w:cs="Arial"/>
                <w:color w:val="000000" w:themeColor="text1"/>
                <w:szCs w:val="16"/>
              </w:rPr>
              <w:t>27.04%</w:t>
            </w:r>
          </w:p>
        </w:tc>
        <w:tc>
          <w:tcPr>
            <w:tcW w:w="833" w:type="pct"/>
            <w:tcBorders>
              <w:bottom w:val="single" w:sz="4" w:space="0" w:color="auto"/>
            </w:tcBorders>
            <w:shd w:val="clear" w:color="auto" w:fill="auto"/>
            <w:vAlign w:val="center"/>
          </w:tcPr>
          <w:p w14:paraId="3F810822" w14:textId="70D15FEC" w:rsidR="00907A35" w:rsidRPr="00781112" w:rsidRDefault="002B7490" w:rsidP="00E0321D">
            <w:pPr>
              <w:jc w:val="center"/>
              <w:rPr>
                <w:rFonts w:cs="Arial"/>
                <w:color w:val="000000" w:themeColor="text1"/>
                <w:szCs w:val="16"/>
              </w:rPr>
            </w:pPr>
            <w:r w:rsidRPr="00781112">
              <w:rPr>
                <w:rFonts w:cs="Arial"/>
                <w:color w:val="000000" w:themeColor="text1"/>
                <w:szCs w:val="16"/>
              </w:rPr>
              <w:t>25.75%</w:t>
            </w:r>
          </w:p>
        </w:tc>
        <w:tc>
          <w:tcPr>
            <w:tcW w:w="833" w:type="pct"/>
            <w:tcBorders>
              <w:bottom w:val="single" w:sz="4" w:space="0" w:color="auto"/>
            </w:tcBorders>
            <w:shd w:val="clear" w:color="auto" w:fill="auto"/>
            <w:vAlign w:val="center"/>
          </w:tcPr>
          <w:p w14:paraId="5421E042" w14:textId="6AE010E9" w:rsidR="00907A35" w:rsidRPr="00781112" w:rsidRDefault="002B7490" w:rsidP="00E0321D">
            <w:pPr>
              <w:jc w:val="center"/>
              <w:rPr>
                <w:rFonts w:cs="Arial"/>
                <w:color w:val="000000" w:themeColor="text1"/>
                <w:szCs w:val="16"/>
              </w:rPr>
            </w:pPr>
            <w:r w:rsidRPr="00781112">
              <w:rPr>
                <w:rFonts w:cs="Arial"/>
                <w:color w:val="000000" w:themeColor="text1"/>
                <w:szCs w:val="16"/>
              </w:rPr>
              <w:t>23.56%</w:t>
            </w:r>
          </w:p>
        </w:tc>
        <w:tc>
          <w:tcPr>
            <w:tcW w:w="834" w:type="pct"/>
            <w:tcBorders>
              <w:bottom w:val="single" w:sz="4" w:space="0" w:color="auto"/>
            </w:tcBorders>
            <w:shd w:val="clear" w:color="auto" w:fill="auto"/>
            <w:vAlign w:val="center"/>
          </w:tcPr>
          <w:p w14:paraId="32A53100" w14:textId="125B9065" w:rsidR="00907A35" w:rsidRPr="00781112" w:rsidRDefault="002B7490" w:rsidP="00E0321D">
            <w:pPr>
              <w:jc w:val="center"/>
              <w:rPr>
                <w:rFonts w:cs="Arial"/>
                <w:color w:val="000000" w:themeColor="text1"/>
                <w:szCs w:val="16"/>
              </w:rPr>
            </w:pPr>
            <w:r w:rsidRPr="00781112">
              <w:rPr>
                <w:rFonts w:cs="Arial"/>
                <w:color w:val="000000" w:themeColor="text1"/>
                <w:szCs w:val="16"/>
              </w:rPr>
              <w:t>17.27%</w:t>
            </w:r>
          </w:p>
        </w:tc>
      </w:tr>
    </w:tbl>
    <w:p w14:paraId="2E8ED284" w14:textId="77777777" w:rsidR="00654A4B" w:rsidRPr="00781112" w:rsidRDefault="00654A4B" w:rsidP="004369B2">
      <w:pPr>
        <w:rPr>
          <w:color w:val="000000" w:themeColor="text1"/>
        </w:rPr>
      </w:pPr>
    </w:p>
    <w:p w14:paraId="1AD526FC" w14:textId="0D130AB7" w:rsidR="00907A35" w:rsidRPr="00781112" w:rsidRDefault="00907A35" w:rsidP="004369B2">
      <w:pPr>
        <w:rPr>
          <w:color w:val="000000" w:themeColor="text1"/>
        </w:rPr>
      </w:pPr>
      <w:r w:rsidRPr="00781112">
        <w:rPr>
          <w:b/>
          <w:color w:val="000000" w:themeColor="text1"/>
        </w:rPr>
        <w:t>Targets</w:t>
      </w:r>
    </w:p>
    <w:tbl>
      <w:tblPr>
        <w:tblW w:w="42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2TARGETS"/>
      </w:tblPr>
      <w:tblGrid>
        <w:gridCol w:w="734"/>
        <w:gridCol w:w="1676"/>
        <w:gridCol w:w="1676"/>
        <w:gridCol w:w="1676"/>
        <w:gridCol w:w="1676"/>
        <w:gridCol w:w="1673"/>
      </w:tblGrid>
      <w:tr w:rsidR="00B14519" w:rsidRPr="00781112" w14:paraId="029A4CCE" w14:textId="7CD6FC1B" w:rsidTr="00451D7E">
        <w:trPr>
          <w:trHeight w:val="378"/>
        </w:trPr>
        <w:tc>
          <w:tcPr>
            <w:tcW w:w="402" w:type="pct"/>
            <w:tcBorders>
              <w:bottom w:val="single" w:sz="4" w:space="0" w:color="auto"/>
            </w:tcBorders>
            <w:shd w:val="clear" w:color="auto" w:fill="auto"/>
          </w:tcPr>
          <w:p w14:paraId="7E454C96" w14:textId="77777777" w:rsidR="00B14519" w:rsidRPr="00781112" w:rsidRDefault="00B14519" w:rsidP="00373F78">
            <w:pPr>
              <w:jc w:val="center"/>
              <w:rPr>
                <w:b/>
                <w:color w:val="000000" w:themeColor="text1"/>
              </w:rPr>
            </w:pPr>
            <w:r w:rsidRPr="00781112">
              <w:rPr>
                <w:b/>
                <w:color w:val="000000" w:themeColor="text1"/>
              </w:rPr>
              <w:t>FFY</w:t>
            </w:r>
          </w:p>
        </w:tc>
        <w:tc>
          <w:tcPr>
            <w:tcW w:w="920" w:type="pct"/>
            <w:shd w:val="clear" w:color="auto" w:fill="auto"/>
            <w:vAlign w:val="center"/>
          </w:tcPr>
          <w:p w14:paraId="43981BCA" w14:textId="46BADE94" w:rsidR="00B14519" w:rsidRPr="00781112" w:rsidRDefault="00B14519" w:rsidP="00373F78">
            <w:pPr>
              <w:jc w:val="center"/>
              <w:rPr>
                <w:b/>
                <w:color w:val="000000" w:themeColor="text1"/>
              </w:rPr>
            </w:pPr>
            <w:r w:rsidRPr="00781112">
              <w:rPr>
                <w:b/>
                <w:color w:val="000000" w:themeColor="text1"/>
              </w:rPr>
              <w:t>2021</w:t>
            </w:r>
          </w:p>
        </w:tc>
        <w:tc>
          <w:tcPr>
            <w:tcW w:w="920" w:type="pct"/>
          </w:tcPr>
          <w:p w14:paraId="5E92A3B3" w14:textId="014BC7EC" w:rsidR="00B14519" w:rsidRPr="00781112" w:rsidRDefault="00B14519" w:rsidP="00373F78">
            <w:pPr>
              <w:jc w:val="center"/>
              <w:rPr>
                <w:b/>
                <w:color w:val="000000" w:themeColor="text1"/>
              </w:rPr>
            </w:pPr>
            <w:r w:rsidRPr="00781112">
              <w:rPr>
                <w:rFonts w:cs="Arial"/>
                <w:b/>
                <w:color w:val="000000" w:themeColor="text1"/>
                <w:szCs w:val="16"/>
              </w:rPr>
              <w:t>2022</w:t>
            </w:r>
          </w:p>
        </w:tc>
        <w:tc>
          <w:tcPr>
            <w:tcW w:w="920" w:type="pct"/>
          </w:tcPr>
          <w:p w14:paraId="3A9EE8AA" w14:textId="53416CB2" w:rsidR="00B14519" w:rsidRPr="00781112" w:rsidRDefault="00B14519" w:rsidP="00373F78">
            <w:pPr>
              <w:jc w:val="center"/>
              <w:rPr>
                <w:b/>
                <w:color w:val="000000" w:themeColor="text1"/>
              </w:rPr>
            </w:pPr>
            <w:r w:rsidRPr="00781112">
              <w:rPr>
                <w:rFonts w:cs="Arial"/>
                <w:b/>
                <w:color w:val="000000" w:themeColor="text1"/>
                <w:szCs w:val="16"/>
              </w:rPr>
              <w:t>2023</w:t>
            </w:r>
          </w:p>
        </w:tc>
        <w:tc>
          <w:tcPr>
            <w:tcW w:w="920" w:type="pct"/>
          </w:tcPr>
          <w:p w14:paraId="7D50850A" w14:textId="0FF3B8D7" w:rsidR="00B14519" w:rsidRPr="00781112" w:rsidRDefault="00B14519" w:rsidP="00373F78">
            <w:pPr>
              <w:jc w:val="center"/>
              <w:rPr>
                <w:b/>
                <w:color w:val="000000" w:themeColor="text1"/>
              </w:rPr>
            </w:pPr>
            <w:r w:rsidRPr="00781112">
              <w:rPr>
                <w:rFonts w:cs="Arial"/>
                <w:b/>
                <w:color w:val="000000" w:themeColor="text1"/>
                <w:szCs w:val="16"/>
              </w:rPr>
              <w:t>2024</w:t>
            </w:r>
          </w:p>
        </w:tc>
        <w:tc>
          <w:tcPr>
            <w:tcW w:w="920" w:type="pct"/>
          </w:tcPr>
          <w:p w14:paraId="150CD52F" w14:textId="1406DCAF" w:rsidR="00B14519" w:rsidRPr="00781112" w:rsidRDefault="00B14519" w:rsidP="00373F78">
            <w:pPr>
              <w:jc w:val="center"/>
              <w:rPr>
                <w:b/>
                <w:color w:val="000000" w:themeColor="text1"/>
              </w:rPr>
            </w:pPr>
            <w:r w:rsidRPr="00781112">
              <w:rPr>
                <w:rFonts w:cs="Arial"/>
                <w:b/>
                <w:color w:val="000000" w:themeColor="text1"/>
                <w:szCs w:val="16"/>
              </w:rPr>
              <w:t>2025</w:t>
            </w:r>
          </w:p>
        </w:tc>
      </w:tr>
      <w:tr w:rsidR="00B14519" w:rsidRPr="00781112" w14:paraId="74AFE5A4" w14:textId="4CB3606D" w:rsidTr="00451D7E">
        <w:trPr>
          <w:trHeight w:val="386"/>
        </w:trPr>
        <w:tc>
          <w:tcPr>
            <w:tcW w:w="402" w:type="pct"/>
            <w:shd w:val="clear" w:color="auto" w:fill="auto"/>
            <w:vAlign w:val="center"/>
          </w:tcPr>
          <w:p w14:paraId="74812D09" w14:textId="3A67082C" w:rsidR="00B14519" w:rsidRPr="00781112" w:rsidRDefault="00B14519" w:rsidP="00373F78">
            <w:pPr>
              <w:rPr>
                <w:rFonts w:cs="Arial"/>
                <w:color w:val="000000" w:themeColor="text1"/>
                <w:szCs w:val="16"/>
              </w:rPr>
            </w:pPr>
            <w:r w:rsidRPr="00781112">
              <w:rPr>
                <w:rFonts w:cs="Arial"/>
                <w:color w:val="000000" w:themeColor="text1"/>
                <w:szCs w:val="16"/>
              </w:rPr>
              <w:t>Target &lt;=</w:t>
            </w:r>
          </w:p>
        </w:tc>
        <w:tc>
          <w:tcPr>
            <w:tcW w:w="920" w:type="pct"/>
            <w:shd w:val="clear" w:color="auto" w:fill="auto"/>
            <w:vAlign w:val="center"/>
          </w:tcPr>
          <w:p w14:paraId="1AA9A6F0" w14:textId="23F8F955" w:rsidR="00B14519" w:rsidRPr="00781112" w:rsidRDefault="00B14519" w:rsidP="00373F78">
            <w:pPr>
              <w:jc w:val="center"/>
              <w:rPr>
                <w:rFonts w:cs="Arial"/>
                <w:color w:val="000000" w:themeColor="text1"/>
                <w:szCs w:val="16"/>
              </w:rPr>
            </w:pPr>
            <w:r w:rsidRPr="00781112">
              <w:rPr>
                <w:rFonts w:cs="Arial"/>
                <w:color w:val="000000" w:themeColor="text1"/>
                <w:szCs w:val="16"/>
              </w:rPr>
              <w:t>25.81%</w:t>
            </w:r>
          </w:p>
        </w:tc>
        <w:tc>
          <w:tcPr>
            <w:tcW w:w="920" w:type="pct"/>
          </w:tcPr>
          <w:p w14:paraId="1887156F" w14:textId="2A53DFD8" w:rsidR="00B14519" w:rsidRPr="00781112" w:rsidRDefault="00B14519" w:rsidP="00373F78">
            <w:pPr>
              <w:jc w:val="center"/>
              <w:rPr>
                <w:rFonts w:cs="Arial"/>
                <w:color w:val="000000" w:themeColor="text1"/>
                <w:szCs w:val="16"/>
              </w:rPr>
            </w:pPr>
            <w:r w:rsidRPr="00781112">
              <w:rPr>
                <w:color w:val="000000" w:themeColor="text1"/>
                <w:szCs w:val="16"/>
              </w:rPr>
              <w:t>24.58%</w:t>
            </w:r>
          </w:p>
        </w:tc>
        <w:tc>
          <w:tcPr>
            <w:tcW w:w="920" w:type="pct"/>
          </w:tcPr>
          <w:p w14:paraId="114E0304" w14:textId="3D4B66CA" w:rsidR="00B14519" w:rsidRPr="00781112" w:rsidRDefault="00B14519" w:rsidP="00373F78">
            <w:pPr>
              <w:jc w:val="center"/>
              <w:rPr>
                <w:rFonts w:cs="Arial"/>
                <w:color w:val="000000" w:themeColor="text1"/>
                <w:szCs w:val="16"/>
              </w:rPr>
            </w:pPr>
            <w:r w:rsidRPr="00781112">
              <w:rPr>
                <w:color w:val="000000" w:themeColor="text1"/>
                <w:szCs w:val="16"/>
              </w:rPr>
              <w:t>23.35%</w:t>
            </w:r>
          </w:p>
        </w:tc>
        <w:tc>
          <w:tcPr>
            <w:tcW w:w="920" w:type="pct"/>
          </w:tcPr>
          <w:p w14:paraId="78D67310" w14:textId="6B7563FE" w:rsidR="00B14519" w:rsidRPr="00781112" w:rsidRDefault="00B14519" w:rsidP="00373F78">
            <w:pPr>
              <w:jc w:val="center"/>
              <w:rPr>
                <w:rFonts w:cs="Arial"/>
                <w:color w:val="000000" w:themeColor="text1"/>
                <w:szCs w:val="16"/>
              </w:rPr>
            </w:pPr>
            <w:r w:rsidRPr="00781112">
              <w:rPr>
                <w:color w:val="000000" w:themeColor="text1"/>
                <w:szCs w:val="16"/>
              </w:rPr>
              <w:t>20.90%</w:t>
            </w:r>
          </w:p>
        </w:tc>
        <w:tc>
          <w:tcPr>
            <w:tcW w:w="920" w:type="pct"/>
          </w:tcPr>
          <w:p w14:paraId="56091902" w14:textId="764DD0A6" w:rsidR="00B14519" w:rsidRPr="00781112" w:rsidRDefault="00B14519" w:rsidP="00373F78">
            <w:pPr>
              <w:jc w:val="center"/>
              <w:rPr>
                <w:rFonts w:cs="Arial"/>
                <w:color w:val="000000" w:themeColor="text1"/>
                <w:szCs w:val="16"/>
              </w:rPr>
            </w:pPr>
            <w:r w:rsidRPr="00781112">
              <w:rPr>
                <w:color w:val="000000" w:themeColor="text1"/>
                <w:szCs w:val="16"/>
              </w:rPr>
              <w:t>16.00%</w:t>
            </w:r>
          </w:p>
        </w:tc>
      </w:tr>
    </w:tbl>
    <w:p w14:paraId="23C212C7" w14:textId="54B31D84" w:rsidR="002D145D" w:rsidRPr="00781112" w:rsidRDefault="002D145D">
      <w:pPr>
        <w:rPr>
          <w:b/>
          <w:color w:val="000000" w:themeColor="text1"/>
        </w:rPr>
      </w:pPr>
      <w:r w:rsidRPr="00781112">
        <w:rPr>
          <w:b/>
          <w:color w:val="000000" w:themeColor="text1"/>
        </w:rPr>
        <w:t>Targets: Description of Stakeholder Input</w:t>
      </w:r>
    </w:p>
    <w:p w14:paraId="713FE3D9" w14:textId="115A66E3" w:rsidR="0051170F" w:rsidRPr="00781112" w:rsidRDefault="0051170F" w:rsidP="004369B2">
      <w:pPr>
        <w:rPr>
          <w:rFonts w:cs="Arial"/>
          <w:color w:val="000000" w:themeColor="text1"/>
          <w:szCs w:val="16"/>
        </w:rPr>
      </w:pPr>
      <w:r w:rsidRPr="00781112">
        <w:rPr>
          <w:rFonts w:cs="Arial"/>
          <w:color w:val="000000" w:themeColor="text1"/>
          <w:szCs w:val="16"/>
        </w:rPr>
        <w:t>The USBE SES values stakeholder engagement and input and solicits ongoing feedback and review. Stakeholders consistently provide input through collaborative meetings, public comment, written communication, survey data, data analysis, and informal conversations. To share data and information and collect feedback on areas such as SPP/APR targets, the USBE SES employs meetings, newsletters, emails, surveys, and social media with stakeholder groups:</w:t>
      </w:r>
      <w:r w:rsidRPr="00781112">
        <w:rPr>
          <w:rFonts w:cs="Arial"/>
          <w:color w:val="000000" w:themeColor="text1"/>
          <w:szCs w:val="16"/>
        </w:rPr>
        <w:br/>
        <w:t>• LEA Special Education Directors</w:t>
      </w:r>
      <w:r w:rsidRPr="00781112">
        <w:rPr>
          <w:rFonts w:cs="Arial"/>
          <w:color w:val="000000" w:themeColor="text1"/>
          <w:szCs w:val="16"/>
        </w:rPr>
        <w:br/>
        <w:t>• Utah Special Education Advisory Panel (USEAP)</w:t>
      </w:r>
      <w:r w:rsidRPr="00781112">
        <w:rPr>
          <w:rFonts w:cs="Arial"/>
          <w:color w:val="000000" w:themeColor="text1"/>
          <w:szCs w:val="16"/>
        </w:rPr>
        <w:br/>
        <w:t>• USBE Committees</w:t>
      </w:r>
      <w:r w:rsidRPr="00781112">
        <w:rPr>
          <w:rFonts w:cs="Arial"/>
          <w:color w:val="000000" w:themeColor="text1"/>
          <w:szCs w:val="16"/>
        </w:rPr>
        <w:br/>
        <w:t>• Utah Legislative Committees</w:t>
      </w:r>
      <w:r w:rsidRPr="00781112">
        <w:rPr>
          <w:rFonts w:cs="Arial"/>
          <w:color w:val="000000" w:themeColor="text1"/>
          <w:szCs w:val="16"/>
        </w:rPr>
        <w:br/>
        <w:t>• Utah Parent Center (UPC)</w:t>
      </w:r>
      <w:r w:rsidRPr="00781112">
        <w:rPr>
          <w:rFonts w:cs="Arial"/>
          <w:color w:val="000000" w:themeColor="text1"/>
          <w:szCs w:val="16"/>
        </w:rPr>
        <w:br/>
        <w:t>• LEA Curriculum and Assessment Directors</w:t>
      </w:r>
      <w:r w:rsidRPr="00781112">
        <w:rPr>
          <w:rFonts w:cs="Arial"/>
          <w:color w:val="000000" w:themeColor="text1"/>
          <w:szCs w:val="16"/>
        </w:rPr>
        <w:br/>
        <w:t>• LEA Preschool Coordinators</w:t>
      </w:r>
      <w:r w:rsidRPr="00781112">
        <w:rPr>
          <w:rFonts w:cs="Arial"/>
          <w:color w:val="000000" w:themeColor="text1"/>
          <w:szCs w:val="16"/>
        </w:rPr>
        <w:br/>
        <w:t>• LEA Administrators</w:t>
      </w:r>
      <w:r w:rsidRPr="00781112">
        <w:rPr>
          <w:rFonts w:cs="Arial"/>
          <w:color w:val="000000" w:themeColor="text1"/>
          <w:szCs w:val="16"/>
        </w:rPr>
        <w:br/>
        <w:t>•Utah Institutes of Higher Education (IHEs)</w:t>
      </w:r>
      <w:r w:rsidRPr="00781112">
        <w:rPr>
          <w:rFonts w:cs="Arial"/>
          <w:color w:val="000000" w:themeColor="text1"/>
          <w:szCs w:val="16"/>
        </w:rPr>
        <w:br/>
        <w:t>• Baby Watch/Early Intervention (Utah’s Part C agency)</w:t>
      </w:r>
      <w:r w:rsidRPr="00781112">
        <w:rPr>
          <w:rFonts w:cs="Arial"/>
          <w:color w:val="000000" w:themeColor="text1"/>
          <w:szCs w:val="16"/>
        </w:rPr>
        <w:br/>
        <w:t>• Agencies and non-profit organizations that provide services to SWD</w:t>
      </w:r>
      <w:r w:rsidRPr="00781112">
        <w:rPr>
          <w:rFonts w:cs="Arial"/>
          <w:color w:val="000000" w:themeColor="text1"/>
          <w:szCs w:val="16"/>
        </w:rPr>
        <w:br/>
        <w:t>• Utah Educators</w:t>
      </w:r>
      <w:r w:rsidRPr="00781112">
        <w:rPr>
          <w:rFonts w:cs="Arial"/>
          <w:color w:val="000000" w:themeColor="text1"/>
          <w:szCs w:val="16"/>
        </w:rPr>
        <w:br/>
        <w:t>• Advocacy groups throughout the State</w:t>
      </w:r>
      <w:r w:rsidRPr="00781112">
        <w:rPr>
          <w:rFonts w:cs="Arial"/>
          <w:color w:val="000000" w:themeColor="text1"/>
          <w:szCs w:val="16"/>
        </w:rPr>
        <w:br/>
        <w:t>During FFY 2021, no changes were made to the SPP/APR targets. The USBE SES reviewed the progress of the implementation of the Theory of Action for the SSIP and SPP/APR data with USEAM, USEAP, and the Coordinating Council for People with Disabilities (CCPD) (which includes all state agencies that serve individuals with disabilities and all nonprofit organizations that receive any state funding and/or grants).</w:t>
      </w:r>
      <w:r w:rsidRPr="00781112">
        <w:rPr>
          <w:rFonts w:cs="Arial"/>
          <w:color w:val="000000" w:themeColor="text1"/>
          <w:szCs w:val="16"/>
        </w:rPr>
        <w:br/>
        <w:t xml:space="preserve">The APR summit was held virtually on July 30, 2021. Over 100 participants attended from the stakeholder groups and those with individual interests. Participants reviewed data and projections for the State in 2025–2026. Participants were provided with an overview of the advantages and disadvantages of predictive models as well as an overview of the mindset for target-setting. Participants were asked to select the end targets (2025–2026) for indicators. The USBE SES would then calculate intervening targets between FFY 2020 and FFY 2025 whereby there would be no increase in </w:t>
      </w:r>
      <w:r w:rsidRPr="00781112">
        <w:rPr>
          <w:rFonts w:cs="Arial"/>
          <w:color w:val="000000" w:themeColor="text1"/>
          <w:szCs w:val="16"/>
        </w:rPr>
        <w:lastRenderedPageBreak/>
        <w:t>the target the first year, followed by small increases, then large increases near the end. This is to allow enough time for LEAs to implement initiatives and change practices to realistically meet targets along their way to the rigorous end targets. After this overview, participants determined challenging and achievable end targets. The USBE SES calculated intervening targets and shared these intervening targets with the participants and additional stakeholders to get final approval for all the targets.</w:t>
      </w:r>
      <w:r w:rsidRPr="00781112">
        <w:rPr>
          <w:rFonts w:cs="Arial"/>
          <w:color w:val="000000" w:themeColor="text1"/>
          <w:szCs w:val="16"/>
        </w:rPr>
        <w:br/>
        <w:t>A survey was sent out and 101 individuals participated. Most participants identified as white females in suburban parts of Utah. American Indian/Native Alaskan, Hispanic/Latino, and individuals who identified as multiracial also participated. As a result of this additional feedback, the USBE SES revised Indicator 5 targets to maintain rigor and develop reasonable targets manageable by the LEAs. Targets for all indicators were developed after review of historical indicator and trend data, recommendations from the USBE statistician, the impact of COVID-19, APR summit and APR survey review. All targets were subsequently reviewed and adopted by USBE staff, USEAP, and LEAs. OSEP approved SPP/APR targets in the FFY 2020 SPP/APR.</w:t>
      </w:r>
      <w:r w:rsidRPr="00781112">
        <w:rPr>
          <w:rFonts w:cs="Arial"/>
          <w:color w:val="000000" w:themeColor="text1"/>
          <w:szCs w:val="16"/>
        </w:rPr>
        <w:br/>
        <w:t>During FFY 2021, the SPP/APR and SSIP were discussed regularly with LEA special education directors, USEAP, UPC, the state Parent Teacher Association (PTA), and other parent groups focused on inclusionary practices in Utah schools. Regular meetings are held with all these groups typically on a quarterly basis. Emails, phone calls, and in-person meetings provide for informal opportunities to gain insight and adjust.</w:t>
      </w:r>
      <w:r w:rsidRPr="00781112">
        <w:rPr>
          <w:rFonts w:cs="Arial"/>
          <w:color w:val="000000" w:themeColor="text1"/>
          <w:szCs w:val="16"/>
        </w:rPr>
        <w:br/>
        <w:t>The UPC works closely with USBE to increase the capacity of diverse groups of parents. Meetings at UPC are held in Spanish as the second highest language in the State. Refugee populations are connected through UPC staff assigned to specific LEAs with large populations of refugees.</w:t>
      </w:r>
      <w:r w:rsidRPr="00781112">
        <w:rPr>
          <w:rFonts w:cs="Arial"/>
          <w:color w:val="000000" w:themeColor="text1"/>
          <w:szCs w:val="16"/>
        </w:rPr>
        <w:br/>
        <w:t>The USBE family engagement specialist seeks to increase capacity through cross collaboration with other parent and family engagement programs provided in LEAs that we will continue to target.</w:t>
      </w:r>
      <w:r w:rsidRPr="00781112">
        <w:rPr>
          <w:rFonts w:cs="Arial"/>
          <w:color w:val="000000" w:themeColor="text1"/>
          <w:szCs w:val="16"/>
        </w:rPr>
        <w:br/>
        <w:t>INDICATOR 1</w:t>
      </w:r>
      <w:r w:rsidRPr="00781112">
        <w:rPr>
          <w:rFonts w:cs="Arial"/>
          <w:color w:val="000000" w:themeColor="text1"/>
          <w:szCs w:val="16"/>
        </w:rPr>
        <w:br/>
        <w:t>Data from 2018 was determined to be an appropriate baseline. With a baseline of 67.90%, targets will increase with consideration for COVID-19 impacts.</w:t>
      </w:r>
      <w:r w:rsidRPr="00781112">
        <w:rPr>
          <w:rFonts w:cs="Arial"/>
          <w:color w:val="000000" w:themeColor="text1"/>
          <w:szCs w:val="16"/>
        </w:rPr>
        <w:br/>
        <w:t>INDICATOR 2</w:t>
      </w:r>
      <w:r w:rsidRPr="00781112">
        <w:rPr>
          <w:rFonts w:cs="Arial"/>
          <w:color w:val="000000" w:themeColor="text1"/>
          <w:szCs w:val="16"/>
        </w:rPr>
        <w:br/>
        <w:t>Data from 2018 was determined to be an appropriate baseline. With a baseline of 25.81%, targets will decrease with consideration for COVID-19 impacts.</w:t>
      </w:r>
      <w:r w:rsidRPr="00781112">
        <w:rPr>
          <w:rFonts w:cs="Arial"/>
          <w:color w:val="000000" w:themeColor="text1"/>
          <w:szCs w:val="16"/>
        </w:rPr>
        <w:br/>
        <w:t>INDICATOR 3A</w:t>
      </w:r>
      <w:r w:rsidRPr="00781112">
        <w:rPr>
          <w:rFonts w:cs="Arial"/>
          <w:color w:val="000000" w:themeColor="text1"/>
          <w:szCs w:val="16"/>
        </w:rPr>
        <w:br/>
        <w:t>This target is set by OSEP. Stakeholders discussed ways to improve participation.</w:t>
      </w:r>
      <w:r w:rsidRPr="00781112">
        <w:rPr>
          <w:rFonts w:cs="Arial"/>
          <w:color w:val="000000" w:themeColor="text1"/>
          <w:szCs w:val="16"/>
        </w:rPr>
        <w:br/>
        <w:t>INDICATORS 3B, C, D</w:t>
      </w:r>
      <w:r w:rsidRPr="00781112">
        <w:rPr>
          <w:rFonts w:cs="Arial"/>
          <w:color w:val="000000" w:themeColor="text1"/>
          <w:szCs w:val="16"/>
        </w:rPr>
        <w:br/>
        <w:t>Participants looked at the average mean from the previous four years of data in conjunction with the linear trend and forecasting. This process allowed participants to analyze the best statistical guess of where Utah’s data would most likely be in six years while also seeing the forecasting of possible error over time for predicting far into the future.</w:t>
      </w:r>
      <w:r w:rsidRPr="00781112">
        <w:rPr>
          <w:rFonts w:cs="Arial"/>
          <w:color w:val="000000" w:themeColor="text1"/>
          <w:szCs w:val="16"/>
        </w:rPr>
        <w:br/>
        <w:t>INDICATOR 5</w:t>
      </w:r>
      <w:r w:rsidRPr="00781112">
        <w:rPr>
          <w:rFonts w:cs="Arial"/>
          <w:color w:val="000000" w:themeColor="text1"/>
          <w:szCs w:val="16"/>
        </w:rPr>
        <w:br/>
        <w:t>During FFY 2020, the Indicator 5 baseline was reset. In FFY 2021, all targets were met. A comprehensive approach was taken to provide informative learning sessions to support special education directors who are accountable for reviewing Indicator 5 outcome data. Recognizing the need to differentiate support, the USBE SES offered individual LEA data analysis and problem-solving sessions.</w:t>
      </w:r>
      <w:r w:rsidRPr="00781112">
        <w:rPr>
          <w:rFonts w:cs="Arial"/>
          <w:color w:val="000000" w:themeColor="text1"/>
          <w:szCs w:val="16"/>
        </w:rPr>
        <w:br/>
        <w:t>INDICATOR 6</w:t>
      </w:r>
      <w:r w:rsidRPr="00781112">
        <w:rPr>
          <w:rFonts w:cs="Arial"/>
          <w:color w:val="000000" w:themeColor="text1"/>
          <w:szCs w:val="16"/>
        </w:rPr>
        <w:br/>
        <w:t>Data from 2018 was determined to be an appropriate baseline. With baselines of (A) 46.86%, (B) 32.67%, (C) 0.25%, targets will gradually increase and decrease with consideration for COVID-19 impacts.</w:t>
      </w:r>
      <w:r w:rsidRPr="00781112">
        <w:rPr>
          <w:rFonts w:cs="Arial"/>
          <w:color w:val="000000" w:themeColor="text1"/>
          <w:szCs w:val="16"/>
        </w:rPr>
        <w:br/>
        <w:t>INDICATOR 7</w:t>
      </w:r>
      <w:r w:rsidRPr="00781112">
        <w:rPr>
          <w:rFonts w:cs="Arial"/>
          <w:color w:val="000000" w:themeColor="text1"/>
          <w:szCs w:val="16"/>
        </w:rPr>
        <w:br/>
        <w:t>Data from 2018 was determined to be an appropriate baseline. The USBE predicts outcomes for this indicator are still being largely impacted by COVID-19, and targets are currently set below the baseline. With baselines of (A1) 88.86%, (A2) 58.94%, (B1) 88.41%, (B2) 50.48%, (C1) 89.86%, (C2) 70.52%, targets will increase with consideration for COVID-19 impacts.</w:t>
      </w:r>
      <w:r w:rsidRPr="00781112">
        <w:rPr>
          <w:rFonts w:cs="Arial"/>
          <w:color w:val="000000" w:themeColor="text1"/>
          <w:szCs w:val="16"/>
        </w:rPr>
        <w:br/>
        <w:t>INDICATOR 8</w:t>
      </w:r>
      <w:r w:rsidRPr="00781112">
        <w:rPr>
          <w:rFonts w:cs="Arial"/>
          <w:color w:val="000000" w:themeColor="text1"/>
          <w:szCs w:val="16"/>
        </w:rPr>
        <w:br/>
        <w:t>Data from 2018 was determined to be an appropriate baseline. With a baseline of 78.38%, targets will gradually increase with consideration for COVID-19 impacts.</w:t>
      </w:r>
      <w:r w:rsidRPr="00781112">
        <w:rPr>
          <w:rFonts w:cs="Arial"/>
          <w:color w:val="000000" w:themeColor="text1"/>
          <w:szCs w:val="16"/>
        </w:rPr>
        <w:br/>
        <w:t>INDICATORS 4, 9, 10</w:t>
      </w:r>
      <w:r w:rsidRPr="00781112">
        <w:rPr>
          <w:rFonts w:cs="Arial"/>
          <w:color w:val="000000" w:themeColor="text1"/>
          <w:szCs w:val="16"/>
        </w:rPr>
        <w:br/>
        <w:t>During the APR Summit, stakeholders reviewed current data trends and ways to improve outcomes. Although targets cannot be changed, stakeholder input has been instrumental in meeting targets for these indicators. The calculations and data collection process for these indicators has been updated to improve outcomes for SWD. Stakeholder input has been utilized to determine processes, PL, and support provided to bridge the gap between current performance and targets.</w:t>
      </w:r>
      <w:r w:rsidRPr="00781112">
        <w:rPr>
          <w:rFonts w:cs="Arial"/>
          <w:color w:val="000000" w:themeColor="text1"/>
          <w:szCs w:val="16"/>
        </w:rPr>
        <w:br/>
        <w:t>INDICATORS 11, 12</w:t>
      </w:r>
      <w:r w:rsidRPr="00781112">
        <w:rPr>
          <w:rFonts w:cs="Arial"/>
          <w:color w:val="000000" w:themeColor="text1"/>
          <w:szCs w:val="16"/>
        </w:rPr>
        <w:br/>
        <w:t>During the APR Summit, stakeholders reviewed current data trends and ways to improve outcomes. Although targets cannot be changed, stakeholder input has been instrumental in meeting targets for these indicators. Input has been utilized to determine PL and support provided to bridge the gap between current performance and targets.</w:t>
      </w:r>
      <w:r w:rsidRPr="00781112">
        <w:rPr>
          <w:rFonts w:cs="Arial"/>
          <w:color w:val="000000" w:themeColor="text1"/>
          <w:szCs w:val="16"/>
        </w:rPr>
        <w:br/>
        <w:t>INDICATOR 13</w:t>
      </w:r>
      <w:r w:rsidRPr="00781112">
        <w:rPr>
          <w:rFonts w:cs="Arial"/>
          <w:color w:val="000000" w:themeColor="text1"/>
          <w:szCs w:val="16"/>
        </w:rPr>
        <w:br/>
        <w:t>The USBE SES recognizes this is an area requiring improvement. During the APR Summit, stakeholders reviewed current data trends and ways to improve outcomes. Although targets cannot be changed, stakeholder input has been instrumental in the progression toward meeting the target.</w:t>
      </w:r>
      <w:r w:rsidRPr="00781112">
        <w:rPr>
          <w:rFonts w:cs="Arial"/>
          <w:color w:val="000000" w:themeColor="text1"/>
          <w:szCs w:val="16"/>
        </w:rPr>
        <w:br/>
        <w:t>INDICATOR 14</w:t>
      </w:r>
      <w:r w:rsidRPr="00781112">
        <w:rPr>
          <w:rFonts w:cs="Arial"/>
          <w:color w:val="000000" w:themeColor="text1"/>
          <w:szCs w:val="16"/>
        </w:rPr>
        <w:br/>
        <w:t>Data from 2018 was determined to be an appropriate baseline. The USBE predicts outcomes for this indicator are still being largely impacted by COVID-19, and targets are currently set below the baseline. With baselines of (A) 19.62%, (B) 67.60%, (C) 84.37%, targets will increase with consideration for COVID-19 impacts.</w:t>
      </w:r>
      <w:r w:rsidRPr="00781112">
        <w:rPr>
          <w:rFonts w:cs="Arial"/>
          <w:color w:val="000000" w:themeColor="text1"/>
          <w:szCs w:val="16"/>
        </w:rPr>
        <w:br/>
        <w:t xml:space="preserve">INDICATOR 15 </w:t>
      </w:r>
      <w:r w:rsidRPr="00781112">
        <w:rPr>
          <w:rFonts w:cs="Arial"/>
          <w:color w:val="000000" w:themeColor="text1"/>
          <w:szCs w:val="16"/>
        </w:rPr>
        <w:br/>
        <w:t>The USBE continues to experience relatively low levels of due process hearing requests and resolution meetings and is not required to set a target.</w:t>
      </w:r>
      <w:r w:rsidRPr="00781112">
        <w:rPr>
          <w:rFonts w:cs="Arial"/>
          <w:color w:val="000000" w:themeColor="text1"/>
          <w:szCs w:val="16"/>
        </w:rPr>
        <w:br/>
        <w:t xml:space="preserve">INDICATOR 16 </w:t>
      </w:r>
      <w:r w:rsidRPr="00781112">
        <w:rPr>
          <w:rFonts w:cs="Arial"/>
          <w:color w:val="000000" w:themeColor="text1"/>
          <w:szCs w:val="16"/>
        </w:rPr>
        <w:br/>
        <w:t>The USBE continues to experience relatively low levels of dispute resolution requests, including mediation. Targets have been set based on the low level of mediation requests.</w:t>
      </w:r>
    </w:p>
    <w:p w14:paraId="1646393A" w14:textId="2F9E8E4A" w:rsidR="002D145D" w:rsidRPr="00781112" w:rsidRDefault="002D145D" w:rsidP="002D145D">
      <w:pPr>
        <w:rPr>
          <w:rFonts w:cs="Arial"/>
          <w:color w:val="000000" w:themeColor="text1"/>
          <w:szCs w:val="16"/>
        </w:rPr>
      </w:pPr>
    </w:p>
    <w:p w14:paraId="68E34693" w14:textId="382EE918" w:rsidR="00002962" w:rsidRPr="00781112" w:rsidRDefault="00002962" w:rsidP="004369B2">
      <w:pPr>
        <w:rPr>
          <w:color w:val="000000" w:themeColor="text1"/>
        </w:rPr>
      </w:pPr>
      <w:r w:rsidRPr="00781112">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2PREPOPDATA"/>
      </w:tblPr>
      <w:tblGrid>
        <w:gridCol w:w="2164"/>
        <w:gridCol w:w="2130"/>
        <w:gridCol w:w="4929"/>
        <w:gridCol w:w="1567"/>
      </w:tblGrid>
      <w:tr w:rsidR="005C29F8" w:rsidRPr="00781112" w14:paraId="60D7260E" w14:textId="77777777" w:rsidTr="0011161A">
        <w:trPr>
          <w:trHeight w:val="372"/>
          <w:tblHeader/>
        </w:trPr>
        <w:tc>
          <w:tcPr>
            <w:tcW w:w="1003" w:type="pct"/>
            <w:shd w:val="clear" w:color="auto" w:fill="auto"/>
          </w:tcPr>
          <w:p w14:paraId="7217614C" w14:textId="77777777" w:rsidR="001D55EC" w:rsidRPr="00781112" w:rsidRDefault="001D55EC" w:rsidP="000B4AA4">
            <w:pPr>
              <w:spacing w:after="0"/>
              <w:jc w:val="center"/>
              <w:rPr>
                <w:rFonts w:cs="Arial"/>
                <w:b/>
                <w:color w:val="000000" w:themeColor="text1"/>
                <w:szCs w:val="16"/>
              </w:rPr>
            </w:pPr>
            <w:r w:rsidRPr="00781112">
              <w:rPr>
                <w:rFonts w:cs="Arial"/>
                <w:b/>
                <w:color w:val="000000" w:themeColor="text1"/>
                <w:szCs w:val="16"/>
              </w:rPr>
              <w:t>Source</w:t>
            </w:r>
          </w:p>
        </w:tc>
        <w:tc>
          <w:tcPr>
            <w:tcW w:w="987" w:type="pct"/>
            <w:shd w:val="clear" w:color="auto" w:fill="auto"/>
          </w:tcPr>
          <w:p w14:paraId="05FC9008" w14:textId="77777777" w:rsidR="001D55EC" w:rsidRPr="00781112" w:rsidRDefault="001D55EC" w:rsidP="000B4AA4">
            <w:pPr>
              <w:spacing w:after="0"/>
              <w:jc w:val="center"/>
              <w:rPr>
                <w:rFonts w:cs="Arial"/>
                <w:b/>
                <w:color w:val="000000" w:themeColor="text1"/>
                <w:szCs w:val="16"/>
              </w:rPr>
            </w:pPr>
            <w:r w:rsidRPr="00781112">
              <w:rPr>
                <w:rFonts w:cs="Arial"/>
                <w:b/>
                <w:color w:val="000000" w:themeColor="text1"/>
                <w:szCs w:val="16"/>
              </w:rPr>
              <w:t>Date</w:t>
            </w:r>
          </w:p>
        </w:tc>
        <w:tc>
          <w:tcPr>
            <w:tcW w:w="2284" w:type="pct"/>
            <w:shd w:val="clear" w:color="auto" w:fill="auto"/>
          </w:tcPr>
          <w:p w14:paraId="452E3A47" w14:textId="77777777" w:rsidR="001D55EC" w:rsidRPr="00781112" w:rsidRDefault="001D55EC" w:rsidP="000B4AA4">
            <w:pPr>
              <w:spacing w:after="0"/>
              <w:jc w:val="center"/>
              <w:rPr>
                <w:rFonts w:cs="Arial"/>
                <w:b/>
                <w:color w:val="000000" w:themeColor="text1"/>
                <w:szCs w:val="16"/>
              </w:rPr>
            </w:pPr>
            <w:r w:rsidRPr="00781112">
              <w:rPr>
                <w:rFonts w:cs="Arial"/>
                <w:b/>
                <w:color w:val="000000" w:themeColor="text1"/>
                <w:szCs w:val="16"/>
              </w:rPr>
              <w:t>Description</w:t>
            </w:r>
          </w:p>
        </w:tc>
        <w:tc>
          <w:tcPr>
            <w:tcW w:w="726" w:type="pct"/>
            <w:shd w:val="clear" w:color="auto" w:fill="auto"/>
          </w:tcPr>
          <w:p w14:paraId="197E988D" w14:textId="77777777" w:rsidR="001D55EC" w:rsidRPr="00781112" w:rsidRDefault="001D55EC" w:rsidP="000B4AA4">
            <w:pPr>
              <w:spacing w:after="0"/>
              <w:jc w:val="center"/>
              <w:rPr>
                <w:rFonts w:cs="Arial"/>
                <w:b/>
                <w:color w:val="000000" w:themeColor="text1"/>
                <w:szCs w:val="16"/>
              </w:rPr>
            </w:pPr>
            <w:r w:rsidRPr="00781112">
              <w:rPr>
                <w:rFonts w:cs="Arial"/>
                <w:b/>
                <w:color w:val="000000" w:themeColor="text1"/>
                <w:szCs w:val="16"/>
              </w:rPr>
              <w:t>Data</w:t>
            </w:r>
          </w:p>
        </w:tc>
      </w:tr>
      <w:tr w:rsidR="005C29F8" w:rsidRPr="00781112" w14:paraId="20549B53" w14:textId="77777777" w:rsidTr="0011161A">
        <w:trPr>
          <w:trHeight w:val="380"/>
        </w:trPr>
        <w:tc>
          <w:tcPr>
            <w:tcW w:w="1003" w:type="pct"/>
            <w:shd w:val="clear" w:color="auto" w:fill="auto"/>
          </w:tcPr>
          <w:p w14:paraId="38DBE1E5" w14:textId="4B654FBA" w:rsidR="001D55EC" w:rsidRPr="00781112" w:rsidRDefault="008A2533" w:rsidP="00A018D4">
            <w:pPr>
              <w:jc w:val="center"/>
              <w:rPr>
                <w:rFonts w:cs="Arial"/>
                <w:color w:val="000000" w:themeColor="text1"/>
                <w:szCs w:val="16"/>
              </w:rPr>
            </w:pPr>
            <w:r w:rsidRPr="00781112">
              <w:rPr>
                <w:rFonts w:cs="Arial"/>
                <w:color w:val="000000" w:themeColor="text1"/>
                <w:szCs w:val="16"/>
              </w:rPr>
              <w:t>SY 2020-21 Exiting Data Groups (EDFacts file spec FS009; Data Group 85)</w:t>
            </w:r>
          </w:p>
        </w:tc>
        <w:tc>
          <w:tcPr>
            <w:tcW w:w="987" w:type="pct"/>
            <w:shd w:val="clear" w:color="auto" w:fill="auto"/>
          </w:tcPr>
          <w:p w14:paraId="6675DCDD" w14:textId="08B07A76" w:rsidR="001D55EC" w:rsidRPr="00781112" w:rsidRDefault="008A2533" w:rsidP="00A018D4">
            <w:pPr>
              <w:jc w:val="center"/>
              <w:rPr>
                <w:rFonts w:cs="Arial"/>
                <w:color w:val="000000" w:themeColor="text1"/>
                <w:szCs w:val="16"/>
              </w:rPr>
            </w:pPr>
            <w:r w:rsidRPr="00781112">
              <w:rPr>
                <w:rFonts w:cs="Arial"/>
                <w:color w:val="000000" w:themeColor="text1"/>
                <w:szCs w:val="16"/>
              </w:rPr>
              <w:t>05/25/2022</w:t>
            </w:r>
          </w:p>
        </w:tc>
        <w:tc>
          <w:tcPr>
            <w:tcW w:w="2284" w:type="pct"/>
            <w:shd w:val="clear" w:color="auto" w:fill="auto"/>
          </w:tcPr>
          <w:p w14:paraId="52A6FFD9" w14:textId="722CDF17" w:rsidR="001D55EC" w:rsidRPr="00781112" w:rsidRDefault="00E619AC" w:rsidP="001D55EC">
            <w:pPr>
              <w:rPr>
                <w:rFonts w:cs="Arial"/>
                <w:color w:val="000000" w:themeColor="text1"/>
                <w:szCs w:val="16"/>
              </w:rPr>
            </w:pPr>
            <w:r w:rsidRPr="00781112">
              <w:rPr>
                <w:rFonts w:cs="Arial"/>
                <w:color w:val="000000" w:themeColor="text1"/>
                <w:szCs w:val="16"/>
              </w:rPr>
              <w:t xml:space="preserve">Number of </w:t>
            </w:r>
            <w:proofErr w:type="gramStart"/>
            <w:r w:rsidRPr="00781112">
              <w:rPr>
                <w:rFonts w:cs="Arial"/>
                <w:color w:val="000000" w:themeColor="text1"/>
                <w:szCs w:val="16"/>
              </w:rPr>
              <w:t>youth</w:t>
            </w:r>
            <w:proofErr w:type="gramEnd"/>
            <w:r w:rsidRPr="00781112">
              <w:rPr>
                <w:rFonts w:cs="Arial"/>
                <w:color w:val="000000" w:themeColor="text1"/>
                <w:szCs w:val="16"/>
              </w:rPr>
              <w:t xml:space="preserve"> with IEPs (ages 14-21) who exited special education by graduating with a regular high school diploma (a)</w:t>
            </w:r>
          </w:p>
        </w:tc>
        <w:tc>
          <w:tcPr>
            <w:tcW w:w="726" w:type="pct"/>
            <w:shd w:val="clear" w:color="auto" w:fill="auto"/>
          </w:tcPr>
          <w:p w14:paraId="6BB20172" w14:textId="20DA3C25" w:rsidR="001D55EC" w:rsidRPr="00781112" w:rsidRDefault="002B7490" w:rsidP="00A018D4">
            <w:pPr>
              <w:jc w:val="center"/>
              <w:rPr>
                <w:rFonts w:cs="Arial"/>
                <w:color w:val="000000" w:themeColor="text1"/>
                <w:szCs w:val="16"/>
              </w:rPr>
            </w:pPr>
            <w:r w:rsidRPr="00781112">
              <w:rPr>
                <w:rFonts w:cs="Arial"/>
                <w:color w:val="000000" w:themeColor="text1"/>
                <w:szCs w:val="16"/>
              </w:rPr>
              <w:t>3,812</w:t>
            </w:r>
          </w:p>
        </w:tc>
      </w:tr>
      <w:tr w:rsidR="00FE0F05" w:rsidRPr="00781112" w14:paraId="442FFC23" w14:textId="77777777" w:rsidTr="0011161A">
        <w:trPr>
          <w:trHeight w:val="380"/>
        </w:trPr>
        <w:tc>
          <w:tcPr>
            <w:tcW w:w="1003" w:type="pct"/>
            <w:shd w:val="clear" w:color="auto" w:fill="auto"/>
          </w:tcPr>
          <w:p w14:paraId="6CF34AAB" w14:textId="0F679619" w:rsidR="00FE0F05" w:rsidRPr="00781112" w:rsidRDefault="00FE0F05" w:rsidP="00FE0F05">
            <w:pPr>
              <w:jc w:val="center"/>
              <w:rPr>
                <w:rFonts w:cs="Arial"/>
                <w:color w:val="000000" w:themeColor="text1"/>
                <w:szCs w:val="16"/>
              </w:rPr>
            </w:pPr>
            <w:r w:rsidRPr="00781112">
              <w:rPr>
                <w:rFonts w:cs="Arial"/>
                <w:color w:val="000000" w:themeColor="text1"/>
                <w:szCs w:val="16"/>
              </w:rPr>
              <w:t>SY 2020-21 Exiting Data Groups (EDFacts file spec FS009; Data Group 85)</w:t>
            </w:r>
          </w:p>
        </w:tc>
        <w:tc>
          <w:tcPr>
            <w:tcW w:w="987" w:type="pct"/>
            <w:shd w:val="clear" w:color="auto" w:fill="auto"/>
          </w:tcPr>
          <w:p w14:paraId="4C847D87" w14:textId="13F5F6DB" w:rsidR="00FE0F05" w:rsidRPr="00781112" w:rsidRDefault="00FE0F05" w:rsidP="00FE0F05">
            <w:pPr>
              <w:jc w:val="center"/>
              <w:rPr>
                <w:rFonts w:cs="Arial"/>
                <w:color w:val="000000" w:themeColor="text1"/>
                <w:szCs w:val="16"/>
              </w:rPr>
            </w:pPr>
            <w:r w:rsidRPr="00781112">
              <w:rPr>
                <w:rFonts w:cs="Arial"/>
                <w:color w:val="000000" w:themeColor="text1"/>
                <w:szCs w:val="16"/>
              </w:rPr>
              <w:t>05/25/2022</w:t>
            </w:r>
          </w:p>
        </w:tc>
        <w:tc>
          <w:tcPr>
            <w:tcW w:w="2284" w:type="pct"/>
            <w:shd w:val="clear" w:color="auto" w:fill="auto"/>
          </w:tcPr>
          <w:p w14:paraId="11D0842E" w14:textId="2246C25A" w:rsidR="00FE0F05" w:rsidRPr="00781112" w:rsidRDefault="00FE0F05" w:rsidP="00FE0F05">
            <w:pPr>
              <w:rPr>
                <w:rFonts w:cs="Arial"/>
                <w:color w:val="000000" w:themeColor="text1"/>
                <w:szCs w:val="16"/>
              </w:rPr>
            </w:pPr>
            <w:r w:rsidRPr="00781112">
              <w:rPr>
                <w:rFonts w:cs="Arial"/>
                <w:szCs w:val="16"/>
              </w:rPr>
              <w:t xml:space="preserve">Number of </w:t>
            </w:r>
            <w:proofErr w:type="gramStart"/>
            <w:r w:rsidRPr="00781112">
              <w:rPr>
                <w:rFonts w:cs="Arial"/>
                <w:szCs w:val="16"/>
              </w:rPr>
              <w:t>youth</w:t>
            </w:r>
            <w:proofErr w:type="gramEnd"/>
            <w:r w:rsidRPr="00781112">
              <w:rPr>
                <w:rFonts w:cs="Arial"/>
                <w:szCs w:val="16"/>
              </w:rPr>
              <w:t xml:space="preserve"> with IEPs (ages 14-21) who exited special education by graduating with a state-defined alternate diploma (b)</w:t>
            </w:r>
          </w:p>
        </w:tc>
        <w:tc>
          <w:tcPr>
            <w:tcW w:w="726" w:type="pct"/>
            <w:shd w:val="clear" w:color="auto" w:fill="auto"/>
          </w:tcPr>
          <w:p w14:paraId="076B8DEA" w14:textId="2D1A3AE9" w:rsidR="00FE0F05" w:rsidRPr="00781112" w:rsidRDefault="00FE0F05" w:rsidP="00FE0F05">
            <w:pPr>
              <w:jc w:val="center"/>
              <w:rPr>
                <w:rFonts w:cs="Arial"/>
                <w:color w:val="000000" w:themeColor="text1"/>
                <w:szCs w:val="16"/>
              </w:rPr>
            </w:pPr>
            <w:r w:rsidRPr="00781112">
              <w:rPr>
                <w:rFonts w:cs="Arial"/>
                <w:color w:val="000000" w:themeColor="text1"/>
                <w:szCs w:val="16"/>
              </w:rPr>
              <w:t>160</w:t>
            </w:r>
          </w:p>
        </w:tc>
      </w:tr>
      <w:tr w:rsidR="0011161A" w:rsidRPr="00781112" w14:paraId="7531005B" w14:textId="77777777" w:rsidTr="0011161A">
        <w:trPr>
          <w:trHeight w:val="380"/>
        </w:trPr>
        <w:tc>
          <w:tcPr>
            <w:tcW w:w="1003" w:type="pct"/>
            <w:shd w:val="clear" w:color="auto" w:fill="auto"/>
          </w:tcPr>
          <w:p w14:paraId="68D79338" w14:textId="7556C19A" w:rsidR="0011161A" w:rsidRPr="00781112" w:rsidRDefault="0011161A" w:rsidP="0011161A">
            <w:pPr>
              <w:jc w:val="center"/>
              <w:rPr>
                <w:rFonts w:cs="Arial"/>
                <w:color w:val="000000" w:themeColor="text1"/>
                <w:szCs w:val="16"/>
              </w:rPr>
            </w:pPr>
            <w:r w:rsidRPr="00781112">
              <w:rPr>
                <w:rFonts w:cs="Arial"/>
                <w:color w:val="000000" w:themeColor="text1"/>
                <w:szCs w:val="16"/>
              </w:rPr>
              <w:lastRenderedPageBreak/>
              <w:t>SY 2020-21 Exiting Data Groups (EDFacts file spec FS009; Data Group 85)</w:t>
            </w:r>
          </w:p>
        </w:tc>
        <w:tc>
          <w:tcPr>
            <w:tcW w:w="987" w:type="pct"/>
            <w:shd w:val="clear" w:color="auto" w:fill="auto"/>
          </w:tcPr>
          <w:p w14:paraId="3137C3E8" w14:textId="1C4E2EC1" w:rsidR="0011161A" w:rsidRPr="00781112" w:rsidRDefault="0011161A" w:rsidP="0011161A">
            <w:pPr>
              <w:jc w:val="center"/>
              <w:rPr>
                <w:rFonts w:cs="Arial"/>
                <w:color w:val="000000" w:themeColor="text1"/>
                <w:szCs w:val="16"/>
              </w:rPr>
            </w:pPr>
            <w:r w:rsidRPr="00781112">
              <w:rPr>
                <w:rFonts w:cs="Arial"/>
                <w:color w:val="000000" w:themeColor="text1"/>
                <w:szCs w:val="16"/>
              </w:rPr>
              <w:t>05/25/2022</w:t>
            </w:r>
          </w:p>
        </w:tc>
        <w:tc>
          <w:tcPr>
            <w:tcW w:w="2284" w:type="pct"/>
            <w:shd w:val="clear" w:color="auto" w:fill="auto"/>
          </w:tcPr>
          <w:p w14:paraId="436358B9" w14:textId="1F75CF67" w:rsidR="0011161A" w:rsidRPr="00781112" w:rsidRDefault="0011161A" w:rsidP="0011161A">
            <w:pPr>
              <w:rPr>
                <w:rFonts w:cs="Arial"/>
                <w:color w:val="000000" w:themeColor="text1"/>
                <w:szCs w:val="16"/>
              </w:rPr>
            </w:pPr>
            <w:r w:rsidRPr="00781112">
              <w:rPr>
                <w:rFonts w:cs="Arial"/>
                <w:color w:val="000000" w:themeColor="text1"/>
                <w:szCs w:val="16"/>
              </w:rPr>
              <w:t xml:space="preserve">Number of </w:t>
            </w:r>
            <w:proofErr w:type="gramStart"/>
            <w:r w:rsidRPr="00781112">
              <w:rPr>
                <w:rFonts w:cs="Arial"/>
                <w:color w:val="000000" w:themeColor="text1"/>
                <w:szCs w:val="16"/>
              </w:rPr>
              <w:t>youth</w:t>
            </w:r>
            <w:proofErr w:type="gramEnd"/>
            <w:r w:rsidRPr="00781112">
              <w:rPr>
                <w:rFonts w:cs="Arial"/>
                <w:color w:val="000000" w:themeColor="text1"/>
                <w:szCs w:val="16"/>
              </w:rPr>
              <w:t xml:space="preserve"> with IEPs (ages 14-21) who exited special education by receiving a certificate (c)</w:t>
            </w:r>
          </w:p>
        </w:tc>
        <w:tc>
          <w:tcPr>
            <w:tcW w:w="726" w:type="pct"/>
            <w:shd w:val="clear" w:color="auto" w:fill="auto"/>
          </w:tcPr>
          <w:p w14:paraId="554F88F2" w14:textId="623A3342" w:rsidR="0011161A" w:rsidRPr="00781112" w:rsidRDefault="0011161A" w:rsidP="0011161A">
            <w:pPr>
              <w:jc w:val="center"/>
              <w:rPr>
                <w:rFonts w:cs="Arial"/>
                <w:color w:val="000000" w:themeColor="text1"/>
                <w:szCs w:val="16"/>
              </w:rPr>
            </w:pPr>
            <w:r w:rsidRPr="00781112">
              <w:rPr>
                <w:rFonts w:cs="Arial"/>
                <w:color w:val="000000" w:themeColor="text1"/>
                <w:szCs w:val="16"/>
              </w:rPr>
              <w:t>207</w:t>
            </w:r>
          </w:p>
        </w:tc>
      </w:tr>
      <w:tr w:rsidR="0011161A" w:rsidRPr="00781112" w14:paraId="56B284E9" w14:textId="77777777" w:rsidTr="0011161A">
        <w:trPr>
          <w:trHeight w:val="380"/>
        </w:trPr>
        <w:tc>
          <w:tcPr>
            <w:tcW w:w="1003" w:type="pct"/>
            <w:shd w:val="clear" w:color="auto" w:fill="auto"/>
          </w:tcPr>
          <w:p w14:paraId="73E78D27" w14:textId="6A11D514" w:rsidR="0011161A" w:rsidRPr="00781112" w:rsidRDefault="0011161A" w:rsidP="0011161A">
            <w:pPr>
              <w:jc w:val="center"/>
              <w:rPr>
                <w:rFonts w:cs="Arial"/>
                <w:color w:val="000000" w:themeColor="text1"/>
                <w:szCs w:val="16"/>
              </w:rPr>
            </w:pPr>
            <w:r w:rsidRPr="00781112">
              <w:rPr>
                <w:rFonts w:cs="Arial"/>
                <w:color w:val="000000" w:themeColor="text1"/>
                <w:szCs w:val="16"/>
              </w:rPr>
              <w:t>SY 2020-21 Exiting Data Groups (EDFacts file spec FS009; Data Group 85)</w:t>
            </w:r>
          </w:p>
        </w:tc>
        <w:tc>
          <w:tcPr>
            <w:tcW w:w="987" w:type="pct"/>
            <w:shd w:val="clear" w:color="auto" w:fill="auto"/>
          </w:tcPr>
          <w:p w14:paraId="151F192A" w14:textId="492844E5" w:rsidR="0011161A" w:rsidRPr="00781112" w:rsidRDefault="0011161A" w:rsidP="0011161A">
            <w:pPr>
              <w:jc w:val="center"/>
              <w:rPr>
                <w:rFonts w:cs="Arial"/>
                <w:color w:val="000000" w:themeColor="text1"/>
                <w:szCs w:val="16"/>
              </w:rPr>
            </w:pPr>
            <w:r w:rsidRPr="00781112">
              <w:rPr>
                <w:rFonts w:cs="Arial"/>
                <w:color w:val="000000" w:themeColor="text1"/>
                <w:szCs w:val="16"/>
              </w:rPr>
              <w:t>05/25/2022</w:t>
            </w:r>
          </w:p>
        </w:tc>
        <w:tc>
          <w:tcPr>
            <w:tcW w:w="2284" w:type="pct"/>
            <w:shd w:val="clear" w:color="auto" w:fill="auto"/>
          </w:tcPr>
          <w:p w14:paraId="65152DCF" w14:textId="4124B416" w:rsidR="0011161A" w:rsidRPr="00781112" w:rsidRDefault="0011161A" w:rsidP="0011161A">
            <w:pPr>
              <w:rPr>
                <w:rFonts w:cs="Arial"/>
                <w:color w:val="000000" w:themeColor="text1"/>
                <w:szCs w:val="16"/>
              </w:rPr>
            </w:pPr>
            <w:r w:rsidRPr="00781112">
              <w:rPr>
                <w:rFonts w:cs="Arial"/>
                <w:color w:val="000000" w:themeColor="text1"/>
                <w:szCs w:val="16"/>
              </w:rPr>
              <w:t xml:space="preserve">Number of </w:t>
            </w:r>
            <w:proofErr w:type="gramStart"/>
            <w:r w:rsidRPr="00781112">
              <w:rPr>
                <w:rFonts w:cs="Arial"/>
                <w:color w:val="000000" w:themeColor="text1"/>
                <w:szCs w:val="16"/>
              </w:rPr>
              <w:t>youth</w:t>
            </w:r>
            <w:proofErr w:type="gramEnd"/>
            <w:r w:rsidRPr="00781112">
              <w:rPr>
                <w:rFonts w:cs="Arial"/>
                <w:color w:val="000000" w:themeColor="text1"/>
                <w:szCs w:val="16"/>
              </w:rPr>
              <w:t xml:space="preserve"> with IEPs (ages 14-21) who exited special education by reaching maximum age (d)</w:t>
            </w:r>
          </w:p>
        </w:tc>
        <w:tc>
          <w:tcPr>
            <w:tcW w:w="726" w:type="pct"/>
            <w:shd w:val="clear" w:color="auto" w:fill="auto"/>
          </w:tcPr>
          <w:p w14:paraId="788B37F6" w14:textId="1E312572" w:rsidR="0011161A" w:rsidRPr="00781112" w:rsidRDefault="0011161A" w:rsidP="0011161A">
            <w:pPr>
              <w:jc w:val="center"/>
              <w:rPr>
                <w:rFonts w:cs="Arial"/>
                <w:color w:val="000000" w:themeColor="text1"/>
                <w:szCs w:val="16"/>
              </w:rPr>
            </w:pPr>
            <w:r w:rsidRPr="00781112">
              <w:rPr>
                <w:rFonts w:cs="Arial"/>
                <w:color w:val="000000" w:themeColor="text1"/>
                <w:szCs w:val="16"/>
              </w:rPr>
              <w:t>89</w:t>
            </w:r>
          </w:p>
        </w:tc>
      </w:tr>
      <w:tr w:rsidR="005C29F8" w:rsidRPr="00781112" w14:paraId="245FE023" w14:textId="77777777" w:rsidTr="0011161A">
        <w:trPr>
          <w:trHeight w:val="380"/>
        </w:trPr>
        <w:tc>
          <w:tcPr>
            <w:tcW w:w="1003" w:type="pct"/>
            <w:shd w:val="clear" w:color="auto" w:fill="auto"/>
          </w:tcPr>
          <w:p w14:paraId="67B529F8" w14:textId="28E7DCDC" w:rsidR="00C470E8" w:rsidRPr="00781112" w:rsidRDefault="008A2533" w:rsidP="00A018D4">
            <w:pPr>
              <w:jc w:val="center"/>
              <w:rPr>
                <w:rFonts w:cs="Arial"/>
                <w:color w:val="000000" w:themeColor="text1"/>
                <w:szCs w:val="16"/>
              </w:rPr>
            </w:pPr>
            <w:r w:rsidRPr="00781112">
              <w:rPr>
                <w:rFonts w:cs="Arial"/>
                <w:color w:val="000000" w:themeColor="text1"/>
                <w:szCs w:val="16"/>
              </w:rPr>
              <w:t>SY 2020-21 Exiting Data Groups (EDFacts file spec FS009; Data Group 85)</w:t>
            </w:r>
          </w:p>
        </w:tc>
        <w:tc>
          <w:tcPr>
            <w:tcW w:w="987" w:type="pct"/>
            <w:shd w:val="clear" w:color="auto" w:fill="auto"/>
          </w:tcPr>
          <w:p w14:paraId="2C17EFE7" w14:textId="6210AB54" w:rsidR="00C470E8" w:rsidRPr="00781112" w:rsidRDefault="008A2533" w:rsidP="00A018D4">
            <w:pPr>
              <w:jc w:val="center"/>
              <w:rPr>
                <w:rFonts w:cs="Arial"/>
                <w:color w:val="000000" w:themeColor="text1"/>
                <w:szCs w:val="16"/>
              </w:rPr>
            </w:pPr>
            <w:r w:rsidRPr="00781112">
              <w:rPr>
                <w:rFonts w:cs="Arial"/>
                <w:color w:val="000000" w:themeColor="text1"/>
                <w:szCs w:val="16"/>
              </w:rPr>
              <w:t>05/25/2022</w:t>
            </w:r>
          </w:p>
        </w:tc>
        <w:tc>
          <w:tcPr>
            <w:tcW w:w="2284" w:type="pct"/>
            <w:shd w:val="clear" w:color="auto" w:fill="auto"/>
          </w:tcPr>
          <w:p w14:paraId="2D5B3E78" w14:textId="5F9109CF" w:rsidR="00C470E8" w:rsidRPr="00781112" w:rsidRDefault="00C470E8" w:rsidP="00C470E8">
            <w:pPr>
              <w:rPr>
                <w:rFonts w:cs="Arial"/>
                <w:color w:val="000000" w:themeColor="text1"/>
                <w:szCs w:val="16"/>
              </w:rPr>
            </w:pPr>
            <w:r w:rsidRPr="00781112">
              <w:rPr>
                <w:rFonts w:cs="Arial"/>
                <w:color w:val="000000" w:themeColor="text1"/>
                <w:szCs w:val="16"/>
              </w:rPr>
              <w:t xml:space="preserve">Number of </w:t>
            </w:r>
            <w:proofErr w:type="gramStart"/>
            <w:r w:rsidRPr="00781112">
              <w:rPr>
                <w:rFonts w:cs="Arial"/>
                <w:color w:val="000000" w:themeColor="text1"/>
                <w:szCs w:val="16"/>
              </w:rPr>
              <w:t>youth</w:t>
            </w:r>
            <w:proofErr w:type="gramEnd"/>
            <w:r w:rsidRPr="00781112">
              <w:rPr>
                <w:rFonts w:cs="Arial"/>
                <w:color w:val="000000" w:themeColor="text1"/>
                <w:szCs w:val="16"/>
              </w:rPr>
              <w:t xml:space="preserve"> with IEPs (ages 14-21) who exited special education due to dropping out (e)</w:t>
            </w:r>
          </w:p>
        </w:tc>
        <w:tc>
          <w:tcPr>
            <w:tcW w:w="726" w:type="pct"/>
            <w:shd w:val="clear" w:color="auto" w:fill="auto"/>
          </w:tcPr>
          <w:p w14:paraId="20785B5C" w14:textId="176AF317" w:rsidR="00C470E8" w:rsidRPr="00781112" w:rsidRDefault="00FE0F05" w:rsidP="00A018D4">
            <w:pPr>
              <w:jc w:val="center"/>
              <w:rPr>
                <w:rFonts w:cs="Arial"/>
                <w:color w:val="000000" w:themeColor="text1"/>
                <w:szCs w:val="16"/>
              </w:rPr>
            </w:pPr>
            <w:r w:rsidRPr="00781112">
              <w:rPr>
                <w:rFonts w:cs="Arial"/>
                <w:color w:val="000000" w:themeColor="text1"/>
                <w:szCs w:val="16"/>
              </w:rPr>
              <w:t>1,428</w:t>
            </w:r>
          </w:p>
        </w:tc>
      </w:tr>
    </w:tbl>
    <w:p w14:paraId="7CE42756" w14:textId="445D9372" w:rsidR="00654A4B" w:rsidRPr="00781112" w:rsidRDefault="00654A4B" w:rsidP="004369B2">
      <w:pPr>
        <w:rPr>
          <w:color w:val="000000" w:themeColor="text1"/>
        </w:rPr>
      </w:pPr>
    </w:p>
    <w:p w14:paraId="4463AFB2" w14:textId="259E343E" w:rsidR="00C96339" w:rsidRPr="00781112" w:rsidRDefault="0047313F" w:rsidP="004369B2">
      <w:pPr>
        <w:rPr>
          <w:color w:val="000000" w:themeColor="text1"/>
        </w:rPr>
      </w:pPr>
      <w:r>
        <w:rPr>
          <w:b/>
          <w:color w:val="000000" w:themeColor="text1"/>
        </w:rPr>
        <w:t xml:space="preserve">FFY 2021 SPP/APR Data </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2CFFYAPRDATAOPT1"/>
      </w:tblPr>
      <w:tblGrid>
        <w:gridCol w:w="1528"/>
        <w:gridCol w:w="1507"/>
        <w:gridCol w:w="1367"/>
        <w:gridCol w:w="2088"/>
        <w:gridCol w:w="1228"/>
        <w:gridCol w:w="1563"/>
        <w:gridCol w:w="1513"/>
      </w:tblGrid>
      <w:tr w:rsidR="0047313F" w:rsidRPr="00781112" w14:paraId="5C4D1C2F" w14:textId="77777777" w:rsidTr="004D0044">
        <w:trPr>
          <w:trHeight w:val="359"/>
          <w:tblHeader/>
        </w:trPr>
        <w:tc>
          <w:tcPr>
            <w:tcW w:w="708" w:type="pct"/>
            <w:shd w:val="clear" w:color="auto" w:fill="auto"/>
            <w:vAlign w:val="bottom"/>
          </w:tcPr>
          <w:p w14:paraId="3F5808F2" w14:textId="257E84C8" w:rsidR="0047313F" w:rsidRPr="00781112" w:rsidRDefault="0047313F" w:rsidP="0047313F">
            <w:pPr>
              <w:jc w:val="center"/>
              <w:rPr>
                <w:rFonts w:cs="Arial"/>
                <w:b/>
                <w:color w:val="000000" w:themeColor="text1"/>
                <w:szCs w:val="16"/>
              </w:rPr>
            </w:pPr>
            <w:r w:rsidRPr="00781112">
              <w:rPr>
                <w:rFonts w:cs="Arial"/>
                <w:b/>
                <w:color w:val="000000" w:themeColor="text1"/>
                <w:szCs w:val="16"/>
              </w:rPr>
              <w:t xml:space="preserve">Number of </w:t>
            </w:r>
            <w:proofErr w:type="gramStart"/>
            <w:r w:rsidRPr="00781112">
              <w:rPr>
                <w:rFonts w:cs="Arial"/>
                <w:b/>
                <w:color w:val="000000" w:themeColor="text1"/>
                <w:szCs w:val="16"/>
              </w:rPr>
              <w:t>youth</w:t>
            </w:r>
            <w:proofErr w:type="gramEnd"/>
            <w:r w:rsidRPr="00781112">
              <w:rPr>
                <w:rFonts w:cs="Arial"/>
                <w:b/>
                <w:color w:val="000000" w:themeColor="text1"/>
                <w:szCs w:val="16"/>
              </w:rPr>
              <w:t xml:space="preserve"> with IEPs (ages 14-21) who exited special education due to dropping out</w:t>
            </w:r>
          </w:p>
        </w:tc>
        <w:tc>
          <w:tcPr>
            <w:tcW w:w="698" w:type="pct"/>
            <w:shd w:val="clear" w:color="auto" w:fill="auto"/>
            <w:vAlign w:val="bottom"/>
          </w:tcPr>
          <w:p w14:paraId="2F5BF81E" w14:textId="25314F83" w:rsidR="0047313F" w:rsidRPr="00781112" w:rsidRDefault="0047313F" w:rsidP="0047313F">
            <w:pPr>
              <w:jc w:val="center"/>
              <w:rPr>
                <w:rFonts w:cs="Arial"/>
                <w:color w:val="000000" w:themeColor="text1"/>
                <w:szCs w:val="16"/>
              </w:rPr>
            </w:pPr>
            <w:r w:rsidRPr="008137CC">
              <w:rPr>
                <w:rFonts w:cs="Arial"/>
                <w:b/>
                <w:color w:val="000000" w:themeColor="text1"/>
                <w:szCs w:val="16"/>
              </w:rPr>
              <w:t xml:space="preserve">Number of all youth with IEPs who exited special education (ages 14-21)  </w:t>
            </w:r>
          </w:p>
        </w:tc>
        <w:tc>
          <w:tcPr>
            <w:tcW w:w="633" w:type="pct"/>
            <w:shd w:val="clear" w:color="auto" w:fill="auto"/>
            <w:vAlign w:val="bottom"/>
          </w:tcPr>
          <w:p w14:paraId="764A6652" w14:textId="4146FF5F" w:rsidR="0047313F" w:rsidRPr="00073BD7" w:rsidRDefault="0047313F" w:rsidP="0047313F">
            <w:pPr>
              <w:jc w:val="center"/>
              <w:rPr>
                <w:rFonts w:cs="Arial"/>
                <w:b/>
                <w:bCs/>
                <w:color w:val="000000" w:themeColor="text1"/>
                <w:szCs w:val="16"/>
              </w:rPr>
            </w:pPr>
            <w:r w:rsidRPr="00073BD7">
              <w:rPr>
                <w:b/>
                <w:bCs/>
              </w:rPr>
              <w:t>FFY 2020 Data</w:t>
            </w:r>
          </w:p>
        </w:tc>
        <w:tc>
          <w:tcPr>
            <w:tcW w:w="967" w:type="pct"/>
            <w:shd w:val="clear" w:color="auto" w:fill="auto"/>
            <w:vAlign w:val="bottom"/>
          </w:tcPr>
          <w:p w14:paraId="1F444650" w14:textId="5BBFB8FA" w:rsidR="0047313F" w:rsidRPr="00073BD7" w:rsidRDefault="0047313F" w:rsidP="0047313F">
            <w:pPr>
              <w:jc w:val="center"/>
              <w:rPr>
                <w:rFonts w:cs="Arial"/>
                <w:b/>
                <w:bCs/>
                <w:color w:val="000000" w:themeColor="text1"/>
                <w:szCs w:val="16"/>
              </w:rPr>
            </w:pPr>
            <w:r w:rsidRPr="00073BD7">
              <w:rPr>
                <w:b/>
                <w:bCs/>
              </w:rPr>
              <w:t>FFY 2021 Target</w:t>
            </w:r>
          </w:p>
        </w:tc>
        <w:tc>
          <w:tcPr>
            <w:tcW w:w="569" w:type="pct"/>
            <w:shd w:val="clear" w:color="auto" w:fill="auto"/>
            <w:vAlign w:val="bottom"/>
          </w:tcPr>
          <w:p w14:paraId="194A1B8B" w14:textId="65282403" w:rsidR="0047313F" w:rsidRPr="00073BD7" w:rsidRDefault="0047313F" w:rsidP="0047313F">
            <w:pPr>
              <w:jc w:val="center"/>
              <w:rPr>
                <w:rFonts w:cs="Arial"/>
                <w:b/>
                <w:bCs/>
                <w:color w:val="000000" w:themeColor="text1"/>
                <w:szCs w:val="16"/>
              </w:rPr>
            </w:pPr>
            <w:r w:rsidRPr="00073BD7">
              <w:rPr>
                <w:b/>
                <w:bCs/>
              </w:rPr>
              <w:t>FFY 2021 Data</w:t>
            </w:r>
          </w:p>
        </w:tc>
        <w:tc>
          <w:tcPr>
            <w:tcW w:w="724" w:type="pct"/>
            <w:shd w:val="clear" w:color="auto" w:fill="auto"/>
            <w:vAlign w:val="bottom"/>
          </w:tcPr>
          <w:p w14:paraId="4B0F6AFA" w14:textId="77777777" w:rsidR="0047313F" w:rsidRPr="00781112" w:rsidRDefault="0047313F" w:rsidP="0047313F">
            <w:pPr>
              <w:jc w:val="center"/>
              <w:rPr>
                <w:rFonts w:cs="Arial"/>
                <w:b/>
                <w:color w:val="000000" w:themeColor="text1"/>
                <w:szCs w:val="16"/>
              </w:rPr>
            </w:pPr>
            <w:r w:rsidRPr="00781112">
              <w:rPr>
                <w:rFonts w:cs="Arial"/>
                <w:b/>
                <w:color w:val="000000" w:themeColor="text1"/>
                <w:szCs w:val="16"/>
              </w:rPr>
              <w:t>Status</w:t>
            </w:r>
          </w:p>
        </w:tc>
        <w:tc>
          <w:tcPr>
            <w:tcW w:w="701" w:type="pct"/>
            <w:shd w:val="clear" w:color="auto" w:fill="auto"/>
            <w:vAlign w:val="bottom"/>
          </w:tcPr>
          <w:p w14:paraId="2987DD9A" w14:textId="77777777" w:rsidR="0047313F" w:rsidRPr="00781112" w:rsidRDefault="0047313F" w:rsidP="0047313F">
            <w:pPr>
              <w:jc w:val="center"/>
              <w:rPr>
                <w:rFonts w:cs="Arial"/>
                <w:b/>
                <w:color w:val="000000" w:themeColor="text1"/>
                <w:szCs w:val="16"/>
              </w:rPr>
            </w:pPr>
            <w:r w:rsidRPr="00781112">
              <w:rPr>
                <w:rFonts w:cs="Arial"/>
                <w:b/>
                <w:color w:val="000000" w:themeColor="text1"/>
                <w:szCs w:val="16"/>
              </w:rPr>
              <w:t>Slippage</w:t>
            </w:r>
          </w:p>
        </w:tc>
      </w:tr>
      <w:tr w:rsidR="005C29F8" w:rsidRPr="00781112" w14:paraId="2928907F" w14:textId="77777777" w:rsidTr="004D0044">
        <w:trPr>
          <w:trHeight w:val="366"/>
        </w:trPr>
        <w:tc>
          <w:tcPr>
            <w:tcW w:w="708" w:type="pct"/>
            <w:shd w:val="clear" w:color="auto" w:fill="auto"/>
            <w:vAlign w:val="center"/>
          </w:tcPr>
          <w:p w14:paraId="153F1C9B" w14:textId="5227014D" w:rsidR="00C96339" w:rsidRPr="00781112" w:rsidRDefault="002B7490" w:rsidP="00A018D4">
            <w:pPr>
              <w:jc w:val="center"/>
              <w:rPr>
                <w:rFonts w:cs="Arial"/>
                <w:color w:val="000000" w:themeColor="text1"/>
                <w:szCs w:val="16"/>
              </w:rPr>
            </w:pPr>
            <w:r w:rsidRPr="00781112">
              <w:rPr>
                <w:rFonts w:cs="Arial"/>
                <w:color w:val="000000" w:themeColor="text1"/>
                <w:szCs w:val="16"/>
              </w:rPr>
              <w:t>1,428</w:t>
            </w:r>
          </w:p>
        </w:tc>
        <w:tc>
          <w:tcPr>
            <w:tcW w:w="698" w:type="pct"/>
            <w:shd w:val="clear" w:color="auto" w:fill="auto"/>
            <w:vAlign w:val="center"/>
          </w:tcPr>
          <w:p w14:paraId="31391E82" w14:textId="0E0F2A0A" w:rsidR="00C96339" w:rsidRPr="00781112" w:rsidRDefault="002B7490" w:rsidP="00A018D4">
            <w:pPr>
              <w:jc w:val="center"/>
              <w:rPr>
                <w:rFonts w:cs="Arial"/>
                <w:color w:val="000000" w:themeColor="text1"/>
                <w:szCs w:val="16"/>
              </w:rPr>
            </w:pPr>
            <w:r w:rsidRPr="00781112">
              <w:rPr>
                <w:rFonts w:cs="Arial"/>
                <w:color w:val="000000" w:themeColor="text1"/>
                <w:szCs w:val="16"/>
              </w:rPr>
              <w:t>5,696</w:t>
            </w:r>
          </w:p>
        </w:tc>
        <w:tc>
          <w:tcPr>
            <w:tcW w:w="633" w:type="pct"/>
            <w:shd w:val="clear" w:color="auto" w:fill="auto"/>
          </w:tcPr>
          <w:p w14:paraId="77541D8A" w14:textId="254EC6F2" w:rsidR="00C96339" w:rsidRPr="00781112" w:rsidRDefault="002B7490" w:rsidP="00A018D4">
            <w:pPr>
              <w:jc w:val="center"/>
              <w:rPr>
                <w:rFonts w:cs="Arial"/>
                <w:color w:val="000000" w:themeColor="text1"/>
                <w:szCs w:val="16"/>
              </w:rPr>
            </w:pPr>
            <w:r w:rsidRPr="00781112">
              <w:rPr>
                <w:rFonts w:cs="Arial"/>
                <w:color w:val="000000" w:themeColor="text1"/>
                <w:szCs w:val="16"/>
              </w:rPr>
              <w:t>17.27%</w:t>
            </w:r>
          </w:p>
        </w:tc>
        <w:tc>
          <w:tcPr>
            <w:tcW w:w="967" w:type="pct"/>
            <w:shd w:val="clear" w:color="auto" w:fill="auto"/>
          </w:tcPr>
          <w:p w14:paraId="70FE3FCD" w14:textId="1A7F9FE0" w:rsidR="00C96339" w:rsidRPr="00781112" w:rsidRDefault="002B7490" w:rsidP="00A018D4">
            <w:pPr>
              <w:jc w:val="center"/>
              <w:rPr>
                <w:rFonts w:cs="Arial"/>
                <w:color w:val="000000" w:themeColor="text1"/>
                <w:szCs w:val="16"/>
              </w:rPr>
            </w:pPr>
            <w:r w:rsidRPr="00781112">
              <w:rPr>
                <w:rFonts w:cs="Arial"/>
                <w:color w:val="000000" w:themeColor="text1"/>
                <w:szCs w:val="16"/>
              </w:rPr>
              <w:t>25.81%</w:t>
            </w:r>
          </w:p>
        </w:tc>
        <w:tc>
          <w:tcPr>
            <w:tcW w:w="569" w:type="pct"/>
            <w:shd w:val="clear" w:color="auto" w:fill="auto"/>
          </w:tcPr>
          <w:p w14:paraId="64E2814C" w14:textId="135DB5EE" w:rsidR="00C96339" w:rsidRPr="00781112" w:rsidRDefault="002B7490" w:rsidP="00A018D4">
            <w:pPr>
              <w:jc w:val="center"/>
              <w:rPr>
                <w:rFonts w:cs="Arial"/>
                <w:color w:val="000000" w:themeColor="text1"/>
                <w:szCs w:val="16"/>
              </w:rPr>
            </w:pPr>
            <w:r w:rsidRPr="00781112">
              <w:rPr>
                <w:rFonts w:cs="Arial"/>
                <w:color w:val="000000" w:themeColor="text1"/>
                <w:szCs w:val="16"/>
              </w:rPr>
              <w:t>25.07%</w:t>
            </w:r>
          </w:p>
        </w:tc>
        <w:tc>
          <w:tcPr>
            <w:tcW w:w="724" w:type="pct"/>
            <w:shd w:val="clear" w:color="auto" w:fill="auto"/>
          </w:tcPr>
          <w:p w14:paraId="60873B1E" w14:textId="3A0A0AC5" w:rsidR="00C96339"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701" w:type="pct"/>
            <w:shd w:val="clear" w:color="auto" w:fill="auto"/>
          </w:tcPr>
          <w:p w14:paraId="3EF3C710" w14:textId="04969BC1" w:rsidR="00C96339"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p w14:paraId="27A2EAFB" w14:textId="5DAAB5B0" w:rsidR="00A87A9D" w:rsidRPr="00781112" w:rsidRDefault="0083500D" w:rsidP="00552927">
      <w:pPr>
        <w:rPr>
          <w:rFonts w:cs="Arial"/>
          <w:b/>
          <w:color w:val="000000" w:themeColor="text1"/>
          <w:szCs w:val="16"/>
        </w:rPr>
      </w:pPr>
      <w:r w:rsidRPr="00781112">
        <w:rPr>
          <w:rFonts w:cs="Arial"/>
          <w:b/>
          <w:color w:val="000000" w:themeColor="text1"/>
          <w:szCs w:val="16"/>
        </w:rPr>
        <w:t>Provide a narrative that describes what counts as dropping out for all youth</w:t>
      </w:r>
    </w:p>
    <w:p w14:paraId="32A15CDA" w14:textId="3CA05678" w:rsidR="00A869E9" w:rsidRPr="00781112" w:rsidRDefault="002B7490" w:rsidP="000E33D0">
      <w:pPr>
        <w:rPr>
          <w:rFonts w:cs="Arial"/>
          <w:color w:val="000000" w:themeColor="text1"/>
          <w:szCs w:val="16"/>
          <w:shd w:val="clear" w:color="auto" w:fill="FFFFFF"/>
        </w:rPr>
      </w:pPr>
      <w:r w:rsidRPr="00781112">
        <w:rPr>
          <w:rFonts w:cs="Arial"/>
          <w:color w:val="000000" w:themeColor="text1"/>
          <w:szCs w:val="16"/>
          <w:shd w:val="clear" w:color="auto" w:fill="FFFFFF"/>
        </w:rPr>
        <w:t>Utah identifies dropouts in two ways: 1) The student did not complete the school year and exited as a dropout (left with an exit reason of Unknown, Withdrawn, Dropout, Expelled, Moved but is not known to be continuing in another educational program, Transferred to Adult Education, Exited to Take the Graduation Educational Development (GED), or exited with a Graduation Pending status for which graduation requirements were not completed by September 30 of the following school year); 2) The student ended the school year with the expectation the student would return to school the next year, but the student was not enrolled by September 30 of the following school year (summer dropouts).</w:t>
      </w:r>
    </w:p>
    <w:p w14:paraId="6E220BF0" w14:textId="157218DF" w:rsidR="00DD051F" w:rsidRPr="00781112" w:rsidRDefault="00DD051F" w:rsidP="000E33D0">
      <w:pPr>
        <w:rPr>
          <w:rFonts w:cs="Arial"/>
          <w:b/>
          <w:color w:val="000000" w:themeColor="text1"/>
          <w:szCs w:val="16"/>
        </w:rPr>
      </w:pPr>
      <w:r w:rsidRPr="00781112">
        <w:rPr>
          <w:rFonts w:cs="Arial"/>
          <w:b/>
          <w:color w:val="000000" w:themeColor="text1"/>
          <w:szCs w:val="16"/>
        </w:rPr>
        <w:t>Is there a difference in what counts as dropping out for youth with IEPs? (yes/no)</w:t>
      </w:r>
    </w:p>
    <w:p w14:paraId="5530CE18" w14:textId="2E8B8BC5" w:rsidR="00DD051F" w:rsidRPr="00781112" w:rsidRDefault="00DD051F" w:rsidP="000E33D0">
      <w:pPr>
        <w:rPr>
          <w:rFonts w:cs="Arial"/>
          <w:color w:val="000000" w:themeColor="text1"/>
          <w:szCs w:val="16"/>
        </w:rPr>
      </w:pPr>
      <w:r w:rsidRPr="00781112">
        <w:rPr>
          <w:rFonts w:cs="Arial"/>
          <w:color w:val="000000" w:themeColor="text1"/>
          <w:szCs w:val="16"/>
        </w:rPr>
        <w:t>NO</w:t>
      </w:r>
    </w:p>
    <w:p w14:paraId="4903B3F9" w14:textId="50D12777" w:rsidR="00E418E6" w:rsidRPr="00781112" w:rsidRDefault="00B7068F" w:rsidP="004369B2">
      <w:pPr>
        <w:rPr>
          <w:b/>
          <w:color w:val="000000" w:themeColor="text1"/>
        </w:rPr>
      </w:pPr>
      <w:r w:rsidRPr="00781112">
        <w:rPr>
          <w:b/>
          <w:color w:val="000000" w:themeColor="text1"/>
        </w:rPr>
        <w:t>If yes, explain the difference in what counts as dropping out for youth with IEPs.</w:t>
      </w:r>
    </w:p>
    <w:p w14:paraId="79A7C25A" w14:textId="1EDF1407" w:rsidR="00A869E9" w:rsidRPr="00781112" w:rsidRDefault="00A869E9" w:rsidP="000E33D0">
      <w:pPr>
        <w:rPr>
          <w:rFonts w:cs="Arial"/>
          <w:color w:val="000000" w:themeColor="text1"/>
          <w:szCs w:val="16"/>
          <w:shd w:val="clear" w:color="auto" w:fill="FFFFFF"/>
        </w:rPr>
      </w:pPr>
    </w:p>
    <w:p w14:paraId="44F7B282" w14:textId="77777777" w:rsidR="00F56834" w:rsidRPr="00781112" w:rsidRDefault="00F56834" w:rsidP="004369B2">
      <w:pPr>
        <w:rPr>
          <w:b/>
          <w:color w:val="000000" w:themeColor="text1"/>
        </w:rPr>
      </w:pPr>
      <w:bookmarkStart w:id="11" w:name="_Toc382082362"/>
      <w:bookmarkStart w:id="12" w:name="_Toc392159270"/>
      <w:bookmarkStart w:id="13" w:name="_Toc365403651"/>
      <w:r w:rsidRPr="00781112">
        <w:rPr>
          <w:b/>
          <w:color w:val="000000" w:themeColor="text1"/>
        </w:rPr>
        <w:t>Provide additional information about this indicator (optional)</w:t>
      </w:r>
    </w:p>
    <w:p w14:paraId="4492AB5A" w14:textId="63C5DA7E" w:rsidR="00A869E9" w:rsidRPr="00781112" w:rsidRDefault="002B7490" w:rsidP="000E33D0">
      <w:pPr>
        <w:rPr>
          <w:rFonts w:cs="Arial"/>
          <w:color w:val="000000" w:themeColor="text1"/>
          <w:szCs w:val="16"/>
        </w:rPr>
      </w:pPr>
      <w:r w:rsidRPr="00781112">
        <w:rPr>
          <w:rFonts w:cs="Arial"/>
          <w:color w:val="000000" w:themeColor="text1"/>
          <w:szCs w:val="16"/>
          <w:shd w:val="clear" w:color="auto" w:fill="FFFFFF"/>
        </w:rPr>
        <w:t xml:space="preserve">The prepopulated EDFacts Data above </w:t>
      </w:r>
      <w:proofErr w:type="gramStart"/>
      <w:r w:rsidRPr="00781112">
        <w:rPr>
          <w:rFonts w:cs="Arial"/>
          <w:color w:val="000000" w:themeColor="text1"/>
          <w:szCs w:val="16"/>
          <w:shd w:val="clear" w:color="auto" w:fill="FFFFFF"/>
        </w:rPr>
        <w:t>are</w:t>
      </w:r>
      <w:proofErr w:type="gramEnd"/>
      <w:r w:rsidRPr="00781112">
        <w:rPr>
          <w:rFonts w:cs="Arial"/>
          <w:color w:val="000000" w:themeColor="text1"/>
          <w:szCs w:val="16"/>
          <w:shd w:val="clear" w:color="auto" w:fill="FFFFFF"/>
        </w:rPr>
        <w:t xml:space="preserve"> incorrect for FFY 2021. The correct data are:</w:t>
      </w:r>
      <w:r w:rsidRPr="00781112">
        <w:rPr>
          <w:rFonts w:cs="Arial"/>
          <w:color w:val="000000" w:themeColor="text1"/>
          <w:szCs w:val="16"/>
          <w:shd w:val="clear" w:color="auto" w:fill="FFFFFF"/>
        </w:rPr>
        <w:br/>
        <w:t>• Number of youth with IEPs (ages 14-21) who exited special education by graduating with a regular high school diploma (a) = 3,657</w:t>
      </w:r>
      <w:r w:rsidRPr="00781112">
        <w:rPr>
          <w:rFonts w:cs="Arial"/>
          <w:color w:val="000000" w:themeColor="text1"/>
          <w:szCs w:val="16"/>
          <w:shd w:val="clear" w:color="auto" w:fill="FFFFFF"/>
        </w:rPr>
        <w:br/>
        <w:t>• Number of youth with IEPs (ages 14-21) who exited special education by graduating with a state-defined alternate diploma (b) = 158</w:t>
      </w:r>
      <w:r w:rsidRPr="00781112">
        <w:rPr>
          <w:rFonts w:cs="Arial"/>
          <w:color w:val="000000" w:themeColor="text1"/>
          <w:szCs w:val="16"/>
          <w:shd w:val="clear" w:color="auto" w:fill="FFFFFF"/>
        </w:rPr>
        <w:br/>
        <w:t>• Number of youth with IEPs (ages 14-21) who exited special education by receiving a certificate (c) = 200</w:t>
      </w:r>
      <w:r w:rsidRPr="00781112">
        <w:rPr>
          <w:rFonts w:cs="Arial"/>
          <w:color w:val="000000" w:themeColor="text1"/>
          <w:szCs w:val="16"/>
          <w:shd w:val="clear" w:color="auto" w:fill="FFFFFF"/>
        </w:rPr>
        <w:br/>
        <w:t>• Number of youth with IEPs (ages 14-21) who exited special education by reaching maximum age (d) = 86</w:t>
      </w:r>
      <w:r w:rsidRPr="00781112">
        <w:rPr>
          <w:rFonts w:cs="Arial"/>
          <w:color w:val="000000" w:themeColor="text1"/>
          <w:szCs w:val="16"/>
          <w:shd w:val="clear" w:color="auto" w:fill="FFFFFF"/>
        </w:rPr>
        <w:br/>
        <w:t>• Number of youth with IEPs (ages 14-21) who exited special education due to dropping out (e) = 1,309</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The prepopulated FFY 2021 SPP/APR Data above are incorrect. The correct data are:</w:t>
      </w:r>
      <w:r w:rsidRPr="00781112">
        <w:rPr>
          <w:rFonts w:cs="Arial"/>
          <w:color w:val="000000" w:themeColor="text1"/>
          <w:szCs w:val="16"/>
          <w:shd w:val="clear" w:color="auto" w:fill="FFFFFF"/>
        </w:rPr>
        <w:br/>
        <w:t xml:space="preserve">• Number of </w:t>
      </w:r>
      <w:proofErr w:type="gramStart"/>
      <w:r w:rsidRPr="00781112">
        <w:rPr>
          <w:rFonts w:cs="Arial"/>
          <w:color w:val="000000" w:themeColor="text1"/>
          <w:szCs w:val="16"/>
          <w:shd w:val="clear" w:color="auto" w:fill="FFFFFF"/>
        </w:rPr>
        <w:t>youth</w:t>
      </w:r>
      <w:proofErr w:type="gramEnd"/>
      <w:r w:rsidRPr="00781112">
        <w:rPr>
          <w:rFonts w:cs="Arial"/>
          <w:color w:val="000000" w:themeColor="text1"/>
          <w:szCs w:val="16"/>
          <w:shd w:val="clear" w:color="auto" w:fill="FFFFFF"/>
        </w:rPr>
        <w:t xml:space="preserve"> with IEPs (ages 14-21) who exited special education due to dropping out = 1,309</w:t>
      </w:r>
      <w:r w:rsidRPr="00781112">
        <w:rPr>
          <w:rFonts w:cs="Arial"/>
          <w:color w:val="000000" w:themeColor="text1"/>
          <w:szCs w:val="16"/>
          <w:shd w:val="clear" w:color="auto" w:fill="FFFFFF"/>
        </w:rPr>
        <w:br/>
        <w:t>• Number of all youth with IEPs who exited special education (ages 14-21) = 5,410</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The FFY 2020 Data is also prepopulated incorrectly. The correct data is 21.56%. The FFY 2021 Data is 24.20%.</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The USBE SES notifies each LEA flagged with a high dropout rate in September and provides a preliminary event dropout report to review before the October 10 data deadline. LEAs are given guidance on coding corrections and dropout recovery practices through USBE SES training and TA documents, as well as individually when needed.</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The baseline data is reflective of the new form of measurement used for dropout determinations based on EDFacts File FS009 and does not include "deceased" in the denominator. It is different than the historical data for FFY 2018 which is based on the old measurement format. During the 2021 APR Summit, a review of baselines for Indicator 2 was conducted to determine if baselines should remain or be updated to correlate with changing targets. Consideration was given for the impacts of COVID-19 and changes in measurement. Stakeholders reviewed historical data based on the new measurement and projections for where the State would be in 2025–2026 if all things stayed the same. Choosing a baseline from a year prior to COVID-19 reflects Utah student abilities in a typical school year and was determined to be appropriate. The current calculation was applied to the FFY 2018 data to be consistent with the calculation used for the FFY 2021 dropout rate.</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 xml:space="preserve">The USBE SES reported a baseline of 25.80% for FFY 2018 in the narrative regarding stakeholder input in its FFY 2020 SPP/APR submission. After a review of the new calculation to match the requirements in EDFacts File FS009, it was determined the correct baseline is 25.81%. The baseline data, targets for 2020 and 2021, and the stakeholder input narrative have been updated accordingly this SPP/APR submission. </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Starting March 16, 2020, Utah schools were closed due to the COVID-19 pandemic. Without adequate time to prepare for all students to participate in distance learning, a lot of LEAs reported substantial numbers of students with whom they were unable to engage. The USBE advised LEAs that rather than strictly adhering to the continuing enrollment "</w:t>
      </w:r>
      <w:proofErr w:type="gramStart"/>
      <w:r w:rsidRPr="00781112">
        <w:rPr>
          <w:rFonts w:cs="Arial"/>
          <w:color w:val="000000" w:themeColor="text1"/>
          <w:szCs w:val="16"/>
          <w:shd w:val="clear" w:color="auto" w:fill="FFFFFF"/>
        </w:rPr>
        <w:t>10 day</w:t>
      </w:r>
      <w:proofErr w:type="gramEnd"/>
      <w:r w:rsidRPr="00781112">
        <w:rPr>
          <w:rFonts w:cs="Arial"/>
          <w:color w:val="000000" w:themeColor="text1"/>
          <w:szCs w:val="16"/>
          <w:shd w:val="clear" w:color="auto" w:fill="FFFFFF"/>
        </w:rPr>
        <w:t xml:space="preserve"> rule," whereby students with 10 consecutive unexcused absences should be dropped from active enrollment, they should keep students in enrollment and continue efforts to re-engage all students. Independent auditors’ Agreed Upon Procedures (AUP) reports on the year-end student membership data included the footnote, “Beginning March 16, 2020, the school implemented the state mandated soft closure of schools in response to COVID-19; therefore, no procedures on continuing enrollment measurement have been performed after this date.” The impact of this change in practice on data included lower than expected mobility and chronic absence rates (based on trend data), higher than expected attendance and average daily membership rates, and decreases in the numbers of students reported as dropout exiters during the period from March 16 through the end of the 2019–2020 school year. With fewer students reported as dropouts in the 2019–2020 exiter data, the Indicator 1 graduation rate may be slightly </w:t>
      </w:r>
      <w:proofErr w:type="gramStart"/>
      <w:r w:rsidRPr="00781112">
        <w:rPr>
          <w:rFonts w:cs="Arial"/>
          <w:color w:val="000000" w:themeColor="text1"/>
          <w:szCs w:val="16"/>
          <w:shd w:val="clear" w:color="auto" w:fill="FFFFFF"/>
        </w:rPr>
        <w:t>inflated</w:t>
      </w:r>
      <w:proofErr w:type="gramEnd"/>
      <w:r w:rsidRPr="00781112">
        <w:rPr>
          <w:rFonts w:cs="Arial"/>
          <w:color w:val="000000" w:themeColor="text1"/>
          <w:szCs w:val="16"/>
          <w:shd w:val="clear" w:color="auto" w:fill="FFFFFF"/>
        </w:rPr>
        <w:t xml:space="preserve"> and the Indicator 2 dropout rate may be slightly under-reported. </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lastRenderedPageBreak/>
        <w:br/>
        <w:t>LEAs developed their own strategies and practices regarding student credit completion toward graduation in response to school soft closures due to COVID-19 in the spring of 2020. The USBE released guidance in April 2020 to help LEAs support students toward graduation. Anecdotal evidence from LEAs suggested that despite LEAs efforts to sustain credit completion levels, students still struggled to achieve credit completion toward graduation. This impacted all grade levels. As such, we expect to see impacts on graduation and dropout rates for at least four years while students in grades nine or higher from 2020 are progressing through their high school careers.</w:t>
      </w:r>
    </w:p>
    <w:p w14:paraId="6E187388" w14:textId="724EF642" w:rsidR="000A2C83" w:rsidRPr="00781112" w:rsidRDefault="00F914B4" w:rsidP="008645AD">
      <w:pPr>
        <w:pStyle w:val="Heading2"/>
      </w:pPr>
      <w:r w:rsidRPr="00781112">
        <w:t>2</w:t>
      </w:r>
      <w:r w:rsidR="00684B51" w:rsidRPr="00781112">
        <w:t xml:space="preserve"> </w:t>
      </w:r>
      <w:r w:rsidRPr="00781112">
        <w:t xml:space="preserve">- </w:t>
      </w:r>
      <w:r w:rsidR="000A2C83" w:rsidRPr="00781112">
        <w:t>Prior FFY Required Actions</w:t>
      </w:r>
    </w:p>
    <w:p w14:paraId="3B152B02" w14:textId="0A6719CC" w:rsidR="000A2C83" w:rsidRPr="00781112" w:rsidRDefault="002B7490" w:rsidP="000A2C83">
      <w:pPr>
        <w:rPr>
          <w:rFonts w:cs="Arial"/>
          <w:color w:val="000000" w:themeColor="text1"/>
          <w:szCs w:val="16"/>
        </w:rPr>
      </w:pPr>
      <w:r w:rsidRPr="00781112">
        <w:rPr>
          <w:rFonts w:cs="Arial"/>
          <w:color w:val="000000" w:themeColor="text1"/>
          <w:szCs w:val="16"/>
        </w:rPr>
        <w:t>None</w:t>
      </w:r>
    </w:p>
    <w:p w14:paraId="7896DD52" w14:textId="585814D8" w:rsidR="00DD051F" w:rsidRPr="00781112" w:rsidRDefault="00DD051F" w:rsidP="000A2C83">
      <w:pPr>
        <w:rPr>
          <w:rFonts w:cs="Arial"/>
          <w:color w:val="000000" w:themeColor="text1"/>
          <w:szCs w:val="16"/>
        </w:rPr>
      </w:pPr>
    </w:p>
    <w:p w14:paraId="306FF021" w14:textId="5A4A312B" w:rsidR="00F56834" w:rsidRPr="00781112" w:rsidRDefault="000D2287" w:rsidP="008645AD">
      <w:pPr>
        <w:pStyle w:val="Heading2"/>
      </w:pPr>
      <w:r w:rsidRPr="00781112">
        <w:t>2</w:t>
      </w:r>
      <w:r w:rsidR="00684B51" w:rsidRPr="00781112">
        <w:t xml:space="preserve"> </w:t>
      </w:r>
      <w:r w:rsidRPr="00781112">
        <w:t xml:space="preserve">- </w:t>
      </w:r>
      <w:r w:rsidR="00F56834" w:rsidRPr="00781112">
        <w:t>OSEP Response</w:t>
      </w:r>
    </w:p>
    <w:p w14:paraId="079F48D0" w14:textId="5CDDFF24" w:rsidR="00A869E9" w:rsidRPr="00781112" w:rsidRDefault="002B7490" w:rsidP="001F692C">
      <w:pPr>
        <w:rPr>
          <w:rFonts w:cs="Arial"/>
          <w:color w:val="000000" w:themeColor="text1"/>
          <w:szCs w:val="16"/>
        </w:rPr>
      </w:pPr>
      <w:r w:rsidRPr="00781112">
        <w:rPr>
          <w:rFonts w:cs="Arial"/>
          <w:color w:val="000000" w:themeColor="text1"/>
          <w:szCs w:val="16"/>
          <w:shd w:val="clear" w:color="auto" w:fill="FFFFFF"/>
        </w:rPr>
        <w:t>The State reported in its narrative, "[</w:t>
      </w:r>
      <w:proofErr w:type="gramStart"/>
      <w:r w:rsidRPr="00781112">
        <w:rPr>
          <w:rFonts w:cs="Arial"/>
          <w:color w:val="000000" w:themeColor="text1"/>
          <w:szCs w:val="16"/>
          <w:shd w:val="clear" w:color="auto" w:fill="FFFFFF"/>
        </w:rPr>
        <w:t>t]he</w:t>
      </w:r>
      <w:proofErr w:type="gramEnd"/>
      <w:r w:rsidRPr="00781112">
        <w:rPr>
          <w:rFonts w:cs="Arial"/>
          <w:color w:val="000000" w:themeColor="text1"/>
          <w:szCs w:val="16"/>
          <w:shd w:val="clear" w:color="auto" w:fill="FFFFFF"/>
        </w:rPr>
        <w:t xml:space="preserve"> prepopulated EDFacts data above are incorrect" and provided alternate data for this indicator. However, the data for Indicators 1 and 2 are prefilled using the final State-level exiting data. School year 2020-21 exiting data used for this indicator were finalized by OSEP on May 25, 2022.  Those final data submitted by the State were used to prefill the State's SPP/APR, used in the IDEA Part B Results Matrix, and published in the IDEA Part B Exiting data file and associated products. </w:t>
      </w:r>
    </w:p>
    <w:p w14:paraId="6A1E3D87" w14:textId="6B4D2DBD" w:rsidR="00F56834" w:rsidRPr="00781112" w:rsidRDefault="000105C5" w:rsidP="008645AD">
      <w:pPr>
        <w:pStyle w:val="Heading2"/>
      </w:pPr>
      <w:r w:rsidRPr="00781112">
        <w:t>2 - Required Actions</w:t>
      </w:r>
    </w:p>
    <w:p w14:paraId="6C7960E7" w14:textId="06463459" w:rsidR="00A869E9" w:rsidRPr="00781112" w:rsidRDefault="002B7490" w:rsidP="001F692C">
      <w:pPr>
        <w:rPr>
          <w:rFonts w:cs="Arial"/>
          <w:color w:val="000000" w:themeColor="text1"/>
          <w:szCs w:val="16"/>
        </w:rPr>
      </w:pPr>
      <w:r w:rsidRPr="00781112">
        <w:rPr>
          <w:rFonts w:cs="Arial"/>
          <w:color w:val="000000" w:themeColor="text1"/>
          <w:szCs w:val="16"/>
          <w:shd w:val="clear" w:color="auto" w:fill="FFFFFF"/>
        </w:rPr>
        <w:t xml:space="preserve">The State is required </w:t>
      </w:r>
      <w:proofErr w:type="gramStart"/>
      <w:r w:rsidRPr="00781112">
        <w:rPr>
          <w:rFonts w:cs="Arial"/>
          <w:color w:val="000000" w:themeColor="text1"/>
          <w:szCs w:val="16"/>
          <w:shd w:val="clear" w:color="auto" w:fill="FFFFFF"/>
        </w:rPr>
        <w:t>adhere</w:t>
      </w:r>
      <w:proofErr w:type="gramEnd"/>
      <w:r w:rsidRPr="00781112">
        <w:rPr>
          <w:rFonts w:cs="Arial"/>
          <w:color w:val="000000" w:themeColor="text1"/>
          <w:szCs w:val="16"/>
          <w:shd w:val="clear" w:color="auto" w:fill="FFFFFF"/>
        </w:rPr>
        <w:t xml:space="preserve"> to 618 data file specifications and related deadlines when reporting data for this indicator. </w:t>
      </w:r>
    </w:p>
    <w:p w14:paraId="735D3BB6" w14:textId="20B8192A" w:rsidR="00553A47" w:rsidRPr="00781112" w:rsidRDefault="00D37BF0" w:rsidP="00553A47">
      <w:pPr>
        <w:pStyle w:val="Heading1"/>
        <w:rPr>
          <w:color w:val="000000" w:themeColor="text1"/>
          <w:sz w:val="22"/>
        </w:rPr>
      </w:pPr>
      <w:r w:rsidRPr="00781112">
        <w:rPr>
          <w:color w:val="000000" w:themeColor="text1"/>
          <w:szCs w:val="16"/>
        </w:rPr>
        <w:br w:type="page"/>
      </w:r>
      <w:r w:rsidR="00553A47" w:rsidRPr="00781112">
        <w:rPr>
          <w:color w:val="000000" w:themeColor="text1"/>
          <w:sz w:val="22"/>
        </w:rPr>
        <w:lastRenderedPageBreak/>
        <w:t>Indicator 3A: Participation for Children with IEPs</w:t>
      </w:r>
    </w:p>
    <w:p w14:paraId="5AC89D57" w14:textId="77777777" w:rsidR="00553A47" w:rsidRPr="00781112" w:rsidRDefault="00553A47" w:rsidP="00553A47">
      <w:pPr>
        <w:rPr>
          <w:color w:val="000000" w:themeColor="text1"/>
          <w:szCs w:val="20"/>
        </w:rPr>
      </w:pPr>
      <w:r w:rsidRPr="00781112">
        <w:rPr>
          <w:b/>
          <w:color w:val="000000" w:themeColor="text1"/>
          <w:sz w:val="20"/>
          <w:szCs w:val="20"/>
        </w:rPr>
        <w:t>Instructions and Measurement</w:t>
      </w:r>
    </w:p>
    <w:p w14:paraId="5D4905EB" w14:textId="77777777" w:rsidR="00553A47" w:rsidRPr="00781112" w:rsidRDefault="00553A47" w:rsidP="00553A47">
      <w:pPr>
        <w:rPr>
          <w:color w:val="000000" w:themeColor="text1"/>
        </w:rPr>
      </w:pPr>
      <w:r w:rsidRPr="00781112">
        <w:rPr>
          <w:b/>
          <w:color w:val="000000" w:themeColor="text1"/>
        </w:rPr>
        <w:t>Monitoring Priority:</w:t>
      </w:r>
      <w:r w:rsidRPr="00781112">
        <w:rPr>
          <w:color w:val="000000" w:themeColor="text1"/>
        </w:rPr>
        <w:t xml:space="preserve"> FAPE in the LRE</w:t>
      </w:r>
    </w:p>
    <w:p w14:paraId="5574F71D" w14:textId="77777777" w:rsidR="00553A47" w:rsidRPr="00781112" w:rsidRDefault="00553A47" w:rsidP="00553A47">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Participation and performance of children with IEPs on statewide assessments:</w:t>
      </w:r>
    </w:p>
    <w:p w14:paraId="0338FF36" w14:textId="39B31752" w:rsidR="00553A47" w:rsidRPr="00781112" w:rsidRDefault="00553A47" w:rsidP="00553A47">
      <w:pPr>
        <w:ind w:firstLine="720"/>
        <w:rPr>
          <w:rFonts w:cs="Arial"/>
          <w:color w:val="000000" w:themeColor="text1"/>
          <w:szCs w:val="16"/>
        </w:rPr>
      </w:pPr>
      <w:r w:rsidRPr="00781112">
        <w:rPr>
          <w:rFonts w:cs="Arial"/>
          <w:color w:val="000000" w:themeColor="text1"/>
          <w:szCs w:val="16"/>
        </w:rPr>
        <w:t>A. Participation rate for children with IEPs.</w:t>
      </w:r>
    </w:p>
    <w:p w14:paraId="3CA36EC5" w14:textId="078762D9" w:rsidR="00553A47" w:rsidRPr="00781112" w:rsidRDefault="00553A47" w:rsidP="00553A47">
      <w:pPr>
        <w:ind w:firstLine="720"/>
        <w:rPr>
          <w:rFonts w:cs="Arial"/>
          <w:color w:val="000000" w:themeColor="text1"/>
          <w:szCs w:val="16"/>
        </w:rPr>
      </w:pPr>
      <w:r w:rsidRPr="00781112">
        <w:rPr>
          <w:rFonts w:cs="Arial"/>
          <w:color w:val="000000" w:themeColor="text1"/>
          <w:szCs w:val="16"/>
        </w:rPr>
        <w:t xml:space="preserve">B. </w:t>
      </w:r>
      <w:r w:rsidR="001A2D6A" w:rsidRPr="00781112">
        <w:rPr>
          <w:rFonts w:cs="Arial"/>
          <w:szCs w:val="16"/>
        </w:rPr>
        <w:t>Proficiency rate for children with IEPs against grade level academic achievement standards.</w:t>
      </w:r>
    </w:p>
    <w:p w14:paraId="64DD3F3A" w14:textId="04853D07" w:rsidR="00553A47" w:rsidRPr="00781112" w:rsidRDefault="00553A47" w:rsidP="00553A47">
      <w:pPr>
        <w:ind w:firstLine="720"/>
        <w:rPr>
          <w:rFonts w:cs="Arial"/>
          <w:color w:val="000000" w:themeColor="text1"/>
          <w:szCs w:val="16"/>
        </w:rPr>
      </w:pPr>
      <w:r w:rsidRPr="00781112">
        <w:rPr>
          <w:rFonts w:cs="Arial"/>
          <w:color w:val="000000" w:themeColor="text1"/>
          <w:szCs w:val="16"/>
        </w:rPr>
        <w:t>C. Proficiency rate for children with IEPs against alternate academic achievement standards.</w:t>
      </w:r>
    </w:p>
    <w:p w14:paraId="0682F204" w14:textId="1717FB60" w:rsidR="00EB7555" w:rsidRPr="00781112" w:rsidRDefault="00EB7555" w:rsidP="00553A47">
      <w:pPr>
        <w:ind w:firstLine="720"/>
        <w:rPr>
          <w:rFonts w:cs="Arial"/>
          <w:color w:val="000000" w:themeColor="text1"/>
          <w:szCs w:val="16"/>
        </w:rPr>
      </w:pPr>
      <w:r w:rsidRPr="00781112">
        <w:rPr>
          <w:rFonts w:cs="Arial"/>
          <w:color w:val="000000" w:themeColor="text1"/>
          <w:szCs w:val="16"/>
        </w:rPr>
        <w:t>D.</w:t>
      </w:r>
      <w:r w:rsidR="00943CE1" w:rsidRPr="00781112">
        <w:rPr>
          <w:rFonts w:cs="Arial"/>
          <w:szCs w:val="16"/>
        </w:rPr>
        <w:t xml:space="preserve"> Gap in proficiency rates for children with IEPs and all students against grade level academic achievement standards.</w:t>
      </w:r>
    </w:p>
    <w:p w14:paraId="16CF85BD" w14:textId="77777777" w:rsidR="00553A47" w:rsidRPr="00781112" w:rsidRDefault="00553A47" w:rsidP="00553A47">
      <w:pPr>
        <w:rPr>
          <w:rFonts w:cs="Arial"/>
          <w:color w:val="000000" w:themeColor="text1"/>
          <w:szCs w:val="16"/>
        </w:rPr>
      </w:pPr>
      <w:r w:rsidRPr="00781112">
        <w:rPr>
          <w:rFonts w:cs="Arial"/>
          <w:color w:val="000000" w:themeColor="text1"/>
          <w:szCs w:val="16"/>
        </w:rPr>
        <w:t>(20 U.S.C. 1416 (a)(3)(A))</w:t>
      </w:r>
    </w:p>
    <w:p w14:paraId="324A6C31" w14:textId="77777777" w:rsidR="00553A47" w:rsidRPr="00781112" w:rsidRDefault="00553A47" w:rsidP="00553A47">
      <w:pPr>
        <w:rPr>
          <w:color w:val="000000" w:themeColor="text1"/>
        </w:rPr>
      </w:pPr>
      <w:r w:rsidRPr="00781112">
        <w:rPr>
          <w:b/>
          <w:color w:val="000000" w:themeColor="text1"/>
        </w:rPr>
        <w:t>Data Source</w:t>
      </w:r>
    </w:p>
    <w:p w14:paraId="6C25670B" w14:textId="158BF188" w:rsidR="00553A47" w:rsidRPr="00781112" w:rsidRDefault="00553A47" w:rsidP="00553A47">
      <w:pPr>
        <w:rPr>
          <w:rFonts w:cs="Arial"/>
          <w:color w:val="000000" w:themeColor="text1"/>
          <w:szCs w:val="16"/>
        </w:rPr>
      </w:pPr>
      <w:r w:rsidRPr="00781112">
        <w:rPr>
          <w:rFonts w:cs="Arial"/>
          <w:color w:val="000000" w:themeColor="text1"/>
          <w:szCs w:val="16"/>
        </w:rPr>
        <w:t>3A. Same data as used for reporting to the Department under Title I of the ESEA, using EDFacts file specifications FS185 and 188.</w:t>
      </w:r>
    </w:p>
    <w:p w14:paraId="71EF09A1" w14:textId="77777777" w:rsidR="00553A47" w:rsidRPr="00781112" w:rsidRDefault="00553A47" w:rsidP="00553A47">
      <w:pPr>
        <w:rPr>
          <w:color w:val="000000" w:themeColor="text1"/>
        </w:rPr>
      </w:pPr>
      <w:r w:rsidRPr="00781112">
        <w:rPr>
          <w:b/>
          <w:color w:val="000000" w:themeColor="text1"/>
        </w:rPr>
        <w:t>Measurement</w:t>
      </w:r>
    </w:p>
    <w:p w14:paraId="7A515068" w14:textId="2DA214AF" w:rsidR="00553A47" w:rsidRPr="00781112" w:rsidRDefault="00943CE1" w:rsidP="00553A47">
      <w:pPr>
        <w:rPr>
          <w:rFonts w:cs="Arial"/>
          <w:color w:val="000000" w:themeColor="text1"/>
          <w:szCs w:val="16"/>
        </w:rPr>
      </w:pPr>
      <w:r w:rsidRPr="00781112">
        <w:rPr>
          <w:rFonts w:cs="Arial"/>
          <w:color w:val="000000" w:themeColor="text1"/>
          <w:szCs w:val="16"/>
        </w:rPr>
        <w:t>A. Participation rate percent = [(# of children with IEPs participating in an assessment) divided by the (total # of children with IEPs enrolled during the testing window)]. Calculate separately for reading and math. Calculate separately for grades 4, 8, and high school. The participation rate is based on all children with IEPs, including both children with IEPs enrolled for a full academic year and those not enrolled for a full academic year.</w:t>
      </w:r>
    </w:p>
    <w:p w14:paraId="1C86ADC7" w14:textId="77777777" w:rsidR="00553A47" w:rsidRPr="00781112" w:rsidRDefault="00553A47" w:rsidP="00553A47">
      <w:pPr>
        <w:rPr>
          <w:color w:val="000000" w:themeColor="text1"/>
        </w:rPr>
      </w:pPr>
      <w:r w:rsidRPr="00781112">
        <w:rPr>
          <w:b/>
          <w:color w:val="000000" w:themeColor="text1"/>
        </w:rPr>
        <w:t>Instructions</w:t>
      </w:r>
    </w:p>
    <w:p w14:paraId="2E7C9B5C" w14:textId="77777777" w:rsidR="001B75FD" w:rsidRPr="00781112" w:rsidRDefault="001B75FD" w:rsidP="001B75FD">
      <w:pPr>
        <w:pStyle w:val="Subhed"/>
        <w:rPr>
          <w:b w:val="0"/>
          <w:bCs/>
        </w:rPr>
      </w:pPr>
      <w:r w:rsidRPr="00781112">
        <w:rPr>
          <w:b w:val="0"/>
          <w:bCs/>
        </w:rPr>
        <w:t>Describe the results of the calculations and compare the results to the targets.  Provide the actual numbers used in the calculation.</w:t>
      </w:r>
    </w:p>
    <w:p w14:paraId="7D60E85E" w14:textId="77777777" w:rsidR="001B75FD" w:rsidRPr="00781112" w:rsidRDefault="001B75FD" w:rsidP="001B75FD">
      <w:pPr>
        <w:pStyle w:val="Subhed"/>
        <w:rPr>
          <w:b w:val="0"/>
          <w:bCs/>
        </w:rPr>
      </w:pPr>
      <w:r w:rsidRPr="00781112">
        <w:rPr>
          <w:b w:val="0"/>
          <w:bCs/>
        </w:rPr>
        <w:t xml:space="preserve">Include information regarding where to find public reports of assessment participation and performance results, as required by 34 CFR §300.160(f), </w:t>
      </w:r>
      <w:r w:rsidRPr="00781112">
        <w:rPr>
          <w:b w:val="0"/>
          <w:bCs/>
          <w:i/>
        </w:rPr>
        <w:t>i.e.</w:t>
      </w:r>
      <w:r w:rsidRPr="00781112">
        <w:rPr>
          <w:b w:val="0"/>
          <w:bCs/>
        </w:rPr>
        <w:t>, a link to the Web site where these data are reported.</w:t>
      </w:r>
    </w:p>
    <w:p w14:paraId="7A7658A6" w14:textId="09BF5716" w:rsidR="00553A47" w:rsidRPr="00781112" w:rsidRDefault="001B75FD" w:rsidP="001B75FD">
      <w:pPr>
        <w:rPr>
          <w:rFonts w:cs="Arial"/>
          <w:color w:val="000000" w:themeColor="text1"/>
          <w:szCs w:val="16"/>
        </w:rPr>
      </w:pPr>
      <w:r w:rsidRPr="00781112">
        <w:rPr>
          <w:bCs/>
        </w:rPr>
        <w:t>Indicator 3A: Provide separate reading/language arts and mathematics participation rates for children with IEPs for each of the following grades: 4, 8, &amp; high school.  Account for ALL children with IEPs, in grades 4, 8, and high school, including children not participating in assessments and those not enrolled for a full academic year. Only include children with disabilities who had an IEP at the time of testing</w:t>
      </w:r>
      <w:r w:rsidR="00553A47" w:rsidRPr="00781112">
        <w:rPr>
          <w:rFonts w:cs="Arial"/>
          <w:color w:val="000000" w:themeColor="text1"/>
          <w:szCs w:val="16"/>
        </w:rPr>
        <w:t>.</w:t>
      </w:r>
    </w:p>
    <w:p w14:paraId="2933C3C1" w14:textId="76D8DB4D" w:rsidR="00553A47" w:rsidRPr="00781112" w:rsidRDefault="00553A47" w:rsidP="00553A47">
      <w:pPr>
        <w:pStyle w:val="Heading2"/>
      </w:pPr>
      <w:r w:rsidRPr="00781112">
        <w:t>3A - Indicator Data</w:t>
      </w:r>
    </w:p>
    <w:p w14:paraId="1E2CE8D4" w14:textId="48F23E39" w:rsidR="00361CFA" w:rsidRPr="00781112" w:rsidRDefault="00CB348D" w:rsidP="00360DD6">
      <w:pPr>
        <w:rPr>
          <w:b/>
          <w:color w:val="000000" w:themeColor="text1"/>
        </w:rPr>
      </w:pPr>
      <w:r w:rsidRPr="00781112">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AHISTDATA"/>
      </w:tblPr>
      <w:tblGrid>
        <w:gridCol w:w="1588"/>
        <w:gridCol w:w="1588"/>
        <w:gridCol w:w="2538"/>
        <w:gridCol w:w="2538"/>
        <w:gridCol w:w="2538"/>
      </w:tblGrid>
      <w:tr w:rsidR="0050331E" w:rsidRPr="00781112" w14:paraId="640BEE62" w14:textId="0ABABB4E" w:rsidTr="009725F4">
        <w:trPr>
          <w:trHeight w:val="368"/>
          <w:tblHeader/>
        </w:trPr>
        <w:tc>
          <w:tcPr>
            <w:tcW w:w="736" w:type="pct"/>
            <w:tcBorders>
              <w:top w:val="single" w:sz="4" w:space="0" w:color="auto"/>
            </w:tcBorders>
            <w:vAlign w:val="center"/>
          </w:tcPr>
          <w:p w14:paraId="41D9612B" w14:textId="31CE748B" w:rsidR="00E5212B" w:rsidRPr="00781112" w:rsidRDefault="00E5212B" w:rsidP="00827FF4">
            <w:pPr>
              <w:jc w:val="center"/>
              <w:rPr>
                <w:rFonts w:cs="Arial"/>
                <w:b/>
                <w:color w:val="000000" w:themeColor="text1"/>
                <w:szCs w:val="16"/>
              </w:rPr>
            </w:pPr>
            <w:r w:rsidRPr="00781112">
              <w:rPr>
                <w:rFonts w:cs="Arial"/>
                <w:b/>
                <w:color w:val="000000" w:themeColor="text1"/>
                <w:szCs w:val="16"/>
              </w:rPr>
              <w:t>Subject</w:t>
            </w:r>
          </w:p>
        </w:tc>
        <w:tc>
          <w:tcPr>
            <w:tcW w:w="736" w:type="pct"/>
            <w:tcBorders>
              <w:top w:val="single" w:sz="4" w:space="0" w:color="auto"/>
            </w:tcBorders>
            <w:shd w:val="clear" w:color="auto" w:fill="auto"/>
            <w:vAlign w:val="center"/>
          </w:tcPr>
          <w:p w14:paraId="7F27E97C" w14:textId="557342E0" w:rsidR="00E5212B" w:rsidRPr="00781112" w:rsidRDefault="00E5212B" w:rsidP="00827FF4">
            <w:pPr>
              <w:jc w:val="center"/>
              <w:rPr>
                <w:rFonts w:cs="Arial"/>
                <w:b/>
                <w:color w:val="000000" w:themeColor="text1"/>
                <w:szCs w:val="16"/>
              </w:rPr>
            </w:pPr>
            <w:r w:rsidRPr="00781112">
              <w:rPr>
                <w:rFonts w:cs="Arial"/>
                <w:b/>
                <w:color w:val="000000" w:themeColor="text1"/>
                <w:szCs w:val="16"/>
              </w:rPr>
              <w:t xml:space="preserve">Group </w:t>
            </w:r>
          </w:p>
        </w:tc>
        <w:tc>
          <w:tcPr>
            <w:tcW w:w="1176" w:type="pct"/>
            <w:tcBorders>
              <w:top w:val="single" w:sz="4" w:space="0" w:color="auto"/>
            </w:tcBorders>
            <w:shd w:val="clear" w:color="auto" w:fill="auto"/>
            <w:vAlign w:val="center"/>
          </w:tcPr>
          <w:p w14:paraId="39353288" w14:textId="77777777" w:rsidR="00E5212B" w:rsidRPr="00781112" w:rsidRDefault="00E5212B" w:rsidP="00827FF4">
            <w:pPr>
              <w:jc w:val="center"/>
              <w:rPr>
                <w:rFonts w:cs="Arial"/>
                <w:b/>
                <w:color w:val="000000" w:themeColor="text1"/>
                <w:szCs w:val="16"/>
              </w:rPr>
            </w:pPr>
            <w:r w:rsidRPr="00781112">
              <w:rPr>
                <w:rFonts w:cs="Arial"/>
                <w:b/>
                <w:color w:val="000000" w:themeColor="text1"/>
                <w:szCs w:val="16"/>
              </w:rPr>
              <w:t xml:space="preserve">Group Name </w:t>
            </w:r>
          </w:p>
        </w:tc>
        <w:tc>
          <w:tcPr>
            <w:tcW w:w="1176" w:type="pct"/>
            <w:tcBorders>
              <w:top w:val="single" w:sz="4" w:space="0" w:color="auto"/>
            </w:tcBorders>
            <w:shd w:val="clear" w:color="auto" w:fill="auto"/>
            <w:vAlign w:val="center"/>
          </w:tcPr>
          <w:p w14:paraId="48E0683E" w14:textId="7AFDFE4C" w:rsidR="00E5212B" w:rsidRPr="00781112" w:rsidRDefault="00E5212B" w:rsidP="00827FF4">
            <w:pPr>
              <w:jc w:val="center"/>
              <w:rPr>
                <w:rFonts w:cs="Arial"/>
                <w:b/>
                <w:color w:val="000000" w:themeColor="text1"/>
                <w:szCs w:val="16"/>
              </w:rPr>
            </w:pPr>
            <w:r w:rsidRPr="00781112">
              <w:rPr>
                <w:rFonts w:cs="Arial"/>
                <w:b/>
                <w:color w:val="000000" w:themeColor="text1"/>
                <w:szCs w:val="16"/>
              </w:rPr>
              <w:t xml:space="preserve">Baseline Year </w:t>
            </w:r>
          </w:p>
        </w:tc>
        <w:tc>
          <w:tcPr>
            <w:tcW w:w="1176" w:type="pct"/>
            <w:tcBorders>
              <w:top w:val="single" w:sz="4" w:space="0" w:color="auto"/>
            </w:tcBorders>
            <w:vAlign w:val="center"/>
          </w:tcPr>
          <w:p w14:paraId="38B04ED7" w14:textId="46EC1601" w:rsidR="00E5212B" w:rsidRPr="00781112" w:rsidRDefault="00E5212B" w:rsidP="00827FF4">
            <w:pPr>
              <w:jc w:val="center"/>
              <w:rPr>
                <w:rFonts w:cs="Arial"/>
                <w:b/>
                <w:color w:val="000000" w:themeColor="text1"/>
                <w:szCs w:val="16"/>
              </w:rPr>
            </w:pPr>
            <w:r w:rsidRPr="00781112">
              <w:rPr>
                <w:rFonts w:cs="Arial"/>
                <w:b/>
                <w:color w:val="000000" w:themeColor="text1"/>
                <w:szCs w:val="16"/>
              </w:rPr>
              <w:t>Baseline Data</w:t>
            </w:r>
          </w:p>
        </w:tc>
      </w:tr>
      <w:tr w:rsidR="0050331E" w:rsidRPr="00781112" w14:paraId="24FC0173" w14:textId="04F4BEEC" w:rsidTr="00360DD6">
        <w:trPr>
          <w:trHeight w:val="368"/>
        </w:trPr>
        <w:tc>
          <w:tcPr>
            <w:tcW w:w="736" w:type="pct"/>
            <w:vAlign w:val="center"/>
          </w:tcPr>
          <w:p w14:paraId="5EFBA3AC" w14:textId="71314A80" w:rsidR="0044716A" w:rsidRPr="00781112" w:rsidRDefault="0044716A" w:rsidP="0044716A">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38C519F7" w14:textId="44BB42BA" w:rsidR="0044716A" w:rsidRPr="00781112" w:rsidRDefault="0044716A" w:rsidP="0044716A">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7C81F5F0" w14:textId="67FBA765" w:rsidR="0044716A" w:rsidRPr="00781112" w:rsidRDefault="0044716A" w:rsidP="0044716A">
            <w:pPr>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3F4068A9" w14:textId="08EF8DB7" w:rsidR="0044716A" w:rsidRPr="00781112" w:rsidRDefault="0044716A" w:rsidP="00360DD6">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3C4D03F4" w14:textId="691C6AA3" w:rsidR="0044716A" w:rsidRPr="00781112" w:rsidRDefault="0044716A" w:rsidP="0044716A">
            <w:pPr>
              <w:spacing w:before="0" w:after="0"/>
              <w:jc w:val="center"/>
              <w:rPr>
                <w:color w:val="000000" w:themeColor="text1"/>
              </w:rPr>
            </w:pPr>
            <w:r w:rsidRPr="00781112">
              <w:rPr>
                <w:rFonts w:cs="Arial"/>
                <w:color w:val="000000" w:themeColor="text1"/>
                <w:szCs w:val="16"/>
              </w:rPr>
              <w:t>90.64%</w:t>
            </w:r>
          </w:p>
        </w:tc>
      </w:tr>
      <w:tr w:rsidR="0050331E" w:rsidRPr="00781112" w14:paraId="4F9BC9D4" w14:textId="17B65B8C" w:rsidTr="00360DD6">
        <w:trPr>
          <w:trHeight w:val="368"/>
        </w:trPr>
        <w:tc>
          <w:tcPr>
            <w:tcW w:w="736" w:type="pct"/>
            <w:vAlign w:val="center"/>
          </w:tcPr>
          <w:p w14:paraId="7AB33ACC" w14:textId="0B04094A" w:rsidR="005246CC" w:rsidRPr="00781112" w:rsidRDefault="005246CC" w:rsidP="005246CC">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72D05B63" w14:textId="45D6CED5" w:rsidR="005246CC" w:rsidRPr="00781112" w:rsidRDefault="005246CC" w:rsidP="005246CC">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3E4ED129" w14:textId="1B77E470" w:rsidR="005246CC" w:rsidRPr="00781112" w:rsidRDefault="005246CC" w:rsidP="005246CC">
            <w:pPr>
              <w:spacing w:before="0" w:after="0"/>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70BAF6D2" w14:textId="6183503D" w:rsidR="005246CC" w:rsidRPr="00781112" w:rsidRDefault="005246CC" w:rsidP="00360DD6">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49E2C5F4" w14:textId="05AA23CF" w:rsidR="005246CC" w:rsidRPr="00781112" w:rsidRDefault="005246CC" w:rsidP="005246CC">
            <w:pPr>
              <w:spacing w:before="0" w:after="0"/>
              <w:jc w:val="center"/>
              <w:rPr>
                <w:rFonts w:cs="Arial"/>
                <w:color w:val="000000" w:themeColor="text1"/>
                <w:szCs w:val="16"/>
              </w:rPr>
            </w:pPr>
            <w:r w:rsidRPr="00781112">
              <w:rPr>
                <w:rFonts w:cs="Arial"/>
                <w:color w:val="000000" w:themeColor="text1"/>
                <w:szCs w:val="16"/>
              </w:rPr>
              <w:t>81.14%</w:t>
            </w:r>
          </w:p>
        </w:tc>
      </w:tr>
      <w:tr w:rsidR="0050331E" w:rsidRPr="00781112" w14:paraId="0B899335" w14:textId="7CB02598" w:rsidTr="00360DD6">
        <w:trPr>
          <w:trHeight w:val="368"/>
        </w:trPr>
        <w:tc>
          <w:tcPr>
            <w:tcW w:w="736" w:type="pct"/>
            <w:vAlign w:val="center"/>
          </w:tcPr>
          <w:p w14:paraId="6148FD1E" w14:textId="34E507DE" w:rsidR="005246CC" w:rsidRPr="00781112" w:rsidRDefault="005246CC" w:rsidP="005246CC">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269AA774" w14:textId="3B2C9DD9" w:rsidR="005246CC" w:rsidRPr="00781112" w:rsidRDefault="005246CC" w:rsidP="005246CC">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1616D407" w14:textId="20B9E90F" w:rsidR="005246CC" w:rsidRPr="00781112" w:rsidRDefault="005246CC" w:rsidP="005246CC">
            <w:pPr>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5705909C" w14:textId="172EAC9C" w:rsidR="005246CC" w:rsidRPr="00781112" w:rsidRDefault="005246CC" w:rsidP="00360DD6">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0C9F3B59" w14:textId="74A08D13" w:rsidR="005246CC" w:rsidRPr="00781112" w:rsidRDefault="005246CC" w:rsidP="005246CC">
            <w:pPr>
              <w:spacing w:before="0" w:after="0"/>
              <w:jc w:val="center"/>
              <w:rPr>
                <w:rFonts w:cs="Arial"/>
                <w:color w:val="000000" w:themeColor="text1"/>
                <w:szCs w:val="16"/>
              </w:rPr>
            </w:pPr>
            <w:r w:rsidRPr="00781112">
              <w:rPr>
                <w:rFonts w:cs="Arial"/>
                <w:color w:val="000000" w:themeColor="text1"/>
                <w:szCs w:val="16"/>
              </w:rPr>
              <w:t>68.40%</w:t>
            </w:r>
          </w:p>
        </w:tc>
      </w:tr>
      <w:tr w:rsidR="00312480" w:rsidRPr="00781112" w14:paraId="3D1AAF73" w14:textId="678EC166" w:rsidTr="00360DD6">
        <w:trPr>
          <w:trHeight w:val="368"/>
        </w:trPr>
        <w:tc>
          <w:tcPr>
            <w:tcW w:w="736" w:type="pct"/>
            <w:vAlign w:val="center"/>
          </w:tcPr>
          <w:p w14:paraId="49AF9334" w14:textId="516B9B07" w:rsidR="00312480" w:rsidRPr="00781112" w:rsidRDefault="00312480" w:rsidP="00312480">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37E10643" w14:textId="3D4CDCC3"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4EBA000C" w14:textId="1E09C3E7"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50A09FAE" w14:textId="4A9CE939" w:rsidR="00312480" w:rsidRPr="00781112" w:rsidRDefault="00312480" w:rsidP="00360DD6">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6A9E42AA" w14:textId="63810B52"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90.21%</w:t>
            </w:r>
          </w:p>
        </w:tc>
      </w:tr>
      <w:tr w:rsidR="00312480" w:rsidRPr="00781112" w14:paraId="4B0C895C" w14:textId="6CF5FA93" w:rsidTr="00360DD6">
        <w:trPr>
          <w:trHeight w:val="368"/>
        </w:trPr>
        <w:tc>
          <w:tcPr>
            <w:tcW w:w="736" w:type="pct"/>
            <w:vAlign w:val="center"/>
          </w:tcPr>
          <w:p w14:paraId="6ED5896C" w14:textId="28272B0B" w:rsidR="00312480" w:rsidRPr="00781112" w:rsidRDefault="00312480" w:rsidP="00312480">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43C9B56E" w14:textId="3D5B99D0"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2C4210F5" w14:textId="3BFF9BEC" w:rsidR="00312480" w:rsidRPr="00781112" w:rsidRDefault="00312480" w:rsidP="00312480">
            <w:pPr>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7D91523A" w14:textId="169DAD5C" w:rsidR="00312480" w:rsidRPr="00781112" w:rsidRDefault="00312480" w:rsidP="00360DD6">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339ABC62" w14:textId="1E7FF874"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77.45%</w:t>
            </w:r>
          </w:p>
        </w:tc>
      </w:tr>
      <w:tr w:rsidR="00312480" w:rsidRPr="00781112" w14:paraId="43BF7697" w14:textId="58F9CE70" w:rsidTr="00360DD6">
        <w:trPr>
          <w:trHeight w:val="368"/>
        </w:trPr>
        <w:tc>
          <w:tcPr>
            <w:tcW w:w="736" w:type="pct"/>
            <w:vAlign w:val="center"/>
          </w:tcPr>
          <w:p w14:paraId="10E5C656" w14:textId="01AB1420" w:rsidR="00312480" w:rsidRPr="00781112" w:rsidRDefault="00312480" w:rsidP="00312480">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3AFE65DD" w14:textId="56799213"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4C96A826" w14:textId="656222C9"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6848966B" w14:textId="49F3A33A" w:rsidR="00312480" w:rsidRPr="00781112" w:rsidRDefault="00312480" w:rsidP="00360DD6">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0271898A" w14:textId="300CF132"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65.24%</w:t>
            </w:r>
          </w:p>
        </w:tc>
      </w:tr>
    </w:tbl>
    <w:p w14:paraId="1049ED79" w14:textId="19F4A63B" w:rsidR="00E023E6" w:rsidRPr="00781112" w:rsidRDefault="00E023E6">
      <w:pPr>
        <w:spacing w:before="0" w:after="200" w:line="276" w:lineRule="auto"/>
        <w:rPr>
          <w:b/>
          <w:color w:val="000000" w:themeColor="text1"/>
        </w:rPr>
      </w:pPr>
    </w:p>
    <w:p w14:paraId="7F4B46FE" w14:textId="77777777" w:rsidR="0034094E" w:rsidRPr="00781112" w:rsidRDefault="0034094E" w:rsidP="0034094E">
      <w:pPr>
        <w:rPr>
          <w:b/>
          <w:color w:val="000000" w:themeColor="text1"/>
        </w:rPr>
      </w:pPr>
      <w:r w:rsidRPr="00781112">
        <w:rPr>
          <w:b/>
          <w:color w:val="000000" w:themeColor="text1"/>
        </w:rPr>
        <w:t>Targets</w:t>
      </w:r>
    </w:p>
    <w:tbl>
      <w:tblPr>
        <w:tblW w:w="43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ATARGETS"/>
      </w:tblPr>
      <w:tblGrid>
        <w:gridCol w:w="896"/>
        <w:gridCol w:w="722"/>
        <w:gridCol w:w="1172"/>
        <w:gridCol w:w="1334"/>
        <w:gridCol w:w="1333"/>
        <w:gridCol w:w="1333"/>
        <w:gridCol w:w="1333"/>
        <w:gridCol w:w="1333"/>
      </w:tblGrid>
      <w:tr w:rsidR="00B14519" w:rsidRPr="00781112" w14:paraId="61B13027" w14:textId="7E8C0770" w:rsidTr="00451D7E">
        <w:tc>
          <w:tcPr>
            <w:tcW w:w="473" w:type="pct"/>
            <w:tcBorders>
              <w:bottom w:val="single" w:sz="4" w:space="0" w:color="auto"/>
            </w:tcBorders>
            <w:shd w:val="clear" w:color="auto" w:fill="auto"/>
            <w:vAlign w:val="center"/>
          </w:tcPr>
          <w:p w14:paraId="41C1EDA8" w14:textId="77777777" w:rsidR="00B14519" w:rsidRPr="00781112" w:rsidRDefault="00B14519" w:rsidP="00FD5357">
            <w:pPr>
              <w:jc w:val="center"/>
              <w:rPr>
                <w:b/>
                <w:color w:val="000000" w:themeColor="text1"/>
              </w:rPr>
            </w:pPr>
            <w:r w:rsidRPr="00781112">
              <w:rPr>
                <w:b/>
                <w:color w:val="000000" w:themeColor="text1"/>
              </w:rPr>
              <w:t>Subject</w:t>
            </w:r>
          </w:p>
        </w:tc>
        <w:tc>
          <w:tcPr>
            <w:tcW w:w="381" w:type="pct"/>
            <w:tcBorders>
              <w:bottom w:val="single" w:sz="4" w:space="0" w:color="auto"/>
            </w:tcBorders>
            <w:shd w:val="clear" w:color="auto" w:fill="auto"/>
            <w:vAlign w:val="center"/>
          </w:tcPr>
          <w:p w14:paraId="47C72AA9" w14:textId="77777777" w:rsidR="00B14519" w:rsidRPr="00781112" w:rsidRDefault="00B14519" w:rsidP="00FD5357">
            <w:pPr>
              <w:jc w:val="center"/>
              <w:rPr>
                <w:b/>
                <w:color w:val="000000" w:themeColor="text1"/>
              </w:rPr>
            </w:pPr>
            <w:r w:rsidRPr="00781112">
              <w:rPr>
                <w:b/>
                <w:color w:val="000000" w:themeColor="text1"/>
              </w:rPr>
              <w:t>Group</w:t>
            </w:r>
          </w:p>
        </w:tc>
        <w:tc>
          <w:tcPr>
            <w:tcW w:w="619" w:type="pct"/>
            <w:shd w:val="clear" w:color="auto" w:fill="auto"/>
            <w:vAlign w:val="center"/>
          </w:tcPr>
          <w:p w14:paraId="3EBC6D10" w14:textId="77777777" w:rsidR="00B14519" w:rsidRPr="00781112" w:rsidDel="008E7B87" w:rsidRDefault="00B14519" w:rsidP="00FD5357">
            <w:pPr>
              <w:jc w:val="center"/>
              <w:rPr>
                <w:b/>
                <w:color w:val="000000" w:themeColor="text1"/>
              </w:rPr>
            </w:pPr>
            <w:r w:rsidRPr="00781112">
              <w:rPr>
                <w:b/>
                <w:color w:val="000000" w:themeColor="text1"/>
              </w:rPr>
              <w:t>Group Name</w:t>
            </w:r>
          </w:p>
        </w:tc>
        <w:tc>
          <w:tcPr>
            <w:tcW w:w="705" w:type="pct"/>
            <w:shd w:val="clear" w:color="auto" w:fill="auto"/>
            <w:vAlign w:val="center"/>
          </w:tcPr>
          <w:p w14:paraId="5DB0C638" w14:textId="77777777" w:rsidR="00B14519" w:rsidRPr="00781112" w:rsidRDefault="00B14519" w:rsidP="00FD5357">
            <w:pPr>
              <w:jc w:val="center"/>
              <w:rPr>
                <w:b/>
                <w:color w:val="000000" w:themeColor="text1"/>
              </w:rPr>
            </w:pPr>
            <w:r w:rsidRPr="00781112">
              <w:rPr>
                <w:b/>
                <w:color w:val="000000" w:themeColor="text1"/>
              </w:rPr>
              <w:t>2021</w:t>
            </w:r>
          </w:p>
        </w:tc>
        <w:tc>
          <w:tcPr>
            <w:tcW w:w="705" w:type="pct"/>
            <w:vAlign w:val="center"/>
          </w:tcPr>
          <w:p w14:paraId="2BCE0486" w14:textId="3C221AF8" w:rsidR="00B14519" w:rsidRPr="00781112" w:rsidRDefault="00B14519" w:rsidP="00FD5357">
            <w:pPr>
              <w:jc w:val="center"/>
              <w:rPr>
                <w:b/>
                <w:color w:val="000000" w:themeColor="text1"/>
              </w:rPr>
            </w:pPr>
            <w:r w:rsidRPr="00781112">
              <w:rPr>
                <w:rFonts w:cs="Arial"/>
                <w:b/>
                <w:color w:val="000000" w:themeColor="text1"/>
                <w:szCs w:val="16"/>
              </w:rPr>
              <w:t>2022</w:t>
            </w:r>
          </w:p>
        </w:tc>
        <w:tc>
          <w:tcPr>
            <w:tcW w:w="705" w:type="pct"/>
            <w:vAlign w:val="center"/>
          </w:tcPr>
          <w:p w14:paraId="1990502A" w14:textId="03716A79" w:rsidR="00B14519" w:rsidRPr="00781112" w:rsidRDefault="00B14519" w:rsidP="00FD5357">
            <w:pPr>
              <w:jc w:val="center"/>
              <w:rPr>
                <w:b/>
                <w:color w:val="000000" w:themeColor="text1"/>
              </w:rPr>
            </w:pPr>
            <w:r w:rsidRPr="00781112">
              <w:rPr>
                <w:rFonts w:cs="Arial"/>
                <w:b/>
                <w:color w:val="000000" w:themeColor="text1"/>
                <w:szCs w:val="16"/>
              </w:rPr>
              <w:t>2023</w:t>
            </w:r>
          </w:p>
        </w:tc>
        <w:tc>
          <w:tcPr>
            <w:tcW w:w="705" w:type="pct"/>
            <w:vAlign w:val="center"/>
          </w:tcPr>
          <w:p w14:paraId="72DB4D15" w14:textId="310E5749" w:rsidR="00B14519" w:rsidRPr="00781112" w:rsidRDefault="00B14519" w:rsidP="00FD5357">
            <w:pPr>
              <w:jc w:val="center"/>
              <w:rPr>
                <w:b/>
                <w:color w:val="000000" w:themeColor="text1"/>
              </w:rPr>
            </w:pPr>
            <w:r w:rsidRPr="00781112">
              <w:rPr>
                <w:rFonts w:cs="Arial"/>
                <w:b/>
                <w:color w:val="000000" w:themeColor="text1"/>
                <w:szCs w:val="16"/>
              </w:rPr>
              <w:t>2024</w:t>
            </w:r>
          </w:p>
        </w:tc>
        <w:tc>
          <w:tcPr>
            <w:tcW w:w="705" w:type="pct"/>
            <w:vAlign w:val="center"/>
          </w:tcPr>
          <w:p w14:paraId="62291C5B" w14:textId="0E374F42" w:rsidR="00B14519" w:rsidRPr="00781112" w:rsidRDefault="00B14519" w:rsidP="00FD5357">
            <w:pPr>
              <w:jc w:val="center"/>
              <w:rPr>
                <w:b/>
                <w:color w:val="000000" w:themeColor="text1"/>
              </w:rPr>
            </w:pPr>
            <w:r w:rsidRPr="00781112">
              <w:rPr>
                <w:rFonts w:cs="Arial"/>
                <w:b/>
                <w:color w:val="000000" w:themeColor="text1"/>
                <w:szCs w:val="16"/>
              </w:rPr>
              <w:t>2025</w:t>
            </w:r>
          </w:p>
        </w:tc>
      </w:tr>
      <w:tr w:rsidR="00B14519" w:rsidRPr="00781112" w14:paraId="5EF23A8E" w14:textId="333536B2" w:rsidTr="00451D7E">
        <w:tc>
          <w:tcPr>
            <w:tcW w:w="473" w:type="pct"/>
            <w:shd w:val="clear" w:color="auto" w:fill="auto"/>
            <w:vAlign w:val="center"/>
          </w:tcPr>
          <w:p w14:paraId="659131E4"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Reading</w:t>
            </w:r>
          </w:p>
        </w:tc>
        <w:tc>
          <w:tcPr>
            <w:tcW w:w="381" w:type="pct"/>
            <w:shd w:val="clear" w:color="auto" w:fill="auto"/>
            <w:vAlign w:val="center"/>
          </w:tcPr>
          <w:p w14:paraId="0E33DCFC"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A &gt;=</w:t>
            </w:r>
          </w:p>
        </w:tc>
        <w:tc>
          <w:tcPr>
            <w:tcW w:w="619" w:type="pct"/>
            <w:shd w:val="clear" w:color="auto" w:fill="auto"/>
            <w:vAlign w:val="center"/>
          </w:tcPr>
          <w:p w14:paraId="76B16B43" w14:textId="39FB8899" w:rsidR="00B14519" w:rsidRPr="00781112" w:rsidDel="00DB0A73" w:rsidRDefault="00B14519" w:rsidP="00C362C0">
            <w:pPr>
              <w:jc w:val="center"/>
              <w:rPr>
                <w:rFonts w:cs="Arial"/>
                <w:color w:val="000000" w:themeColor="text1"/>
                <w:szCs w:val="16"/>
              </w:rPr>
            </w:pPr>
            <w:r w:rsidRPr="00781112">
              <w:rPr>
                <w:rFonts w:cs="Arial"/>
                <w:color w:val="000000" w:themeColor="text1"/>
                <w:szCs w:val="16"/>
              </w:rPr>
              <w:t>Grade 4</w:t>
            </w:r>
          </w:p>
        </w:tc>
        <w:tc>
          <w:tcPr>
            <w:tcW w:w="705" w:type="pct"/>
            <w:shd w:val="clear" w:color="auto" w:fill="auto"/>
            <w:vAlign w:val="center"/>
          </w:tcPr>
          <w:p w14:paraId="0F6CE0A1" w14:textId="29A64BBD"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4A0A22E0" w14:textId="6BB46B0C" w:rsidR="00B14519" w:rsidRPr="00781112" w:rsidRDefault="00B14519" w:rsidP="00C362C0">
            <w:pPr>
              <w:jc w:val="center"/>
              <w:rPr>
                <w:rFonts w:cs="Arial"/>
                <w:color w:val="000000" w:themeColor="text1"/>
                <w:szCs w:val="16"/>
              </w:rPr>
            </w:pPr>
            <w:r w:rsidRPr="00781112">
              <w:rPr>
                <w:rFonts w:cs="Arial"/>
                <w:color w:val="000000" w:themeColor="text1"/>
                <w:szCs w:val="16"/>
              </w:rPr>
              <w:t>95.00%</w:t>
            </w:r>
            <w:r w:rsidRPr="00781112">
              <w:t xml:space="preserve"> </w:t>
            </w:r>
          </w:p>
        </w:tc>
        <w:tc>
          <w:tcPr>
            <w:tcW w:w="705" w:type="pct"/>
            <w:vAlign w:val="center"/>
          </w:tcPr>
          <w:p w14:paraId="01E8CE0F" w14:textId="037B9FF4"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384B0AD2" w14:textId="38B3F908"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31EAFB06" w14:textId="6B6573E2"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r>
      <w:tr w:rsidR="00B14519" w:rsidRPr="00781112" w14:paraId="0DC87485" w14:textId="7CEA602E" w:rsidTr="00451D7E">
        <w:tc>
          <w:tcPr>
            <w:tcW w:w="473" w:type="pct"/>
            <w:shd w:val="clear" w:color="auto" w:fill="auto"/>
            <w:vAlign w:val="center"/>
          </w:tcPr>
          <w:p w14:paraId="0DBD5106"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Reading</w:t>
            </w:r>
          </w:p>
        </w:tc>
        <w:tc>
          <w:tcPr>
            <w:tcW w:w="381" w:type="pct"/>
            <w:shd w:val="clear" w:color="auto" w:fill="auto"/>
            <w:vAlign w:val="center"/>
          </w:tcPr>
          <w:p w14:paraId="32DA1B30"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B &gt;=</w:t>
            </w:r>
          </w:p>
        </w:tc>
        <w:tc>
          <w:tcPr>
            <w:tcW w:w="619" w:type="pct"/>
            <w:shd w:val="clear" w:color="auto" w:fill="auto"/>
            <w:vAlign w:val="center"/>
          </w:tcPr>
          <w:p w14:paraId="7451C944" w14:textId="48D1DB42" w:rsidR="00B14519" w:rsidRPr="00781112" w:rsidDel="00DB0A73" w:rsidRDefault="00B14519" w:rsidP="00C362C0">
            <w:pPr>
              <w:jc w:val="center"/>
              <w:rPr>
                <w:rFonts w:cs="Arial"/>
                <w:color w:val="000000" w:themeColor="text1"/>
                <w:szCs w:val="16"/>
              </w:rPr>
            </w:pPr>
            <w:r w:rsidRPr="00781112">
              <w:rPr>
                <w:rFonts w:cs="Arial"/>
                <w:color w:val="000000" w:themeColor="text1"/>
                <w:szCs w:val="16"/>
              </w:rPr>
              <w:t>Grade 8</w:t>
            </w:r>
          </w:p>
        </w:tc>
        <w:tc>
          <w:tcPr>
            <w:tcW w:w="705" w:type="pct"/>
            <w:shd w:val="clear" w:color="auto" w:fill="auto"/>
            <w:vAlign w:val="center"/>
          </w:tcPr>
          <w:p w14:paraId="00A324D3" w14:textId="7CE00F34"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52AC2F70" w14:textId="3AB4351A"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32A4C051" w14:textId="2E65FFFC"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77CC4A95" w14:textId="1A1A42B6"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73563EF2" w14:textId="7C7E03A0"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r>
      <w:tr w:rsidR="00B14519" w:rsidRPr="00781112" w14:paraId="546837A9" w14:textId="0EC3B58A" w:rsidTr="00451D7E">
        <w:tc>
          <w:tcPr>
            <w:tcW w:w="473" w:type="pct"/>
            <w:shd w:val="clear" w:color="auto" w:fill="auto"/>
            <w:vAlign w:val="center"/>
          </w:tcPr>
          <w:p w14:paraId="5E2AB8D4"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Reading</w:t>
            </w:r>
          </w:p>
        </w:tc>
        <w:tc>
          <w:tcPr>
            <w:tcW w:w="381" w:type="pct"/>
            <w:shd w:val="clear" w:color="auto" w:fill="auto"/>
            <w:vAlign w:val="center"/>
          </w:tcPr>
          <w:p w14:paraId="2801904B"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C &gt;=</w:t>
            </w:r>
          </w:p>
        </w:tc>
        <w:tc>
          <w:tcPr>
            <w:tcW w:w="619" w:type="pct"/>
            <w:shd w:val="clear" w:color="auto" w:fill="auto"/>
            <w:vAlign w:val="center"/>
          </w:tcPr>
          <w:p w14:paraId="5F09655C" w14:textId="799E5EE7" w:rsidR="00B14519" w:rsidRPr="00781112" w:rsidDel="00DB0A73" w:rsidRDefault="00B14519" w:rsidP="00C362C0">
            <w:pPr>
              <w:jc w:val="center"/>
              <w:rPr>
                <w:rFonts w:cs="Arial"/>
                <w:color w:val="000000" w:themeColor="text1"/>
                <w:szCs w:val="16"/>
              </w:rPr>
            </w:pPr>
            <w:r w:rsidRPr="00781112">
              <w:rPr>
                <w:rFonts w:cs="Arial"/>
                <w:color w:val="000000" w:themeColor="text1"/>
                <w:szCs w:val="16"/>
              </w:rPr>
              <w:t>Grade HS</w:t>
            </w:r>
          </w:p>
        </w:tc>
        <w:tc>
          <w:tcPr>
            <w:tcW w:w="705" w:type="pct"/>
            <w:shd w:val="clear" w:color="auto" w:fill="auto"/>
            <w:vAlign w:val="center"/>
          </w:tcPr>
          <w:p w14:paraId="06826BA4" w14:textId="5829FE90"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14B1D7EC" w14:textId="5E17D245"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05B53368" w14:textId="52EA99DA"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55D2A6D2" w14:textId="0D1D128C"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0D56BAE2" w14:textId="2F5D29E0"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r>
      <w:tr w:rsidR="00B14519" w:rsidRPr="00781112" w14:paraId="42FB4D55" w14:textId="70E04CC1" w:rsidTr="00451D7E">
        <w:tc>
          <w:tcPr>
            <w:tcW w:w="473" w:type="pct"/>
            <w:shd w:val="clear" w:color="auto" w:fill="auto"/>
            <w:vAlign w:val="center"/>
          </w:tcPr>
          <w:p w14:paraId="5003C653"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Math</w:t>
            </w:r>
          </w:p>
        </w:tc>
        <w:tc>
          <w:tcPr>
            <w:tcW w:w="381" w:type="pct"/>
            <w:shd w:val="clear" w:color="auto" w:fill="auto"/>
            <w:vAlign w:val="center"/>
          </w:tcPr>
          <w:p w14:paraId="3BDC476D"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A &gt;=</w:t>
            </w:r>
          </w:p>
        </w:tc>
        <w:tc>
          <w:tcPr>
            <w:tcW w:w="619" w:type="pct"/>
            <w:shd w:val="clear" w:color="auto" w:fill="auto"/>
            <w:vAlign w:val="center"/>
          </w:tcPr>
          <w:p w14:paraId="0CAD024F" w14:textId="139788C5" w:rsidR="00B14519" w:rsidRPr="00781112" w:rsidDel="00DB0A73" w:rsidRDefault="00B14519" w:rsidP="00C362C0">
            <w:pPr>
              <w:jc w:val="center"/>
              <w:rPr>
                <w:rFonts w:cs="Arial"/>
                <w:color w:val="000000" w:themeColor="text1"/>
                <w:szCs w:val="16"/>
              </w:rPr>
            </w:pPr>
            <w:r w:rsidRPr="00781112">
              <w:rPr>
                <w:rFonts w:cs="Arial"/>
                <w:color w:val="000000" w:themeColor="text1"/>
                <w:szCs w:val="16"/>
              </w:rPr>
              <w:t>Grade 4</w:t>
            </w:r>
          </w:p>
        </w:tc>
        <w:tc>
          <w:tcPr>
            <w:tcW w:w="705" w:type="pct"/>
            <w:shd w:val="clear" w:color="auto" w:fill="auto"/>
            <w:vAlign w:val="center"/>
          </w:tcPr>
          <w:p w14:paraId="643E3EC7" w14:textId="5E734881"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5C17E435" w14:textId="07B15AE7"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1B9AA205" w14:textId="39F901D2"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4966A75F" w14:textId="20C7AE15"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022FBD29" w14:textId="276E1879"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r>
      <w:tr w:rsidR="00B14519" w:rsidRPr="00781112" w14:paraId="36D735AC" w14:textId="5C55C170" w:rsidTr="00451D7E">
        <w:tc>
          <w:tcPr>
            <w:tcW w:w="473" w:type="pct"/>
            <w:shd w:val="clear" w:color="auto" w:fill="auto"/>
            <w:vAlign w:val="center"/>
          </w:tcPr>
          <w:p w14:paraId="3DD28514"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Math</w:t>
            </w:r>
          </w:p>
        </w:tc>
        <w:tc>
          <w:tcPr>
            <w:tcW w:w="381" w:type="pct"/>
            <w:shd w:val="clear" w:color="auto" w:fill="auto"/>
            <w:vAlign w:val="center"/>
          </w:tcPr>
          <w:p w14:paraId="504829E1"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B &gt;=</w:t>
            </w:r>
          </w:p>
        </w:tc>
        <w:tc>
          <w:tcPr>
            <w:tcW w:w="619" w:type="pct"/>
            <w:shd w:val="clear" w:color="auto" w:fill="auto"/>
            <w:vAlign w:val="center"/>
          </w:tcPr>
          <w:p w14:paraId="7B7B7FDD" w14:textId="4EABA9DD" w:rsidR="00B14519" w:rsidRPr="00781112" w:rsidDel="00DB0A73" w:rsidRDefault="00B14519" w:rsidP="00C362C0">
            <w:pPr>
              <w:jc w:val="center"/>
              <w:rPr>
                <w:rFonts w:cs="Arial"/>
                <w:color w:val="000000" w:themeColor="text1"/>
                <w:szCs w:val="16"/>
              </w:rPr>
            </w:pPr>
            <w:r w:rsidRPr="00781112">
              <w:rPr>
                <w:rFonts w:cs="Arial"/>
                <w:color w:val="000000" w:themeColor="text1"/>
                <w:szCs w:val="16"/>
              </w:rPr>
              <w:t>Grade 8</w:t>
            </w:r>
          </w:p>
        </w:tc>
        <w:tc>
          <w:tcPr>
            <w:tcW w:w="705" w:type="pct"/>
            <w:shd w:val="clear" w:color="auto" w:fill="auto"/>
            <w:vAlign w:val="center"/>
          </w:tcPr>
          <w:p w14:paraId="4BE54D67" w14:textId="13C82F03"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1113A8B0" w14:textId="01C04123"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3A3B0FBA" w14:textId="478F9449"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789FBACE" w14:textId="6A3893AE"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22CE6700" w14:textId="17865EEB"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r>
      <w:tr w:rsidR="00B14519" w:rsidRPr="00781112" w14:paraId="6D5345B6" w14:textId="77468A6F" w:rsidTr="00451D7E">
        <w:tc>
          <w:tcPr>
            <w:tcW w:w="473" w:type="pct"/>
            <w:shd w:val="clear" w:color="auto" w:fill="auto"/>
            <w:vAlign w:val="center"/>
          </w:tcPr>
          <w:p w14:paraId="7932C55F"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Math</w:t>
            </w:r>
          </w:p>
        </w:tc>
        <w:tc>
          <w:tcPr>
            <w:tcW w:w="381" w:type="pct"/>
            <w:shd w:val="clear" w:color="auto" w:fill="auto"/>
            <w:vAlign w:val="center"/>
          </w:tcPr>
          <w:p w14:paraId="2BCACF10"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C &gt;=</w:t>
            </w:r>
          </w:p>
        </w:tc>
        <w:tc>
          <w:tcPr>
            <w:tcW w:w="619" w:type="pct"/>
            <w:shd w:val="clear" w:color="auto" w:fill="auto"/>
            <w:vAlign w:val="center"/>
          </w:tcPr>
          <w:p w14:paraId="1E7674E7" w14:textId="620A24D0" w:rsidR="00B14519" w:rsidRPr="00781112" w:rsidDel="00DB0A73" w:rsidRDefault="00B14519" w:rsidP="00C362C0">
            <w:pPr>
              <w:jc w:val="center"/>
              <w:rPr>
                <w:rFonts w:cs="Arial"/>
                <w:color w:val="000000" w:themeColor="text1"/>
                <w:szCs w:val="16"/>
              </w:rPr>
            </w:pPr>
            <w:r w:rsidRPr="00781112">
              <w:rPr>
                <w:rFonts w:cs="Arial"/>
                <w:color w:val="000000" w:themeColor="text1"/>
                <w:szCs w:val="16"/>
              </w:rPr>
              <w:t>Grade HS</w:t>
            </w:r>
          </w:p>
        </w:tc>
        <w:tc>
          <w:tcPr>
            <w:tcW w:w="705" w:type="pct"/>
            <w:shd w:val="clear" w:color="auto" w:fill="auto"/>
            <w:vAlign w:val="center"/>
          </w:tcPr>
          <w:p w14:paraId="416F7E76" w14:textId="5B460752"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7ADA18AC" w14:textId="2893C149"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1BF168BC" w14:textId="476AE7F5"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3BB5329F" w14:textId="6B51850F"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3163C52B" w14:textId="316A6F3C"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r>
    </w:tbl>
    <w:p w14:paraId="4FED9CA8" w14:textId="44F264E8" w:rsidR="007765EF" w:rsidRDefault="007765EF" w:rsidP="00480083">
      <w:pPr>
        <w:rPr>
          <w:b/>
          <w:color w:val="000000" w:themeColor="text1"/>
        </w:rPr>
      </w:pPr>
    </w:p>
    <w:p w14:paraId="2DB4239B" w14:textId="0E1AE0FE" w:rsidR="00480083" w:rsidRPr="00DB4E16" w:rsidRDefault="00480083" w:rsidP="00DB4E16">
      <w:pPr>
        <w:spacing w:before="0" w:after="200"/>
        <w:rPr>
          <w:b/>
          <w:color w:val="000000" w:themeColor="text1"/>
        </w:rPr>
      </w:pPr>
      <w:r w:rsidRPr="00781112">
        <w:rPr>
          <w:b/>
          <w:color w:val="000000" w:themeColor="text1"/>
        </w:rPr>
        <w:t xml:space="preserve">Targets: Description of Stakeholder Input </w:t>
      </w:r>
      <w:r w:rsidR="00DB4E16">
        <w:rPr>
          <w:b/>
          <w:color w:val="000000" w:themeColor="text1"/>
        </w:rPr>
        <w:br/>
      </w:r>
      <w:r w:rsidRPr="00781112">
        <w:rPr>
          <w:rFonts w:cs="Arial"/>
          <w:color w:val="000000" w:themeColor="text1"/>
          <w:szCs w:val="16"/>
        </w:rPr>
        <w:t>The USBE SES values stakeholder engagement and input and solicits ongoing feedback and review. Stakeholders consistently provide input through collaborative meetings, public comment, written communication, survey data, data analysis, and informal conversations. To share data and information and collect feedback on areas such as SPP/APR targets, the USBE SES employs meetings, newsletters, emails, surveys, and social media with stakeholder groups:</w:t>
      </w:r>
      <w:r w:rsidRPr="00781112">
        <w:rPr>
          <w:rFonts w:cs="Arial"/>
          <w:color w:val="000000" w:themeColor="text1"/>
          <w:szCs w:val="16"/>
        </w:rPr>
        <w:br/>
        <w:t>• LEA Special Education Directors</w:t>
      </w:r>
      <w:r w:rsidRPr="00781112">
        <w:rPr>
          <w:rFonts w:cs="Arial"/>
          <w:color w:val="000000" w:themeColor="text1"/>
          <w:szCs w:val="16"/>
        </w:rPr>
        <w:br/>
        <w:t>• Utah Special Education Advisory Panel (USEAP)</w:t>
      </w:r>
      <w:r w:rsidRPr="00781112">
        <w:rPr>
          <w:rFonts w:cs="Arial"/>
          <w:color w:val="000000" w:themeColor="text1"/>
          <w:szCs w:val="16"/>
        </w:rPr>
        <w:br/>
        <w:t>• USBE Committees</w:t>
      </w:r>
      <w:r w:rsidRPr="00781112">
        <w:rPr>
          <w:rFonts w:cs="Arial"/>
          <w:color w:val="000000" w:themeColor="text1"/>
          <w:szCs w:val="16"/>
        </w:rPr>
        <w:br/>
        <w:t>• Utah Legislative Committees</w:t>
      </w:r>
      <w:r w:rsidRPr="00781112">
        <w:rPr>
          <w:rFonts w:cs="Arial"/>
          <w:color w:val="000000" w:themeColor="text1"/>
          <w:szCs w:val="16"/>
        </w:rPr>
        <w:br/>
        <w:t>• Utah Parent Center (UPC)</w:t>
      </w:r>
      <w:r w:rsidRPr="00781112">
        <w:rPr>
          <w:rFonts w:cs="Arial"/>
          <w:color w:val="000000" w:themeColor="text1"/>
          <w:szCs w:val="16"/>
        </w:rPr>
        <w:br/>
        <w:t>• LEA Curriculum and Assessment Directors</w:t>
      </w:r>
      <w:r w:rsidRPr="00781112">
        <w:rPr>
          <w:rFonts w:cs="Arial"/>
          <w:color w:val="000000" w:themeColor="text1"/>
          <w:szCs w:val="16"/>
        </w:rPr>
        <w:br/>
        <w:t>• LEA Preschool Coordinators</w:t>
      </w:r>
      <w:r w:rsidRPr="00781112">
        <w:rPr>
          <w:rFonts w:cs="Arial"/>
          <w:color w:val="000000" w:themeColor="text1"/>
          <w:szCs w:val="16"/>
        </w:rPr>
        <w:br/>
        <w:t>• LEA Administrators</w:t>
      </w:r>
      <w:r w:rsidRPr="00781112">
        <w:rPr>
          <w:rFonts w:cs="Arial"/>
          <w:color w:val="000000" w:themeColor="text1"/>
          <w:szCs w:val="16"/>
        </w:rPr>
        <w:br/>
      </w:r>
      <w:r w:rsidRPr="00781112">
        <w:rPr>
          <w:rFonts w:cs="Arial"/>
          <w:color w:val="000000" w:themeColor="text1"/>
          <w:szCs w:val="16"/>
        </w:rPr>
        <w:lastRenderedPageBreak/>
        <w:t>•Utah Institutes of Higher Education (IHEs)</w:t>
      </w:r>
      <w:r w:rsidRPr="00781112">
        <w:rPr>
          <w:rFonts w:cs="Arial"/>
          <w:color w:val="000000" w:themeColor="text1"/>
          <w:szCs w:val="16"/>
        </w:rPr>
        <w:br/>
        <w:t>• Baby Watch/Early Intervention (Utah’s Part C agency)</w:t>
      </w:r>
      <w:r w:rsidRPr="00781112">
        <w:rPr>
          <w:rFonts w:cs="Arial"/>
          <w:color w:val="000000" w:themeColor="text1"/>
          <w:szCs w:val="16"/>
        </w:rPr>
        <w:br/>
        <w:t>• Agencies and non-profit organizations that provide services to SWD</w:t>
      </w:r>
      <w:r w:rsidRPr="00781112">
        <w:rPr>
          <w:rFonts w:cs="Arial"/>
          <w:color w:val="000000" w:themeColor="text1"/>
          <w:szCs w:val="16"/>
        </w:rPr>
        <w:br/>
        <w:t>• Utah Educators</w:t>
      </w:r>
      <w:r w:rsidRPr="00781112">
        <w:rPr>
          <w:rFonts w:cs="Arial"/>
          <w:color w:val="000000" w:themeColor="text1"/>
          <w:szCs w:val="16"/>
        </w:rPr>
        <w:br/>
        <w:t>• Advocacy groups throughout the State</w:t>
      </w:r>
      <w:r w:rsidRPr="00781112">
        <w:rPr>
          <w:rFonts w:cs="Arial"/>
          <w:color w:val="000000" w:themeColor="text1"/>
          <w:szCs w:val="16"/>
        </w:rPr>
        <w:br/>
        <w:t>During FFY 2021, no changes were made to the SPP/APR targets. The USBE SES reviewed the progress of the implementation of the Theory of Action for the SSIP and SPP/APR data with USEAM, USEAP, and the Coordinating Council for People with Disabilities (CCPD) (which includes all state agencies that serve individuals with disabilities and all nonprofit organizations that receive any state funding and/or grants).</w:t>
      </w:r>
      <w:r w:rsidRPr="00781112">
        <w:rPr>
          <w:rFonts w:cs="Arial"/>
          <w:color w:val="000000" w:themeColor="text1"/>
          <w:szCs w:val="16"/>
        </w:rPr>
        <w:br/>
        <w:t>The APR summit was held virtually on July 30, 2021. Over 100 participants attended from the stakeholder groups and those with individual interests. Participants reviewed data and projections for the State in 2025–2026. Participants were provided with an overview of the advantages and disadvantages of predictive models as well as an overview of the mindset for target-setting. Participants were asked to select the end targets (2025–2026) for indicators. The USBE SES would then calculate intervening targets between FFY 2020 and FFY 2025 whereby there would be no increase in the target the first year, followed by small increases, then large increases near the end. This is to allow enough time for LEAs to implement initiatives and change practices to realistically meet targets along their way to the rigorous end targets. After this overview, participants determined challenging and achievable end targets. The USBE SES calculated intervening targets and shared these intervening targets with the participants and additional stakeholders to get final approval for all the targets.</w:t>
      </w:r>
      <w:r w:rsidRPr="00781112">
        <w:rPr>
          <w:rFonts w:cs="Arial"/>
          <w:color w:val="000000" w:themeColor="text1"/>
          <w:szCs w:val="16"/>
        </w:rPr>
        <w:br/>
        <w:t>A survey was sent out and 101 individuals participated. Most participants identified as white females in suburban parts of Utah. American Indian/Native Alaskan, Hispanic/Latino, and individuals who identified as multiracial also participated. As a result of this additional feedback, the USBE SES revised Indicator 5 targets to maintain rigor and develop reasonable targets manageable by the LEAs. Targets for all indicators were developed after review of historical indicator and trend data, recommendations from the USBE statistician, the impact of COVID-19, APR summit and APR survey review. All targets were subsequently reviewed and adopted by USBE staff, USEAP, and LEAs. OSEP approved SPP/APR targets in the FFY 2020 SPP/APR.</w:t>
      </w:r>
      <w:r w:rsidRPr="00781112">
        <w:rPr>
          <w:rFonts w:cs="Arial"/>
          <w:color w:val="000000" w:themeColor="text1"/>
          <w:szCs w:val="16"/>
        </w:rPr>
        <w:br/>
        <w:t>During FFY 2021, the SPP/APR and SSIP were discussed regularly with LEA special education directors, USEAP, UPC, the state Parent Teacher Association (PTA), and other parent groups focused on inclusionary practices in Utah schools. Regular meetings are held with all these groups typically on a quarterly basis. Emails, phone calls, and in-person meetings provide for informal opportunities to gain insight and adjust.</w:t>
      </w:r>
      <w:r w:rsidRPr="00781112">
        <w:rPr>
          <w:rFonts w:cs="Arial"/>
          <w:color w:val="000000" w:themeColor="text1"/>
          <w:szCs w:val="16"/>
        </w:rPr>
        <w:br/>
        <w:t>The UPC works closely with USBE to increase the capacity of diverse groups of parents. Meetings at UPC are held in Spanish as the second highest language in the State. Refugee populations are connected through UPC staff assigned to specific LEAs with large populations of refugees.</w:t>
      </w:r>
      <w:r w:rsidRPr="00781112">
        <w:rPr>
          <w:rFonts w:cs="Arial"/>
          <w:color w:val="000000" w:themeColor="text1"/>
          <w:szCs w:val="16"/>
        </w:rPr>
        <w:br/>
        <w:t>The USBE family engagement specialist seeks to increase capacity through cross collaboration with other parent and family engagement programs provided in LEAs that we will continue to target.</w:t>
      </w:r>
      <w:r w:rsidRPr="00781112">
        <w:rPr>
          <w:rFonts w:cs="Arial"/>
          <w:color w:val="000000" w:themeColor="text1"/>
          <w:szCs w:val="16"/>
        </w:rPr>
        <w:br/>
        <w:t>INDICATOR 1</w:t>
      </w:r>
      <w:r w:rsidRPr="00781112">
        <w:rPr>
          <w:rFonts w:cs="Arial"/>
          <w:color w:val="000000" w:themeColor="text1"/>
          <w:szCs w:val="16"/>
        </w:rPr>
        <w:br/>
        <w:t>Data from 2018 was determined to be an appropriate baseline. With a baseline of 67.90%, targets will increase with consideration for COVID-19 impacts.</w:t>
      </w:r>
      <w:r w:rsidRPr="00781112">
        <w:rPr>
          <w:rFonts w:cs="Arial"/>
          <w:color w:val="000000" w:themeColor="text1"/>
          <w:szCs w:val="16"/>
        </w:rPr>
        <w:br/>
        <w:t>INDICATOR 2</w:t>
      </w:r>
      <w:r w:rsidRPr="00781112">
        <w:rPr>
          <w:rFonts w:cs="Arial"/>
          <w:color w:val="000000" w:themeColor="text1"/>
          <w:szCs w:val="16"/>
        </w:rPr>
        <w:br/>
        <w:t>Data from 2018 was determined to be an appropriate baseline. With a baseline of 25.81%, targets will decrease with consideration for COVID-19 impacts.</w:t>
      </w:r>
      <w:r w:rsidRPr="00781112">
        <w:rPr>
          <w:rFonts w:cs="Arial"/>
          <w:color w:val="000000" w:themeColor="text1"/>
          <w:szCs w:val="16"/>
        </w:rPr>
        <w:br/>
        <w:t>INDICATOR 3A</w:t>
      </w:r>
      <w:r w:rsidRPr="00781112">
        <w:rPr>
          <w:rFonts w:cs="Arial"/>
          <w:color w:val="000000" w:themeColor="text1"/>
          <w:szCs w:val="16"/>
        </w:rPr>
        <w:br/>
        <w:t>This target is set by OSEP. Stakeholders discussed ways to improve participation.</w:t>
      </w:r>
      <w:r w:rsidRPr="00781112">
        <w:rPr>
          <w:rFonts w:cs="Arial"/>
          <w:color w:val="000000" w:themeColor="text1"/>
          <w:szCs w:val="16"/>
        </w:rPr>
        <w:br/>
        <w:t>INDICATORS 3B, C, D</w:t>
      </w:r>
      <w:r w:rsidRPr="00781112">
        <w:rPr>
          <w:rFonts w:cs="Arial"/>
          <w:color w:val="000000" w:themeColor="text1"/>
          <w:szCs w:val="16"/>
        </w:rPr>
        <w:br/>
        <w:t>Participants looked at the average mean from the previous four years of data in conjunction with the linear trend and forecasting. This process allowed participants to analyze the best statistical guess of where Utah’s data would most likely be in six years while also seeing the forecasting of possible error over time for predicting far into the future.</w:t>
      </w:r>
      <w:r w:rsidRPr="00781112">
        <w:rPr>
          <w:rFonts w:cs="Arial"/>
          <w:color w:val="000000" w:themeColor="text1"/>
          <w:szCs w:val="16"/>
        </w:rPr>
        <w:br/>
        <w:t>INDICATOR 5</w:t>
      </w:r>
      <w:r w:rsidRPr="00781112">
        <w:rPr>
          <w:rFonts w:cs="Arial"/>
          <w:color w:val="000000" w:themeColor="text1"/>
          <w:szCs w:val="16"/>
        </w:rPr>
        <w:br/>
        <w:t>During FFY 2020, the Indicator 5 baseline was reset. In FFY 2021, all targets were met. A comprehensive approach was taken to provide informative learning sessions to support special education directors who are accountable for reviewing Indicator 5 outcome data. Recognizing the need to differentiate support, the USBE SES offered individual LEA data analysis and problem-solving sessions.</w:t>
      </w:r>
      <w:r w:rsidRPr="00781112">
        <w:rPr>
          <w:rFonts w:cs="Arial"/>
          <w:color w:val="000000" w:themeColor="text1"/>
          <w:szCs w:val="16"/>
        </w:rPr>
        <w:br/>
        <w:t>INDICATOR 6</w:t>
      </w:r>
      <w:r w:rsidRPr="00781112">
        <w:rPr>
          <w:rFonts w:cs="Arial"/>
          <w:color w:val="000000" w:themeColor="text1"/>
          <w:szCs w:val="16"/>
        </w:rPr>
        <w:br/>
        <w:t>Data from 2018 was determined to be an appropriate baseline. With baselines of (A) 46.86%, (B) 32.67%, (C) 0.25%, targets will gradually increase and decrease with consideration for COVID-19 impacts.</w:t>
      </w:r>
      <w:r w:rsidRPr="00781112">
        <w:rPr>
          <w:rFonts w:cs="Arial"/>
          <w:color w:val="000000" w:themeColor="text1"/>
          <w:szCs w:val="16"/>
        </w:rPr>
        <w:br/>
        <w:t>INDICATOR 7</w:t>
      </w:r>
      <w:r w:rsidRPr="00781112">
        <w:rPr>
          <w:rFonts w:cs="Arial"/>
          <w:color w:val="000000" w:themeColor="text1"/>
          <w:szCs w:val="16"/>
        </w:rPr>
        <w:br/>
        <w:t>Data from 2018 was determined to be an appropriate baseline. The USBE predicts outcomes for this indicator are still being largely impacted by COVID-19, and targets are currently set below the baseline. With baselines of (A1) 88.86%, (A2) 58.94%, (B1) 88.41%, (B2) 50.48%, (C1) 89.86%, (C2) 70.52%, targets will increase with consideration for COVID-19 impacts.</w:t>
      </w:r>
      <w:r w:rsidRPr="00781112">
        <w:rPr>
          <w:rFonts w:cs="Arial"/>
          <w:color w:val="000000" w:themeColor="text1"/>
          <w:szCs w:val="16"/>
        </w:rPr>
        <w:br/>
        <w:t>INDICATOR 8</w:t>
      </w:r>
      <w:r w:rsidRPr="00781112">
        <w:rPr>
          <w:rFonts w:cs="Arial"/>
          <w:color w:val="000000" w:themeColor="text1"/>
          <w:szCs w:val="16"/>
        </w:rPr>
        <w:br/>
        <w:t>Data from 2018 was determined to be an appropriate baseline. With a baseline of 78.38%, targets will gradually increase with consideration for COVID-19 impacts.</w:t>
      </w:r>
      <w:r w:rsidRPr="00781112">
        <w:rPr>
          <w:rFonts w:cs="Arial"/>
          <w:color w:val="000000" w:themeColor="text1"/>
          <w:szCs w:val="16"/>
        </w:rPr>
        <w:br/>
        <w:t>INDICATORS 4, 9, 10</w:t>
      </w:r>
      <w:r w:rsidRPr="00781112">
        <w:rPr>
          <w:rFonts w:cs="Arial"/>
          <w:color w:val="000000" w:themeColor="text1"/>
          <w:szCs w:val="16"/>
        </w:rPr>
        <w:br/>
        <w:t>During the APR Summit, stakeholders reviewed current data trends and ways to improve outcomes. Although targets cannot be changed, stakeholder input has been instrumental in meeting targets for these indicators. The calculations and data collection process for these indicators has been updated to improve outcomes for SWD. Stakeholder input has been utilized to determine processes, PL, and support provided to bridge the gap between current performance and targets.</w:t>
      </w:r>
      <w:r w:rsidRPr="00781112">
        <w:rPr>
          <w:rFonts w:cs="Arial"/>
          <w:color w:val="000000" w:themeColor="text1"/>
          <w:szCs w:val="16"/>
        </w:rPr>
        <w:br/>
        <w:t>INDICATORS 11, 12</w:t>
      </w:r>
      <w:r w:rsidRPr="00781112">
        <w:rPr>
          <w:rFonts w:cs="Arial"/>
          <w:color w:val="000000" w:themeColor="text1"/>
          <w:szCs w:val="16"/>
        </w:rPr>
        <w:br/>
        <w:t>During the APR Summit, stakeholders reviewed current data trends and ways to improve outcomes. Although targets cannot be changed, stakeholder input has been instrumental in meeting targets for these indicators. Input has been utilized to determine PL and support provided to bridge the gap between current performance and targets.</w:t>
      </w:r>
      <w:r w:rsidRPr="00781112">
        <w:rPr>
          <w:rFonts w:cs="Arial"/>
          <w:color w:val="000000" w:themeColor="text1"/>
          <w:szCs w:val="16"/>
        </w:rPr>
        <w:br/>
        <w:t>INDICATOR 13</w:t>
      </w:r>
      <w:r w:rsidRPr="00781112">
        <w:rPr>
          <w:rFonts w:cs="Arial"/>
          <w:color w:val="000000" w:themeColor="text1"/>
          <w:szCs w:val="16"/>
        </w:rPr>
        <w:br/>
        <w:t>The USBE SES recognizes this is an area requiring improvement. During the APR Summit, stakeholders reviewed current data trends and ways to improve outcomes. Although targets cannot be changed, stakeholder input has been instrumental in the progression toward meeting the target.</w:t>
      </w:r>
      <w:r w:rsidRPr="00781112">
        <w:rPr>
          <w:rFonts w:cs="Arial"/>
          <w:color w:val="000000" w:themeColor="text1"/>
          <w:szCs w:val="16"/>
        </w:rPr>
        <w:br/>
        <w:t>INDICATOR 14</w:t>
      </w:r>
      <w:r w:rsidRPr="00781112">
        <w:rPr>
          <w:rFonts w:cs="Arial"/>
          <w:color w:val="000000" w:themeColor="text1"/>
          <w:szCs w:val="16"/>
        </w:rPr>
        <w:br/>
        <w:t>Data from 2018 was determined to be an appropriate baseline. The USBE predicts outcomes for this indicator are still being largely impacted by COVID-19, and targets are currently set below the baseline. With baselines of (A) 19.62%, (B) 67.60%, (C) 84.37%, targets will increase with consideration for COVID-19 impacts.</w:t>
      </w:r>
      <w:r w:rsidRPr="00781112">
        <w:rPr>
          <w:rFonts w:cs="Arial"/>
          <w:color w:val="000000" w:themeColor="text1"/>
          <w:szCs w:val="16"/>
        </w:rPr>
        <w:br/>
        <w:t xml:space="preserve">INDICATOR 15 </w:t>
      </w:r>
      <w:r w:rsidRPr="00781112">
        <w:rPr>
          <w:rFonts w:cs="Arial"/>
          <w:color w:val="000000" w:themeColor="text1"/>
          <w:szCs w:val="16"/>
        </w:rPr>
        <w:br/>
        <w:t>The USBE continues to experience relatively low levels of due process hearing requests and resolution meetings and is not required to set a target.</w:t>
      </w:r>
      <w:r w:rsidRPr="00781112">
        <w:rPr>
          <w:rFonts w:cs="Arial"/>
          <w:color w:val="000000" w:themeColor="text1"/>
          <w:szCs w:val="16"/>
        </w:rPr>
        <w:br/>
        <w:t xml:space="preserve">INDICATOR 16 </w:t>
      </w:r>
      <w:r w:rsidRPr="00781112">
        <w:rPr>
          <w:rFonts w:cs="Arial"/>
          <w:color w:val="000000" w:themeColor="text1"/>
          <w:szCs w:val="16"/>
        </w:rPr>
        <w:br/>
        <w:t>The USBE continues to experience relatively low levels of dispute resolution requests, including mediation. Targets have been set based on the low level of mediation requests.</w:t>
      </w:r>
    </w:p>
    <w:p w14:paraId="4B8B8032" w14:textId="4731FBE7" w:rsidR="0034094E" w:rsidRPr="00781112" w:rsidRDefault="0034094E">
      <w:pPr>
        <w:spacing w:before="0" w:after="200" w:line="276" w:lineRule="auto"/>
        <w:rPr>
          <w:b/>
          <w:color w:val="000000" w:themeColor="text1"/>
        </w:rPr>
      </w:pPr>
    </w:p>
    <w:p w14:paraId="185A3541" w14:textId="67850A3C" w:rsidR="004F4016" w:rsidRPr="00781112" w:rsidRDefault="00FA33C9" w:rsidP="004F4016">
      <w:pPr>
        <w:rPr>
          <w:b/>
          <w:color w:val="000000" w:themeColor="text1"/>
        </w:rPr>
      </w:pPr>
      <w:r>
        <w:rPr>
          <w:b/>
          <w:color w:val="000000" w:themeColor="text1"/>
        </w:rPr>
        <w:lastRenderedPageBreak/>
        <w:t>FFY 2021 Data Disaggregation from EDFacts</w:t>
      </w:r>
    </w:p>
    <w:p w14:paraId="0D09503A" w14:textId="77777777" w:rsidR="004F4016" w:rsidRPr="00781112" w:rsidRDefault="004F4016" w:rsidP="004F4016">
      <w:pPr>
        <w:rPr>
          <w:rFonts w:cs="Arial"/>
          <w:b/>
          <w:color w:val="000000" w:themeColor="text1"/>
          <w:szCs w:val="16"/>
        </w:rPr>
      </w:pPr>
      <w:r w:rsidRPr="00781112">
        <w:rPr>
          <w:rFonts w:cs="Arial"/>
          <w:b/>
          <w:color w:val="000000" w:themeColor="text1"/>
          <w:szCs w:val="16"/>
        </w:rPr>
        <w:t xml:space="preserve">Data Source:  </w:t>
      </w:r>
    </w:p>
    <w:p w14:paraId="395788DA" w14:textId="77777777" w:rsidR="004F4016" w:rsidRPr="00781112" w:rsidRDefault="004F4016" w:rsidP="004F4016">
      <w:pPr>
        <w:rPr>
          <w:rFonts w:cs="Arial"/>
          <w:color w:val="000000" w:themeColor="text1"/>
          <w:szCs w:val="16"/>
        </w:rPr>
      </w:pPr>
      <w:r w:rsidRPr="00781112">
        <w:rPr>
          <w:rFonts w:cs="Arial"/>
          <w:color w:val="000000" w:themeColor="text1"/>
          <w:szCs w:val="16"/>
        </w:rPr>
        <w:t>SY 2021-22 Assessment Data Groups - Reading  (EDFacts file spec FS188; Data Group: 589)</w:t>
      </w:r>
    </w:p>
    <w:p w14:paraId="6E29ED7B" w14:textId="77777777" w:rsidR="004F4016" w:rsidRPr="00781112" w:rsidRDefault="004F4016" w:rsidP="004F4016">
      <w:pPr>
        <w:rPr>
          <w:rFonts w:cs="Arial"/>
          <w:b/>
          <w:color w:val="000000" w:themeColor="text1"/>
          <w:szCs w:val="16"/>
        </w:rPr>
      </w:pPr>
      <w:r w:rsidRPr="00781112">
        <w:rPr>
          <w:rFonts w:cs="Arial"/>
          <w:b/>
          <w:color w:val="000000" w:themeColor="text1"/>
          <w:szCs w:val="16"/>
        </w:rPr>
        <w:t xml:space="preserve">Date: </w:t>
      </w:r>
    </w:p>
    <w:p w14:paraId="07D35668" w14:textId="51A69A5D" w:rsidR="00DB4E16" w:rsidRPr="00781112" w:rsidRDefault="004F4016" w:rsidP="004F4016">
      <w:pPr>
        <w:rPr>
          <w:rFonts w:cs="Arial"/>
          <w:color w:val="000000" w:themeColor="text1"/>
          <w:szCs w:val="16"/>
        </w:rPr>
      </w:pPr>
      <w:r w:rsidRPr="00781112">
        <w:rPr>
          <w:rFonts w:cs="Arial"/>
          <w:color w:val="000000" w:themeColor="text1"/>
          <w:szCs w:val="16"/>
        </w:rPr>
        <w:t>04/05/2023</w:t>
      </w:r>
    </w:p>
    <w:p w14:paraId="651CC948" w14:textId="77777777" w:rsidR="004F4016" w:rsidRPr="00781112" w:rsidRDefault="004F4016" w:rsidP="004F4016">
      <w:pPr>
        <w:rPr>
          <w:b/>
          <w:color w:val="000000" w:themeColor="text1"/>
        </w:rPr>
      </w:pPr>
      <w:r w:rsidRPr="00781112">
        <w:rPr>
          <w:b/>
          <w:color w:val="000000" w:themeColor="text1"/>
        </w:rPr>
        <w:t>Reading Assessment Participation Data by Grade</w:t>
      </w:r>
    </w:p>
    <w:tbl>
      <w:tblPr>
        <w:tblStyle w:val="TableGrid"/>
        <w:tblW w:w="5000" w:type="pct"/>
        <w:tblLayout w:type="fixed"/>
        <w:tblLook w:val="04A0" w:firstRow="1" w:lastRow="0" w:firstColumn="1" w:lastColumn="0" w:noHBand="0" w:noVBand="1"/>
        <w:tblCaption w:val="B03ASSPARTDATABYGRDRLA"/>
      </w:tblPr>
      <w:tblGrid>
        <w:gridCol w:w="3326"/>
        <w:gridCol w:w="2488"/>
        <w:gridCol w:w="2488"/>
        <w:gridCol w:w="2488"/>
      </w:tblGrid>
      <w:tr w:rsidR="00DD7CEF" w:rsidRPr="00781112" w14:paraId="403AD72A" w14:textId="77777777" w:rsidTr="009E026B">
        <w:tc>
          <w:tcPr>
            <w:tcW w:w="1541" w:type="pct"/>
            <w:shd w:val="clear" w:color="auto" w:fill="auto"/>
            <w:vAlign w:val="center"/>
          </w:tcPr>
          <w:p w14:paraId="1C62C5FF" w14:textId="603ACFA1" w:rsidR="00DD7CEF" w:rsidRPr="00781112" w:rsidRDefault="00DD7CEF" w:rsidP="00827FF4">
            <w:pPr>
              <w:jc w:val="center"/>
              <w:rPr>
                <w:rFonts w:cs="Arial"/>
                <w:b/>
                <w:bCs/>
                <w:color w:val="000000" w:themeColor="text1"/>
                <w:szCs w:val="16"/>
              </w:rPr>
            </w:pPr>
            <w:r w:rsidRPr="00781112">
              <w:rPr>
                <w:rFonts w:cs="Arial"/>
                <w:b/>
                <w:bCs/>
                <w:color w:val="000000" w:themeColor="text1"/>
                <w:szCs w:val="16"/>
              </w:rPr>
              <w:t>Group</w:t>
            </w:r>
          </w:p>
        </w:tc>
        <w:tc>
          <w:tcPr>
            <w:tcW w:w="1153" w:type="pct"/>
            <w:shd w:val="clear" w:color="auto" w:fill="auto"/>
            <w:vAlign w:val="center"/>
          </w:tcPr>
          <w:p w14:paraId="3BC293C7" w14:textId="23FBE050" w:rsidR="00DD7CEF" w:rsidRPr="00781112" w:rsidRDefault="0014778D">
            <w:pPr>
              <w:jc w:val="center"/>
              <w:rPr>
                <w:rFonts w:cs="Arial"/>
                <w:b/>
                <w:bCs/>
                <w:color w:val="000000" w:themeColor="text1"/>
                <w:szCs w:val="16"/>
              </w:rPr>
            </w:pPr>
            <w:r w:rsidRPr="00781112">
              <w:rPr>
                <w:rFonts w:cs="Arial"/>
                <w:b/>
                <w:bCs/>
                <w:color w:val="000000" w:themeColor="text1"/>
                <w:szCs w:val="16"/>
              </w:rPr>
              <w:t>Grade 4</w:t>
            </w:r>
          </w:p>
        </w:tc>
        <w:tc>
          <w:tcPr>
            <w:tcW w:w="1153" w:type="pct"/>
            <w:shd w:val="clear" w:color="auto" w:fill="auto"/>
            <w:vAlign w:val="center"/>
          </w:tcPr>
          <w:p w14:paraId="2B9E34ED" w14:textId="748CD695" w:rsidR="00DD7CEF" w:rsidRPr="00781112" w:rsidRDefault="009A58F2">
            <w:pPr>
              <w:jc w:val="center"/>
              <w:rPr>
                <w:rFonts w:cs="Arial"/>
                <w:b/>
                <w:bCs/>
                <w:color w:val="000000" w:themeColor="text1"/>
                <w:szCs w:val="16"/>
              </w:rPr>
            </w:pPr>
            <w:r w:rsidRPr="00781112">
              <w:rPr>
                <w:rFonts w:cs="Arial"/>
                <w:b/>
                <w:bCs/>
                <w:color w:val="000000" w:themeColor="text1"/>
                <w:szCs w:val="16"/>
              </w:rPr>
              <w:t>Grade 8</w:t>
            </w:r>
          </w:p>
        </w:tc>
        <w:tc>
          <w:tcPr>
            <w:tcW w:w="1153" w:type="pct"/>
            <w:shd w:val="clear" w:color="auto" w:fill="auto"/>
            <w:vAlign w:val="center"/>
          </w:tcPr>
          <w:p w14:paraId="1C889EA5" w14:textId="5C3575D5" w:rsidR="00DD7CEF" w:rsidRPr="00781112" w:rsidRDefault="00641893">
            <w:pPr>
              <w:jc w:val="center"/>
              <w:rPr>
                <w:rFonts w:cs="Arial"/>
                <w:b/>
                <w:bCs/>
                <w:color w:val="000000" w:themeColor="text1"/>
                <w:szCs w:val="16"/>
              </w:rPr>
            </w:pPr>
            <w:r w:rsidRPr="00781112">
              <w:rPr>
                <w:rFonts w:cs="Arial"/>
                <w:b/>
                <w:bCs/>
                <w:color w:val="000000" w:themeColor="text1"/>
                <w:szCs w:val="16"/>
              </w:rPr>
              <w:t>Grade HS</w:t>
            </w:r>
          </w:p>
        </w:tc>
      </w:tr>
      <w:tr w:rsidR="00DD7CEF" w:rsidRPr="00781112" w14:paraId="384D4241" w14:textId="77777777" w:rsidTr="00DB4E16">
        <w:tc>
          <w:tcPr>
            <w:tcW w:w="1541" w:type="pct"/>
            <w:shd w:val="clear" w:color="auto" w:fill="auto"/>
            <w:vAlign w:val="center"/>
          </w:tcPr>
          <w:p w14:paraId="2C5D3B14" w14:textId="422A2E91" w:rsidR="00DD7CEF" w:rsidRPr="00781112" w:rsidRDefault="00DD7CEF" w:rsidP="00827FF4">
            <w:pPr>
              <w:rPr>
                <w:rFonts w:cs="Arial"/>
                <w:color w:val="000000" w:themeColor="text1"/>
                <w:szCs w:val="16"/>
              </w:rPr>
            </w:pPr>
            <w:r w:rsidRPr="00781112">
              <w:rPr>
                <w:rFonts w:cs="Arial"/>
                <w:color w:val="000000" w:themeColor="text1"/>
                <w:szCs w:val="16"/>
              </w:rPr>
              <w:t>a. Children with IEPs*</w:t>
            </w:r>
          </w:p>
        </w:tc>
        <w:tc>
          <w:tcPr>
            <w:tcW w:w="1153" w:type="pct"/>
            <w:shd w:val="clear" w:color="auto" w:fill="auto"/>
            <w:vAlign w:val="center"/>
          </w:tcPr>
          <w:p w14:paraId="76979ED3" w14:textId="137E8677" w:rsidR="00DD7CEF" w:rsidRPr="00781112" w:rsidRDefault="00DB4E16" w:rsidP="00DB4E16">
            <w:pPr>
              <w:jc w:val="center"/>
              <w:rPr>
                <w:rFonts w:cs="Arial"/>
                <w:color w:val="000000" w:themeColor="text1"/>
                <w:szCs w:val="16"/>
              </w:rPr>
            </w:pPr>
            <w:r>
              <w:rPr>
                <w:rFonts w:cs="Arial"/>
                <w:color w:val="000000" w:themeColor="text1"/>
                <w:szCs w:val="16"/>
              </w:rPr>
              <w:t>*</w:t>
            </w:r>
            <w:bookmarkStart w:id="14" w:name="_Ref141818830"/>
            <w:r>
              <w:rPr>
                <w:rStyle w:val="FootnoteReference"/>
                <w:rFonts w:cs="Arial"/>
                <w:color w:val="000000" w:themeColor="text1"/>
                <w:szCs w:val="16"/>
              </w:rPr>
              <w:footnoteReference w:id="4"/>
            </w:r>
            <w:bookmarkEnd w:id="14"/>
          </w:p>
        </w:tc>
        <w:tc>
          <w:tcPr>
            <w:tcW w:w="1153" w:type="pct"/>
            <w:shd w:val="clear" w:color="auto" w:fill="auto"/>
            <w:vAlign w:val="center"/>
          </w:tcPr>
          <w:p w14:paraId="35D7BA3B" w14:textId="639443F1" w:rsidR="00DD7CEF" w:rsidRPr="00781112" w:rsidRDefault="00DB4E16" w:rsidP="00DB4E16">
            <w:pPr>
              <w:jc w:val="center"/>
              <w:rPr>
                <w:rFonts w:cs="Arial"/>
                <w:color w:val="000000" w:themeColor="text1"/>
                <w:szCs w:val="16"/>
              </w:rPr>
            </w:pPr>
            <w:r>
              <w:rPr>
                <w:rFonts w:cs="Arial"/>
                <w:color w:val="000000" w:themeColor="text1"/>
                <w:szCs w:val="16"/>
              </w:rPr>
              <w:t>*</w:t>
            </w:r>
            <w:r>
              <w:rPr>
                <w:rFonts w:cs="Arial"/>
                <w:color w:val="000000" w:themeColor="text1"/>
                <w:szCs w:val="16"/>
              </w:rPr>
              <w:fldChar w:fldCharType="begin"/>
            </w:r>
            <w:r>
              <w:rPr>
                <w:rFonts w:cs="Arial"/>
                <w:color w:val="000000" w:themeColor="text1"/>
                <w:szCs w:val="16"/>
              </w:rPr>
              <w:instrText xml:space="preserve"> NOTEREF _Ref141818830 \f \h  \* MERGEFORMAT </w:instrText>
            </w:r>
            <w:r>
              <w:rPr>
                <w:rFonts w:cs="Arial"/>
                <w:color w:val="000000" w:themeColor="text1"/>
                <w:szCs w:val="16"/>
              </w:rPr>
            </w:r>
            <w:r>
              <w:rPr>
                <w:rFonts w:cs="Arial"/>
                <w:color w:val="000000" w:themeColor="text1"/>
                <w:szCs w:val="16"/>
              </w:rPr>
              <w:fldChar w:fldCharType="separate"/>
            </w:r>
            <w:r w:rsidRPr="00DB4E16">
              <w:rPr>
                <w:rStyle w:val="FootnoteReference"/>
              </w:rPr>
              <w:t>3</w:t>
            </w:r>
            <w:r>
              <w:rPr>
                <w:rFonts w:cs="Arial"/>
                <w:color w:val="000000" w:themeColor="text1"/>
                <w:szCs w:val="16"/>
              </w:rPr>
              <w:fldChar w:fldCharType="end"/>
            </w:r>
          </w:p>
        </w:tc>
        <w:tc>
          <w:tcPr>
            <w:tcW w:w="1153" w:type="pct"/>
            <w:shd w:val="clear" w:color="auto" w:fill="auto"/>
            <w:vAlign w:val="center"/>
          </w:tcPr>
          <w:p w14:paraId="052A06A3" w14:textId="4AC6D010" w:rsidR="00DD7CEF" w:rsidRPr="00781112" w:rsidRDefault="00DD7CEF" w:rsidP="00360DD6">
            <w:pPr>
              <w:jc w:val="center"/>
              <w:rPr>
                <w:rFonts w:cs="Arial"/>
                <w:color w:val="000000" w:themeColor="text1"/>
                <w:szCs w:val="16"/>
              </w:rPr>
            </w:pPr>
            <w:r w:rsidRPr="00781112">
              <w:rPr>
                <w:rFonts w:cs="Arial"/>
                <w:color w:val="000000" w:themeColor="text1"/>
                <w:szCs w:val="16"/>
              </w:rPr>
              <w:t>5,891</w:t>
            </w:r>
          </w:p>
        </w:tc>
      </w:tr>
      <w:tr w:rsidR="00DD7CEF" w:rsidRPr="00781112" w14:paraId="7B6E221D" w14:textId="77777777" w:rsidTr="00DB4E16">
        <w:tc>
          <w:tcPr>
            <w:tcW w:w="1541" w:type="pct"/>
            <w:shd w:val="clear" w:color="auto" w:fill="auto"/>
            <w:vAlign w:val="center"/>
          </w:tcPr>
          <w:p w14:paraId="06F38372" w14:textId="7C3FDC42" w:rsidR="00DD7CEF" w:rsidRPr="00781112" w:rsidRDefault="00DD7CEF" w:rsidP="00827FF4">
            <w:pPr>
              <w:rPr>
                <w:rFonts w:cs="Arial"/>
                <w:color w:val="000000" w:themeColor="text1"/>
                <w:szCs w:val="16"/>
              </w:rPr>
            </w:pPr>
            <w:r w:rsidRPr="00781112">
              <w:rPr>
                <w:rFonts w:cs="Arial"/>
                <w:color w:val="000000" w:themeColor="text1"/>
                <w:szCs w:val="16"/>
              </w:rPr>
              <w:t>b. Children with IEPs in regular assessment with no accommodations</w:t>
            </w:r>
          </w:p>
        </w:tc>
        <w:tc>
          <w:tcPr>
            <w:tcW w:w="1153" w:type="pct"/>
            <w:shd w:val="clear" w:color="auto" w:fill="auto"/>
            <w:vAlign w:val="center"/>
          </w:tcPr>
          <w:p w14:paraId="59910B66" w14:textId="6B9BDAD7" w:rsidR="00DD7CEF" w:rsidRPr="00781112" w:rsidRDefault="00DB4E16" w:rsidP="00DB4E16">
            <w:pPr>
              <w:jc w:val="center"/>
              <w:rPr>
                <w:rFonts w:cs="Arial"/>
                <w:color w:val="000000" w:themeColor="text1"/>
                <w:szCs w:val="16"/>
              </w:rPr>
            </w:pPr>
            <w:r>
              <w:rPr>
                <w:rFonts w:cs="Arial"/>
                <w:color w:val="000000" w:themeColor="text1"/>
                <w:szCs w:val="16"/>
              </w:rPr>
              <w:t>*</w:t>
            </w:r>
            <w:r>
              <w:rPr>
                <w:rFonts w:cs="Arial"/>
                <w:color w:val="000000" w:themeColor="text1"/>
                <w:szCs w:val="16"/>
              </w:rPr>
              <w:fldChar w:fldCharType="begin"/>
            </w:r>
            <w:r>
              <w:rPr>
                <w:rFonts w:cs="Arial"/>
                <w:color w:val="000000" w:themeColor="text1"/>
                <w:szCs w:val="16"/>
              </w:rPr>
              <w:instrText xml:space="preserve"> NOTEREF _Ref141818830 \f \h  \* MERGEFORMAT </w:instrText>
            </w:r>
            <w:r>
              <w:rPr>
                <w:rFonts w:cs="Arial"/>
                <w:color w:val="000000" w:themeColor="text1"/>
                <w:szCs w:val="16"/>
              </w:rPr>
            </w:r>
            <w:r>
              <w:rPr>
                <w:rFonts w:cs="Arial"/>
                <w:color w:val="000000" w:themeColor="text1"/>
                <w:szCs w:val="16"/>
              </w:rPr>
              <w:fldChar w:fldCharType="separate"/>
            </w:r>
            <w:r w:rsidRPr="00DB4E16">
              <w:rPr>
                <w:rStyle w:val="FootnoteReference"/>
              </w:rPr>
              <w:t>3</w:t>
            </w:r>
            <w:r>
              <w:rPr>
                <w:rFonts w:cs="Arial"/>
                <w:color w:val="000000" w:themeColor="text1"/>
                <w:szCs w:val="16"/>
              </w:rPr>
              <w:fldChar w:fldCharType="end"/>
            </w:r>
          </w:p>
        </w:tc>
        <w:tc>
          <w:tcPr>
            <w:tcW w:w="1153" w:type="pct"/>
            <w:shd w:val="clear" w:color="auto" w:fill="auto"/>
            <w:vAlign w:val="center"/>
          </w:tcPr>
          <w:p w14:paraId="58E61FB0" w14:textId="552767C2" w:rsidR="00DD7CEF" w:rsidRPr="00781112" w:rsidRDefault="00DB4E16" w:rsidP="00DB4E16">
            <w:pPr>
              <w:jc w:val="center"/>
              <w:rPr>
                <w:rFonts w:cs="Arial"/>
                <w:color w:val="000000" w:themeColor="text1"/>
                <w:szCs w:val="16"/>
              </w:rPr>
            </w:pPr>
            <w:r>
              <w:rPr>
                <w:rFonts w:cs="Arial"/>
                <w:color w:val="000000" w:themeColor="text1"/>
                <w:szCs w:val="16"/>
              </w:rPr>
              <w:t>*</w:t>
            </w:r>
            <w:r>
              <w:rPr>
                <w:rFonts w:cs="Arial"/>
                <w:color w:val="000000" w:themeColor="text1"/>
                <w:szCs w:val="16"/>
              </w:rPr>
              <w:fldChar w:fldCharType="begin"/>
            </w:r>
            <w:r>
              <w:rPr>
                <w:rFonts w:cs="Arial"/>
                <w:color w:val="000000" w:themeColor="text1"/>
                <w:szCs w:val="16"/>
              </w:rPr>
              <w:instrText xml:space="preserve"> NOTEREF _Ref141818830 \f \h  \* MERGEFORMAT </w:instrText>
            </w:r>
            <w:r>
              <w:rPr>
                <w:rFonts w:cs="Arial"/>
                <w:color w:val="000000" w:themeColor="text1"/>
                <w:szCs w:val="16"/>
              </w:rPr>
            </w:r>
            <w:r>
              <w:rPr>
                <w:rFonts w:cs="Arial"/>
                <w:color w:val="000000" w:themeColor="text1"/>
                <w:szCs w:val="16"/>
              </w:rPr>
              <w:fldChar w:fldCharType="separate"/>
            </w:r>
            <w:r w:rsidRPr="00DB4E16">
              <w:rPr>
                <w:rStyle w:val="FootnoteReference"/>
              </w:rPr>
              <w:t>3</w:t>
            </w:r>
            <w:r>
              <w:rPr>
                <w:rFonts w:cs="Arial"/>
                <w:color w:val="000000" w:themeColor="text1"/>
                <w:szCs w:val="16"/>
              </w:rPr>
              <w:fldChar w:fldCharType="end"/>
            </w:r>
          </w:p>
        </w:tc>
        <w:tc>
          <w:tcPr>
            <w:tcW w:w="1153" w:type="pct"/>
            <w:shd w:val="clear" w:color="auto" w:fill="auto"/>
            <w:vAlign w:val="center"/>
          </w:tcPr>
          <w:p w14:paraId="60320EC9" w14:textId="6D87AECE" w:rsidR="00DD7CEF" w:rsidRPr="00781112" w:rsidRDefault="00DD7CEF" w:rsidP="00360DD6">
            <w:pPr>
              <w:jc w:val="center"/>
              <w:rPr>
                <w:rFonts w:cs="Arial"/>
                <w:color w:val="000000" w:themeColor="text1"/>
                <w:szCs w:val="16"/>
              </w:rPr>
            </w:pPr>
            <w:r w:rsidRPr="00781112">
              <w:rPr>
                <w:rFonts w:cs="Arial"/>
                <w:color w:val="000000" w:themeColor="text1"/>
                <w:szCs w:val="16"/>
              </w:rPr>
              <w:t>3,473</w:t>
            </w:r>
          </w:p>
        </w:tc>
      </w:tr>
      <w:tr w:rsidR="00DB4E16" w:rsidRPr="00781112" w14:paraId="764B5297" w14:textId="77777777" w:rsidTr="00DB4E16">
        <w:tc>
          <w:tcPr>
            <w:tcW w:w="1541" w:type="pct"/>
            <w:shd w:val="clear" w:color="auto" w:fill="auto"/>
            <w:vAlign w:val="center"/>
          </w:tcPr>
          <w:p w14:paraId="4B1F9E5B" w14:textId="0565B8FB" w:rsidR="00DB4E16" w:rsidRPr="00781112" w:rsidRDefault="00DB4E16" w:rsidP="00DB4E16">
            <w:pPr>
              <w:rPr>
                <w:rFonts w:cs="Arial"/>
                <w:color w:val="000000" w:themeColor="text1"/>
                <w:szCs w:val="16"/>
              </w:rPr>
            </w:pPr>
            <w:r w:rsidRPr="00781112">
              <w:rPr>
                <w:rFonts w:cs="Arial"/>
                <w:color w:val="000000" w:themeColor="text1"/>
                <w:szCs w:val="16"/>
              </w:rPr>
              <w:t>c. Children with IEPs in regular assessment with accommodations</w:t>
            </w:r>
          </w:p>
        </w:tc>
        <w:tc>
          <w:tcPr>
            <w:tcW w:w="1153" w:type="pct"/>
            <w:shd w:val="clear" w:color="auto" w:fill="auto"/>
            <w:vAlign w:val="center"/>
          </w:tcPr>
          <w:p w14:paraId="19E2C9E2" w14:textId="63C46ED7" w:rsidR="00DB4E16" w:rsidRPr="00781112" w:rsidRDefault="00DB4E16" w:rsidP="00DB4E16">
            <w:pPr>
              <w:jc w:val="center"/>
              <w:rPr>
                <w:rFonts w:cs="Arial"/>
                <w:color w:val="000000" w:themeColor="text1"/>
                <w:szCs w:val="16"/>
              </w:rPr>
            </w:pPr>
            <w:r w:rsidRPr="00B53C08">
              <w:rPr>
                <w:rFonts w:cs="Arial"/>
                <w:color w:val="000000" w:themeColor="text1"/>
                <w:szCs w:val="16"/>
              </w:rPr>
              <w:t>*</w:t>
            </w:r>
            <w:r w:rsidRPr="00B53C08">
              <w:rPr>
                <w:rFonts w:cs="Arial"/>
                <w:color w:val="000000" w:themeColor="text1"/>
                <w:szCs w:val="16"/>
              </w:rPr>
              <w:fldChar w:fldCharType="begin"/>
            </w:r>
            <w:r w:rsidRPr="00B53C08">
              <w:rPr>
                <w:rFonts w:cs="Arial"/>
                <w:color w:val="000000" w:themeColor="text1"/>
                <w:szCs w:val="16"/>
              </w:rPr>
              <w:instrText xml:space="preserve"> NOTEREF _Ref141818830 \f \h </w:instrText>
            </w:r>
            <w:r>
              <w:rPr>
                <w:rFonts w:cs="Arial"/>
                <w:color w:val="000000" w:themeColor="text1"/>
                <w:szCs w:val="16"/>
              </w:rPr>
              <w:instrText xml:space="preserve"> \* MERGEFORMAT </w:instrText>
            </w:r>
            <w:r w:rsidRPr="00B53C08">
              <w:rPr>
                <w:rFonts w:cs="Arial"/>
                <w:color w:val="000000" w:themeColor="text1"/>
                <w:szCs w:val="16"/>
              </w:rPr>
            </w:r>
            <w:r w:rsidRPr="00B53C08">
              <w:rPr>
                <w:rFonts w:cs="Arial"/>
                <w:color w:val="000000" w:themeColor="text1"/>
                <w:szCs w:val="16"/>
              </w:rPr>
              <w:fldChar w:fldCharType="separate"/>
            </w:r>
            <w:r w:rsidRPr="00B53C08">
              <w:rPr>
                <w:rStyle w:val="FootnoteReference"/>
              </w:rPr>
              <w:t>3</w:t>
            </w:r>
            <w:r w:rsidRPr="00B53C08">
              <w:rPr>
                <w:rFonts w:cs="Arial"/>
                <w:color w:val="000000" w:themeColor="text1"/>
                <w:szCs w:val="16"/>
              </w:rPr>
              <w:fldChar w:fldCharType="end"/>
            </w:r>
          </w:p>
        </w:tc>
        <w:tc>
          <w:tcPr>
            <w:tcW w:w="1153" w:type="pct"/>
            <w:shd w:val="clear" w:color="auto" w:fill="auto"/>
            <w:vAlign w:val="center"/>
          </w:tcPr>
          <w:p w14:paraId="3DB02599" w14:textId="01DD277E" w:rsidR="00DB4E16" w:rsidRPr="00781112" w:rsidRDefault="00DB4E16" w:rsidP="00DB4E16">
            <w:pPr>
              <w:jc w:val="center"/>
              <w:rPr>
                <w:rFonts w:cs="Arial"/>
                <w:color w:val="000000" w:themeColor="text1"/>
                <w:szCs w:val="16"/>
              </w:rPr>
            </w:pPr>
            <w:r w:rsidRPr="00B53C08">
              <w:rPr>
                <w:rFonts w:cs="Arial"/>
                <w:color w:val="000000" w:themeColor="text1"/>
                <w:szCs w:val="16"/>
              </w:rPr>
              <w:t>*</w:t>
            </w:r>
            <w:r w:rsidRPr="00B53C08">
              <w:rPr>
                <w:rFonts w:cs="Arial"/>
                <w:color w:val="000000" w:themeColor="text1"/>
                <w:szCs w:val="16"/>
              </w:rPr>
              <w:fldChar w:fldCharType="begin"/>
            </w:r>
            <w:r w:rsidRPr="00B53C08">
              <w:rPr>
                <w:rFonts w:cs="Arial"/>
                <w:color w:val="000000" w:themeColor="text1"/>
                <w:szCs w:val="16"/>
              </w:rPr>
              <w:instrText xml:space="preserve"> NOTEREF _Ref141818830 \f \h </w:instrText>
            </w:r>
            <w:r>
              <w:rPr>
                <w:rFonts w:cs="Arial"/>
                <w:color w:val="000000" w:themeColor="text1"/>
                <w:szCs w:val="16"/>
              </w:rPr>
              <w:instrText xml:space="preserve"> \* MERGEFORMAT </w:instrText>
            </w:r>
            <w:r w:rsidRPr="00B53C08">
              <w:rPr>
                <w:rFonts w:cs="Arial"/>
                <w:color w:val="000000" w:themeColor="text1"/>
                <w:szCs w:val="16"/>
              </w:rPr>
            </w:r>
            <w:r w:rsidRPr="00B53C08">
              <w:rPr>
                <w:rFonts w:cs="Arial"/>
                <w:color w:val="000000" w:themeColor="text1"/>
                <w:szCs w:val="16"/>
              </w:rPr>
              <w:fldChar w:fldCharType="separate"/>
            </w:r>
            <w:r w:rsidRPr="00B53C08">
              <w:rPr>
                <w:rStyle w:val="FootnoteReference"/>
              </w:rPr>
              <w:t>3</w:t>
            </w:r>
            <w:r w:rsidRPr="00B53C08">
              <w:rPr>
                <w:rFonts w:cs="Arial"/>
                <w:color w:val="000000" w:themeColor="text1"/>
                <w:szCs w:val="16"/>
              </w:rPr>
              <w:fldChar w:fldCharType="end"/>
            </w:r>
          </w:p>
        </w:tc>
        <w:tc>
          <w:tcPr>
            <w:tcW w:w="1153" w:type="pct"/>
            <w:shd w:val="clear" w:color="auto" w:fill="auto"/>
            <w:vAlign w:val="center"/>
          </w:tcPr>
          <w:p w14:paraId="4B5AD287" w14:textId="21E448FD" w:rsidR="00DB4E16" w:rsidRPr="00781112" w:rsidRDefault="00DB4E16" w:rsidP="00DB4E16">
            <w:pPr>
              <w:jc w:val="center"/>
              <w:rPr>
                <w:rFonts w:cs="Arial"/>
                <w:color w:val="000000" w:themeColor="text1"/>
                <w:szCs w:val="16"/>
              </w:rPr>
            </w:pPr>
            <w:r w:rsidRPr="00781112">
              <w:rPr>
                <w:rFonts w:cs="Arial"/>
                <w:color w:val="000000" w:themeColor="text1"/>
                <w:szCs w:val="16"/>
              </w:rPr>
              <w:t>647</w:t>
            </w:r>
          </w:p>
        </w:tc>
      </w:tr>
      <w:tr w:rsidR="00DB4E16" w:rsidRPr="00781112" w14:paraId="2174424F" w14:textId="77777777" w:rsidTr="00DB4E16">
        <w:tc>
          <w:tcPr>
            <w:tcW w:w="1541" w:type="pct"/>
            <w:shd w:val="clear" w:color="auto" w:fill="auto"/>
            <w:vAlign w:val="center"/>
          </w:tcPr>
          <w:p w14:paraId="42AC6AFC" w14:textId="5D9B93DA" w:rsidR="00DB4E16" w:rsidRPr="00781112" w:rsidRDefault="00DB4E16" w:rsidP="00DB4E16">
            <w:pPr>
              <w:rPr>
                <w:rFonts w:cs="Arial"/>
                <w:color w:val="000000" w:themeColor="text1"/>
                <w:szCs w:val="16"/>
              </w:rPr>
            </w:pPr>
            <w:r w:rsidRPr="00781112">
              <w:rPr>
                <w:rFonts w:cs="Arial"/>
                <w:color w:val="000000" w:themeColor="text1"/>
                <w:szCs w:val="16"/>
              </w:rPr>
              <w:t>d. Children with IEPs in alternate assessment against alternate standards</w:t>
            </w:r>
          </w:p>
        </w:tc>
        <w:tc>
          <w:tcPr>
            <w:tcW w:w="1153" w:type="pct"/>
            <w:shd w:val="clear" w:color="auto" w:fill="auto"/>
            <w:vAlign w:val="center"/>
          </w:tcPr>
          <w:p w14:paraId="372F0481" w14:textId="1C40CA24" w:rsidR="00DB4E16" w:rsidRPr="00781112" w:rsidRDefault="00DB4E16" w:rsidP="00DB4E16">
            <w:pPr>
              <w:jc w:val="center"/>
              <w:rPr>
                <w:rFonts w:cs="Arial"/>
                <w:color w:val="000000" w:themeColor="text1"/>
                <w:szCs w:val="16"/>
              </w:rPr>
            </w:pPr>
            <w:r w:rsidRPr="00B53C08">
              <w:rPr>
                <w:rFonts w:cs="Arial"/>
                <w:color w:val="000000" w:themeColor="text1"/>
                <w:szCs w:val="16"/>
              </w:rPr>
              <w:t>*</w:t>
            </w:r>
            <w:r w:rsidRPr="00B53C08">
              <w:rPr>
                <w:rFonts w:cs="Arial"/>
                <w:color w:val="000000" w:themeColor="text1"/>
                <w:szCs w:val="16"/>
              </w:rPr>
              <w:fldChar w:fldCharType="begin"/>
            </w:r>
            <w:r w:rsidRPr="00B53C08">
              <w:rPr>
                <w:rFonts w:cs="Arial"/>
                <w:color w:val="000000" w:themeColor="text1"/>
                <w:szCs w:val="16"/>
              </w:rPr>
              <w:instrText xml:space="preserve"> NOTEREF _Ref141818830 \f \h </w:instrText>
            </w:r>
            <w:r>
              <w:rPr>
                <w:rFonts w:cs="Arial"/>
                <w:color w:val="000000" w:themeColor="text1"/>
                <w:szCs w:val="16"/>
              </w:rPr>
              <w:instrText xml:space="preserve"> \* MERGEFORMAT </w:instrText>
            </w:r>
            <w:r w:rsidRPr="00B53C08">
              <w:rPr>
                <w:rFonts w:cs="Arial"/>
                <w:color w:val="000000" w:themeColor="text1"/>
                <w:szCs w:val="16"/>
              </w:rPr>
            </w:r>
            <w:r w:rsidRPr="00B53C08">
              <w:rPr>
                <w:rFonts w:cs="Arial"/>
                <w:color w:val="000000" w:themeColor="text1"/>
                <w:szCs w:val="16"/>
              </w:rPr>
              <w:fldChar w:fldCharType="separate"/>
            </w:r>
            <w:r w:rsidRPr="00B53C08">
              <w:rPr>
                <w:rStyle w:val="FootnoteReference"/>
              </w:rPr>
              <w:t>3</w:t>
            </w:r>
            <w:r w:rsidRPr="00B53C08">
              <w:rPr>
                <w:rFonts w:cs="Arial"/>
                <w:color w:val="000000" w:themeColor="text1"/>
                <w:szCs w:val="16"/>
              </w:rPr>
              <w:fldChar w:fldCharType="end"/>
            </w:r>
          </w:p>
        </w:tc>
        <w:tc>
          <w:tcPr>
            <w:tcW w:w="1153" w:type="pct"/>
            <w:shd w:val="clear" w:color="auto" w:fill="auto"/>
            <w:vAlign w:val="center"/>
          </w:tcPr>
          <w:p w14:paraId="74C112C5" w14:textId="7C9797DA" w:rsidR="00DB4E16" w:rsidRPr="00781112" w:rsidRDefault="00DB4E16" w:rsidP="00DB4E16">
            <w:pPr>
              <w:jc w:val="center"/>
              <w:rPr>
                <w:rFonts w:cs="Arial"/>
                <w:color w:val="000000" w:themeColor="text1"/>
                <w:szCs w:val="16"/>
              </w:rPr>
            </w:pPr>
            <w:r w:rsidRPr="00B53C08">
              <w:rPr>
                <w:rFonts w:cs="Arial"/>
                <w:color w:val="000000" w:themeColor="text1"/>
                <w:szCs w:val="16"/>
              </w:rPr>
              <w:t>*</w:t>
            </w:r>
            <w:r w:rsidRPr="00B53C08">
              <w:rPr>
                <w:rFonts w:cs="Arial"/>
                <w:color w:val="000000" w:themeColor="text1"/>
                <w:szCs w:val="16"/>
              </w:rPr>
              <w:fldChar w:fldCharType="begin"/>
            </w:r>
            <w:r w:rsidRPr="00B53C08">
              <w:rPr>
                <w:rFonts w:cs="Arial"/>
                <w:color w:val="000000" w:themeColor="text1"/>
                <w:szCs w:val="16"/>
              </w:rPr>
              <w:instrText xml:space="preserve"> NOTEREF _Ref141818830 \f \h </w:instrText>
            </w:r>
            <w:r>
              <w:rPr>
                <w:rFonts w:cs="Arial"/>
                <w:color w:val="000000" w:themeColor="text1"/>
                <w:szCs w:val="16"/>
              </w:rPr>
              <w:instrText xml:space="preserve"> \* MERGEFORMAT </w:instrText>
            </w:r>
            <w:r w:rsidRPr="00B53C08">
              <w:rPr>
                <w:rFonts w:cs="Arial"/>
                <w:color w:val="000000" w:themeColor="text1"/>
                <w:szCs w:val="16"/>
              </w:rPr>
            </w:r>
            <w:r w:rsidRPr="00B53C08">
              <w:rPr>
                <w:rFonts w:cs="Arial"/>
                <w:color w:val="000000" w:themeColor="text1"/>
                <w:szCs w:val="16"/>
              </w:rPr>
              <w:fldChar w:fldCharType="separate"/>
            </w:r>
            <w:r w:rsidRPr="00B53C08">
              <w:rPr>
                <w:rStyle w:val="FootnoteReference"/>
              </w:rPr>
              <w:t>3</w:t>
            </w:r>
            <w:r w:rsidRPr="00B53C08">
              <w:rPr>
                <w:rFonts w:cs="Arial"/>
                <w:color w:val="000000" w:themeColor="text1"/>
                <w:szCs w:val="16"/>
              </w:rPr>
              <w:fldChar w:fldCharType="end"/>
            </w:r>
          </w:p>
        </w:tc>
        <w:tc>
          <w:tcPr>
            <w:tcW w:w="1153" w:type="pct"/>
            <w:shd w:val="clear" w:color="auto" w:fill="auto"/>
            <w:vAlign w:val="center"/>
          </w:tcPr>
          <w:p w14:paraId="37AA75C1" w14:textId="6F75A72A" w:rsidR="00DB4E16" w:rsidRPr="00781112" w:rsidRDefault="00DB4E16" w:rsidP="00DB4E16">
            <w:pPr>
              <w:jc w:val="center"/>
              <w:rPr>
                <w:rFonts w:cs="Arial"/>
                <w:color w:val="000000" w:themeColor="text1"/>
                <w:szCs w:val="16"/>
              </w:rPr>
            </w:pPr>
            <w:r w:rsidRPr="00781112">
              <w:rPr>
                <w:rFonts w:cs="Arial"/>
                <w:color w:val="000000" w:themeColor="text1"/>
                <w:szCs w:val="16"/>
              </w:rPr>
              <w:t>454</w:t>
            </w:r>
          </w:p>
        </w:tc>
      </w:tr>
    </w:tbl>
    <w:p w14:paraId="2BFA9082" w14:textId="77777777" w:rsidR="003C0975" w:rsidRPr="00781112" w:rsidRDefault="003C0975" w:rsidP="004F4016">
      <w:pPr>
        <w:rPr>
          <w:b/>
          <w:color w:val="000000" w:themeColor="text1"/>
        </w:rPr>
      </w:pPr>
    </w:p>
    <w:p w14:paraId="7180C13A" w14:textId="77777777" w:rsidR="004F4016" w:rsidRPr="00781112" w:rsidRDefault="004F4016" w:rsidP="004F4016">
      <w:pPr>
        <w:rPr>
          <w:rFonts w:cs="Arial"/>
          <w:b/>
          <w:color w:val="000000" w:themeColor="text1"/>
          <w:szCs w:val="16"/>
        </w:rPr>
      </w:pPr>
      <w:r w:rsidRPr="00781112">
        <w:rPr>
          <w:rFonts w:cs="Arial"/>
          <w:b/>
          <w:color w:val="000000" w:themeColor="text1"/>
          <w:szCs w:val="16"/>
        </w:rPr>
        <w:t xml:space="preserve">Data Source: </w:t>
      </w:r>
    </w:p>
    <w:p w14:paraId="7381D1CB" w14:textId="77777777" w:rsidR="004F4016" w:rsidRPr="00781112" w:rsidRDefault="004F4016" w:rsidP="004F4016">
      <w:pPr>
        <w:rPr>
          <w:rFonts w:cs="Arial"/>
          <w:color w:val="000000" w:themeColor="text1"/>
          <w:szCs w:val="16"/>
        </w:rPr>
      </w:pPr>
      <w:r w:rsidRPr="00781112">
        <w:rPr>
          <w:rFonts w:cs="Arial"/>
          <w:color w:val="000000" w:themeColor="text1"/>
          <w:szCs w:val="16"/>
        </w:rPr>
        <w:t>SY 2021-22 Assessment Data Groups - Math  (EDFacts file spec FS185; Data Group: 588)</w:t>
      </w:r>
    </w:p>
    <w:p w14:paraId="565A3F2C" w14:textId="77777777" w:rsidR="004F4016" w:rsidRPr="00781112" w:rsidRDefault="004F4016" w:rsidP="004F4016">
      <w:pPr>
        <w:rPr>
          <w:rFonts w:cs="Arial"/>
          <w:b/>
          <w:color w:val="000000" w:themeColor="text1"/>
          <w:szCs w:val="16"/>
        </w:rPr>
      </w:pPr>
      <w:r w:rsidRPr="00781112">
        <w:rPr>
          <w:rFonts w:cs="Arial"/>
          <w:b/>
          <w:color w:val="000000" w:themeColor="text1"/>
          <w:szCs w:val="16"/>
        </w:rPr>
        <w:t xml:space="preserve">Date: </w:t>
      </w:r>
    </w:p>
    <w:p w14:paraId="48BB473A" w14:textId="7F7CBFAB" w:rsidR="00DB4E16" w:rsidRPr="00781112" w:rsidRDefault="004F4016" w:rsidP="004F4016">
      <w:pPr>
        <w:rPr>
          <w:rFonts w:cs="Arial"/>
          <w:color w:val="000000" w:themeColor="text1"/>
          <w:szCs w:val="16"/>
        </w:rPr>
      </w:pPr>
      <w:r w:rsidRPr="00781112">
        <w:rPr>
          <w:rFonts w:cs="Arial"/>
          <w:color w:val="000000" w:themeColor="text1"/>
          <w:szCs w:val="16"/>
        </w:rPr>
        <w:t>04/05/2023</w:t>
      </w:r>
    </w:p>
    <w:p w14:paraId="4F72747C" w14:textId="77777777" w:rsidR="004F4016" w:rsidRPr="00781112" w:rsidRDefault="004F4016" w:rsidP="004F4016">
      <w:pPr>
        <w:rPr>
          <w:b/>
          <w:color w:val="000000" w:themeColor="text1"/>
        </w:rPr>
      </w:pPr>
      <w:r w:rsidRPr="00781112">
        <w:rPr>
          <w:b/>
          <w:color w:val="000000" w:themeColor="text1"/>
        </w:rPr>
        <w:t>Math Assessment Participation Data by Grade</w:t>
      </w:r>
    </w:p>
    <w:tbl>
      <w:tblPr>
        <w:tblStyle w:val="TableGrid"/>
        <w:tblW w:w="5000" w:type="pct"/>
        <w:tblLayout w:type="fixed"/>
        <w:tblLook w:val="04A0" w:firstRow="1" w:lastRow="0" w:firstColumn="1" w:lastColumn="0" w:noHBand="0" w:noVBand="1"/>
        <w:tblCaption w:val="B03ASSPARTDATABYGRDMATH"/>
      </w:tblPr>
      <w:tblGrid>
        <w:gridCol w:w="3326"/>
        <w:gridCol w:w="2488"/>
        <w:gridCol w:w="2488"/>
        <w:gridCol w:w="2488"/>
      </w:tblGrid>
      <w:tr w:rsidR="00227E23" w:rsidRPr="00781112" w14:paraId="765286EB" w14:textId="77777777" w:rsidTr="009E026B">
        <w:tc>
          <w:tcPr>
            <w:tcW w:w="1541" w:type="pct"/>
            <w:shd w:val="clear" w:color="auto" w:fill="auto"/>
            <w:vAlign w:val="center"/>
          </w:tcPr>
          <w:p w14:paraId="74EB9B5A" w14:textId="0F9AEAED" w:rsidR="00227E23" w:rsidRPr="00781112" w:rsidRDefault="00835EAD" w:rsidP="00227E23">
            <w:pPr>
              <w:jc w:val="center"/>
              <w:rPr>
                <w:rFonts w:cs="Arial"/>
                <w:b/>
                <w:bCs/>
                <w:color w:val="000000" w:themeColor="text1"/>
                <w:szCs w:val="16"/>
              </w:rPr>
            </w:pPr>
            <w:r w:rsidRPr="00781112">
              <w:rPr>
                <w:rFonts w:cs="Arial"/>
                <w:b/>
                <w:bCs/>
                <w:color w:val="000000" w:themeColor="text1"/>
                <w:szCs w:val="16"/>
              </w:rPr>
              <w:t>Group</w:t>
            </w:r>
          </w:p>
        </w:tc>
        <w:tc>
          <w:tcPr>
            <w:tcW w:w="1153" w:type="pct"/>
            <w:shd w:val="clear" w:color="auto" w:fill="auto"/>
            <w:vAlign w:val="center"/>
          </w:tcPr>
          <w:p w14:paraId="0DB3B187" w14:textId="58265A3B" w:rsidR="00227E23" w:rsidRPr="00781112" w:rsidRDefault="00227E23">
            <w:pPr>
              <w:jc w:val="center"/>
              <w:rPr>
                <w:rFonts w:cs="Arial"/>
                <w:b/>
                <w:bCs/>
                <w:color w:val="000000" w:themeColor="text1"/>
                <w:szCs w:val="16"/>
              </w:rPr>
            </w:pPr>
            <w:r w:rsidRPr="00781112">
              <w:rPr>
                <w:rFonts w:cs="Arial"/>
                <w:b/>
                <w:bCs/>
                <w:color w:val="000000" w:themeColor="text1"/>
                <w:szCs w:val="16"/>
              </w:rPr>
              <w:t>Grade 4</w:t>
            </w:r>
          </w:p>
        </w:tc>
        <w:tc>
          <w:tcPr>
            <w:tcW w:w="1153" w:type="pct"/>
            <w:shd w:val="clear" w:color="auto" w:fill="auto"/>
            <w:vAlign w:val="center"/>
          </w:tcPr>
          <w:p w14:paraId="41AE35D3" w14:textId="574BC069" w:rsidR="00227E23" w:rsidRPr="00781112" w:rsidRDefault="00227E23">
            <w:pPr>
              <w:jc w:val="center"/>
              <w:rPr>
                <w:rFonts w:cs="Arial"/>
                <w:b/>
                <w:bCs/>
                <w:color w:val="000000" w:themeColor="text1"/>
                <w:szCs w:val="16"/>
              </w:rPr>
            </w:pPr>
            <w:r w:rsidRPr="00781112">
              <w:rPr>
                <w:rFonts w:cs="Arial"/>
                <w:b/>
                <w:bCs/>
                <w:color w:val="000000" w:themeColor="text1"/>
                <w:szCs w:val="16"/>
              </w:rPr>
              <w:t>Grade 8</w:t>
            </w:r>
          </w:p>
        </w:tc>
        <w:tc>
          <w:tcPr>
            <w:tcW w:w="1153" w:type="pct"/>
            <w:shd w:val="clear" w:color="auto" w:fill="auto"/>
            <w:vAlign w:val="center"/>
          </w:tcPr>
          <w:p w14:paraId="5353B8D1" w14:textId="6B6DA4E3" w:rsidR="00227E23" w:rsidRPr="00781112" w:rsidRDefault="00227E23">
            <w:pPr>
              <w:jc w:val="center"/>
              <w:rPr>
                <w:rFonts w:cs="Arial"/>
                <w:b/>
                <w:bCs/>
                <w:color w:val="000000" w:themeColor="text1"/>
                <w:szCs w:val="16"/>
              </w:rPr>
            </w:pPr>
            <w:r w:rsidRPr="00781112">
              <w:rPr>
                <w:rFonts w:cs="Arial"/>
                <w:b/>
                <w:bCs/>
                <w:color w:val="000000" w:themeColor="text1"/>
                <w:szCs w:val="16"/>
              </w:rPr>
              <w:t>Grade HS</w:t>
            </w:r>
          </w:p>
        </w:tc>
      </w:tr>
      <w:tr w:rsidR="00DB4E16" w:rsidRPr="00781112" w14:paraId="3F5839E5" w14:textId="77777777" w:rsidTr="00DB4E16">
        <w:tc>
          <w:tcPr>
            <w:tcW w:w="1541" w:type="pct"/>
            <w:shd w:val="clear" w:color="auto" w:fill="auto"/>
            <w:vAlign w:val="center"/>
          </w:tcPr>
          <w:p w14:paraId="570ED876" w14:textId="46869901" w:rsidR="00DB4E16" w:rsidRPr="00781112" w:rsidRDefault="00DB4E16" w:rsidP="00DB4E16">
            <w:pPr>
              <w:rPr>
                <w:rFonts w:cs="Arial"/>
                <w:color w:val="000000" w:themeColor="text1"/>
                <w:szCs w:val="16"/>
              </w:rPr>
            </w:pPr>
            <w:r w:rsidRPr="00781112">
              <w:rPr>
                <w:rFonts w:cs="Arial"/>
                <w:color w:val="000000" w:themeColor="text1"/>
                <w:szCs w:val="16"/>
              </w:rPr>
              <w:t>a. Children with IEPs*</w:t>
            </w:r>
          </w:p>
        </w:tc>
        <w:tc>
          <w:tcPr>
            <w:tcW w:w="1153" w:type="pct"/>
            <w:shd w:val="clear" w:color="auto" w:fill="auto"/>
            <w:vAlign w:val="center"/>
          </w:tcPr>
          <w:p w14:paraId="6F9300B4" w14:textId="5EA96FB1" w:rsidR="00DB4E16" w:rsidRPr="00781112" w:rsidRDefault="00DB4E16" w:rsidP="00DB4E16">
            <w:pPr>
              <w:jc w:val="center"/>
              <w:rPr>
                <w:rFonts w:cs="Arial"/>
                <w:color w:val="000000" w:themeColor="text1"/>
                <w:szCs w:val="16"/>
              </w:rPr>
            </w:pPr>
            <w:r w:rsidRPr="00486CDA">
              <w:rPr>
                <w:rFonts w:cs="Arial"/>
                <w:color w:val="000000" w:themeColor="text1"/>
                <w:szCs w:val="16"/>
              </w:rPr>
              <w:t>*</w:t>
            </w:r>
            <w:r w:rsidRPr="00486CDA">
              <w:rPr>
                <w:rFonts w:cs="Arial"/>
                <w:color w:val="000000" w:themeColor="text1"/>
                <w:szCs w:val="16"/>
              </w:rPr>
              <w:fldChar w:fldCharType="begin"/>
            </w:r>
            <w:r w:rsidRPr="00486CDA">
              <w:rPr>
                <w:rFonts w:cs="Arial"/>
                <w:color w:val="000000" w:themeColor="text1"/>
                <w:szCs w:val="16"/>
              </w:rPr>
              <w:instrText xml:space="preserve"> NOTEREF _Ref141818830 \f \h </w:instrText>
            </w:r>
            <w:r>
              <w:rPr>
                <w:rFonts w:cs="Arial"/>
                <w:color w:val="000000" w:themeColor="text1"/>
                <w:szCs w:val="16"/>
              </w:rPr>
              <w:instrText xml:space="preserve"> \* MERGEFORMAT </w:instrText>
            </w:r>
            <w:r w:rsidRPr="00486CDA">
              <w:rPr>
                <w:rFonts w:cs="Arial"/>
                <w:color w:val="000000" w:themeColor="text1"/>
                <w:szCs w:val="16"/>
              </w:rPr>
            </w:r>
            <w:r w:rsidRPr="00486CDA">
              <w:rPr>
                <w:rFonts w:cs="Arial"/>
                <w:color w:val="000000" w:themeColor="text1"/>
                <w:szCs w:val="16"/>
              </w:rPr>
              <w:fldChar w:fldCharType="separate"/>
            </w:r>
            <w:r w:rsidRPr="00486CDA">
              <w:rPr>
                <w:rStyle w:val="FootnoteReference"/>
              </w:rPr>
              <w:t>3</w:t>
            </w:r>
            <w:r w:rsidRPr="00486CDA">
              <w:rPr>
                <w:rFonts w:cs="Arial"/>
                <w:color w:val="000000" w:themeColor="text1"/>
                <w:szCs w:val="16"/>
              </w:rPr>
              <w:fldChar w:fldCharType="end"/>
            </w:r>
          </w:p>
        </w:tc>
        <w:tc>
          <w:tcPr>
            <w:tcW w:w="1153" w:type="pct"/>
            <w:shd w:val="clear" w:color="auto" w:fill="auto"/>
            <w:vAlign w:val="center"/>
          </w:tcPr>
          <w:p w14:paraId="758EF16C" w14:textId="473B9E27" w:rsidR="00DB4E16" w:rsidRPr="00781112" w:rsidRDefault="00DB4E16" w:rsidP="00DB4E16">
            <w:pPr>
              <w:jc w:val="center"/>
              <w:rPr>
                <w:rFonts w:cs="Arial"/>
                <w:color w:val="000000" w:themeColor="text1"/>
                <w:szCs w:val="16"/>
              </w:rPr>
            </w:pPr>
            <w:r w:rsidRPr="00486CDA">
              <w:rPr>
                <w:rFonts w:cs="Arial"/>
                <w:color w:val="000000" w:themeColor="text1"/>
                <w:szCs w:val="16"/>
              </w:rPr>
              <w:t>*</w:t>
            </w:r>
            <w:r w:rsidRPr="00486CDA">
              <w:rPr>
                <w:rFonts w:cs="Arial"/>
                <w:color w:val="000000" w:themeColor="text1"/>
                <w:szCs w:val="16"/>
              </w:rPr>
              <w:fldChar w:fldCharType="begin"/>
            </w:r>
            <w:r w:rsidRPr="00486CDA">
              <w:rPr>
                <w:rFonts w:cs="Arial"/>
                <w:color w:val="000000" w:themeColor="text1"/>
                <w:szCs w:val="16"/>
              </w:rPr>
              <w:instrText xml:space="preserve"> NOTEREF _Ref141818830 \f \h </w:instrText>
            </w:r>
            <w:r>
              <w:rPr>
                <w:rFonts w:cs="Arial"/>
                <w:color w:val="000000" w:themeColor="text1"/>
                <w:szCs w:val="16"/>
              </w:rPr>
              <w:instrText xml:space="preserve"> \* MERGEFORMAT </w:instrText>
            </w:r>
            <w:r w:rsidRPr="00486CDA">
              <w:rPr>
                <w:rFonts w:cs="Arial"/>
                <w:color w:val="000000" w:themeColor="text1"/>
                <w:szCs w:val="16"/>
              </w:rPr>
            </w:r>
            <w:r w:rsidRPr="00486CDA">
              <w:rPr>
                <w:rFonts w:cs="Arial"/>
                <w:color w:val="000000" w:themeColor="text1"/>
                <w:szCs w:val="16"/>
              </w:rPr>
              <w:fldChar w:fldCharType="separate"/>
            </w:r>
            <w:r w:rsidRPr="00486CDA">
              <w:rPr>
                <w:rStyle w:val="FootnoteReference"/>
              </w:rPr>
              <w:t>3</w:t>
            </w:r>
            <w:r w:rsidRPr="00486CDA">
              <w:rPr>
                <w:rFonts w:cs="Arial"/>
                <w:color w:val="000000" w:themeColor="text1"/>
                <w:szCs w:val="16"/>
              </w:rPr>
              <w:fldChar w:fldCharType="end"/>
            </w:r>
          </w:p>
        </w:tc>
        <w:tc>
          <w:tcPr>
            <w:tcW w:w="1153" w:type="pct"/>
            <w:shd w:val="clear" w:color="auto" w:fill="auto"/>
            <w:vAlign w:val="center"/>
          </w:tcPr>
          <w:p w14:paraId="07D0BC24" w14:textId="0AD780C0" w:rsidR="00DB4E16" w:rsidRPr="00781112" w:rsidRDefault="00DB4E16" w:rsidP="00DB4E16">
            <w:pPr>
              <w:jc w:val="center"/>
              <w:rPr>
                <w:rFonts w:cs="Arial"/>
                <w:color w:val="000000" w:themeColor="text1"/>
                <w:szCs w:val="16"/>
              </w:rPr>
            </w:pPr>
            <w:r w:rsidRPr="00781112">
              <w:rPr>
                <w:rFonts w:cs="Arial"/>
                <w:color w:val="000000" w:themeColor="text1"/>
                <w:szCs w:val="16"/>
              </w:rPr>
              <w:t>5,881</w:t>
            </w:r>
          </w:p>
        </w:tc>
      </w:tr>
      <w:tr w:rsidR="00DB4E16" w:rsidRPr="00781112" w14:paraId="1B3F669C" w14:textId="77777777" w:rsidTr="00DB4E16">
        <w:tc>
          <w:tcPr>
            <w:tcW w:w="1541" w:type="pct"/>
            <w:shd w:val="clear" w:color="auto" w:fill="auto"/>
            <w:vAlign w:val="center"/>
          </w:tcPr>
          <w:p w14:paraId="36B1CD39" w14:textId="08730EA9" w:rsidR="00DB4E16" w:rsidRPr="00781112" w:rsidRDefault="00DB4E16" w:rsidP="00DB4E16">
            <w:pPr>
              <w:rPr>
                <w:rFonts w:cs="Arial"/>
                <w:color w:val="000000" w:themeColor="text1"/>
                <w:szCs w:val="16"/>
              </w:rPr>
            </w:pPr>
            <w:r w:rsidRPr="00781112">
              <w:rPr>
                <w:rFonts w:cs="Arial"/>
                <w:color w:val="000000" w:themeColor="text1"/>
                <w:szCs w:val="16"/>
              </w:rPr>
              <w:t>b. Children with IEPs in regular assessment with no accommodations</w:t>
            </w:r>
          </w:p>
        </w:tc>
        <w:tc>
          <w:tcPr>
            <w:tcW w:w="1153" w:type="pct"/>
            <w:shd w:val="clear" w:color="auto" w:fill="auto"/>
            <w:vAlign w:val="center"/>
          </w:tcPr>
          <w:p w14:paraId="5E1AE50A" w14:textId="552F292A" w:rsidR="00DB4E16" w:rsidRPr="00781112" w:rsidRDefault="00DB4E16" w:rsidP="00DB4E16">
            <w:pPr>
              <w:jc w:val="center"/>
              <w:rPr>
                <w:rFonts w:cs="Arial"/>
                <w:color w:val="000000" w:themeColor="text1"/>
                <w:szCs w:val="16"/>
              </w:rPr>
            </w:pPr>
            <w:r w:rsidRPr="00486CDA">
              <w:rPr>
                <w:rFonts w:cs="Arial"/>
                <w:color w:val="000000" w:themeColor="text1"/>
                <w:szCs w:val="16"/>
              </w:rPr>
              <w:t>*</w:t>
            </w:r>
            <w:r w:rsidRPr="00486CDA">
              <w:rPr>
                <w:rFonts w:cs="Arial"/>
                <w:color w:val="000000" w:themeColor="text1"/>
                <w:szCs w:val="16"/>
              </w:rPr>
              <w:fldChar w:fldCharType="begin"/>
            </w:r>
            <w:r w:rsidRPr="00486CDA">
              <w:rPr>
                <w:rFonts w:cs="Arial"/>
                <w:color w:val="000000" w:themeColor="text1"/>
                <w:szCs w:val="16"/>
              </w:rPr>
              <w:instrText xml:space="preserve"> NOTEREF _Ref141818830 \f \h </w:instrText>
            </w:r>
            <w:r>
              <w:rPr>
                <w:rFonts w:cs="Arial"/>
                <w:color w:val="000000" w:themeColor="text1"/>
                <w:szCs w:val="16"/>
              </w:rPr>
              <w:instrText xml:space="preserve"> \* MERGEFORMAT </w:instrText>
            </w:r>
            <w:r w:rsidRPr="00486CDA">
              <w:rPr>
                <w:rFonts w:cs="Arial"/>
                <w:color w:val="000000" w:themeColor="text1"/>
                <w:szCs w:val="16"/>
              </w:rPr>
            </w:r>
            <w:r w:rsidRPr="00486CDA">
              <w:rPr>
                <w:rFonts w:cs="Arial"/>
                <w:color w:val="000000" w:themeColor="text1"/>
                <w:szCs w:val="16"/>
              </w:rPr>
              <w:fldChar w:fldCharType="separate"/>
            </w:r>
            <w:r w:rsidRPr="00486CDA">
              <w:rPr>
                <w:rStyle w:val="FootnoteReference"/>
              </w:rPr>
              <w:t>3</w:t>
            </w:r>
            <w:r w:rsidRPr="00486CDA">
              <w:rPr>
                <w:rFonts w:cs="Arial"/>
                <w:color w:val="000000" w:themeColor="text1"/>
                <w:szCs w:val="16"/>
              </w:rPr>
              <w:fldChar w:fldCharType="end"/>
            </w:r>
          </w:p>
        </w:tc>
        <w:tc>
          <w:tcPr>
            <w:tcW w:w="1153" w:type="pct"/>
            <w:shd w:val="clear" w:color="auto" w:fill="auto"/>
            <w:vAlign w:val="center"/>
          </w:tcPr>
          <w:p w14:paraId="48D18899" w14:textId="0D4B18C9" w:rsidR="00DB4E16" w:rsidRPr="00781112" w:rsidRDefault="00DB4E16" w:rsidP="00DB4E16">
            <w:pPr>
              <w:jc w:val="center"/>
              <w:rPr>
                <w:rFonts w:cs="Arial"/>
                <w:color w:val="000000" w:themeColor="text1"/>
                <w:szCs w:val="16"/>
              </w:rPr>
            </w:pPr>
            <w:r w:rsidRPr="00486CDA">
              <w:rPr>
                <w:rFonts w:cs="Arial"/>
                <w:color w:val="000000" w:themeColor="text1"/>
                <w:szCs w:val="16"/>
              </w:rPr>
              <w:t>*</w:t>
            </w:r>
            <w:r w:rsidRPr="00486CDA">
              <w:rPr>
                <w:rFonts w:cs="Arial"/>
                <w:color w:val="000000" w:themeColor="text1"/>
                <w:szCs w:val="16"/>
              </w:rPr>
              <w:fldChar w:fldCharType="begin"/>
            </w:r>
            <w:r w:rsidRPr="00486CDA">
              <w:rPr>
                <w:rFonts w:cs="Arial"/>
                <w:color w:val="000000" w:themeColor="text1"/>
                <w:szCs w:val="16"/>
              </w:rPr>
              <w:instrText xml:space="preserve"> NOTEREF _Ref141818830 \f \h </w:instrText>
            </w:r>
            <w:r>
              <w:rPr>
                <w:rFonts w:cs="Arial"/>
                <w:color w:val="000000" w:themeColor="text1"/>
                <w:szCs w:val="16"/>
              </w:rPr>
              <w:instrText xml:space="preserve"> \* MERGEFORMAT </w:instrText>
            </w:r>
            <w:r w:rsidRPr="00486CDA">
              <w:rPr>
                <w:rFonts w:cs="Arial"/>
                <w:color w:val="000000" w:themeColor="text1"/>
                <w:szCs w:val="16"/>
              </w:rPr>
            </w:r>
            <w:r w:rsidRPr="00486CDA">
              <w:rPr>
                <w:rFonts w:cs="Arial"/>
                <w:color w:val="000000" w:themeColor="text1"/>
                <w:szCs w:val="16"/>
              </w:rPr>
              <w:fldChar w:fldCharType="separate"/>
            </w:r>
            <w:r w:rsidRPr="00486CDA">
              <w:rPr>
                <w:rStyle w:val="FootnoteReference"/>
              </w:rPr>
              <w:t>3</w:t>
            </w:r>
            <w:r w:rsidRPr="00486CDA">
              <w:rPr>
                <w:rFonts w:cs="Arial"/>
                <w:color w:val="000000" w:themeColor="text1"/>
                <w:szCs w:val="16"/>
              </w:rPr>
              <w:fldChar w:fldCharType="end"/>
            </w:r>
          </w:p>
        </w:tc>
        <w:tc>
          <w:tcPr>
            <w:tcW w:w="1153" w:type="pct"/>
            <w:shd w:val="clear" w:color="auto" w:fill="auto"/>
            <w:vAlign w:val="center"/>
          </w:tcPr>
          <w:p w14:paraId="297238DD" w14:textId="253103BA" w:rsidR="00DB4E16" w:rsidRPr="00781112" w:rsidRDefault="00DB4E16" w:rsidP="00DB4E16">
            <w:pPr>
              <w:jc w:val="center"/>
              <w:rPr>
                <w:rFonts w:cs="Arial"/>
                <w:color w:val="000000" w:themeColor="text1"/>
                <w:szCs w:val="16"/>
              </w:rPr>
            </w:pPr>
            <w:r w:rsidRPr="00781112">
              <w:rPr>
                <w:rFonts w:cs="Arial"/>
                <w:color w:val="000000" w:themeColor="text1"/>
                <w:szCs w:val="16"/>
              </w:rPr>
              <w:t>3,202</w:t>
            </w:r>
          </w:p>
        </w:tc>
      </w:tr>
      <w:tr w:rsidR="00DB4E16" w:rsidRPr="00781112" w14:paraId="206D39D6" w14:textId="77777777" w:rsidTr="00DB4E16">
        <w:tc>
          <w:tcPr>
            <w:tcW w:w="1541" w:type="pct"/>
            <w:shd w:val="clear" w:color="auto" w:fill="auto"/>
            <w:vAlign w:val="center"/>
          </w:tcPr>
          <w:p w14:paraId="6A501FD3" w14:textId="6468B895" w:rsidR="00DB4E16" w:rsidRPr="00781112" w:rsidRDefault="00DB4E16" w:rsidP="00DB4E16">
            <w:pPr>
              <w:rPr>
                <w:rFonts w:cs="Arial"/>
                <w:color w:val="000000" w:themeColor="text1"/>
                <w:szCs w:val="16"/>
              </w:rPr>
            </w:pPr>
            <w:r w:rsidRPr="00781112">
              <w:rPr>
                <w:rFonts w:cs="Arial"/>
                <w:color w:val="000000" w:themeColor="text1"/>
                <w:szCs w:val="16"/>
              </w:rPr>
              <w:t>c. Children with IEPs in regular assessment with accommodations</w:t>
            </w:r>
          </w:p>
        </w:tc>
        <w:tc>
          <w:tcPr>
            <w:tcW w:w="1153" w:type="pct"/>
            <w:shd w:val="clear" w:color="auto" w:fill="auto"/>
            <w:vAlign w:val="center"/>
          </w:tcPr>
          <w:p w14:paraId="1EE1C17D" w14:textId="15029969" w:rsidR="00DB4E16" w:rsidRPr="00781112" w:rsidRDefault="00DB4E16" w:rsidP="00DB4E16">
            <w:pPr>
              <w:jc w:val="center"/>
              <w:rPr>
                <w:rFonts w:cs="Arial"/>
                <w:color w:val="000000" w:themeColor="text1"/>
                <w:szCs w:val="16"/>
              </w:rPr>
            </w:pPr>
            <w:r w:rsidRPr="00486CDA">
              <w:rPr>
                <w:rFonts w:cs="Arial"/>
                <w:color w:val="000000" w:themeColor="text1"/>
                <w:szCs w:val="16"/>
              </w:rPr>
              <w:t>*</w:t>
            </w:r>
            <w:r w:rsidRPr="00486CDA">
              <w:rPr>
                <w:rFonts w:cs="Arial"/>
                <w:color w:val="000000" w:themeColor="text1"/>
                <w:szCs w:val="16"/>
              </w:rPr>
              <w:fldChar w:fldCharType="begin"/>
            </w:r>
            <w:r w:rsidRPr="00486CDA">
              <w:rPr>
                <w:rFonts w:cs="Arial"/>
                <w:color w:val="000000" w:themeColor="text1"/>
                <w:szCs w:val="16"/>
              </w:rPr>
              <w:instrText xml:space="preserve"> NOTEREF _Ref141818830 \f \h </w:instrText>
            </w:r>
            <w:r>
              <w:rPr>
                <w:rFonts w:cs="Arial"/>
                <w:color w:val="000000" w:themeColor="text1"/>
                <w:szCs w:val="16"/>
              </w:rPr>
              <w:instrText xml:space="preserve"> \* MERGEFORMAT </w:instrText>
            </w:r>
            <w:r w:rsidRPr="00486CDA">
              <w:rPr>
                <w:rFonts w:cs="Arial"/>
                <w:color w:val="000000" w:themeColor="text1"/>
                <w:szCs w:val="16"/>
              </w:rPr>
            </w:r>
            <w:r w:rsidRPr="00486CDA">
              <w:rPr>
                <w:rFonts w:cs="Arial"/>
                <w:color w:val="000000" w:themeColor="text1"/>
                <w:szCs w:val="16"/>
              </w:rPr>
              <w:fldChar w:fldCharType="separate"/>
            </w:r>
            <w:r w:rsidRPr="00486CDA">
              <w:rPr>
                <w:rStyle w:val="FootnoteReference"/>
              </w:rPr>
              <w:t>3</w:t>
            </w:r>
            <w:r w:rsidRPr="00486CDA">
              <w:rPr>
                <w:rFonts w:cs="Arial"/>
                <w:color w:val="000000" w:themeColor="text1"/>
                <w:szCs w:val="16"/>
              </w:rPr>
              <w:fldChar w:fldCharType="end"/>
            </w:r>
          </w:p>
        </w:tc>
        <w:tc>
          <w:tcPr>
            <w:tcW w:w="1153" w:type="pct"/>
            <w:shd w:val="clear" w:color="auto" w:fill="auto"/>
            <w:vAlign w:val="center"/>
          </w:tcPr>
          <w:p w14:paraId="55C89819" w14:textId="1FC40213" w:rsidR="00DB4E16" w:rsidRPr="00781112" w:rsidRDefault="00DB4E16" w:rsidP="00DB4E16">
            <w:pPr>
              <w:jc w:val="center"/>
              <w:rPr>
                <w:rFonts w:cs="Arial"/>
                <w:color w:val="000000" w:themeColor="text1"/>
                <w:szCs w:val="16"/>
              </w:rPr>
            </w:pPr>
            <w:r w:rsidRPr="00486CDA">
              <w:rPr>
                <w:rFonts w:cs="Arial"/>
                <w:color w:val="000000" w:themeColor="text1"/>
                <w:szCs w:val="16"/>
              </w:rPr>
              <w:t>*</w:t>
            </w:r>
            <w:r w:rsidRPr="00486CDA">
              <w:rPr>
                <w:rFonts w:cs="Arial"/>
                <w:color w:val="000000" w:themeColor="text1"/>
                <w:szCs w:val="16"/>
              </w:rPr>
              <w:fldChar w:fldCharType="begin"/>
            </w:r>
            <w:r w:rsidRPr="00486CDA">
              <w:rPr>
                <w:rFonts w:cs="Arial"/>
                <w:color w:val="000000" w:themeColor="text1"/>
                <w:szCs w:val="16"/>
              </w:rPr>
              <w:instrText xml:space="preserve"> NOTEREF _Ref141818830 \f \h </w:instrText>
            </w:r>
            <w:r>
              <w:rPr>
                <w:rFonts w:cs="Arial"/>
                <w:color w:val="000000" w:themeColor="text1"/>
                <w:szCs w:val="16"/>
              </w:rPr>
              <w:instrText xml:space="preserve"> \* MERGEFORMAT </w:instrText>
            </w:r>
            <w:r w:rsidRPr="00486CDA">
              <w:rPr>
                <w:rFonts w:cs="Arial"/>
                <w:color w:val="000000" w:themeColor="text1"/>
                <w:szCs w:val="16"/>
              </w:rPr>
            </w:r>
            <w:r w:rsidRPr="00486CDA">
              <w:rPr>
                <w:rFonts w:cs="Arial"/>
                <w:color w:val="000000" w:themeColor="text1"/>
                <w:szCs w:val="16"/>
              </w:rPr>
              <w:fldChar w:fldCharType="separate"/>
            </w:r>
            <w:r w:rsidRPr="00486CDA">
              <w:rPr>
                <w:rStyle w:val="FootnoteReference"/>
              </w:rPr>
              <w:t>3</w:t>
            </w:r>
            <w:r w:rsidRPr="00486CDA">
              <w:rPr>
                <w:rFonts w:cs="Arial"/>
                <w:color w:val="000000" w:themeColor="text1"/>
                <w:szCs w:val="16"/>
              </w:rPr>
              <w:fldChar w:fldCharType="end"/>
            </w:r>
          </w:p>
        </w:tc>
        <w:tc>
          <w:tcPr>
            <w:tcW w:w="1153" w:type="pct"/>
            <w:shd w:val="clear" w:color="auto" w:fill="auto"/>
            <w:vAlign w:val="center"/>
          </w:tcPr>
          <w:p w14:paraId="0B7FE00F" w14:textId="48CAB52C" w:rsidR="00DB4E16" w:rsidRPr="00781112" w:rsidRDefault="00DB4E16" w:rsidP="00DB4E16">
            <w:pPr>
              <w:jc w:val="center"/>
              <w:rPr>
                <w:rFonts w:cs="Arial"/>
                <w:color w:val="000000" w:themeColor="text1"/>
                <w:szCs w:val="16"/>
              </w:rPr>
            </w:pPr>
            <w:r w:rsidRPr="00781112">
              <w:rPr>
                <w:rFonts w:cs="Arial"/>
                <w:color w:val="000000" w:themeColor="text1"/>
                <w:szCs w:val="16"/>
              </w:rPr>
              <w:t>591</w:t>
            </w:r>
          </w:p>
        </w:tc>
      </w:tr>
      <w:tr w:rsidR="00DB4E16" w:rsidRPr="00781112" w14:paraId="7C657E3A" w14:textId="77777777" w:rsidTr="00DB4E16">
        <w:tc>
          <w:tcPr>
            <w:tcW w:w="1541" w:type="pct"/>
            <w:shd w:val="clear" w:color="auto" w:fill="auto"/>
            <w:vAlign w:val="center"/>
          </w:tcPr>
          <w:p w14:paraId="19508B28" w14:textId="23952C15" w:rsidR="00DB4E16" w:rsidRPr="00781112" w:rsidRDefault="00DB4E16" w:rsidP="00DB4E16">
            <w:pPr>
              <w:rPr>
                <w:rFonts w:cs="Arial"/>
                <w:color w:val="000000" w:themeColor="text1"/>
                <w:szCs w:val="16"/>
              </w:rPr>
            </w:pPr>
            <w:r w:rsidRPr="00781112">
              <w:rPr>
                <w:rFonts w:cs="Arial"/>
                <w:color w:val="000000" w:themeColor="text1"/>
                <w:szCs w:val="16"/>
              </w:rPr>
              <w:t>d. Children with IEPs in alternate assessment against alternate standards</w:t>
            </w:r>
          </w:p>
        </w:tc>
        <w:tc>
          <w:tcPr>
            <w:tcW w:w="1153" w:type="pct"/>
            <w:shd w:val="clear" w:color="auto" w:fill="auto"/>
            <w:vAlign w:val="center"/>
          </w:tcPr>
          <w:p w14:paraId="41F72ACA" w14:textId="3D905DD5" w:rsidR="00DB4E16" w:rsidRPr="00781112" w:rsidRDefault="00DB4E16" w:rsidP="00DB4E16">
            <w:pPr>
              <w:jc w:val="center"/>
              <w:rPr>
                <w:rFonts w:cs="Arial"/>
                <w:color w:val="000000" w:themeColor="text1"/>
                <w:szCs w:val="16"/>
              </w:rPr>
            </w:pPr>
            <w:r w:rsidRPr="00486CDA">
              <w:rPr>
                <w:rFonts w:cs="Arial"/>
                <w:color w:val="000000" w:themeColor="text1"/>
                <w:szCs w:val="16"/>
              </w:rPr>
              <w:t>*</w:t>
            </w:r>
            <w:r w:rsidRPr="00486CDA">
              <w:rPr>
                <w:rFonts w:cs="Arial"/>
                <w:color w:val="000000" w:themeColor="text1"/>
                <w:szCs w:val="16"/>
              </w:rPr>
              <w:fldChar w:fldCharType="begin"/>
            </w:r>
            <w:r w:rsidRPr="00486CDA">
              <w:rPr>
                <w:rFonts w:cs="Arial"/>
                <w:color w:val="000000" w:themeColor="text1"/>
                <w:szCs w:val="16"/>
              </w:rPr>
              <w:instrText xml:space="preserve"> NOTEREF _Ref141818830 \f \h </w:instrText>
            </w:r>
            <w:r>
              <w:rPr>
                <w:rFonts w:cs="Arial"/>
                <w:color w:val="000000" w:themeColor="text1"/>
                <w:szCs w:val="16"/>
              </w:rPr>
              <w:instrText xml:space="preserve"> \* MERGEFORMAT </w:instrText>
            </w:r>
            <w:r w:rsidRPr="00486CDA">
              <w:rPr>
                <w:rFonts w:cs="Arial"/>
                <w:color w:val="000000" w:themeColor="text1"/>
                <w:szCs w:val="16"/>
              </w:rPr>
            </w:r>
            <w:r w:rsidRPr="00486CDA">
              <w:rPr>
                <w:rFonts w:cs="Arial"/>
                <w:color w:val="000000" w:themeColor="text1"/>
                <w:szCs w:val="16"/>
              </w:rPr>
              <w:fldChar w:fldCharType="separate"/>
            </w:r>
            <w:r w:rsidRPr="00486CDA">
              <w:rPr>
                <w:rStyle w:val="FootnoteReference"/>
              </w:rPr>
              <w:t>3</w:t>
            </w:r>
            <w:r w:rsidRPr="00486CDA">
              <w:rPr>
                <w:rFonts w:cs="Arial"/>
                <w:color w:val="000000" w:themeColor="text1"/>
                <w:szCs w:val="16"/>
              </w:rPr>
              <w:fldChar w:fldCharType="end"/>
            </w:r>
          </w:p>
        </w:tc>
        <w:tc>
          <w:tcPr>
            <w:tcW w:w="1153" w:type="pct"/>
            <w:shd w:val="clear" w:color="auto" w:fill="auto"/>
            <w:vAlign w:val="center"/>
          </w:tcPr>
          <w:p w14:paraId="42315622" w14:textId="666C806E" w:rsidR="00DB4E16" w:rsidRPr="00781112" w:rsidRDefault="00DB4E16" w:rsidP="00DB4E16">
            <w:pPr>
              <w:jc w:val="center"/>
              <w:rPr>
                <w:rFonts w:cs="Arial"/>
                <w:color w:val="000000" w:themeColor="text1"/>
                <w:szCs w:val="16"/>
              </w:rPr>
            </w:pPr>
            <w:r w:rsidRPr="00486CDA">
              <w:rPr>
                <w:rFonts w:cs="Arial"/>
                <w:color w:val="000000" w:themeColor="text1"/>
                <w:szCs w:val="16"/>
              </w:rPr>
              <w:t>*</w:t>
            </w:r>
            <w:r w:rsidRPr="00486CDA">
              <w:rPr>
                <w:rFonts w:cs="Arial"/>
                <w:color w:val="000000" w:themeColor="text1"/>
                <w:szCs w:val="16"/>
              </w:rPr>
              <w:fldChar w:fldCharType="begin"/>
            </w:r>
            <w:r w:rsidRPr="00486CDA">
              <w:rPr>
                <w:rFonts w:cs="Arial"/>
                <w:color w:val="000000" w:themeColor="text1"/>
                <w:szCs w:val="16"/>
              </w:rPr>
              <w:instrText xml:space="preserve"> NOTEREF _Ref141818830 \f \h </w:instrText>
            </w:r>
            <w:r>
              <w:rPr>
                <w:rFonts w:cs="Arial"/>
                <w:color w:val="000000" w:themeColor="text1"/>
                <w:szCs w:val="16"/>
              </w:rPr>
              <w:instrText xml:space="preserve"> \* MERGEFORMAT </w:instrText>
            </w:r>
            <w:r w:rsidRPr="00486CDA">
              <w:rPr>
                <w:rFonts w:cs="Arial"/>
                <w:color w:val="000000" w:themeColor="text1"/>
                <w:szCs w:val="16"/>
              </w:rPr>
            </w:r>
            <w:r w:rsidRPr="00486CDA">
              <w:rPr>
                <w:rFonts w:cs="Arial"/>
                <w:color w:val="000000" w:themeColor="text1"/>
                <w:szCs w:val="16"/>
              </w:rPr>
              <w:fldChar w:fldCharType="separate"/>
            </w:r>
            <w:r w:rsidRPr="00486CDA">
              <w:rPr>
                <w:rStyle w:val="FootnoteReference"/>
              </w:rPr>
              <w:t>3</w:t>
            </w:r>
            <w:r w:rsidRPr="00486CDA">
              <w:rPr>
                <w:rFonts w:cs="Arial"/>
                <w:color w:val="000000" w:themeColor="text1"/>
                <w:szCs w:val="16"/>
              </w:rPr>
              <w:fldChar w:fldCharType="end"/>
            </w:r>
          </w:p>
        </w:tc>
        <w:tc>
          <w:tcPr>
            <w:tcW w:w="1153" w:type="pct"/>
            <w:shd w:val="clear" w:color="auto" w:fill="auto"/>
            <w:vAlign w:val="center"/>
          </w:tcPr>
          <w:p w14:paraId="79C22C84" w14:textId="36E0DF79" w:rsidR="00DB4E16" w:rsidRPr="00781112" w:rsidRDefault="00DB4E16" w:rsidP="00DB4E16">
            <w:pPr>
              <w:jc w:val="center"/>
              <w:rPr>
                <w:rFonts w:cs="Arial"/>
                <w:color w:val="000000" w:themeColor="text1"/>
                <w:szCs w:val="16"/>
              </w:rPr>
            </w:pPr>
            <w:r w:rsidRPr="00781112">
              <w:rPr>
                <w:rFonts w:cs="Arial"/>
                <w:color w:val="000000" w:themeColor="text1"/>
                <w:szCs w:val="16"/>
              </w:rPr>
              <w:t>456</w:t>
            </w:r>
          </w:p>
        </w:tc>
      </w:tr>
    </w:tbl>
    <w:p w14:paraId="28134ACD" w14:textId="77777777" w:rsidR="004F2A22" w:rsidRDefault="004F2A22" w:rsidP="003E3AED"/>
    <w:p w14:paraId="1074FBF7" w14:textId="5A346BAA" w:rsidR="003E3AED" w:rsidRDefault="003C0975" w:rsidP="003E3AED">
      <w:r>
        <w:t xml:space="preserve">*The children with IEPs count </w:t>
      </w:r>
      <w:r w:rsidRPr="007905E7">
        <w:t xml:space="preserve">excludes </w:t>
      </w:r>
      <w:r>
        <w:t xml:space="preserve">children with disabilities </w:t>
      </w:r>
      <w:r w:rsidRPr="007905E7">
        <w:t>who were reported as exempt due to significant medical emergency</w:t>
      </w:r>
      <w:r w:rsidR="003E3AED">
        <w:t xml:space="preserve"> in row </w:t>
      </w:r>
      <w:proofErr w:type="gramStart"/>
      <w:r w:rsidR="003E3AED">
        <w:t>a for</w:t>
      </w:r>
      <w:proofErr w:type="gramEnd"/>
      <w:r w:rsidR="003E3AED">
        <w:t xml:space="preserve"> all the prefilled data in this indicator.</w:t>
      </w:r>
    </w:p>
    <w:p w14:paraId="20F9FF57" w14:textId="77777777" w:rsidR="003C0975" w:rsidRPr="00781112" w:rsidRDefault="003C0975" w:rsidP="004F4016">
      <w:pPr>
        <w:rPr>
          <w:color w:val="000000" w:themeColor="text1"/>
        </w:rPr>
      </w:pPr>
    </w:p>
    <w:p w14:paraId="44A15970" w14:textId="28A0F3B0" w:rsidR="004F4016" w:rsidRPr="00781112" w:rsidRDefault="0047313F" w:rsidP="004F4016">
      <w:pPr>
        <w:rPr>
          <w:b/>
          <w:color w:val="000000" w:themeColor="text1"/>
        </w:rPr>
      </w:pPr>
      <w:r>
        <w:rPr>
          <w:b/>
          <w:color w:val="000000" w:themeColor="text1"/>
        </w:rPr>
        <w:t>FFY 2021 SPP/APR Data: Reading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AFFYAPRDATARLA"/>
      </w:tblPr>
      <w:tblGrid>
        <w:gridCol w:w="767"/>
        <w:gridCol w:w="1025"/>
        <w:gridCol w:w="1981"/>
        <w:gridCol w:w="1981"/>
        <w:gridCol w:w="1006"/>
        <w:gridCol w:w="1008"/>
        <w:gridCol w:w="1008"/>
        <w:gridCol w:w="1008"/>
        <w:gridCol w:w="1006"/>
      </w:tblGrid>
      <w:tr w:rsidR="00073BD7" w:rsidRPr="00781112" w14:paraId="3BAF6B00" w14:textId="77777777" w:rsidTr="0047313F">
        <w:trPr>
          <w:tblHeader/>
        </w:trPr>
        <w:tc>
          <w:tcPr>
            <w:tcW w:w="355" w:type="pct"/>
            <w:shd w:val="clear" w:color="auto" w:fill="auto"/>
            <w:vAlign w:val="bottom"/>
          </w:tcPr>
          <w:p w14:paraId="3F94C694" w14:textId="77777777" w:rsidR="00073BD7" w:rsidRPr="00781112" w:rsidRDefault="00073BD7" w:rsidP="00073BD7">
            <w:pPr>
              <w:jc w:val="center"/>
              <w:rPr>
                <w:b/>
                <w:color w:val="000000" w:themeColor="text1"/>
              </w:rPr>
            </w:pPr>
            <w:r w:rsidRPr="00781112">
              <w:rPr>
                <w:b/>
                <w:color w:val="000000" w:themeColor="text1"/>
              </w:rPr>
              <w:t>Group</w:t>
            </w:r>
          </w:p>
        </w:tc>
        <w:tc>
          <w:tcPr>
            <w:tcW w:w="475" w:type="pct"/>
            <w:shd w:val="clear" w:color="auto" w:fill="auto"/>
            <w:vAlign w:val="bottom"/>
          </w:tcPr>
          <w:p w14:paraId="4992F96D" w14:textId="77777777" w:rsidR="00073BD7" w:rsidRPr="00781112" w:rsidRDefault="00073BD7" w:rsidP="00073BD7">
            <w:pPr>
              <w:jc w:val="center"/>
              <w:rPr>
                <w:b/>
                <w:color w:val="000000" w:themeColor="text1"/>
              </w:rPr>
            </w:pPr>
            <w:r w:rsidRPr="00781112">
              <w:rPr>
                <w:b/>
                <w:color w:val="000000" w:themeColor="text1"/>
              </w:rPr>
              <w:t>Group Name</w:t>
            </w:r>
          </w:p>
        </w:tc>
        <w:tc>
          <w:tcPr>
            <w:tcW w:w="918" w:type="pct"/>
            <w:shd w:val="clear" w:color="auto" w:fill="auto"/>
            <w:vAlign w:val="bottom"/>
          </w:tcPr>
          <w:p w14:paraId="2677A663" w14:textId="57D25781" w:rsidR="00073BD7" w:rsidRPr="00781112" w:rsidRDefault="00073BD7" w:rsidP="00073BD7">
            <w:pPr>
              <w:jc w:val="center"/>
              <w:rPr>
                <w:b/>
                <w:color w:val="000000" w:themeColor="text1"/>
              </w:rPr>
            </w:pPr>
            <w:r w:rsidRPr="00781112">
              <w:rPr>
                <w:b/>
                <w:color w:val="000000" w:themeColor="text1"/>
              </w:rPr>
              <w:t>Number of Children with IEPs Participating</w:t>
            </w:r>
          </w:p>
        </w:tc>
        <w:tc>
          <w:tcPr>
            <w:tcW w:w="918" w:type="pct"/>
            <w:shd w:val="clear" w:color="auto" w:fill="auto"/>
            <w:vAlign w:val="bottom"/>
          </w:tcPr>
          <w:p w14:paraId="5736EAFF" w14:textId="26F0F47E" w:rsidR="00073BD7" w:rsidRPr="00781112" w:rsidRDefault="00073BD7" w:rsidP="00073BD7">
            <w:pPr>
              <w:jc w:val="center"/>
              <w:rPr>
                <w:b/>
                <w:color w:val="000000" w:themeColor="text1"/>
              </w:rPr>
            </w:pPr>
            <w:r w:rsidRPr="00781112">
              <w:rPr>
                <w:b/>
                <w:color w:val="000000" w:themeColor="text1"/>
              </w:rPr>
              <w:t>Number of Children with IEPs</w:t>
            </w:r>
          </w:p>
        </w:tc>
        <w:tc>
          <w:tcPr>
            <w:tcW w:w="466" w:type="pct"/>
            <w:shd w:val="clear" w:color="auto" w:fill="auto"/>
            <w:vAlign w:val="bottom"/>
          </w:tcPr>
          <w:p w14:paraId="70E219F7" w14:textId="41B163B4" w:rsidR="00073BD7" w:rsidRPr="00781112" w:rsidRDefault="00073BD7" w:rsidP="00073BD7">
            <w:pPr>
              <w:jc w:val="center"/>
              <w:rPr>
                <w:b/>
                <w:color w:val="000000" w:themeColor="text1"/>
              </w:rPr>
            </w:pPr>
            <w:r w:rsidRPr="00073BD7">
              <w:rPr>
                <w:b/>
                <w:bCs/>
              </w:rPr>
              <w:t>FFY 2020 Data</w:t>
            </w:r>
          </w:p>
        </w:tc>
        <w:tc>
          <w:tcPr>
            <w:tcW w:w="467" w:type="pct"/>
            <w:shd w:val="clear" w:color="auto" w:fill="auto"/>
            <w:vAlign w:val="bottom"/>
          </w:tcPr>
          <w:p w14:paraId="2D0B1710" w14:textId="4D4AD625" w:rsidR="00073BD7" w:rsidRPr="00781112" w:rsidRDefault="00073BD7" w:rsidP="00073BD7">
            <w:pPr>
              <w:jc w:val="center"/>
              <w:rPr>
                <w:b/>
                <w:color w:val="000000" w:themeColor="text1"/>
              </w:rPr>
            </w:pPr>
            <w:r w:rsidRPr="00073BD7">
              <w:rPr>
                <w:b/>
                <w:bCs/>
              </w:rPr>
              <w:t>FFY 2021 Target</w:t>
            </w:r>
          </w:p>
        </w:tc>
        <w:tc>
          <w:tcPr>
            <w:tcW w:w="467" w:type="pct"/>
            <w:shd w:val="clear" w:color="auto" w:fill="auto"/>
            <w:vAlign w:val="bottom"/>
          </w:tcPr>
          <w:p w14:paraId="1D807DE2" w14:textId="4B06168B" w:rsidR="00073BD7" w:rsidRPr="00781112" w:rsidRDefault="00073BD7" w:rsidP="00073BD7">
            <w:pPr>
              <w:jc w:val="center"/>
              <w:rPr>
                <w:b/>
                <w:color w:val="000000" w:themeColor="text1"/>
              </w:rPr>
            </w:pPr>
            <w:r w:rsidRPr="00073BD7">
              <w:rPr>
                <w:b/>
                <w:bCs/>
              </w:rPr>
              <w:t>FFY 2021 Data</w:t>
            </w:r>
          </w:p>
        </w:tc>
        <w:tc>
          <w:tcPr>
            <w:tcW w:w="467" w:type="pct"/>
            <w:shd w:val="clear" w:color="auto" w:fill="auto"/>
            <w:vAlign w:val="bottom"/>
          </w:tcPr>
          <w:p w14:paraId="6569FC00" w14:textId="77777777" w:rsidR="00073BD7" w:rsidRPr="00781112" w:rsidRDefault="00073BD7" w:rsidP="00073BD7">
            <w:pPr>
              <w:jc w:val="center"/>
              <w:rPr>
                <w:b/>
                <w:color w:val="000000" w:themeColor="text1"/>
              </w:rPr>
            </w:pPr>
            <w:r w:rsidRPr="00781112">
              <w:rPr>
                <w:b/>
                <w:color w:val="000000" w:themeColor="text1"/>
              </w:rPr>
              <w:t>Status</w:t>
            </w:r>
          </w:p>
        </w:tc>
        <w:tc>
          <w:tcPr>
            <w:tcW w:w="466" w:type="pct"/>
            <w:shd w:val="clear" w:color="auto" w:fill="auto"/>
            <w:vAlign w:val="bottom"/>
          </w:tcPr>
          <w:p w14:paraId="2DF56EFB" w14:textId="77777777" w:rsidR="00073BD7" w:rsidRPr="00781112" w:rsidRDefault="00073BD7" w:rsidP="00073BD7">
            <w:pPr>
              <w:jc w:val="center"/>
              <w:rPr>
                <w:b/>
                <w:color w:val="000000" w:themeColor="text1"/>
              </w:rPr>
            </w:pPr>
            <w:r w:rsidRPr="00781112">
              <w:rPr>
                <w:b/>
                <w:color w:val="000000" w:themeColor="text1"/>
              </w:rPr>
              <w:t>Slippage</w:t>
            </w:r>
          </w:p>
        </w:tc>
      </w:tr>
      <w:tr w:rsidR="00DB4E16" w:rsidRPr="00781112" w14:paraId="376FC28A" w14:textId="77777777" w:rsidTr="00DB4E16">
        <w:tc>
          <w:tcPr>
            <w:tcW w:w="355" w:type="pct"/>
            <w:shd w:val="clear" w:color="auto" w:fill="auto"/>
            <w:vAlign w:val="center"/>
          </w:tcPr>
          <w:p w14:paraId="53A8B458" w14:textId="77777777" w:rsidR="00DB4E16" w:rsidRPr="00781112" w:rsidRDefault="00DB4E16" w:rsidP="00DB4E16">
            <w:pPr>
              <w:pStyle w:val="Default"/>
              <w:jc w:val="center"/>
              <w:rPr>
                <w:rFonts w:eastAsiaTheme="minorHAnsi"/>
                <w:color w:val="000000" w:themeColor="text1"/>
                <w:sz w:val="16"/>
                <w:szCs w:val="16"/>
              </w:rPr>
            </w:pPr>
            <w:r w:rsidRPr="00781112">
              <w:rPr>
                <w:b/>
                <w:color w:val="000000" w:themeColor="text1"/>
                <w:sz w:val="16"/>
                <w:szCs w:val="16"/>
              </w:rPr>
              <w:t>A</w:t>
            </w:r>
          </w:p>
        </w:tc>
        <w:tc>
          <w:tcPr>
            <w:tcW w:w="475" w:type="pct"/>
            <w:shd w:val="clear" w:color="auto" w:fill="auto"/>
            <w:vAlign w:val="center"/>
          </w:tcPr>
          <w:p w14:paraId="0A1B698A" w14:textId="5AC06767" w:rsidR="00DB4E16" w:rsidRPr="00781112" w:rsidDel="00DE5045" w:rsidRDefault="00DB4E16" w:rsidP="00DB4E16">
            <w:pPr>
              <w:jc w:val="center"/>
              <w:rPr>
                <w:rFonts w:cs="Arial"/>
                <w:color w:val="000000" w:themeColor="text1"/>
                <w:szCs w:val="16"/>
              </w:rPr>
            </w:pPr>
            <w:r w:rsidRPr="00781112">
              <w:rPr>
                <w:rFonts w:cs="Arial"/>
                <w:color w:val="000000" w:themeColor="text1"/>
                <w:szCs w:val="16"/>
              </w:rPr>
              <w:t>Grade 4</w:t>
            </w:r>
          </w:p>
        </w:tc>
        <w:tc>
          <w:tcPr>
            <w:tcW w:w="918" w:type="pct"/>
            <w:shd w:val="clear" w:color="auto" w:fill="auto"/>
            <w:vAlign w:val="center"/>
          </w:tcPr>
          <w:p w14:paraId="58AC973E" w14:textId="31A4EF16" w:rsidR="00DB4E16" w:rsidRPr="00781112" w:rsidRDefault="00DB4E16" w:rsidP="00DB4E16">
            <w:pPr>
              <w:jc w:val="center"/>
              <w:rPr>
                <w:rFonts w:cs="Arial"/>
                <w:color w:val="000000" w:themeColor="text1"/>
                <w:szCs w:val="16"/>
              </w:rPr>
            </w:pPr>
            <w:r w:rsidRPr="002A0E97">
              <w:rPr>
                <w:rFonts w:cs="Arial"/>
                <w:color w:val="000000" w:themeColor="text1"/>
                <w:szCs w:val="16"/>
              </w:rPr>
              <w:t>*</w:t>
            </w:r>
            <w:r w:rsidRPr="002A0E97">
              <w:rPr>
                <w:rFonts w:cs="Arial"/>
                <w:color w:val="000000" w:themeColor="text1"/>
                <w:szCs w:val="16"/>
              </w:rPr>
              <w:fldChar w:fldCharType="begin"/>
            </w:r>
            <w:r w:rsidRPr="002A0E97">
              <w:rPr>
                <w:rFonts w:cs="Arial"/>
                <w:color w:val="000000" w:themeColor="text1"/>
                <w:szCs w:val="16"/>
              </w:rPr>
              <w:instrText xml:space="preserve"> NOTEREF _Ref141818830 \f \h </w:instrText>
            </w:r>
            <w:r>
              <w:rPr>
                <w:rFonts w:cs="Arial"/>
                <w:color w:val="000000" w:themeColor="text1"/>
                <w:szCs w:val="16"/>
              </w:rPr>
              <w:instrText xml:space="preserve"> \* MERGEFORMAT </w:instrText>
            </w:r>
            <w:r w:rsidRPr="002A0E97">
              <w:rPr>
                <w:rFonts w:cs="Arial"/>
                <w:color w:val="000000" w:themeColor="text1"/>
                <w:szCs w:val="16"/>
              </w:rPr>
            </w:r>
            <w:r w:rsidRPr="002A0E97">
              <w:rPr>
                <w:rFonts w:cs="Arial"/>
                <w:color w:val="000000" w:themeColor="text1"/>
                <w:szCs w:val="16"/>
              </w:rPr>
              <w:fldChar w:fldCharType="separate"/>
            </w:r>
            <w:r w:rsidRPr="002A0E97">
              <w:rPr>
                <w:rStyle w:val="FootnoteReference"/>
              </w:rPr>
              <w:t>3</w:t>
            </w:r>
            <w:r w:rsidRPr="002A0E97">
              <w:rPr>
                <w:rFonts w:cs="Arial"/>
                <w:color w:val="000000" w:themeColor="text1"/>
                <w:szCs w:val="16"/>
              </w:rPr>
              <w:fldChar w:fldCharType="end"/>
            </w:r>
          </w:p>
        </w:tc>
        <w:tc>
          <w:tcPr>
            <w:tcW w:w="918" w:type="pct"/>
            <w:shd w:val="clear" w:color="auto" w:fill="auto"/>
            <w:vAlign w:val="center"/>
          </w:tcPr>
          <w:p w14:paraId="703303A1" w14:textId="3CC1891E" w:rsidR="00DB4E16" w:rsidRPr="00781112" w:rsidRDefault="00DB4E16" w:rsidP="00DB4E16">
            <w:pPr>
              <w:jc w:val="center"/>
              <w:rPr>
                <w:rFonts w:cs="Arial"/>
                <w:color w:val="000000" w:themeColor="text1"/>
                <w:szCs w:val="16"/>
              </w:rPr>
            </w:pPr>
            <w:r w:rsidRPr="002A0E97">
              <w:rPr>
                <w:rFonts w:cs="Arial"/>
                <w:color w:val="000000" w:themeColor="text1"/>
                <w:szCs w:val="16"/>
              </w:rPr>
              <w:t>*</w:t>
            </w:r>
            <w:r w:rsidRPr="002A0E97">
              <w:rPr>
                <w:rFonts w:cs="Arial"/>
                <w:color w:val="000000" w:themeColor="text1"/>
                <w:szCs w:val="16"/>
              </w:rPr>
              <w:fldChar w:fldCharType="begin"/>
            </w:r>
            <w:r w:rsidRPr="002A0E97">
              <w:rPr>
                <w:rFonts w:cs="Arial"/>
                <w:color w:val="000000" w:themeColor="text1"/>
                <w:szCs w:val="16"/>
              </w:rPr>
              <w:instrText xml:space="preserve"> NOTEREF _Ref141818830 \f \h </w:instrText>
            </w:r>
            <w:r>
              <w:rPr>
                <w:rFonts w:cs="Arial"/>
                <w:color w:val="000000" w:themeColor="text1"/>
                <w:szCs w:val="16"/>
              </w:rPr>
              <w:instrText xml:space="preserve"> \* MERGEFORMAT </w:instrText>
            </w:r>
            <w:r w:rsidRPr="002A0E97">
              <w:rPr>
                <w:rFonts w:cs="Arial"/>
                <w:color w:val="000000" w:themeColor="text1"/>
                <w:szCs w:val="16"/>
              </w:rPr>
            </w:r>
            <w:r w:rsidRPr="002A0E97">
              <w:rPr>
                <w:rFonts w:cs="Arial"/>
                <w:color w:val="000000" w:themeColor="text1"/>
                <w:szCs w:val="16"/>
              </w:rPr>
              <w:fldChar w:fldCharType="separate"/>
            </w:r>
            <w:r w:rsidRPr="002A0E97">
              <w:rPr>
                <w:rStyle w:val="FootnoteReference"/>
              </w:rPr>
              <w:t>3</w:t>
            </w:r>
            <w:r w:rsidRPr="002A0E97">
              <w:rPr>
                <w:rFonts w:cs="Arial"/>
                <w:color w:val="000000" w:themeColor="text1"/>
                <w:szCs w:val="16"/>
              </w:rPr>
              <w:fldChar w:fldCharType="end"/>
            </w:r>
          </w:p>
        </w:tc>
        <w:tc>
          <w:tcPr>
            <w:tcW w:w="466" w:type="pct"/>
            <w:shd w:val="clear" w:color="auto" w:fill="auto"/>
            <w:vAlign w:val="center"/>
          </w:tcPr>
          <w:p w14:paraId="701F3D15" w14:textId="6F1538C4" w:rsidR="00DB4E16" w:rsidRPr="00781112" w:rsidRDefault="00DB4E16" w:rsidP="00DB4E16">
            <w:pPr>
              <w:jc w:val="center"/>
              <w:rPr>
                <w:rFonts w:cs="Arial"/>
                <w:color w:val="000000" w:themeColor="text1"/>
                <w:szCs w:val="16"/>
              </w:rPr>
            </w:pPr>
            <w:r w:rsidRPr="00781112">
              <w:rPr>
                <w:rFonts w:cs="Arial"/>
                <w:color w:val="000000" w:themeColor="text1"/>
                <w:szCs w:val="16"/>
              </w:rPr>
              <w:t>90.64%</w:t>
            </w:r>
          </w:p>
        </w:tc>
        <w:tc>
          <w:tcPr>
            <w:tcW w:w="467" w:type="pct"/>
            <w:shd w:val="clear" w:color="auto" w:fill="auto"/>
            <w:vAlign w:val="center"/>
          </w:tcPr>
          <w:p w14:paraId="797749BC" w14:textId="696E92A3" w:rsidR="00DB4E16" w:rsidRPr="00781112" w:rsidRDefault="00DB4E16" w:rsidP="00DB4E16">
            <w:pPr>
              <w:jc w:val="center"/>
              <w:rPr>
                <w:rFonts w:cs="Arial"/>
                <w:color w:val="000000" w:themeColor="text1"/>
                <w:szCs w:val="16"/>
              </w:rPr>
            </w:pPr>
            <w:r w:rsidRPr="00781112">
              <w:rPr>
                <w:rFonts w:cs="Arial"/>
                <w:color w:val="000000" w:themeColor="text1"/>
                <w:szCs w:val="16"/>
              </w:rPr>
              <w:t>95.00%</w:t>
            </w:r>
          </w:p>
        </w:tc>
        <w:tc>
          <w:tcPr>
            <w:tcW w:w="467" w:type="pct"/>
            <w:shd w:val="clear" w:color="auto" w:fill="auto"/>
            <w:vAlign w:val="center"/>
          </w:tcPr>
          <w:p w14:paraId="70549BEB" w14:textId="67B610B3" w:rsidR="00DB4E16" w:rsidRPr="00781112" w:rsidRDefault="00DB4E16" w:rsidP="00DB4E16">
            <w:pPr>
              <w:jc w:val="center"/>
              <w:rPr>
                <w:rFonts w:cs="Arial"/>
                <w:color w:val="000000" w:themeColor="text1"/>
                <w:szCs w:val="16"/>
              </w:rPr>
            </w:pPr>
            <w:r w:rsidRPr="00511328">
              <w:rPr>
                <w:rFonts w:cs="Arial"/>
                <w:color w:val="000000" w:themeColor="text1"/>
                <w:szCs w:val="16"/>
              </w:rPr>
              <w:t>*</w:t>
            </w:r>
            <w:r w:rsidRPr="00511328">
              <w:rPr>
                <w:rFonts w:cs="Arial"/>
                <w:color w:val="000000" w:themeColor="text1"/>
                <w:szCs w:val="16"/>
              </w:rPr>
              <w:fldChar w:fldCharType="begin"/>
            </w:r>
            <w:r w:rsidRPr="00511328">
              <w:rPr>
                <w:rFonts w:cs="Arial"/>
                <w:color w:val="000000" w:themeColor="text1"/>
                <w:szCs w:val="16"/>
              </w:rPr>
              <w:instrText xml:space="preserve"> NOTEREF _Ref141818830 \f \h </w:instrText>
            </w:r>
            <w:r>
              <w:rPr>
                <w:rFonts w:cs="Arial"/>
                <w:color w:val="000000" w:themeColor="text1"/>
                <w:szCs w:val="16"/>
              </w:rPr>
              <w:instrText xml:space="preserve"> \* MERGEFORMAT </w:instrText>
            </w:r>
            <w:r w:rsidRPr="00511328">
              <w:rPr>
                <w:rFonts w:cs="Arial"/>
                <w:color w:val="000000" w:themeColor="text1"/>
                <w:szCs w:val="16"/>
              </w:rPr>
            </w:r>
            <w:r w:rsidRPr="00511328">
              <w:rPr>
                <w:rFonts w:cs="Arial"/>
                <w:color w:val="000000" w:themeColor="text1"/>
                <w:szCs w:val="16"/>
              </w:rPr>
              <w:fldChar w:fldCharType="separate"/>
            </w:r>
            <w:r w:rsidRPr="00511328">
              <w:rPr>
                <w:rStyle w:val="FootnoteReference"/>
              </w:rPr>
              <w:t>3</w:t>
            </w:r>
            <w:r w:rsidRPr="00511328">
              <w:rPr>
                <w:rFonts w:cs="Arial"/>
                <w:color w:val="000000" w:themeColor="text1"/>
                <w:szCs w:val="16"/>
              </w:rPr>
              <w:fldChar w:fldCharType="end"/>
            </w:r>
          </w:p>
        </w:tc>
        <w:tc>
          <w:tcPr>
            <w:tcW w:w="467" w:type="pct"/>
            <w:shd w:val="clear" w:color="auto" w:fill="auto"/>
            <w:vAlign w:val="center"/>
          </w:tcPr>
          <w:p w14:paraId="78EE727D" w14:textId="62F0BE75" w:rsidR="00DB4E16" w:rsidRPr="00781112" w:rsidRDefault="00DB4E16" w:rsidP="00DB4E16">
            <w:pPr>
              <w:jc w:val="center"/>
              <w:rPr>
                <w:rFonts w:cs="Arial"/>
                <w:color w:val="000000" w:themeColor="text1"/>
                <w:szCs w:val="16"/>
              </w:rPr>
            </w:pPr>
            <w:r w:rsidRPr="00781112">
              <w:rPr>
                <w:rFonts w:cs="Arial"/>
                <w:color w:val="000000" w:themeColor="text1"/>
                <w:szCs w:val="16"/>
              </w:rPr>
              <w:t>Did not meet target</w:t>
            </w:r>
          </w:p>
        </w:tc>
        <w:tc>
          <w:tcPr>
            <w:tcW w:w="466" w:type="pct"/>
            <w:shd w:val="clear" w:color="auto" w:fill="auto"/>
            <w:vAlign w:val="center"/>
          </w:tcPr>
          <w:p w14:paraId="6EAB29CE" w14:textId="27C0C9B3" w:rsidR="00DB4E16" w:rsidRPr="00781112" w:rsidRDefault="00DB4E16" w:rsidP="00DB4E16">
            <w:pPr>
              <w:jc w:val="center"/>
              <w:rPr>
                <w:rFonts w:cs="Arial"/>
                <w:color w:val="000000" w:themeColor="text1"/>
                <w:szCs w:val="16"/>
              </w:rPr>
            </w:pPr>
            <w:r w:rsidRPr="00781112">
              <w:rPr>
                <w:rFonts w:cs="Arial"/>
                <w:color w:val="000000" w:themeColor="text1"/>
                <w:szCs w:val="16"/>
              </w:rPr>
              <w:t>N/A</w:t>
            </w:r>
          </w:p>
        </w:tc>
      </w:tr>
      <w:tr w:rsidR="00DB4E16" w:rsidRPr="00781112" w14:paraId="56F1A9B2" w14:textId="77777777" w:rsidTr="00DB4E16">
        <w:tc>
          <w:tcPr>
            <w:tcW w:w="355" w:type="pct"/>
            <w:shd w:val="clear" w:color="auto" w:fill="auto"/>
            <w:vAlign w:val="center"/>
          </w:tcPr>
          <w:p w14:paraId="558707F7" w14:textId="77777777" w:rsidR="00DB4E16" w:rsidRPr="00781112" w:rsidRDefault="00DB4E16" w:rsidP="00DB4E16">
            <w:pPr>
              <w:pStyle w:val="Default"/>
              <w:jc w:val="center"/>
              <w:rPr>
                <w:rFonts w:eastAsiaTheme="minorHAnsi"/>
                <w:color w:val="000000" w:themeColor="text1"/>
                <w:sz w:val="16"/>
                <w:szCs w:val="16"/>
              </w:rPr>
            </w:pPr>
            <w:r w:rsidRPr="00781112">
              <w:rPr>
                <w:b/>
                <w:color w:val="000000" w:themeColor="text1"/>
                <w:sz w:val="16"/>
                <w:szCs w:val="16"/>
              </w:rPr>
              <w:t>B</w:t>
            </w:r>
          </w:p>
        </w:tc>
        <w:tc>
          <w:tcPr>
            <w:tcW w:w="475" w:type="pct"/>
            <w:shd w:val="clear" w:color="auto" w:fill="auto"/>
            <w:vAlign w:val="center"/>
          </w:tcPr>
          <w:p w14:paraId="384974C9" w14:textId="0A4570C5" w:rsidR="00DB4E16" w:rsidRPr="00781112" w:rsidDel="00DE5045" w:rsidRDefault="00DB4E16" w:rsidP="00DB4E16">
            <w:pPr>
              <w:jc w:val="center"/>
              <w:rPr>
                <w:rFonts w:cs="Arial"/>
                <w:color w:val="000000" w:themeColor="text1"/>
                <w:szCs w:val="16"/>
              </w:rPr>
            </w:pPr>
            <w:r w:rsidRPr="00781112">
              <w:rPr>
                <w:rFonts w:cs="Arial"/>
                <w:color w:val="000000" w:themeColor="text1"/>
                <w:szCs w:val="16"/>
              </w:rPr>
              <w:t>Grade 8</w:t>
            </w:r>
          </w:p>
        </w:tc>
        <w:tc>
          <w:tcPr>
            <w:tcW w:w="918" w:type="pct"/>
            <w:shd w:val="clear" w:color="auto" w:fill="auto"/>
            <w:vAlign w:val="center"/>
          </w:tcPr>
          <w:p w14:paraId="751205A1" w14:textId="4EAB83D6" w:rsidR="00DB4E16" w:rsidRPr="00781112" w:rsidRDefault="00DB4E16" w:rsidP="00DB4E16">
            <w:pPr>
              <w:jc w:val="center"/>
              <w:rPr>
                <w:rFonts w:cs="Arial"/>
                <w:color w:val="000000" w:themeColor="text1"/>
                <w:szCs w:val="16"/>
              </w:rPr>
            </w:pPr>
            <w:r w:rsidRPr="002A0E97">
              <w:rPr>
                <w:rFonts w:cs="Arial"/>
                <w:color w:val="000000" w:themeColor="text1"/>
                <w:szCs w:val="16"/>
              </w:rPr>
              <w:t>*</w:t>
            </w:r>
            <w:r w:rsidRPr="002A0E97">
              <w:rPr>
                <w:rFonts w:cs="Arial"/>
                <w:color w:val="000000" w:themeColor="text1"/>
                <w:szCs w:val="16"/>
              </w:rPr>
              <w:fldChar w:fldCharType="begin"/>
            </w:r>
            <w:r w:rsidRPr="002A0E97">
              <w:rPr>
                <w:rFonts w:cs="Arial"/>
                <w:color w:val="000000" w:themeColor="text1"/>
                <w:szCs w:val="16"/>
              </w:rPr>
              <w:instrText xml:space="preserve"> NOTEREF _Ref141818830 \f \h </w:instrText>
            </w:r>
            <w:r>
              <w:rPr>
                <w:rFonts w:cs="Arial"/>
                <w:color w:val="000000" w:themeColor="text1"/>
                <w:szCs w:val="16"/>
              </w:rPr>
              <w:instrText xml:space="preserve"> \* MERGEFORMAT </w:instrText>
            </w:r>
            <w:r w:rsidRPr="002A0E97">
              <w:rPr>
                <w:rFonts w:cs="Arial"/>
                <w:color w:val="000000" w:themeColor="text1"/>
                <w:szCs w:val="16"/>
              </w:rPr>
            </w:r>
            <w:r w:rsidRPr="002A0E97">
              <w:rPr>
                <w:rFonts w:cs="Arial"/>
                <w:color w:val="000000" w:themeColor="text1"/>
                <w:szCs w:val="16"/>
              </w:rPr>
              <w:fldChar w:fldCharType="separate"/>
            </w:r>
            <w:r w:rsidRPr="002A0E97">
              <w:rPr>
                <w:rStyle w:val="FootnoteReference"/>
              </w:rPr>
              <w:t>3</w:t>
            </w:r>
            <w:r w:rsidRPr="002A0E97">
              <w:rPr>
                <w:rFonts w:cs="Arial"/>
                <w:color w:val="000000" w:themeColor="text1"/>
                <w:szCs w:val="16"/>
              </w:rPr>
              <w:fldChar w:fldCharType="end"/>
            </w:r>
          </w:p>
        </w:tc>
        <w:tc>
          <w:tcPr>
            <w:tcW w:w="918" w:type="pct"/>
            <w:shd w:val="clear" w:color="auto" w:fill="auto"/>
            <w:vAlign w:val="center"/>
          </w:tcPr>
          <w:p w14:paraId="4F6EDDAF" w14:textId="24ED764C" w:rsidR="00DB4E16" w:rsidRPr="00781112" w:rsidRDefault="00DB4E16" w:rsidP="00DB4E16">
            <w:pPr>
              <w:jc w:val="center"/>
              <w:rPr>
                <w:rFonts w:cs="Arial"/>
                <w:color w:val="000000" w:themeColor="text1"/>
                <w:szCs w:val="16"/>
              </w:rPr>
            </w:pPr>
            <w:r w:rsidRPr="002A0E97">
              <w:rPr>
                <w:rFonts w:cs="Arial"/>
                <w:color w:val="000000" w:themeColor="text1"/>
                <w:szCs w:val="16"/>
              </w:rPr>
              <w:t>*</w:t>
            </w:r>
            <w:r w:rsidRPr="002A0E97">
              <w:rPr>
                <w:rFonts w:cs="Arial"/>
                <w:color w:val="000000" w:themeColor="text1"/>
                <w:szCs w:val="16"/>
              </w:rPr>
              <w:fldChar w:fldCharType="begin"/>
            </w:r>
            <w:r w:rsidRPr="002A0E97">
              <w:rPr>
                <w:rFonts w:cs="Arial"/>
                <w:color w:val="000000" w:themeColor="text1"/>
                <w:szCs w:val="16"/>
              </w:rPr>
              <w:instrText xml:space="preserve"> NOTEREF _Ref141818830 \f \h </w:instrText>
            </w:r>
            <w:r>
              <w:rPr>
                <w:rFonts w:cs="Arial"/>
                <w:color w:val="000000" w:themeColor="text1"/>
                <w:szCs w:val="16"/>
              </w:rPr>
              <w:instrText xml:space="preserve"> \* MERGEFORMAT </w:instrText>
            </w:r>
            <w:r w:rsidRPr="002A0E97">
              <w:rPr>
                <w:rFonts w:cs="Arial"/>
                <w:color w:val="000000" w:themeColor="text1"/>
                <w:szCs w:val="16"/>
              </w:rPr>
            </w:r>
            <w:r w:rsidRPr="002A0E97">
              <w:rPr>
                <w:rFonts w:cs="Arial"/>
                <w:color w:val="000000" w:themeColor="text1"/>
                <w:szCs w:val="16"/>
              </w:rPr>
              <w:fldChar w:fldCharType="separate"/>
            </w:r>
            <w:r w:rsidRPr="002A0E97">
              <w:rPr>
                <w:rStyle w:val="FootnoteReference"/>
              </w:rPr>
              <w:t>3</w:t>
            </w:r>
            <w:r w:rsidRPr="002A0E97">
              <w:rPr>
                <w:rFonts w:cs="Arial"/>
                <w:color w:val="000000" w:themeColor="text1"/>
                <w:szCs w:val="16"/>
              </w:rPr>
              <w:fldChar w:fldCharType="end"/>
            </w:r>
          </w:p>
        </w:tc>
        <w:tc>
          <w:tcPr>
            <w:tcW w:w="466" w:type="pct"/>
            <w:shd w:val="clear" w:color="auto" w:fill="auto"/>
            <w:vAlign w:val="center"/>
          </w:tcPr>
          <w:p w14:paraId="6B3B6780" w14:textId="51308AEA" w:rsidR="00DB4E16" w:rsidRPr="00781112" w:rsidRDefault="00DB4E16" w:rsidP="00DB4E16">
            <w:pPr>
              <w:jc w:val="center"/>
              <w:rPr>
                <w:rFonts w:cs="Arial"/>
                <w:color w:val="000000" w:themeColor="text1"/>
                <w:szCs w:val="16"/>
              </w:rPr>
            </w:pPr>
            <w:r w:rsidRPr="00781112">
              <w:rPr>
                <w:rFonts w:cs="Arial"/>
                <w:color w:val="000000" w:themeColor="text1"/>
                <w:szCs w:val="16"/>
              </w:rPr>
              <w:t>81.14%</w:t>
            </w:r>
          </w:p>
        </w:tc>
        <w:tc>
          <w:tcPr>
            <w:tcW w:w="467" w:type="pct"/>
            <w:shd w:val="clear" w:color="auto" w:fill="auto"/>
            <w:vAlign w:val="center"/>
          </w:tcPr>
          <w:p w14:paraId="60FE8D0A" w14:textId="26748E4B" w:rsidR="00DB4E16" w:rsidRPr="00781112" w:rsidRDefault="00DB4E16" w:rsidP="00DB4E16">
            <w:pPr>
              <w:jc w:val="center"/>
              <w:rPr>
                <w:rFonts w:cs="Arial"/>
                <w:color w:val="000000" w:themeColor="text1"/>
                <w:szCs w:val="16"/>
              </w:rPr>
            </w:pPr>
            <w:r w:rsidRPr="00781112">
              <w:rPr>
                <w:rFonts w:cs="Arial"/>
                <w:color w:val="000000" w:themeColor="text1"/>
                <w:szCs w:val="16"/>
              </w:rPr>
              <w:t>95.00%</w:t>
            </w:r>
          </w:p>
        </w:tc>
        <w:tc>
          <w:tcPr>
            <w:tcW w:w="467" w:type="pct"/>
            <w:shd w:val="clear" w:color="auto" w:fill="auto"/>
            <w:vAlign w:val="center"/>
          </w:tcPr>
          <w:p w14:paraId="20759612" w14:textId="44DFF503" w:rsidR="00DB4E16" w:rsidRPr="00781112" w:rsidRDefault="00DB4E16" w:rsidP="00DB4E16">
            <w:pPr>
              <w:jc w:val="center"/>
              <w:rPr>
                <w:rFonts w:cs="Arial"/>
                <w:color w:val="000000" w:themeColor="text1"/>
                <w:szCs w:val="16"/>
              </w:rPr>
            </w:pPr>
            <w:r w:rsidRPr="00511328">
              <w:rPr>
                <w:rFonts w:cs="Arial"/>
                <w:color w:val="000000" w:themeColor="text1"/>
                <w:szCs w:val="16"/>
              </w:rPr>
              <w:t>*</w:t>
            </w:r>
            <w:r w:rsidRPr="00511328">
              <w:rPr>
                <w:rFonts w:cs="Arial"/>
                <w:color w:val="000000" w:themeColor="text1"/>
                <w:szCs w:val="16"/>
              </w:rPr>
              <w:fldChar w:fldCharType="begin"/>
            </w:r>
            <w:r w:rsidRPr="00511328">
              <w:rPr>
                <w:rFonts w:cs="Arial"/>
                <w:color w:val="000000" w:themeColor="text1"/>
                <w:szCs w:val="16"/>
              </w:rPr>
              <w:instrText xml:space="preserve"> NOTEREF _Ref141818830 \f \h </w:instrText>
            </w:r>
            <w:r>
              <w:rPr>
                <w:rFonts w:cs="Arial"/>
                <w:color w:val="000000" w:themeColor="text1"/>
                <w:szCs w:val="16"/>
              </w:rPr>
              <w:instrText xml:space="preserve"> \* MERGEFORMAT </w:instrText>
            </w:r>
            <w:r w:rsidRPr="00511328">
              <w:rPr>
                <w:rFonts w:cs="Arial"/>
                <w:color w:val="000000" w:themeColor="text1"/>
                <w:szCs w:val="16"/>
              </w:rPr>
            </w:r>
            <w:r w:rsidRPr="00511328">
              <w:rPr>
                <w:rFonts w:cs="Arial"/>
                <w:color w:val="000000" w:themeColor="text1"/>
                <w:szCs w:val="16"/>
              </w:rPr>
              <w:fldChar w:fldCharType="separate"/>
            </w:r>
            <w:r w:rsidRPr="00511328">
              <w:rPr>
                <w:rStyle w:val="FootnoteReference"/>
              </w:rPr>
              <w:t>3</w:t>
            </w:r>
            <w:r w:rsidRPr="00511328">
              <w:rPr>
                <w:rFonts w:cs="Arial"/>
                <w:color w:val="000000" w:themeColor="text1"/>
                <w:szCs w:val="16"/>
              </w:rPr>
              <w:fldChar w:fldCharType="end"/>
            </w:r>
          </w:p>
        </w:tc>
        <w:tc>
          <w:tcPr>
            <w:tcW w:w="467" w:type="pct"/>
            <w:shd w:val="clear" w:color="auto" w:fill="auto"/>
            <w:vAlign w:val="center"/>
          </w:tcPr>
          <w:p w14:paraId="5A0AF76C" w14:textId="316463B4" w:rsidR="00DB4E16" w:rsidRPr="00781112" w:rsidRDefault="00DB4E16" w:rsidP="00DB4E16">
            <w:pPr>
              <w:jc w:val="center"/>
              <w:rPr>
                <w:rFonts w:cs="Arial"/>
                <w:color w:val="000000" w:themeColor="text1"/>
                <w:szCs w:val="16"/>
              </w:rPr>
            </w:pPr>
            <w:r w:rsidRPr="00781112">
              <w:rPr>
                <w:rFonts w:cs="Arial"/>
                <w:color w:val="000000" w:themeColor="text1"/>
                <w:szCs w:val="16"/>
              </w:rPr>
              <w:t>Did not meet target</w:t>
            </w:r>
          </w:p>
        </w:tc>
        <w:tc>
          <w:tcPr>
            <w:tcW w:w="466" w:type="pct"/>
            <w:shd w:val="clear" w:color="auto" w:fill="auto"/>
            <w:vAlign w:val="center"/>
          </w:tcPr>
          <w:p w14:paraId="71C2BDA0" w14:textId="22F354AD" w:rsidR="00DB4E16" w:rsidRPr="00781112" w:rsidRDefault="00DB4E16" w:rsidP="00DB4E16">
            <w:pPr>
              <w:jc w:val="center"/>
              <w:rPr>
                <w:rFonts w:cs="Arial"/>
                <w:color w:val="000000" w:themeColor="text1"/>
                <w:szCs w:val="16"/>
              </w:rPr>
            </w:pPr>
            <w:r w:rsidRPr="00781112">
              <w:rPr>
                <w:rFonts w:cs="Arial"/>
                <w:color w:val="000000" w:themeColor="text1"/>
                <w:szCs w:val="16"/>
              </w:rPr>
              <w:t>N/A</w:t>
            </w:r>
          </w:p>
        </w:tc>
      </w:tr>
      <w:tr w:rsidR="00396BA3" w:rsidRPr="00781112" w14:paraId="7455692E" w14:textId="77777777" w:rsidTr="0047313F">
        <w:tc>
          <w:tcPr>
            <w:tcW w:w="355" w:type="pct"/>
            <w:shd w:val="clear" w:color="auto" w:fill="auto"/>
            <w:vAlign w:val="center"/>
          </w:tcPr>
          <w:p w14:paraId="1007F433" w14:textId="77777777" w:rsidR="00892DD7" w:rsidRPr="00781112" w:rsidRDefault="00892DD7" w:rsidP="00892DD7">
            <w:pPr>
              <w:pStyle w:val="Default"/>
              <w:jc w:val="center"/>
              <w:rPr>
                <w:rFonts w:eastAsiaTheme="minorHAnsi"/>
                <w:color w:val="000000" w:themeColor="text1"/>
                <w:sz w:val="16"/>
                <w:szCs w:val="16"/>
              </w:rPr>
            </w:pPr>
            <w:r w:rsidRPr="00781112">
              <w:rPr>
                <w:b/>
                <w:color w:val="000000" w:themeColor="text1"/>
                <w:sz w:val="16"/>
                <w:szCs w:val="16"/>
              </w:rPr>
              <w:t>C</w:t>
            </w:r>
          </w:p>
        </w:tc>
        <w:tc>
          <w:tcPr>
            <w:tcW w:w="475" w:type="pct"/>
            <w:shd w:val="clear" w:color="auto" w:fill="auto"/>
            <w:vAlign w:val="center"/>
          </w:tcPr>
          <w:p w14:paraId="1C2FF689" w14:textId="7B5617BF" w:rsidR="00892DD7" w:rsidRPr="00781112" w:rsidDel="00DE5045" w:rsidRDefault="00892DD7" w:rsidP="00892DD7">
            <w:pPr>
              <w:jc w:val="center"/>
              <w:rPr>
                <w:rFonts w:cs="Arial"/>
                <w:color w:val="000000" w:themeColor="text1"/>
                <w:szCs w:val="16"/>
              </w:rPr>
            </w:pPr>
            <w:r w:rsidRPr="00781112">
              <w:rPr>
                <w:rFonts w:cs="Arial"/>
                <w:color w:val="000000" w:themeColor="text1"/>
                <w:szCs w:val="16"/>
              </w:rPr>
              <w:t>Grade HS</w:t>
            </w:r>
          </w:p>
        </w:tc>
        <w:tc>
          <w:tcPr>
            <w:tcW w:w="918" w:type="pct"/>
            <w:shd w:val="clear" w:color="auto" w:fill="auto"/>
            <w:vAlign w:val="center"/>
          </w:tcPr>
          <w:p w14:paraId="7711AD79" w14:textId="30D9E4B6" w:rsidR="00892DD7" w:rsidRPr="00781112" w:rsidRDefault="00892DD7" w:rsidP="00892DD7">
            <w:pPr>
              <w:jc w:val="center"/>
              <w:rPr>
                <w:rFonts w:cs="Arial"/>
                <w:color w:val="000000" w:themeColor="text1"/>
                <w:szCs w:val="16"/>
              </w:rPr>
            </w:pPr>
            <w:r w:rsidRPr="00781112">
              <w:rPr>
                <w:rFonts w:cs="Arial"/>
                <w:color w:val="000000"/>
                <w:szCs w:val="16"/>
              </w:rPr>
              <w:t>4,574</w:t>
            </w:r>
          </w:p>
        </w:tc>
        <w:tc>
          <w:tcPr>
            <w:tcW w:w="918" w:type="pct"/>
            <w:shd w:val="clear" w:color="auto" w:fill="auto"/>
            <w:vAlign w:val="center"/>
          </w:tcPr>
          <w:p w14:paraId="7C38F4A3" w14:textId="3227EA5E" w:rsidR="00892DD7" w:rsidRPr="00781112" w:rsidRDefault="00892DD7" w:rsidP="00892DD7">
            <w:pPr>
              <w:jc w:val="center"/>
              <w:rPr>
                <w:rFonts w:cs="Arial"/>
                <w:color w:val="000000" w:themeColor="text1"/>
                <w:szCs w:val="16"/>
              </w:rPr>
            </w:pPr>
            <w:r w:rsidRPr="00781112">
              <w:rPr>
                <w:rFonts w:cs="Arial"/>
                <w:color w:val="000000" w:themeColor="text1"/>
                <w:szCs w:val="16"/>
              </w:rPr>
              <w:t>5,891</w:t>
            </w:r>
          </w:p>
        </w:tc>
        <w:tc>
          <w:tcPr>
            <w:tcW w:w="466" w:type="pct"/>
            <w:shd w:val="clear" w:color="auto" w:fill="auto"/>
            <w:vAlign w:val="center"/>
          </w:tcPr>
          <w:p w14:paraId="300E10D2" w14:textId="5FE5073B" w:rsidR="00892DD7" w:rsidRPr="00781112" w:rsidRDefault="00892DD7" w:rsidP="00892DD7">
            <w:pPr>
              <w:jc w:val="center"/>
              <w:rPr>
                <w:rFonts w:cs="Arial"/>
                <w:color w:val="000000" w:themeColor="text1"/>
                <w:szCs w:val="16"/>
              </w:rPr>
            </w:pPr>
            <w:r w:rsidRPr="00781112">
              <w:rPr>
                <w:rFonts w:cs="Arial"/>
                <w:color w:val="000000" w:themeColor="text1"/>
                <w:szCs w:val="16"/>
              </w:rPr>
              <w:t>68.40%</w:t>
            </w:r>
          </w:p>
        </w:tc>
        <w:tc>
          <w:tcPr>
            <w:tcW w:w="467" w:type="pct"/>
            <w:shd w:val="clear" w:color="auto" w:fill="auto"/>
            <w:vAlign w:val="center"/>
          </w:tcPr>
          <w:p w14:paraId="26A808A8" w14:textId="46CE5D7C" w:rsidR="00892DD7" w:rsidRPr="00781112" w:rsidRDefault="00892DD7" w:rsidP="00892DD7">
            <w:pPr>
              <w:jc w:val="center"/>
              <w:rPr>
                <w:rFonts w:cs="Arial"/>
                <w:color w:val="000000" w:themeColor="text1"/>
                <w:szCs w:val="16"/>
              </w:rPr>
            </w:pPr>
            <w:r w:rsidRPr="00781112">
              <w:rPr>
                <w:rFonts w:cs="Arial"/>
                <w:color w:val="000000" w:themeColor="text1"/>
                <w:szCs w:val="16"/>
              </w:rPr>
              <w:t>95.00%</w:t>
            </w:r>
          </w:p>
        </w:tc>
        <w:tc>
          <w:tcPr>
            <w:tcW w:w="467" w:type="pct"/>
            <w:shd w:val="clear" w:color="auto" w:fill="auto"/>
            <w:vAlign w:val="center"/>
          </w:tcPr>
          <w:p w14:paraId="1760C9A2" w14:textId="77DCB745" w:rsidR="00892DD7" w:rsidRPr="00781112" w:rsidRDefault="00892DD7" w:rsidP="00892DD7">
            <w:pPr>
              <w:jc w:val="center"/>
              <w:rPr>
                <w:rFonts w:cs="Arial"/>
                <w:color w:val="000000" w:themeColor="text1"/>
                <w:szCs w:val="16"/>
              </w:rPr>
            </w:pPr>
            <w:r w:rsidRPr="00781112">
              <w:rPr>
                <w:rFonts w:cs="Arial"/>
                <w:color w:val="000000" w:themeColor="text1"/>
                <w:szCs w:val="16"/>
              </w:rPr>
              <w:t>77.64%</w:t>
            </w:r>
          </w:p>
        </w:tc>
        <w:tc>
          <w:tcPr>
            <w:tcW w:w="467" w:type="pct"/>
            <w:shd w:val="clear" w:color="auto" w:fill="auto"/>
            <w:vAlign w:val="center"/>
          </w:tcPr>
          <w:p w14:paraId="772412F5" w14:textId="7F0E1366" w:rsidR="00892DD7" w:rsidRPr="00781112" w:rsidRDefault="00892DD7" w:rsidP="00892DD7">
            <w:pPr>
              <w:jc w:val="center"/>
              <w:rPr>
                <w:rFonts w:cs="Arial"/>
                <w:color w:val="000000" w:themeColor="text1"/>
                <w:szCs w:val="16"/>
              </w:rPr>
            </w:pPr>
            <w:r w:rsidRPr="00781112">
              <w:rPr>
                <w:rFonts w:cs="Arial"/>
                <w:color w:val="000000" w:themeColor="text1"/>
                <w:szCs w:val="16"/>
              </w:rPr>
              <w:t>Did not meet target</w:t>
            </w:r>
          </w:p>
        </w:tc>
        <w:tc>
          <w:tcPr>
            <w:tcW w:w="466" w:type="pct"/>
            <w:shd w:val="clear" w:color="auto" w:fill="auto"/>
            <w:vAlign w:val="center"/>
          </w:tcPr>
          <w:p w14:paraId="3DF8294E" w14:textId="7BA8B5E3" w:rsidR="00892DD7" w:rsidRPr="00781112" w:rsidRDefault="00892DD7" w:rsidP="00892DD7">
            <w:pPr>
              <w:jc w:val="center"/>
              <w:rPr>
                <w:rFonts w:cs="Arial"/>
                <w:color w:val="000000" w:themeColor="text1"/>
                <w:szCs w:val="16"/>
              </w:rPr>
            </w:pPr>
            <w:r w:rsidRPr="00781112">
              <w:rPr>
                <w:rFonts w:cs="Arial"/>
                <w:color w:val="000000" w:themeColor="text1"/>
                <w:szCs w:val="16"/>
              </w:rPr>
              <w:t>No Slippage</w:t>
            </w:r>
          </w:p>
        </w:tc>
      </w:tr>
    </w:tbl>
    <w:p w14:paraId="4D76CCAA" w14:textId="77777777" w:rsidR="007A7E93" w:rsidRPr="00781112" w:rsidRDefault="007A7E93">
      <w:pPr>
        <w:spacing w:before="0" w:after="200" w:line="276" w:lineRule="auto"/>
        <w:rPr>
          <w:b/>
          <w:color w:val="000000" w:themeColor="text1"/>
        </w:rPr>
      </w:pPr>
    </w:p>
    <w:p w14:paraId="68F24FCA" w14:textId="439BA8D0" w:rsidR="00F17D5E" w:rsidRPr="00781112" w:rsidRDefault="0047313F" w:rsidP="00F17D5E">
      <w:pPr>
        <w:rPr>
          <w:b/>
          <w:color w:val="000000" w:themeColor="text1"/>
        </w:rPr>
      </w:pPr>
      <w:r>
        <w:rPr>
          <w:b/>
          <w:color w:val="000000" w:themeColor="text1"/>
        </w:rPr>
        <w:t>FFY 2021 SPP/APR Data: Math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AFFYAPDATAMTH"/>
      </w:tblPr>
      <w:tblGrid>
        <w:gridCol w:w="715"/>
        <w:gridCol w:w="1080"/>
        <w:gridCol w:w="1982"/>
        <w:gridCol w:w="1960"/>
        <w:gridCol w:w="1011"/>
        <w:gridCol w:w="1010"/>
        <w:gridCol w:w="1010"/>
        <w:gridCol w:w="1010"/>
        <w:gridCol w:w="1012"/>
      </w:tblGrid>
      <w:tr w:rsidR="0047313F" w:rsidRPr="00781112" w14:paraId="681A67CD" w14:textId="77777777" w:rsidTr="00360DD6">
        <w:trPr>
          <w:tblHeader/>
        </w:trPr>
        <w:tc>
          <w:tcPr>
            <w:tcW w:w="331" w:type="pct"/>
            <w:shd w:val="clear" w:color="auto" w:fill="auto"/>
            <w:vAlign w:val="bottom"/>
          </w:tcPr>
          <w:p w14:paraId="32EBDF09" w14:textId="77777777" w:rsidR="0047313F" w:rsidRPr="00781112" w:rsidRDefault="0047313F" w:rsidP="0047313F">
            <w:pPr>
              <w:jc w:val="center"/>
              <w:rPr>
                <w:b/>
                <w:color w:val="000000" w:themeColor="text1"/>
              </w:rPr>
            </w:pPr>
            <w:r w:rsidRPr="00781112">
              <w:rPr>
                <w:b/>
                <w:color w:val="000000" w:themeColor="text1"/>
              </w:rPr>
              <w:t>Group</w:t>
            </w:r>
          </w:p>
        </w:tc>
        <w:tc>
          <w:tcPr>
            <w:tcW w:w="500" w:type="pct"/>
            <w:shd w:val="clear" w:color="auto" w:fill="auto"/>
            <w:vAlign w:val="bottom"/>
          </w:tcPr>
          <w:p w14:paraId="1DD83044" w14:textId="77777777" w:rsidR="0047313F" w:rsidRPr="00781112" w:rsidRDefault="0047313F" w:rsidP="0047313F">
            <w:pPr>
              <w:jc w:val="center"/>
              <w:rPr>
                <w:b/>
                <w:color w:val="000000" w:themeColor="text1"/>
              </w:rPr>
            </w:pPr>
            <w:r w:rsidRPr="00781112">
              <w:rPr>
                <w:b/>
                <w:color w:val="000000" w:themeColor="text1"/>
              </w:rPr>
              <w:t>Group Name</w:t>
            </w:r>
          </w:p>
        </w:tc>
        <w:tc>
          <w:tcPr>
            <w:tcW w:w="918" w:type="pct"/>
            <w:shd w:val="clear" w:color="auto" w:fill="auto"/>
            <w:vAlign w:val="bottom"/>
          </w:tcPr>
          <w:p w14:paraId="09C06BEF" w14:textId="77777777" w:rsidR="0047313F" w:rsidRPr="00781112" w:rsidRDefault="0047313F" w:rsidP="0047313F">
            <w:pPr>
              <w:jc w:val="center"/>
              <w:rPr>
                <w:b/>
                <w:color w:val="000000" w:themeColor="text1"/>
              </w:rPr>
            </w:pPr>
            <w:r w:rsidRPr="00781112">
              <w:rPr>
                <w:b/>
                <w:color w:val="000000" w:themeColor="text1"/>
              </w:rPr>
              <w:t>Number of Children with IEPs Participating</w:t>
            </w:r>
          </w:p>
        </w:tc>
        <w:tc>
          <w:tcPr>
            <w:tcW w:w="908" w:type="pct"/>
            <w:shd w:val="clear" w:color="auto" w:fill="auto"/>
            <w:vAlign w:val="bottom"/>
          </w:tcPr>
          <w:p w14:paraId="35F97163" w14:textId="77777777" w:rsidR="0047313F" w:rsidRPr="00781112" w:rsidRDefault="0047313F" w:rsidP="0047313F">
            <w:pPr>
              <w:jc w:val="center"/>
              <w:rPr>
                <w:b/>
                <w:color w:val="000000" w:themeColor="text1"/>
              </w:rPr>
            </w:pPr>
            <w:r w:rsidRPr="00781112">
              <w:rPr>
                <w:b/>
                <w:color w:val="000000" w:themeColor="text1"/>
              </w:rPr>
              <w:t>Number of Children with IEPs</w:t>
            </w:r>
          </w:p>
        </w:tc>
        <w:tc>
          <w:tcPr>
            <w:tcW w:w="468" w:type="pct"/>
            <w:shd w:val="clear" w:color="auto" w:fill="auto"/>
            <w:vAlign w:val="bottom"/>
          </w:tcPr>
          <w:p w14:paraId="3D7FBA55" w14:textId="45A816FE" w:rsidR="0047313F" w:rsidRPr="00073BD7" w:rsidRDefault="0047313F" w:rsidP="0047313F">
            <w:pPr>
              <w:jc w:val="center"/>
              <w:rPr>
                <w:b/>
                <w:bCs/>
                <w:color w:val="000000" w:themeColor="text1"/>
              </w:rPr>
            </w:pPr>
            <w:r w:rsidRPr="00073BD7">
              <w:rPr>
                <w:b/>
                <w:bCs/>
              </w:rPr>
              <w:t>FFY 2020 Data</w:t>
            </w:r>
          </w:p>
        </w:tc>
        <w:tc>
          <w:tcPr>
            <w:tcW w:w="468" w:type="pct"/>
            <w:shd w:val="clear" w:color="auto" w:fill="auto"/>
            <w:vAlign w:val="bottom"/>
          </w:tcPr>
          <w:p w14:paraId="681C20C6" w14:textId="5C86E989" w:rsidR="0047313F" w:rsidRPr="00073BD7" w:rsidRDefault="0047313F" w:rsidP="0047313F">
            <w:pPr>
              <w:jc w:val="center"/>
              <w:rPr>
                <w:b/>
                <w:bCs/>
                <w:color w:val="000000" w:themeColor="text1"/>
              </w:rPr>
            </w:pPr>
            <w:r w:rsidRPr="00073BD7">
              <w:rPr>
                <w:b/>
                <w:bCs/>
              </w:rPr>
              <w:t>FFY 2021 Target</w:t>
            </w:r>
          </w:p>
        </w:tc>
        <w:tc>
          <w:tcPr>
            <w:tcW w:w="468" w:type="pct"/>
            <w:shd w:val="clear" w:color="auto" w:fill="auto"/>
            <w:vAlign w:val="bottom"/>
          </w:tcPr>
          <w:p w14:paraId="1A223A3A" w14:textId="3EBA0FC0" w:rsidR="0047313F" w:rsidRPr="00073BD7" w:rsidRDefault="0047313F" w:rsidP="0047313F">
            <w:pPr>
              <w:jc w:val="center"/>
              <w:rPr>
                <w:b/>
                <w:bCs/>
                <w:color w:val="000000" w:themeColor="text1"/>
              </w:rPr>
            </w:pPr>
            <w:r w:rsidRPr="00073BD7">
              <w:rPr>
                <w:b/>
                <w:bCs/>
              </w:rPr>
              <w:t>FFY 2021 Data</w:t>
            </w:r>
          </w:p>
        </w:tc>
        <w:tc>
          <w:tcPr>
            <w:tcW w:w="468" w:type="pct"/>
            <w:shd w:val="clear" w:color="auto" w:fill="auto"/>
            <w:vAlign w:val="bottom"/>
          </w:tcPr>
          <w:p w14:paraId="2E2084EF" w14:textId="77777777" w:rsidR="0047313F" w:rsidRPr="00781112" w:rsidRDefault="0047313F" w:rsidP="0047313F">
            <w:pPr>
              <w:jc w:val="center"/>
              <w:rPr>
                <w:b/>
                <w:color w:val="000000" w:themeColor="text1"/>
              </w:rPr>
            </w:pPr>
            <w:r w:rsidRPr="00781112">
              <w:rPr>
                <w:b/>
                <w:color w:val="000000" w:themeColor="text1"/>
              </w:rPr>
              <w:t>Status</w:t>
            </w:r>
          </w:p>
        </w:tc>
        <w:tc>
          <w:tcPr>
            <w:tcW w:w="469" w:type="pct"/>
            <w:shd w:val="clear" w:color="auto" w:fill="auto"/>
            <w:vAlign w:val="bottom"/>
          </w:tcPr>
          <w:p w14:paraId="309891B4" w14:textId="77777777" w:rsidR="0047313F" w:rsidRPr="00781112" w:rsidRDefault="0047313F" w:rsidP="0047313F">
            <w:pPr>
              <w:jc w:val="center"/>
              <w:rPr>
                <w:b/>
                <w:color w:val="000000" w:themeColor="text1"/>
              </w:rPr>
            </w:pPr>
            <w:r w:rsidRPr="00781112">
              <w:rPr>
                <w:b/>
                <w:color w:val="000000" w:themeColor="text1"/>
              </w:rPr>
              <w:t>Slippage</w:t>
            </w:r>
          </w:p>
        </w:tc>
      </w:tr>
      <w:tr w:rsidR="00DB4E16" w:rsidRPr="00781112" w14:paraId="1BDE8C09" w14:textId="77777777" w:rsidTr="00DB4E16">
        <w:tc>
          <w:tcPr>
            <w:tcW w:w="331" w:type="pct"/>
            <w:shd w:val="clear" w:color="auto" w:fill="auto"/>
            <w:vAlign w:val="center"/>
          </w:tcPr>
          <w:p w14:paraId="580D1344" w14:textId="77777777" w:rsidR="00DB4E16" w:rsidRPr="00781112" w:rsidRDefault="00DB4E16" w:rsidP="00DB4E16">
            <w:pPr>
              <w:pStyle w:val="Default"/>
              <w:jc w:val="center"/>
              <w:rPr>
                <w:rFonts w:eastAsiaTheme="minorHAnsi"/>
                <w:color w:val="000000" w:themeColor="text1"/>
                <w:sz w:val="16"/>
                <w:szCs w:val="16"/>
              </w:rPr>
            </w:pPr>
            <w:r w:rsidRPr="00781112">
              <w:rPr>
                <w:b/>
                <w:color w:val="000000" w:themeColor="text1"/>
                <w:sz w:val="16"/>
                <w:szCs w:val="16"/>
              </w:rPr>
              <w:t>A</w:t>
            </w:r>
          </w:p>
        </w:tc>
        <w:tc>
          <w:tcPr>
            <w:tcW w:w="500" w:type="pct"/>
            <w:shd w:val="clear" w:color="auto" w:fill="auto"/>
            <w:vAlign w:val="center"/>
          </w:tcPr>
          <w:p w14:paraId="08A8F1D8" w14:textId="4D1DB180" w:rsidR="00DB4E16" w:rsidRPr="00781112" w:rsidDel="00DE5045" w:rsidRDefault="00DB4E16" w:rsidP="00DB4E16">
            <w:pPr>
              <w:jc w:val="center"/>
              <w:rPr>
                <w:rFonts w:cs="Arial"/>
                <w:color w:val="000000" w:themeColor="text1"/>
                <w:szCs w:val="16"/>
              </w:rPr>
            </w:pPr>
            <w:r w:rsidRPr="00781112">
              <w:rPr>
                <w:rFonts w:cs="Arial"/>
                <w:color w:val="000000" w:themeColor="text1"/>
                <w:szCs w:val="16"/>
              </w:rPr>
              <w:t>Grade 4</w:t>
            </w:r>
          </w:p>
        </w:tc>
        <w:tc>
          <w:tcPr>
            <w:tcW w:w="918" w:type="pct"/>
            <w:shd w:val="clear" w:color="auto" w:fill="auto"/>
            <w:vAlign w:val="center"/>
          </w:tcPr>
          <w:p w14:paraId="5452B2A6" w14:textId="5EC73ECB" w:rsidR="00DB4E16" w:rsidRPr="00781112" w:rsidRDefault="00DB4E16" w:rsidP="00DB4E16">
            <w:pPr>
              <w:jc w:val="center"/>
              <w:rPr>
                <w:rFonts w:cs="Arial"/>
                <w:color w:val="000000" w:themeColor="text1"/>
                <w:szCs w:val="16"/>
              </w:rPr>
            </w:pPr>
            <w:r w:rsidRPr="002C69C7">
              <w:rPr>
                <w:rFonts w:cs="Arial"/>
                <w:color w:val="000000" w:themeColor="text1"/>
                <w:szCs w:val="16"/>
              </w:rPr>
              <w:t>*</w:t>
            </w:r>
            <w:r w:rsidRPr="002C69C7">
              <w:rPr>
                <w:rFonts w:cs="Arial"/>
                <w:color w:val="000000" w:themeColor="text1"/>
                <w:szCs w:val="16"/>
              </w:rPr>
              <w:fldChar w:fldCharType="begin"/>
            </w:r>
            <w:r w:rsidRPr="002C69C7">
              <w:rPr>
                <w:rFonts w:cs="Arial"/>
                <w:color w:val="000000" w:themeColor="text1"/>
                <w:szCs w:val="16"/>
              </w:rPr>
              <w:instrText xml:space="preserve"> NOTEREF _Ref141818830 \f \h </w:instrText>
            </w:r>
            <w:r>
              <w:rPr>
                <w:rFonts w:cs="Arial"/>
                <w:color w:val="000000" w:themeColor="text1"/>
                <w:szCs w:val="16"/>
              </w:rPr>
              <w:instrText xml:space="preserve"> \* MERGEFORMAT </w:instrText>
            </w:r>
            <w:r w:rsidRPr="002C69C7">
              <w:rPr>
                <w:rFonts w:cs="Arial"/>
                <w:color w:val="000000" w:themeColor="text1"/>
                <w:szCs w:val="16"/>
              </w:rPr>
            </w:r>
            <w:r w:rsidRPr="002C69C7">
              <w:rPr>
                <w:rFonts w:cs="Arial"/>
                <w:color w:val="000000" w:themeColor="text1"/>
                <w:szCs w:val="16"/>
              </w:rPr>
              <w:fldChar w:fldCharType="separate"/>
            </w:r>
            <w:r w:rsidRPr="002C69C7">
              <w:rPr>
                <w:rStyle w:val="FootnoteReference"/>
              </w:rPr>
              <w:t>3</w:t>
            </w:r>
            <w:r w:rsidRPr="002C69C7">
              <w:rPr>
                <w:rFonts w:cs="Arial"/>
                <w:color w:val="000000" w:themeColor="text1"/>
                <w:szCs w:val="16"/>
              </w:rPr>
              <w:fldChar w:fldCharType="end"/>
            </w:r>
          </w:p>
        </w:tc>
        <w:tc>
          <w:tcPr>
            <w:tcW w:w="908" w:type="pct"/>
            <w:shd w:val="clear" w:color="auto" w:fill="auto"/>
            <w:vAlign w:val="center"/>
          </w:tcPr>
          <w:p w14:paraId="039C7994" w14:textId="2DE6684B" w:rsidR="00DB4E16" w:rsidRPr="00781112" w:rsidRDefault="00DB4E16" w:rsidP="00DB4E16">
            <w:pPr>
              <w:jc w:val="center"/>
              <w:rPr>
                <w:rFonts w:cs="Arial"/>
                <w:color w:val="000000" w:themeColor="text1"/>
                <w:szCs w:val="16"/>
              </w:rPr>
            </w:pPr>
            <w:r w:rsidRPr="002C69C7">
              <w:rPr>
                <w:rFonts w:cs="Arial"/>
                <w:color w:val="000000" w:themeColor="text1"/>
                <w:szCs w:val="16"/>
              </w:rPr>
              <w:t>*</w:t>
            </w:r>
            <w:r w:rsidRPr="002C69C7">
              <w:rPr>
                <w:rFonts w:cs="Arial"/>
                <w:color w:val="000000" w:themeColor="text1"/>
                <w:szCs w:val="16"/>
              </w:rPr>
              <w:fldChar w:fldCharType="begin"/>
            </w:r>
            <w:r w:rsidRPr="002C69C7">
              <w:rPr>
                <w:rFonts w:cs="Arial"/>
                <w:color w:val="000000" w:themeColor="text1"/>
                <w:szCs w:val="16"/>
              </w:rPr>
              <w:instrText xml:space="preserve"> NOTEREF _Ref141818830 \f \h </w:instrText>
            </w:r>
            <w:r>
              <w:rPr>
                <w:rFonts w:cs="Arial"/>
                <w:color w:val="000000" w:themeColor="text1"/>
                <w:szCs w:val="16"/>
              </w:rPr>
              <w:instrText xml:space="preserve"> \* MERGEFORMAT </w:instrText>
            </w:r>
            <w:r w:rsidRPr="002C69C7">
              <w:rPr>
                <w:rFonts w:cs="Arial"/>
                <w:color w:val="000000" w:themeColor="text1"/>
                <w:szCs w:val="16"/>
              </w:rPr>
            </w:r>
            <w:r w:rsidRPr="002C69C7">
              <w:rPr>
                <w:rFonts w:cs="Arial"/>
                <w:color w:val="000000" w:themeColor="text1"/>
                <w:szCs w:val="16"/>
              </w:rPr>
              <w:fldChar w:fldCharType="separate"/>
            </w:r>
            <w:r w:rsidRPr="002C69C7">
              <w:rPr>
                <w:rStyle w:val="FootnoteReference"/>
              </w:rPr>
              <w:t>3</w:t>
            </w:r>
            <w:r w:rsidRPr="002C69C7">
              <w:rPr>
                <w:rFonts w:cs="Arial"/>
                <w:color w:val="000000" w:themeColor="text1"/>
                <w:szCs w:val="16"/>
              </w:rPr>
              <w:fldChar w:fldCharType="end"/>
            </w:r>
          </w:p>
        </w:tc>
        <w:tc>
          <w:tcPr>
            <w:tcW w:w="468" w:type="pct"/>
            <w:shd w:val="clear" w:color="auto" w:fill="auto"/>
            <w:vAlign w:val="center"/>
          </w:tcPr>
          <w:p w14:paraId="24F0CC21" w14:textId="70B062C4" w:rsidR="00DB4E16" w:rsidRPr="00781112" w:rsidRDefault="00DB4E16" w:rsidP="00DB4E16">
            <w:pPr>
              <w:jc w:val="center"/>
              <w:rPr>
                <w:rFonts w:cs="Arial"/>
                <w:color w:val="000000" w:themeColor="text1"/>
                <w:szCs w:val="16"/>
              </w:rPr>
            </w:pPr>
            <w:r w:rsidRPr="00781112">
              <w:rPr>
                <w:rFonts w:cs="Arial"/>
                <w:color w:val="000000" w:themeColor="text1"/>
                <w:szCs w:val="16"/>
              </w:rPr>
              <w:t>90.21%</w:t>
            </w:r>
          </w:p>
        </w:tc>
        <w:tc>
          <w:tcPr>
            <w:tcW w:w="468" w:type="pct"/>
            <w:shd w:val="clear" w:color="auto" w:fill="auto"/>
            <w:vAlign w:val="center"/>
          </w:tcPr>
          <w:p w14:paraId="44D3CBA8" w14:textId="716B8037" w:rsidR="00DB4E16" w:rsidRPr="00781112" w:rsidRDefault="00DB4E16" w:rsidP="00DB4E16">
            <w:pPr>
              <w:jc w:val="center"/>
              <w:rPr>
                <w:rFonts w:cs="Arial"/>
                <w:color w:val="000000" w:themeColor="text1"/>
                <w:szCs w:val="16"/>
              </w:rPr>
            </w:pPr>
            <w:r w:rsidRPr="00781112">
              <w:rPr>
                <w:rFonts w:cs="Arial"/>
                <w:color w:val="000000" w:themeColor="text1"/>
                <w:szCs w:val="16"/>
              </w:rPr>
              <w:t>95.00%</w:t>
            </w:r>
          </w:p>
        </w:tc>
        <w:tc>
          <w:tcPr>
            <w:tcW w:w="468" w:type="pct"/>
            <w:shd w:val="clear" w:color="auto" w:fill="auto"/>
            <w:vAlign w:val="center"/>
          </w:tcPr>
          <w:p w14:paraId="0C38B251" w14:textId="7B3BBF76" w:rsidR="00DB4E16" w:rsidRPr="00781112" w:rsidRDefault="00DB4E16" w:rsidP="00DB4E16">
            <w:pPr>
              <w:jc w:val="center"/>
              <w:rPr>
                <w:rFonts w:cs="Arial"/>
                <w:color w:val="000000" w:themeColor="text1"/>
                <w:szCs w:val="16"/>
              </w:rPr>
            </w:pPr>
            <w:r w:rsidRPr="00843036">
              <w:rPr>
                <w:rFonts w:cs="Arial"/>
                <w:color w:val="000000" w:themeColor="text1"/>
                <w:szCs w:val="16"/>
              </w:rPr>
              <w:t>*</w:t>
            </w:r>
            <w:r w:rsidRPr="00843036">
              <w:rPr>
                <w:rFonts w:cs="Arial"/>
                <w:color w:val="000000" w:themeColor="text1"/>
                <w:szCs w:val="16"/>
              </w:rPr>
              <w:fldChar w:fldCharType="begin"/>
            </w:r>
            <w:r w:rsidRPr="00843036">
              <w:rPr>
                <w:rFonts w:cs="Arial"/>
                <w:color w:val="000000" w:themeColor="text1"/>
                <w:szCs w:val="16"/>
              </w:rPr>
              <w:instrText xml:space="preserve"> NOTEREF _Ref141818830 \f \h </w:instrText>
            </w:r>
            <w:r>
              <w:rPr>
                <w:rFonts w:cs="Arial"/>
                <w:color w:val="000000" w:themeColor="text1"/>
                <w:szCs w:val="16"/>
              </w:rPr>
              <w:instrText xml:space="preserve"> \* MERGEFORMAT </w:instrText>
            </w:r>
            <w:r w:rsidRPr="00843036">
              <w:rPr>
                <w:rFonts w:cs="Arial"/>
                <w:color w:val="000000" w:themeColor="text1"/>
                <w:szCs w:val="16"/>
              </w:rPr>
            </w:r>
            <w:r w:rsidRPr="00843036">
              <w:rPr>
                <w:rFonts w:cs="Arial"/>
                <w:color w:val="000000" w:themeColor="text1"/>
                <w:szCs w:val="16"/>
              </w:rPr>
              <w:fldChar w:fldCharType="separate"/>
            </w:r>
            <w:r w:rsidRPr="00843036">
              <w:rPr>
                <w:rStyle w:val="FootnoteReference"/>
              </w:rPr>
              <w:t>3</w:t>
            </w:r>
            <w:r w:rsidRPr="00843036">
              <w:rPr>
                <w:rFonts w:cs="Arial"/>
                <w:color w:val="000000" w:themeColor="text1"/>
                <w:szCs w:val="16"/>
              </w:rPr>
              <w:fldChar w:fldCharType="end"/>
            </w:r>
          </w:p>
        </w:tc>
        <w:tc>
          <w:tcPr>
            <w:tcW w:w="468" w:type="pct"/>
            <w:shd w:val="clear" w:color="auto" w:fill="auto"/>
            <w:vAlign w:val="center"/>
          </w:tcPr>
          <w:p w14:paraId="761D8F6F" w14:textId="46B9913C" w:rsidR="00DB4E16" w:rsidRPr="00781112" w:rsidRDefault="00DB4E16" w:rsidP="00DB4E16">
            <w:pPr>
              <w:jc w:val="center"/>
              <w:rPr>
                <w:rFonts w:cs="Arial"/>
                <w:color w:val="000000" w:themeColor="text1"/>
                <w:szCs w:val="16"/>
              </w:rPr>
            </w:pPr>
            <w:r w:rsidRPr="00781112">
              <w:rPr>
                <w:rFonts w:cs="Arial"/>
                <w:color w:val="000000" w:themeColor="text1"/>
                <w:szCs w:val="16"/>
              </w:rPr>
              <w:t>Did not meet target</w:t>
            </w:r>
          </w:p>
        </w:tc>
        <w:tc>
          <w:tcPr>
            <w:tcW w:w="469" w:type="pct"/>
            <w:shd w:val="clear" w:color="auto" w:fill="auto"/>
            <w:vAlign w:val="center"/>
          </w:tcPr>
          <w:p w14:paraId="67149680" w14:textId="213ADF64" w:rsidR="00DB4E16" w:rsidRPr="00781112" w:rsidRDefault="00DB4E16" w:rsidP="00DB4E16">
            <w:pPr>
              <w:jc w:val="center"/>
              <w:rPr>
                <w:rFonts w:cs="Arial"/>
                <w:color w:val="000000" w:themeColor="text1"/>
                <w:szCs w:val="16"/>
              </w:rPr>
            </w:pPr>
            <w:r w:rsidRPr="00781112">
              <w:rPr>
                <w:rFonts w:cs="Arial"/>
                <w:color w:val="000000" w:themeColor="text1"/>
                <w:szCs w:val="16"/>
              </w:rPr>
              <w:t>N/A</w:t>
            </w:r>
          </w:p>
        </w:tc>
      </w:tr>
      <w:tr w:rsidR="00DB4E16" w:rsidRPr="00781112" w14:paraId="1922D3D8" w14:textId="77777777" w:rsidTr="00DB4E16">
        <w:tc>
          <w:tcPr>
            <w:tcW w:w="331" w:type="pct"/>
            <w:shd w:val="clear" w:color="auto" w:fill="auto"/>
            <w:vAlign w:val="center"/>
          </w:tcPr>
          <w:p w14:paraId="43AEFF73" w14:textId="77777777" w:rsidR="00DB4E16" w:rsidRPr="00781112" w:rsidRDefault="00DB4E16" w:rsidP="00DB4E16">
            <w:pPr>
              <w:pStyle w:val="Default"/>
              <w:jc w:val="center"/>
              <w:rPr>
                <w:rFonts w:eastAsiaTheme="minorHAnsi"/>
                <w:color w:val="000000" w:themeColor="text1"/>
                <w:sz w:val="16"/>
                <w:szCs w:val="16"/>
              </w:rPr>
            </w:pPr>
            <w:r w:rsidRPr="00781112">
              <w:rPr>
                <w:b/>
                <w:color w:val="000000" w:themeColor="text1"/>
                <w:sz w:val="16"/>
                <w:szCs w:val="16"/>
              </w:rPr>
              <w:t>B</w:t>
            </w:r>
          </w:p>
        </w:tc>
        <w:tc>
          <w:tcPr>
            <w:tcW w:w="500" w:type="pct"/>
            <w:shd w:val="clear" w:color="auto" w:fill="auto"/>
            <w:vAlign w:val="center"/>
          </w:tcPr>
          <w:p w14:paraId="2B8AB1E0" w14:textId="3F093CFB" w:rsidR="00DB4E16" w:rsidRPr="00781112" w:rsidDel="00DE5045" w:rsidRDefault="00DB4E16" w:rsidP="00DB4E16">
            <w:pPr>
              <w:jc w:val="center"/>
              <w:rPr>
                <w:rFonts w:cs="Arial"/>
                <w:color w:val="000000" w:themeColor="text1"/>
                <w:szCs w:val="16"/>
              </w:rPr>
            </w:pPr>
            <w:r w:rsidRPr="00781112">
              <w:rPr>
                <w:rFonts w:cs="Arial"/>
                <w:color w:val="000000" w:themeColor="text1"/>
                <w:szCs w:val="16"/>
              </w:rPr>
              <w:t>Grade 8</w:t>
            </w:r>
          </w:p>
        </w:tc>
        <w:tc>
          <w:tcPr>
            <w:tcW w:w="918" w:type="pct"/>
            <w:shd w:val="clear" w:color="auto" w:fill="auto"/>
            <w:vAlign w:val="center"/>
          </w:tcPr>
          <w:p w14:paraId="02D6A2B7" w14:textId="3E2D173D" w:rsidR="00DB4E16" w:rsidRPr="00781112" w:rsidRDefault="00DB4E16" w:rsidP="00DB4E16">
            <w:pPr>
              <w:jc w:val="center"/>
              <w:rPr>
                <w:rFonts w:cs="Arial"/>
                <w:color w:val="000000" w:themeColor="text1"/>
                <w:szCs w:val="16"/>
              </w:rPr>
            </w:pPr>
            <w:r w:rsidRPr="002C69C7">
              <w:rPr>
                <w:rFonts w:cs="Arial"/>
                <w:color w:val="000000" w:themeColor="text1"/>
                <w:szCs w:val="16"/>
              </w:rPr>
              <w:t>*</w:t>
            </w:r>
            <w:r w:rsidRPr="002C69C7">
              <w:rPr>
                <w:rFonts w:cs="Arial"/>
                <w:color w:val="000000" w:themeColor="text1"/>
                <w:szCs w:val="16"/>
              </w:rPr>
              <w:fldChar w:fldCharType="begin"/>
            </w:r>
            <w:r w:rsidRPr="002C69C7">
              <w:rPr>
                <w:rFonts w:cs="Arial"/>
                <w:color w:val="000000" w:themeColor="text1"/>
                <w:szCs w:val="16"/>
              </w:rPr>
              <w:instrText xml:space="preserve"> NOTEREF _Ref141818830 \f \h </w:instrText>
            </w:r>
            <w:r>
              <w:rPr>
                <w:rFonts w:cs="Arial"/>
                <w:color w:val="000000" w:themeColor="text1"/>
                <w:szCs w:val="16"/>
              </w:rPr>
              <w:instrText xml:space="preserve"> \* MERGEFORMAT </w:instrText>
            </w:r>
            <w:r w:rsidRPr="002C69C7">
              <w:rPr>
                <w:rFonts w:cs="Arial"/>
                <w:color w:val="000000" w:themeColor="text1"/>
                <w:szCs w:val="16"/>
              </w:rPr>
            </w:r>
            <w:r w:rsidRPr="002C69C7">
              <w:rPr>
                <w:rFonts w:cs="Arial"/>
                <w:color w:val="000000" w:themeColor="text1"/>
                <w:szCs w:val="16"/>
              </w:rPr>
              <w:fldChar w:fldCharType="separate"/>
            </w:r>
            <w:r w:rsidRPr="002C69C7">
              <w:rPr>
                <w:rStyle w:val="FootnoteReference"/>
              </w:rPr>
              <w:t>3</w:t>
            </w:r>
            <w:r w:rsidRPr="002C69C7">
              <w:rPr>
                <w:rFonts w:cs="Arial"/>
                <w:color w:val="000000" w:themeColor="text1"/>
                <w:szCs w:val="16"/>
              </w:rPr>
              <w:fldChar w:fldCharType="end"/>
            </w:r>
          </w:p>
        </w:tc>
        <w:tc>
          <w:tcPr>
            <w:tcW w:w="908" w:type="pct"/>
            <w:shd w:val="clear" w:color="auto" w:fill="auto"/>
            <w:vAlign w:val="center"/>
          </w:tcPr>
          <w:p w14:paraId="7F2CECC4" w14:textId="62E16549" w:rsidR="00DB4E16" w:rsidRPr="00781112" w:rsidRDefault="00DB4E16" w:rsidP="00DB4E16">
            <w:pPr>
              <w:jc w:val="center"/>
              <w:rPr>
                <w:rFonts w:cs="Arial"/>
                <w:color w:val="000000" w:themeColor="text1"/>
                <w:szCs w:val="16"/>
              </w:rPr>
            </w:pPr>
            <w:r w:rsidRPr="002C69C7">
              <w:rPr>
                <w:rFonts w:cs="Arial"/>
                <w:color w:val="000000" w:themeColor="text1"/>
                <w:szCs w:val="16"/>
              </w:rPr>
              <w:t>*</w:t>
            </w:r>
            <w:r w:rsidRPr="002C69C7">
              <w:rPr>
                <w:rFonts w:cs="Arial"/>
                <w:color w:val="000000" w:themeColor="text1"/>
                <w:szCs w:val="16"/>
              </w:rPr>
              <w:fldChar w:fldCharType="begin"/>
            </w:r>
            <w:r w:rsidRPr="002C69C7">
              <w:rPr>
                <w:rFonts w:cs="Arial"/>
                <w:color w:val="000000" w:themeColor="text1"/>
                <w:szCs w:val="16"/>
              </w:rPr>
              <w:instrText xml:space="preserve"> NOTEREF _Ref141818830 \f \h </w:instrText>
            </w:r>
            <w:r>
              <w:rPr>
                <w:rFonts w:cs="Arial"/>
                <w:color w:val="000000" w:themeColor="text1"/>
                <w:szCs w:val="16"/>
              </w:rPr>
              <w:instrText xml:space="preserve"> \* MERGEFORMAT </w:instrText>
            </w:r>
            <w:r w:rsidRPr="002C69C7">
              <w:rPr>
                <w:rFonts w:cs="Arial"/>
                <w:color w:val="000000" w:themeColor="text1"/>
                <w:szCs w:val="16"/>
              </w:rPr>
            </w:r>
            <w:r w:rsidRPr="002C69C7">
              <w:rPr>
                <w:rFonts w:cs="Arial"/>
                <w:color w:val="000000" w:themeColor="text1"/>
                <w:szCs w:val="16"/>
              </w:rPr>
              <w:fldChar w:fldCharType="separate"/>
            </w:r>
            <w:r w:rsidRPr="002C69C7">
              <w:rPr>
                <w:rStyle w:val="FootnoteReference"/>
              </w:rPr>
              <w:t>3</w:t>
            </w:r>
            <w:r w:rsidRPr="002C69C7">
              <w:rPr>
                <w:rFonts w:cs="Arial"/>
                <w:color w:val="000000" w:themeColor="text1"/>
                <w:szCs w:val="16"/>
              </w:rPr>
              <w:fldChar w:fldCharType="end"/>
            </w:r>
          </w:p>
        </w:tc>
        <w:tc>
          <w:tcPr>
            <w:tcW w:w="468" w:type="pct"/>
            <w:shd w:val="clear" w:color="auto" w:fill="auto"/>
            <w:vAlign w:val="center"/>
          </w:tcPr>
          <w:p w14:paraId="79841470" w14:textId="267EECAA" w:rsidR="00DB4E16" w:rsidRPr="00781112" w:rsidRDefault="00DB4E16" w:rsidP="00DB4E16">
            <w:pPr>
              <w:jc w:val="center"/>
              <w:rPr>
                <w:rFonts w:cs="Arial"/>
                <w:color w:val="000000" w:themeColor="text1"/>
                <w:szCs w:val="16"/>
              </w:rPr>
            </w:pPr>
            <w:r w:rsidRPr="00781112">
              <w:rPr>
                <w:rFonts w:cs="Arial"/>
                <w:color w:val="000000" w:themeColor="text1"/>
                <w:szCs w:val="16"/>
              </w:rPr>
              <w:t>77.45%</w:t>
            </w:r>
          </w:p>
        </w:tc>
        <w:tc>
          <w:tcPr>
            <w:tcW w:w="468" w:type="pct"/>
            <w:shd w:val="clear" w:color="auto" w:fill="auto"/>
            <w:vAlign w:val="center"/>
          </w:tcPr>
          <w:p w14:paraId="5B10F98F" w14:textId="77777777" w:rsidR="00DB4E16" w:rsidRPr="00781112" w:rsidRDefault="00DB4E16" w:rsidP="00DB4E16">
            <w:pPr>
              <w:jc w:val="center"/>
              <w:rPr>
                <w:rFonts w:cs="Arial"/>
                <w:color w:val="000000" w:themeColor="text1"/>
                <w:szCs w:val="16"/>
              </w:rPr>
            </w:pPr>
            <w:r w:rsidRPr="00781112">
              <w:rPr>
                <w:rFonts w:cs="Arial"/>
                <w:color w:val="000000" w:themeColor="text1"/>
                <w:szCs w:val="16"/>
              </w:rPr>
              <w:t>95.00%</w:t>
            </w:r>
          </w:p>
        </w:tc>
        <w:tc>
          <w:tcPr>
            <w:tcW w:w="468" w:type="pct"/>
            <w:shd w:val="clear" w:color="auto" w:fill="auto"/>
            <w:vAlign w:val="center"/>
          </w:tcPr>
          <w:p w14:paraId="3542B9F1" w14:textId="7BF79176" w:rsidR="00DB4E16" w:rsidRPr="00781112" w:rsidRDefault="00DB4E16" w:rsidP="00DB4E16">
            <w:pPr>
              <w:jc w:val="center"/>
              <w:rPr>
                <w:rFonts w:cs="Arial"/>
                <w:color w:val="000000" w:themeColor="text1"/>
                <w:szCs w:val="16"/>
              </w:rPr>
            </w:pPr>
            <w:r w:rsidRPr="00843036">
              <w:rPr>
                <w:rFonts w:cs="Arial"/>
                <w:color w:val="000000" w:themeColor="text1"/>
                <w:szCs w:val="16"/>
              </w:rPr>
              <w:t>*</w:t>
            </w:r>
            <w:r w:rsidRPr="00843036">
              <w:rPr>
                <w:rFonts w:cs="Arial"/>
                <w:color w:val="000000" w:themeColor="text1"/>
                <w:szCs w:val="16"/>
              </w:rPr>
              <w:fldChar w:fldCharType="begin"/>
            </w:r>
            <w:r w:rsidRPr="00843036">
              <w:rPr>
                <w:rFonts w:cs="Arial"/>
                <w:color w:val="000000" w:themeColor="text1"/>
                <w:szCs w:val="16"/>
              </w:rPr>
              <w:instrText xml:space="preserve"> NOTEREF _Ref141818830 \f \h </w:instrText>
            </w:r>
            <w:r>
              <w:rPr>
                <w:rFonts w:cs="Arial"/>
                <w:color w:val="000000" w:themeColor="text1"/>
                <w:szCs w:val="16"/>
              </w:rPr>
              <w:instrText xml:space="preserve"> \* MERGEFORMAT </w:instrText>
            </w:r>
            <w:r w:rsidRPr="00843036">
              <w:rPr>
                <w:rFonts w:cs="Arial"/>
                <w:color w:val="000000" w:themeColor="text1"/>
                <w:szCs w:val="16"/>
              </w:rPr>
            </w:r>
            <w:r w:rsidRPr="00843036">
              <w:rPr>
                <w:rFonts w:cs="Arial"/>
                <w:color w:val="000000" w:themeColor="text1"/>
                <w:szCs w:val="16"/>
              </w:rPr>
              <w:fldChar w:fldCharType="separate"/>
            </w:r>
            <w:r w:rsidRPr="00843036">
              <w:rPr>
                <w:rStyle w:val="FootnoteReference"/>
              </w:rPr>
              <w:t>3</w:t>
            </w:r>
            <w:r w:rsidRPr="00843036">
              <w:rPr>
                <w:rFonts w:cs="Arial"/>
                <w:color w:val="000000" w:themeColor="text1"/>
                <w:szCs w:val="16"/>
              </w:rPr>
              <w:fldChar w:fldCharType="end"/>
            </w:r>
          </w:p>
        </w:tc>
        <w:tc>
          <w:tcPr>
            <w:tcW w:w="468" w:type="pct"/>
            <w:shd w:val="clear" w:color="auto" w:fill="auto"/>
            <w:vAlign w:val="center"/>
          </w:tcPr>
          <w:p w14:paraId="5BE427F8" w14:textId="56EB7A82" w:rsidR="00DB4E16" w:rsidRPr="00781112" w:rsidRDefault="00DB4E16" w:rsidP="00DB4E16">
            <w:pPr>
              <w:jc w:val="center"/>
              <w:rPr>
                <w:rFonts w:cs="Arial"/>
                <w:color w:val="000000" w:themeColor="text1"/>
                <w:szCs w:val="16"/>
              </w:rPr>
            </w:pPr>
            <w:r w:rsidRPr="00781112">
              <w:rPr>
                <w:rFonts w:cs="Arial"/>
                <w:color w:val="000000" w:themeColor="text1"/>
                <w:szCs w:val="16"/>
              </w:rPr>
              <w:t>Did not meet target</w:t>
            </w:r>
          </w:p>
        </w:tc>
        <w:tc>
          <w:tcPr>
            <w:tcW w:w="469" w:type="pct"/>
            <w:shd w:val="clear" w:color="auto" w:fill="auto"/>
            <w:vAlign w:val="center"/>
          </w:tcPr>
          <w:p w14:paraId="5ADE31A1" w14:textId="6021CBB1" w:rsidR="00DB4E16" w:rsidRPr="00781112" w:rsidRDefault="00DB4E16" w:rsidP="00DB4E16">
            <w:pPr>
              <w:jc w:val="center"/>
              <w:rPr>
                <w:rFonts w:cs="Arial"/>
                <w:color w:val="000000" w:themeColor="text1"/>
                <w:szCs w:val="16"/>
              </w:rPr>
            </w:pPr>
            <w:r w:rsidRPr="00781112">
              <w:rPr>
                <w:rFonts w:cs="Arial"/>
                <w:color w:val="000000" w:themeColor="text1"/>
                <w:szCs w:val="16"/>
              </w:rPr>
              <w:t>N/A</w:t>
            </w:r>
          </w:p>
        </w:tc>
      </w:tr>
      <w:tr w:rsidR="00396BA3" w:rsidRPr="00781112" w14:paraId="2E1BAFB0" w14:textId="77777777" w:rsidTr="00396BA3">
        <w:tc>
          <w:tcPr>
            <w:tcW w:w="331" w:type="pct"/>
            <w:shd w:val="clear" w:color="auto" w:fill="auto"/>
            <w:vAlign w:val="center"/>
          </w:tcPr>
          <w:p w14:paraId="6825BD97" w14:textId="77777777" w:rsidR="002C43CF" w:rsidRPr="00781112" w:rsidRDefault="002C43CF" w:rsidP="002C43CF">
            <w:pPr>
              <w:pStyle w:val="Default"/>
              <w:jc w:val="center"/>
              <w:rPr>
                <w:rFonts w:eastAsiaTheme="minorHAnsi"/>
                <w:color w:val="000000" w:themeColor="text1"/>
                <w:sz w:val="16"/>
                <w:szCs w:val="16"/>
              </w:rPr>
            </w:pPr>
            <w:r w:rsidRPr="00781112">
              <w:rPr>
                <w:b/>
                <w:color w:val="000000" w:themeColor="text1"/>
                <w:sz w:val="16"/>
                <w:szCs w:val="16"/>
              </w:rPr>
              <w:lastRenderedPageBreak/>
              <w:t>C</w:t>
            </w:r>
          </w:p>
        </w:tc>
        <w:tc>
          <w:tcPr>
            <w:tcW w:w="500" w:type="pct"/>
            <w:shd w:val="clear" w:color="auto" w:fill="auto"/>
            <w:vAlign w:val="center"/>
          </w:tcPr>
          <w:p w14:paraId="0AE72592" w14:textId="0F597AAE" w:rsidR="002C43CF" w:rsidRPr="00781112" w:rsidDel="00DE5045" w:rsidRDefault="002C43CF" w:rsidP="002C43CF">
            <w:pPr>
              <w:jc w:val="center"/>
              <w:rPr>
                <w:rFonts w:cs="Arial"/>
                <w:color w:val="000000" w:themeColor="text1"/>
                <w:szCs w:val="16"/>
              </w:rPr>
            </w:pPr>
            <w:r w:rsidRPr="00781112">
              <w:rPr>
                <w:rFonts w:cs="Arial"/>
                <w:color w:val="000000" w:themeColor="text1"/>
                <w:szCs w:val="16"/>
              </w:rPr>
              <w:t>Grade HS</w:t>
            </w:r>
          </w:p>
        </w:tc>
        <w:tc>
          <w:tcPr>
            <w:tcW w:w="918" w:type="pct"/>
            <w:shd w:val="clear" w:color="auto" w:fill="auto"/>
            <w:vAlign w:val="center"/>
          </w:tcPr>
          <w:p w14:paraId="6099121A" w14:textId="18C55BFC" w:rsidR="002C43CF" w:rsidRPr="00781112" w:rsidRDefault="002C43CF" w:rsidP="002C43CF">
            <w:pPr>
              <w:jc w:val="center"/>
              <w:rPr>
                <w:rFonts w:cs="Arial"/>
                <w:color w:val="000000" w:themeColor="text1"/>
                <w:szCs w:val="16"/>
              </w:rPr>
            </w:pPr>
            <w:r w:rsidRPr="00781112">
              <w:rPr>
                <w:rFonts w:cs="Arial"/>
                <w:color w:val="000000"/>
                <w:szCs w:val="16"/>
              </w:rPr>
              <w:t>4,249</w:t>
            </w:r>
          </w:p>
        </w:tc>
        <w:tc>
          <w:tcPr>
            <w:tcW w:w="908" w:type="pct"/>
            <w:shd w:val="clear" w:color="auto" w:fill="auto"/>
            <w:vAlign w:val="center"/>
          </w:tcPr>
          <w:p w14:paraId="6B5854E5" w14:textId="06E91CB7" w:rsidR="002C43CF" w:rsidRPr="00781112" w:rsidRDefault="002C43CF" w:rsidP="002C43CF">
            <w:pPr>
              <w:jc w:val="center"/>
              <w:rPr>
                <w:rFonts w:cs="Arial"/>
                <w:color w:val="000000" w:themeColor="text1"/>
                <w:szCs w:val="16"/>
              </w:rPr>
            </w:pPr>
            <w:r w:rsidRPr="00781112">
              <w:rPr>
                <w:rFonts w:cs="Arial"/>
                <w:color w:val="000000" w:themeColor="text1"/>
                <w:szCs w:val="16"/>
              </w:rPr>
              <w:t>5,881</w:t>
            </w:r>
          </w:p>
        </w:tc>
        <w:tc>
          <w:tcPr>
            <w:tcW w:w="468" w:type="pct"/>
            <w:shd w:val="clear" w:color="auto" w:fill="auto"/>
            <w:vAlign w:val="center"/>
          </w:tcPr>
          <w:p w14:paraId="36BDD326" w14:textId="6EBA39BF" w:rsidR="002C43CF" w:rsidRPr="00781112" w:rsidRDefault="002C43CF" w:rsidP="002C43CF">
            <w:pPr>
              <w:jc w:val="center"/>
              <w:rPr>
                <w:rFonts w:cs="Arial"/>
                <w:color w:val="000000" w:themeColor="text1"/>
                <w:szCs w:val="16"/>
              </w:rPr>
            </w:pPr>
            <w:r w:rsidRPr="00781112">
              <w:rPr>
                <w:rFonts w:cs="Arial"/>
                <w:color w:val="000000" w:themeColor="text1"/>
                <w:szCs w:val="16"/>
              </w:rPr>
              <w:t>65.24%</w:t>
            </w:r>
          </w:p>
        </w:tc>
        <w:tc>
          <w:tcPr>
            <w:tcW w:w="468" w:type="pct"/>
            <w:shd w:val="clear" w:color="auto" w:fill="auto"/>
            <w:vAlign w:val="center"/>
          </w:tcPr>
          <w:p w14:paraId="2B5A1952" w14:textId="77777777" w:rsidR="002C43CF" w:rsidRPr="00781112" w:rsidRDefault="002C43CF" w:rsidP="002C43CF">
            <w:pPr>
              <w:jc w:val="center"/>
              <w:rPr>
                <w:rFonts w:cs="Arial"/>
                <w:color w:val="000000" w:themeColor="text1"/>
                <w:szCs w:val="16"/>
              </w:rPr>
            </w:pPr>
            <w:r w:rsidRPr="00781112">
              <w:rPr>
                <w:rFonts w:cs="Arial"/>
                <w:color w:val="000000" w:themeColor="text1"/>
                <w:szCs w:val="16"/>
              </w:rPr>
              <w:t>95.00%</w:t>
            </w:r>
          </w:p>
        </w:tc>
        <w:tc>
          <w:tcPr>
            <w:tcW w:w="468" w:type="pct"/>
            <w:shd w:val="clear" w:color="auto" w:fill="auto"/>
            <w:vAlign w:val="center"/>
          </w:tcPr>
          <w:p w14:paraId="3A8A2153" w14:textId="350CE279" w:rsidR="002C43CF" w:rsidRPr="00781112" w:rsidRDefault="002C43CF" w:rsidP="002C43CF">
            <w:pPr>
              <w:jc w:val="center"/>
              <w:rPr>
                <w:rFonts w:cs="Arial"/>
                <w:color w:val="000000" w:themeColor="text1"/>
                <w:szCs w:val="16"/>
              </w:rPr>
            </w:pPr>
            <w:r w:rsidRPr="00781112">
              <w:rPr>
                <w:rFonts w:cs="Arial"/>
                <w:color w:val="000000" w:themeColor="text1"/>
                <w:szCs w:val="16"/>
              </w:rPr>
              <w:t>72.25%</w:t>
            </w:r>
          </w:p>
        </w:tc>
        <w:tc>
          <w:tcPr>
            <w:tcW w:w="468" w:type="pct"/>
            <w:shd w:val="clear" w:color="auto" w:fill="auto"/>
            <w:vAlign w:val="center"/>
          </w:tcPr>
          <w:p w14:paraId="602D5261" w14:textId="54A65BCD" w:rsidR="002C43CF" w:rsidRPr="00781112" w:rsidRDefault="002C43CF" w:rsidP="002C43CF">
            <w:pPr>
              <w:jc w:val="center"/>
              <w:rPr>
                <w:rFonts w:cs="Arial"/>
                <w:color w:val="000000" w:themeColor="text1"/>
                <w:szCs w:val="16"/>
              </w:rPr>
            </w:pPr>
            <w:r w:rsidRPr="00781112">
              <w:rPr>
                <w:rFonts w:cs="Arial"/>
                <w:color w:val="000000" w:themeColor="text1"/>
                <w:szCs w:val="16"/>
              </w:rPr>
              <w:t>Did not meet target</w:t>
            </w:r>
          </w:p>
        </w:tc>
        <w:tc>
          <w:tcPr>
            <w:tcW w:w="469" w:type="pct"/>
            <w:shd w:val="clear" w:color="auto" w:fill="auto"/>
            <w:vAlign w:val="center"/>
          </w:tcPr>
          <w:p w14:paraId="45BE3C4A" w14:textId="1F06447F" w:rsidR="002C43CF" w:rsidRPr="00781112" w:rsidRDefault="002C43CF" w:rsidP="002C43CF">
            <w:pPr>
              <w:jc w:val="center"/>
              <w:rPr>
                <w:rFonts w:cs="Arial"/>
                <w:color w:val="000000" w:themeColor="text1"/>
                <w:szCs w:val="16"/>
              </w:rPr>
            </w:pPr>
            <w:r w:rsidRPr="00781112">
              <w:rPr>
                <w:rFonts w:cs="Arial"/>
                <w:color w:val="000000" w:themeColor="text1"/>
                <w:szCs w:val="16"/>
              </w:rPr>
              <w:t>No Slippage</w:t>
            </w:r>
          </w:p>
        </w:tc>
      </w:tr>
    </w:tbl>
    <w:p w14:paraId="0CDF2DF2" w14:textId="7E4745D3" w:rsidR="00F17D5E" w:rsidRPr="00781112" w:rsidRDefault="00F17D5E">
      <w:pPr>
        <w:spacing w:before="0" w:after="200" w:line="276" w:lineRule="auto"/>
        <w:rPr>
          <w:b/>
          <w:color w:val="000000" w:themeColor="text1"/>
        </w:rPr>
      </w:pPr>
    </w:p>
    <w:p w14:paraId="13A59EA6" w14:textId="77777777" w:rsidR="00A134AA" w:rsidRPr="00781112" w:rsidRDefault="00A134AA" w:rsidP="00A134AA">
      <w:pPr>
        <w:rPr>
          <w:color w:val="000000" w:themeColor="text1"/>
        </w:rPr>
      </w:pPr>
      <w:r w:rsidRPr="00781112">
        <w:rPr>
          <w:b/>
          <w:color w:val="000000" w:themeColor="text1"/>
        </w:rPr>
        <w:t>Regulatory Information</w:t>
      </w:r>
    </w:p>
    <w:p w14:paraId="53C4149B" w14:textId="77777777" w:rsidR="00A134AA" w:rsidRPr="00781112" w:rsidRDefault="00A134AA" w:rsidP="00A134AA">
      <w:pPr>
        <w:rPr>
          <w:rFonts w:cs="Arial"/>
          <w:b/>
          <w:color w:val="000000" w:themeColor="text1"/>
          <w:szCs w:val="16"/>
          <w:shd w:val="clear" w:color="auto" w:fill="FFFFFF"/>
        </w:rPr>
      </w:pPr>
      <w:r w:rsidRPr="00781112">
        <w:rPr>
          <w:rFonts w:cs="Arial"/>
          <w:b/>
          <w:color w:val="000000" w:themeColor="text1"/>
          <w:szCs w:val="16"/>
        </w:rPr>
        <w:t>The SEA, (or, in the case of a district-wide assessment, LEA) must make available to the public, and report to the public with the same frequency and in the same detail as it reports on the assessment of nondisabled children: (1) the number of children with disabilities participating in: (a) regular assessments, and the number of those children who were provided accommodations in order to participate in those assessments; and (b) alternate assessments aligned with alternate achievement standards; and (2) the performance of children with disabilities on regular assessments and on alternate assessments, compared with the achievement of all children, including children with disabilities, on those assessments. [20 U.S.C. 1412 (a)(16)(D); 34 CFR §300.160(f)]</w:t>
      </w:r>
      <w:r w:rsidRPr="00781112">
        <w:rPr>
          <w:rFonts w:cs="Arial"/>
          <w:b/>
          <w:color w:val="000000" w:themeColor="text1"/>
          <w:szCs w:val="16"/>
          <w:shd w:val="clear" w:color="auto" w:fill="FFFFFF"/>
        </w:rPr>
        <w:t xml:space="preserve"> </w:t>
      </w:r>
    </w:p>
    <w:p w14:paraId="24575108" w14:textId="77777777" w:rsidR="00A134AA" w:rsidRPr="00781112" w:rsidRDefault="00A134AA" w:rsidP="00A134AA">
      <w:pPr>
        <w:rPr>
          <w:color w:val="000000" w:themeColor="text1"/>
        </w:rPr>
      </w:pPr>
    </w:p>
    <w:p w14:paraId="44CC67C3" w14:textId="77777777" w:rsidR="00A134AA" w:rsidRPr="00781112" w:rsidRDefault="00A134AA" w:rsidP="00A134AA">
      <w:pPr>
        <w:rPr>
          <w:color w:val="000000" w:themeColor="text1"/>
        </w:rPr>
      </w:pPr>
      <w:r w:rsidRPr="00781112">
        <w:rPr>
          <w:b/>
          <w:color w:val="000000" w:themeColor="text1"/>
        </w:rPr>
        <w:t>Public Reporting Information</w:t>
      </w:r>
    </w:p>
    <w:p w14:paraId="70B58518" w14:textId="77777777" w:rsidR="00A134AA" w:rsidRPr="00781112" w:rsidRDefault="00A134AA" w:rsidP="00A134AA">
      <w:pPr>
        <w:rPr>
          <w:rFonts w:cs="Arial"/>
          <w:b/>
          <w:color w:val="000000" w:themeColor="text1"/>
          <w:szCs w:val="16"/>
        </w:rPr>
      </w:pPr>
      <w:r w:rsidRPr="00781112">
        <w:rPr>
          <w:rFonts w:cs="Arial"/>
          <w:b/>
          <w:color w:val="000000" w:themeColor="text1"/>
          <w:szCs w:val="16"/>
        </w:rPr>
        <w:t xml:space="preserve">Provide links to the page(s) where you provide public reports of assessment results. </w:t>
      </w:r>
    </w:p>
    <w:p w14:paraId="7EBFE113" w14:textId="047A82C9" w:rsidR="00A134AA" w:rsidRPr="00781112" w:rsidRDefault="00A134AA" w:rsidP="00A134AA">
      <w:pPr>
        <w:rPr>
          <w:rFonts w:cs="Arial"/>
          <w:color w:val="000000" w:themeColor="text1"/>
          <w:szCs w:val="16"/>
        </w:rPr>
      </w:pPr>
      <w:r w:rsidRPr="00781112">
        <w:rPr>
          <w:rFonts w:cs="Arial"/>
          <w:color w:val="000000" w:themeColor="text1"/>
          <w:szCs w:val="16"/>
        </w:rPr>
        <w:t>Utah’s regular assessments include the Readiness Improvement Success Empowerment (RISE) assessment for grades 4 and 8 and the Utah Aspire Plus assessment for grade 10. Each school’s overall participation rates for regular assessments are posted on their individual school report cards available on Utah's School Report Card website (https://utahschoolgrades.schools.utah.gov/).</w:t>
      </w:r>
      <w:r w:rsidRPr="00781112">
        <w:rPr>
          <w:rFonts w:cs="Arial"/>
          <w:color w:val="000000" w:themeColor="text1"/>
          <w:szCs w:val="16"/>
        </w:rPr>
        <w:br/>
      </w:r>
      <w:r w:rsidRPr="00781112">
        <w:rPr>
          <w:rFonts w:cs="Arial"/>
          <w:color w:val="000000" w:themeColor="text1"/>
          <w:szCs w:val="16"/>
        </w:rPr>
        <w:br/>
        <w:t>Participation rates of students with disabilities who participated with accommodations and without accommodations on the regular assessment are reported on the USBE Data and Statistics Report webpage (https://www.schools.utah.gov/data/reports). On the “Assessments” tab under the “Alternate Assessments” header, the most recent school year's data will be linked to an Excel spreadsheet.</w:t>
      </w:r>
      <w:r w:rsidRPr="00781112">
        <w:rPr>
          <w:rFonts w:cs="Arial"/>
          <w:color w:val="000000" w:themeColor="text1"/>
          <w:szCs w:val="16"/>
        </w:rPr>
        <w:br/>
        <w:t>• The “Participation by Assessment Type” tab reports the number of students with disabilities tested, the participation percentage of students with disabilities in the regular assessment (without accommodations), the participation percent of students with disabilities in the regular assessment with accommodations, and the participation percent of students with disabilities in the alternate assessment at the state, LEA, and school levels.</w:t>
      </w:r>
      <w:r w:rsidRPr="00781112">
        <w:rPr>
          <w:rFonts w:cs="Arial"/>
          <w:color w:val="000000" w:themeColor="text1"/>
          <w:szCs w:val="16"/>
        </w:rPr>
        <w:br/>
        <w:t>• The “Notes” tab outlines the USBE’s policy for protecting students' personally identifiable information. The policy includes protecting data for groups with fewer than 10 students by reporting it as “n&lt;10.” Additionally, for groups with fewer than 40 students, counts are not shown, and percentages are obscured by providing the range within which the percentage falls (e.g., 43% would display as 40-49%).</w:t>
      </w:r>
    </w:p>
    <w:p w14:paraId="222AA3BE" w14:textId="77777777" w:rsidR="00A134AA" w:rsidRPr="00781112" w:rsidRDefault="00A134AA" w:rsidP="00A134AA">
      <w:pPr>
        <w:rPr>
          <w:b/>
          <w:color w:val="000000" w:themeColor="text1"/>
        </w:rPr>
      </w:pPr>
      <w:r w:rsidRPr="00781112">
        <w:rPr>
          <w:b/>
          <w:color w:val="000000" w:themeColor="text1"/>
        </w:rPr>
        <w:t>Provide additional information about this indicator (optional)</w:t>
      </w:r>
    </w:p>
    <w:p w14:paraId="58D88404" w14:textId="4712EC2F" w:rsidR="00A134AA" w:rsidRPr="00781112" w:rsidRDefault="00A134AA" w:rsidP="00A134AA">
      <w:pPr>
        <w:rPr>
          <w:rFonts w:cs="Arial"/>
          <w:color w:val="000000" w:themeColor="text1"/>
          <w:szCs w:val="16"/>
        </w:rPr>
      </w:pPr>
      <w:r w:rsidRPr="00781112">
        <w:rPr>
          <w:rFonts w:cs="Arial"/>
          <w:color w:val="000000" w:themeColor="text1"/>
          <w:szCs w:val="16"/>
        </w:rPr>
        <w:t>The prepopulated data for Indicator 3 is incorrect as the data submitted to EDFacts on 12/21/2022 was the prior year’s data. New files with the correct FFY 2021 data were submitted on 01/04/2023. The correct data, submitted on 01/04/2023, and any slippage reasons are outlined in Utah APR FFY 2021 Indicator 3 Correct Data and Slippage Reasons (https://usbe-my.sharepoint.com/:w:/g/personal/emily_nordfelt_schools_utah_gov/ER7TDoqZrR1MmY-rmS-rC1wBiEyWfEaqxYvAG7sXrlIHIA?e=vI8BoE). As discussed with the OSEP State Lead, the linked document was accurate and continues to be accurate.</w:t>
      </w:r>
      <w:r w:rsidRPr="00781112">
        <w:rPr>
          <w:rFonts w:cs="Arial"/>
          <w:color w:val="000000" w:themeColor="text1"/>
          <w:szCs w:val="16"/>
        </w:rPr>
        <w:br/>
      </w:r>
      <w:r w:rsidRPr="00781112">
        <w:rPr>
          <w:rFonts w:cs="Arial"/>
          <w:color w:val="000000" w:themeColor="text1"/>
          <w:szCs w:val="16"/>
        </w:rPr>
        <w:br/>
        <w:t>Utah did not meet the targets for participation in FFY 2021. However, Utah did increase in all areas except math grade 10 as compared with FFY 2020. Reading participation for grade 4 increased by 2.46 percentage points, reading participation for grade 8 increased by 3.83 percentage points, and reading participation for grade 10 increased by 2.06 percentage points. Math participation for grade 4 increased by 2.36 percentage points and math participation for grade eight 8 increased by 4.67 percentage points.</w:t>
      </w:r>
    </w:p>
    <w:p w14:paraId="0F4E9E40" w14:textId="77777777" w:rsidR="00B725C2" w:rsidRPr="00781112" w:rsidRDefault="00B725C2">
      <w:pPr>
        <w:spacing w:before="0" w:after="200" w:line="276" w:lineRule="auto"/>
        <w:rPr>
          <w:b/>
          <w:color w:val="000000" w:themeColor="text1"/>
        </w:rPr>
      </w:pPr>
    </w:p>
    <w:p w14:paraId="3BECD360" w14:textId="5C269016" w:rsidR="00361CFA" w:rsidRPr="00781112" w:rsidRDefault="00361CFA" w:rsidP="00361CFA">
      <w:pPr>
        <w:pStyle w:val="Heading2"/>
      </w:pPr>
      <w:r w:rsidRPr="00781112">
        <w:t>3</w:t>
      </w:r>
      <w:r w:rsidR="00DD4E25" w:rsidRPr="00781112">
        <w:t>A</w:t>
      </w:r>
      <w:r w:rsidRPr="00781112">
        <w:t xml:space="preserve"> - Prior FFY Required Actions</w:t>
      </w:r>
    </w:p>
    <w:p w14:paraId="0775D2DC" w14:textId="32AC04CD" w:rsidR="00361CFA" w:rsidRPr="00781112" w:rsidRDefault="00361CFA" w:rsidP="00361CFA">
      <w:pPr>
        <w:rPr>
          <w:rFonts w:cs="Arial"/>
          <w:color w:val="000000" w:themeColor="text1"/>
          <w:szCs w:val="16"/>
        </w:rPr>
      </w:pPr>
      <w:r w:rsidRPr="00781112">
        <w:rPr>
          <w:rFonts w:cs="Arial"/>
          <w:color w:val="000000" w:themeColor="text1"/>
          <w:szCs w:val="16"/>
        </w:rPr>
        <w:t>None</w:t>
      </w:r>
    </w:p>
    <w:p w14:paraId="743B5B9F" w14:textId="1841BC80" w:rsidR="00361CFA" w:rsidRPr="00781112" w:rsidRDefault="00361CFA" w:rsidP="00361CFA">
      <w:pPr>
        <w:pStyle w:val="Heading2"/>
      </w:pPr>
      <w:r w:rsidRPr="00781112">
        <w:t>3</w:t>
      </w:r>
      <w:r w:rsidR="00DD4E25" w:rsidRPr="00781112">
        <w:t>A</w:t>
      </w:r>
      <w:r w:rsidRPr="00781112">
        <w:t xml:space="preserve"> - OSEP Response</w:t>
      </w:r>
    </w:p>
    <w:p w14:paraId="2436D21B" w14:textId="251DD46D" w:rsidR="00361CFA" w:rsidRPr="00781112" w:rsidRDefault="00361CFA" w:rsidP="00361CFA">
      <w:pPr>
        <w:rPr>
          <w:rFonts w:cs="Arial"/>
          <w:color w:val="000000" w:themeColor="text1"/>
          <w:szCs w:val="16"/>
        </w:rPr>
      </w:pPr>
      <w:r w:rsidRPr="00781112">
        <w:rPr>
          <w:rFonts w:cs="Arial"/>
          <w:color w:val="000000" w:themeColor="text1"/>
          <w:szCs w:val="16"/>
          <w:shd w:val="clear" w:color="auto" w:fill="FFFFFF"/>
        </w:rPr>
        <w:t xml:space="preserve">The assessment data for Indicators 3A, 3B, 3C, and 3D are prefilled using the State-level assessment data submitted as of the final freeze date/ close date for EDFacts files 185, 188, 175, 178. For the SY 2021-22 assessment data, the freeze date/ close date for these files was April 5, 2023. Data submitted by a State after the April 5, </w:t>
      </w:r>
      <w:proofErr w:type="gramStart"/>
      <w:r w:rsidRPr="00781112">
        <w:rPr>
          <w:rFonts w:cs="Arial"/>
          <w:color w:val="000000" w:themeColor="text1"/>
          <w:szCs w:val="16"/>
          <w:shd w:val="clear" w:color="auto" w:fill="FFFFFF"/>
        </w:rPr>
        <w:t>2023</w:t>
      </w:r>
      <w:proofErr w:type="gramEnd"/>
      <w:r w:rsidRPr="00781112">
        <w:rPr>
          <w:rFonts w:cs="Arial"/>
          <w:color w:val="000000" w:themeColor="text1"/>
          <w:szCs w:val="16"/>
          <w:shd w:val="clear" w:color="auto" w:fill="FFFFFF"/>
        </w:rPr>
        <w:t xml:space="preserve"> freeze date is not prefilled into the State's SPP/APR, used in the IDEA Part B Results Matrix, or published in the IDEA Part B Assessment data file and associated products. </w:t>
      </w:r>
    </w:p>
    <w:p w14:paraId="66272CA6" w14:textId="0C9AB332" w:rsidR="00361CFA" w:rsidRPr="00781112" w:rsidRDefault="00361CFA" w:rsidP="00361CFA">
      <w:pPr>
        <w:pStyle w:val="Heading2"/>
      </w:pPr>
      <w:r w:rsidRPr="00781112">
        <w:t>3</w:t>
      </w:r>
      <w:r w:rsidR="00DD4E25" w:rsidRPr="00781112">
        <w:t>A</w:t>
      </w:r>
      <w:r w:rsidRPr="00781112">
        <w:t xml:space="preserve"> - Required Actions</w:t>
      </w:r>
    </w:p>
    <w:p w14:paraId="07E8CA27" w14:textId="1D50FC01" w:rsidR="00361CFA" w:rsidRPr="00781112" w:rsidRDefault="00361CFA" w:rsidP="00361CFA">
      <w:pPr>
        <w:rPr>
          <w:rFonts w:cs="Arial"/>
          <w:color w:val="000000" w:themeColor="text1"/>
          <w:szCs w:val="16"/>
        </w:rPr>
      </w:pPr>
    </w:p>
    <w:p w14:paraId="70908578" w14:textId="7D14B33B" w:rsidR="00553A47" w:rsidRPr="00781112" w:rsidRDefault="00553A47">
      <w:pPr>
        <w:spacing w:before="0" w:after="200" w:line="276" w:lineRule="auto"/>
        <w:rPr>
          <w:rFonts w:eastAsiaTheme="majorEastAsia" w:cstheme="majorBidi"/>
          <w:b/>
          <w:bCs/>
          <w:color w:val="000000" w:themeColor="text1"/>
          <w:sz w:val="20"/>
          <w:szCs w:val="16"/>
        </w:rPr>
      </w:pPr>
      <w:r w:rsidRPr="00781112">
        <w:rPr>
          <w:color w:val="000000" w:themeColor="text1"/>
          <w:szCs w:val="16"/>
        </w:rPr>
        <w:br w:type="page"/>
      </w:r>
    </w:p>
    <w:p w14:paraId="4B525DFA" w14:textId="76C42186" w:rsidR="009D378C" w:rsidRPr="00781112" w:rsidRDefault="009D378C" w:rsidP="004369B2">
      <w:pPr>
        <w:pStyle w:val="Heading1"/>
        <w:rPr>
          <w:color w:val="000000" w:themeColor="text1"/>
          <w:sz w:val="22"/>
        </w:rPr>
      </w:pPr>
      <w:r w:rsidRPr="00781112">
        <w:rPr>
          <w:color w:val="000000" w:themeColor="text1"/>
          <w:sz w:val="22"/>
        </w:rPr>
        <w:lastRenderedPageBreak/>
        <w:t xml:space="preserve">Indicator 3B: Proficiency for Children with IEPs (Grade Level Academic Achievement Standards) </w:t>
      </w:r>
      <w:bookmarkEnd w:id="11"/>
      <w:bookmarkEnd w:id="12"/>
    </w:p>
    <w:p w14:paraId="66C662B8" w14:textId="77777777" w:rsidR="007C3C89" w:rsidRPr="00781112" w:rsidRDefault="007C3C89" w:rsidP="00A018D4">
      <w:pPr>
        <w:rPr>
          <w:color w:val="000000" w:themeColor="text1"/>
          <w:szCs w:val="20"/>
        </w:rPr>
      </w:pPr>
      <w:bookmarkStart w:id="15" w:name="_Toc392159271"/>
      <w:r w:rsidRPr="00781112">
        <w:rPr>
          <w:b/>
          <w:color w:val="000000" w:themeColor="text1"/>
          <w:sz w:val="20"/>
          <w:szCs w:val="20"/>
        </w:rPr>
        <w:t>Instructions and Measurement</w:t>
      </w:r>
    </w:p>
    <w:p w14:paraId="31EC23C7" w14:textId="5EB5B691" w:rsidR="0085119E" w:rsidRPr="00781112" w:rsidRDefault="0085119E"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2F546D74" w14:textId="7751A5DC" w:rsidR="005873EB" w:rsidRPr="00781112" w:rsidRDefault="0085119E" w:rsidP="00552927">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w:t>
      </w:r>
      <w:r w:rsidR="00131842" w:rsidRPr="00781112">
        <w:rPr>
          <w:rFonts w:cs="Arial"/>
          <w:color w:val="000000" w:themeColor="text1"/>
          <w:szCs w:val="16"/>
        </w:rPr>
        <w:t xml:space="preserve"> </w:t>
      </w:r>
      <w:r w:rsidR="005873EB" w:rsidRPr="00781112">
        <w:rPr>
          <w:rFonts w:cs="Arial"/>
          <w:color w:val="000000" w:themeColor="text1"/>
          <w:szCs w:val="16"/>
        </w:rPr>
        <w:t xml:space="preserve">Participation and performance </w:t>
      </w:r>
      <w:r w:rsidR="00C960B4" w:rsidRPr="00781112">
        <w:rPr>
          <w:rFonts w:cs="Arial"/>
          <w:color w:val="000000" w:themeColor="text1"/>
          <w:szCs w:val="16"/>
        </w:rPr>
        <w:t xml:space="preserve">of </w:t>
      </w:r>
      <w:r w:rsidR="005873EB" w:rsidRPr="00781112">
        <w:rPr>
          <w:rFonts w:cs="Arial"/>
          <w:color w:val="000000" w:themeColor="text1"/>
          <w:szCs w:val="16"/>
        </w:rPr>
        <w:t>children with IEPs on statewide</w:t>
      </w:r>
      <w:r w:rsidR="00A14AEA" w:rsidRPr="00781112">
        <w:rPr>
          <w:rFonts w:cs="Arial"/>
          <w:color w:val="000000" w:themeColor="text1"/>
          <w:szCs w:val="16"/>
        </w:rPr>
        <w:t xml:space="preserve"> assessments:</w:t>
      </w:r>
    </w:p>
    <w:p w14:paraId="4F752398" w14:textId="77777777" w:rsidR="001B1437" w:rsidRPr="00781112" w:rsidRDefault="001B1437" w:rsidP="001B1437">
      <w:pPr>
        <w:ind w:firstLine="720"/>
        <w:rPr>
          <w:rFonts w:cs="Arial"/>
          <w:color w:val="000000" w:themeColor="text1"/>
          <w:szCs w:val="16"/>
        </w:rPr>
      </w:pPr>
      <w:r w:rsidRPr="00781112">
        <w:rPr>
          <w:rFonts w:cs="Arial"/>
          <w:color w:val="000000" w:themeColor="text1"/>
          <w:szCs w:val="16"/>
        </w:rPr>
        <w:t>A. Participation rate for children with IEPs.</w:t>
      </w:r>
    </w:p>
    <w:p w14:paraId="5BE34F5D" w14:textId="77777777" w:rsidR="001B1437" w:rsidRPr="00781112" w:rsidRDefault="001B1437" w:rsidP="001B1437">
      <w:pPr>
        <w:ind w:firstLine="720"/>
        <w:rPr>
          <w:rFonts w:cs="Arial"/>
          <w:color w:val="000000" w:themeColor="text1"/>
          <w:szCs w:val="16"/>
        </w:rPr>
      </w:pPr>
      <w:r w:rsidRPr="00781112">
        <w:rPr>
          <w:rFonts w:cs="Arial"/>
          <w:color w:val="000000" w:themeColor="text1"/>
          <w:szCs w:val="16"/>
        </w:rPr>
        <w:t xml:space="preserve">B. </w:t>
      </w:r>
      <w:r w:rsidRPr="00781112">
        <w:rPr>
          <w:rFonts w:cs="Arial"/>
          <w:szCs w:val="16"/>
        </w:rPr>
        <w:t>Proficiency rate for children with IEPs against grade level academic achievement standards.</w:t>
      </w:r>
    </w:p>
    <w:p w14:paraId="3A689820" w14:textId="77777777" w:rsidR="001B1437" w:rsidRPr="00781112" w:rsidRDefault="001B1437" w:rsidP="001B1437">
      <w:pPr>
        <w:ind w:firstLine="720"/>
        <w:rPr>
          <w:rFonts w:cs="Arial"/>
          <w:color w:val="000000" w:themeColor="text1"/>
          <w:szCs w:val="16"/>
        </w:rPr>
      </w:pPr>
      <w:r w:rsidRPr="00781112">
        <w:rPr>
          <w:rFonts w:cs="Arial"/>
          <w:color w:val="000000" w:themeColor="text1"/>
          <w:szCs w:val="16"/>
        </w:rPr>
        <w:t>C. Proficiency rate for children with IEPs against alternate academic achievement standards.</w:t>
      </w:r>
    </w:p>
    <w:p w14:paraId="59A0C855" w14:textId="77777777" w:rsidR="001B1437" w:rsidRPr="00781112" w:rsidRDefault="001B1437" w:rsidP="001B1437">
      <w:pPr>
        <w:ind w:firstLine="720"/>
        <w:rPr>
          <w:rFonts w:cs="Arial"/>
          <w:color w:val="000000" w:themeColor="text1"/>
          <w:szCs w:val="16"/>
        </w:rPr>
      </w:pPr>
      <w:r w:rsidRPr="00781112">
        <w:rPr>
          <w:rFonts w:cs="Arial"/>
          <w:color w:val="000000" w:themeColor="text1"/>
          <w:szCs w:val="16"/>
        </w:rPr>
        <w:t>D.</w:t>
      </w:r>
      <w:r w:rsidRPr="00781112">
        <w:rPr>
          <w:rFonts w:cs="Arial"/>
          <w:szCs w:val="16"/>
        </w:rPr>
        <w:t xml:space="preserve"> Gap in proficiency rates for children with IEPs and all students against grade level academic achievement standards.</w:t>
      </w:r>
    </w:p>
    <w:p w14:paraId="08325460" w14:textId="77777777" w:rsidR="001B1437" w:rsidRPr="00781112" w:rsidRDefault="001B1437" w:rsidP="001B1437">
      <w:pPr>
        <w:rPr>
          <w:rFonts w:cs="Arial"/>
          <w:color w:val="000000" w:themeColor="text1"/>
          <w:szCs w:val="16"/>
        </w:rPr>
      </w:pPr>
      <w:r w:rsidRPr="00781112">
        <w:rPr>
          <w:rFonts w:cs="Arial"/>
          <w:color w:val="000000" w:themeColor="text1"/>
          <w:szCs w:val="16"/>
        </w:rPr>
        <w:t>(20 U.S.C. 1416 (a)(3)(A))</w:t>
      </w:r>
    </w:p>
    <w:p w14:paraId="17F5F231" w14:textId="77777777" w:rsidR="005873EB" w:rsidRPr="00781112" w:rsidRDefault="005873EB" w:rsidP="004369B2">
      <w:pPr>
        <w:rPr>
          <w:color w:val="000000" w:themeColor="text1"/>
        </w:rPr>
      </w:pPr>
      <w:r w:rsidRPr="00781112">
        <w:rPr>
          <w:b/>
          <w:color w:val="000000" w:themeColor="text1"/>
        </w:rPr>
        <w:t>Data Source</w:t>
      </w:r>
    </w:p>
    <w:p w14:paraId="74E3B0EF" w14:textId="680BE39A" w:rsidR="00A14AEA" w:rsidRPr="0075451F" w:rsidRDefault="00A14AEA" w:rsidP="002621F6">
      <w:pPr>
        <w:rPr>
          <w:rFonts w:cs="Arial"/>
          <w:szCs w:val="16"/>
        </w:rPr>
      </w:pPr>
      <w:r w:rsidRPr="00781112">
        <w:rPr>
          <w:rFonts w:cs="Arial"/>
          <w:color w:val="000000" w:themeColor="text1"/>
          <w:szCs w:val="16"/>
        </w:rPr>
        <w:t xml:space="preserve">3B. Same data as used for reporting to the Department under Title I of the ESEA, using EDFacts file specifications </w:t>
      </w:r>
      <w:r w:rsidR="001B1437" w:rsidRPr="00781112">
        <w:rPr>
          <w:rFonts w:cs="Arial"/>
          <w:szCs w:val="16"/>
        </w:rPr>
        <w:t>FS175 and 178.</w:t>
      </w:r>
    </w:p>
    <w:p w14:paraId="58C69CDD" w14:textId="77777777" w:rsidR="005873EB" w:rsidRPr="00781112" w:rsidRDefault="005873EB" w:rsidP="004369B2">
      <w:pPr>
        <w:rPr>
          <w:color w:val="000000" w:themeColor="text1"/>
        </w:rPr>
      </w:pPr>
      <w:r w:rsidRPr="00781112">
        <w:rPr>
          <w:b/>
          <w:color w:val="000000" w:themeColor="text1"/>
        </w:rPr>
        <w:t>Measurement</w:t>
      </w:r>
    </w:p>
    <w:p w14:paraId="1B72B9D8" w14:textId="6F544A48" w:rsidR="00781112" w:rsidRPr="00781112" w:rsidRDefault="00A14AEA" w:rsidP="004369B2">
      <w:pPr>
        <w:rPr>
          <w:rFonts w:cs="Arial"/>
          <w:szCs w:val="16"/>
        </w:rPr>
      </w:pPr>
      <w:r w:rsidRPr="00781112">
        <w:rPr>
          <w:rFonts w:cs="Arial"/>
          <w:color w:val="000000" w:themeColor="text1"/>
          <w:szCs w:val="16"/>
        </w:rPr>
        <w:t xml:space="preserve">B. </w:t>
      </w:r>
      <w:r w:rsidR="001B1437" w:rsidRPr="00781112">
        <w:rPr>
          <w:rFonts w:cs="Arial"/>
          <w:szCs w:val="16"/>
        </w:rPr>
        <w:t>Proficiency rate percent = [(# of children with IEPs scoring at or above proficient against grade level academic achievement standards) divided by the (total # of children with IEPs who received a valid score and for whom a proficiency level was assigned for the regular assessment)]. Calculate separately for reading and math. Calculate separately for grades 4, 8, and high school. The proficiency rate includes both children with IEPs enrolled for a full academic year and those not enrolled for a full academic year</w:t>
      </w:r>
      <w:r w:rsidR="00C239D6" w:rsidRPr="00781112">
        <w:rPr>
          <w:rFonts w:cs="Arial"/>
          <w:szCs w:val="16"/>
        </w:rPr>
        <w:t>.</w:t>
      </w:r>
    </w:p>
    <w:p w14:paraId="13B81A44" w14:textId="77777777" w:rsidR="005873EB" w:rsidRPr="00781112" w:rsidRDefault="005873EB" w:rsidP="004369B2">
      <w:pPr>
        <w:rPr>
          <w:color w:val="000000" w:themeColor="text1"/>
        </w:rPr>
      </w:pPr>
      <w:r w:rsidRPr="00781112">
        <w:rPr>
          <w:b/>
          <w:color w:val="000000" w:themeColor="text1"/>
        </w:rPr>
        <w:t>Instructions</w:t>
      </w:r>
    </w:p>
    <w:p w14:paraId="5315B3F5" w14:textId="77777777" w:rsidR="00A14AEA" w:rsidRPr="00781112" w:rsidRDefault="00A14AEA" w:rsidP="002621F6">
      <w:pPr>
        <w:rPr>
          <w:rFonts w:cs="Arial"/>
          <w:color w:val="000000" w:themeColor="text1"/>
          <w:szCs w:val="16"/>
        </w:rPr>
      </w:pPr>
      <w:r w:rsidRPr="00781112">
        <w:rPr>
          <w:rFonts w:cs="Arial"/>
          <w:color w:val="000000" w:themeColor="text1"/>
          <w:szCs w:val="16"/>
        </w:rPr>
        <w:t>Describe the results of the calculations and compare the results to the targets. Provide the actual numbers used in the calculation.</w:t>
      </w:r>
    </w:p>
    <w:p w14:paraId="02A5AC14" w14:textId="77777777" w:rsidR="00A14AEA" w:rsidRPr="00781112" w:rsidRDefault="00A14AEA" w:rsidP="002621F6">
      <w:pPr>
        <w:rPr>
          <w:rFonts w:cs="Arial"/>
          <w:color w:val="000000" w:themeColor="text1"/>
          <w:szCs w:val="16"/>
        </w:rPr>
      </w:pPr>
      <w:r w:rsidRPr="00781112">
        <w:rPr>
          <w:rFonts w:cs="Arial"/>
          <w:color w:val="000000" w:themeColor="text1"/>
          <w:szCs w:val="16"/>
        </w:rPr>
        <w:t>Include information regarding where to find public reports of assessment participation and performance results, as required by 34 CFR §300.160(f), i.e., a link to the Web site where these data are reported.</w:t>
      </w:r>
    </w:p>
    <w:p w14:paraId="28C72839" w14:textId="5218735C" w:rsidR="00A14AEA" w:rsidRDefault="00A14AEA" w:rsidP="002621F6">
      <w:pPr>
        <w:rPr>
          <w:rFonts w:cs="Arial"/>
          <w:szCs w:val="16"/>
        </w:rPr>
      </w:pPr>
      <w:r w:rsidRPr="00781112">
        <w:rPr>
          <w:rFonts w:cs="Arial"/>
          <w:color w:val="000000" w:themeColor="text1"/>
          <w:szCs w:val="16"/>
        </w:rPr>
        <w:t xml:space="preserve">Indicator 3B: </w:t>
      </w:r>
      <w:r w:rsidR="001B1437" w:rsidRPr="00781112">
        <w:rPr>
          <w:rFonts w:cs="Arial"/>
          <w:szCs w:val="16"/>
        </w:rPr>
        <w:t>Proficiency calculations in this SPP/APR must result in proficiency rates for children with IEPs on the regular assessment in reading/language arts and mathematics assessments (separately) in each of the following grades: 4, 8, and high school, including both children with IEPs enrolled for a full academic year and those not enrolled for a full academic year. Only include children with disabilities who had an IEP at the time of testing.</w:t>
      </w:r>
    </w:p>
    <w:p w14:paraId="573B72F6" w14:textId="77777777" w:rsidR="00DB4E16" w:rsidRPr="00781112" w:rsidRDefault="00DB4E16" w:rsidP="002621F6">
      <w:pPr>
        <w:rPr>
          <w:rFonts w:cs="Arial"/>
          <w:color w:val="000000" w:themeColor="text1"/>
          <w:szCs w:val="16"/>
        </w:rPr>
      </w:pPr>
    </w:p>
    <w:p w14:paraId="4CDFE310" w14:textId="3FF11C15" w:rsidR="00677C8C" w:rsidRPr="00781112" w:rsidRDefault="00573F6C" w:rsidP="008645AD">
      <w:pPr>
        <w:pStyle w:val="Heading2"/>
      </w:pPr>
      <w:r w:rsidRPr="00781112">
        <w:t>3B</w:t>
      </w:r>
      <w:r w:rsidR="00BB4FD7" w:rsidRPr="00781112">
        <w:t xml:space="preserve"> </w:t>
      </w:r>
      <w:r w:rsidRPr="00781112">
        <w:t xml:space="preserve">- </w:t>
      </w:r>
      <w:r w:rsidR="00677C8C" w:rsidRPr="00781112">
        <w:t>Indicator Data</w:t>
      </w:r>
    </w:p>
    <w:bookmarkEnd w:id="15"/>
    <w:p w14:paraId="515AEF58" w14:textId="26D7E3C2" w:rsidR="00E539AB" w:rsidRPr="00781112" w:rsidRDefault="00E539AB" w:rsidP="004369B2">
      <w:pPr>
        <w:rPr>
          <w:b/>
          <w:color w:val="000000" w:themeColor="text1"/>
        </w:rPr>
      </w:pPr>
      <w:r w:rsidRPr="00781112">
        <w:rPr>
          <w:b/>
          <w:color w:val="000000" w:themeColor="text1"/>
        </w:rPr>
        <w:t xml:space="preserve">Historical Data: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BHISTDATA"/>
      </w:tblPr>
      <w:tblGrid>
        <w:gridCol w:w="1588"/>
        <w:gridCol w:w="1588"/>
        <w:gridCol w:w="2538"/>
        <w:gridCol w:w="2538"/>
        <w:gridCol w:w="2538"/>
      </w:tblGrid>
      <w:tr w:rsidR="00E87854" w:rsidRPr="00781112" w14:paraId="12417720" w14:textId="77777777" w:rsidTr="009725F4">
        <w:trPr>
          <w:trHeight w:val="368"/>
          <w:tblHeader/>
        </w:trPr>
        <w:tc>
          <w:tcPr>
            <w:tcW w:w="736" w:type="pct"/>
            <w:tcBorders>
              <w:top w:val="single" w:sz="4" w:space="0" w:color="auto"/>
            </w:tcBorders>
            <w:vAlign w:val="center"/>
          </w:tcPr>
          <w:p w14:paraId="7EC3C39F" w14:textId="77777777" w:rsidR="00E87854" w:rsidRPr="00781112" w:rsidRDefault="00E87854" w:rsidP="00827FF4">
            <w:pPr>
              <w:jc w:val="center"/>
              <w:rPr>
                <w:rFonts w:cs="Arial"/>
                <w:b/>
                <w:color w:val="000000" w:themeColor="text1"/>
                <w:szCs w:val="16"/>
              </w:rPr>
            </w:pPr>
            <w:r w:rsidRPr="00781112">
              <w:rPr>
                <w:rFonts w:cs="Arial"/>
                <w:b/>
                <w:color w:val="000000" w:themeColor="text1"/>
                <w:szCs w:val="16"/>
              </w:rPr>
              <w:t>Subject</w:t>
            </w:r>
          </w:p>
        </w:tc>
        <w:tc>
          <w:tcPr>
            <w:tcW w:w="736" w:type="pct"/>
            <w:tcBorders>
              <w:top w:val="single" w:sz="4" w:space="0" w:color="auto"/>
            </w:tcBorders>
            <w:shd w:val="clear" w:color="auto" w:fill="auto"/>
            <w:vAlign w:val="center"/>
          </w:tcPr>
          <w:p w14:paraId="3734B12F" w14:textId="77777777" w:rsidR="00E87854" w:rsidRPr="00781112" w:rsidRDefault="00E87854" w:rsidP="00827FF4">
            <w:pPr>
              <w:jc w:val="center"/>
              <w:rPr>
                <w:rFonts w:cs="Arial"/>
                <w:b/>
                <w:color w:val="000000" w:themeColor="text1"/>
                <w:szCs w:val="16"/>
              </w:rPr>
            </w:pPr>
            <w:r w:rsidRPr="00781112">
              <w:rPr>
                <w:rFonts w:cs="Arial"/>
                <w:b/>
                <w:color w:val="000000" w:themeColor="text1"/>
                <w:szCs w:val="16"/>
              </w:rPr>
              <w:t xml:space="preserve">Group </w:t>
            </w:r>
          </w:p>
        </w:tc>
        <w:tc>
          <w:tcPr>
            <w:tcW w:w="1176" w:type="pct"/>
            <w:tcBorders>
              <w:top w:val="single" w:sz="4" w:space="0" w:color="auto"/>
            </w:tcBorders>
            <w:shd w:val="clear" w:color="auto" w:fill="auto"/>
            <w:vAlign w:val="center"/>
          </w:tcPr>
          <w:p w14:paraId="7B7E2CD1" w14:textId="77777777" w:rsidR="00E87854" w:rsidRPr="00781112" w:rsidRDefault="00E87854" w:rsidP="00827FF4">
            <w:pPr>
              <w:jc w:val="center"/>
              <w:rPr>
                <w:rFonts w:cs="Arial"/>
                <w:b/>
                <w:color w:val="000000" w:themeColor="text1"/>
                <w:szCs w:val="16"/>
              </w:rPr>
            </w:pPr>
            <w:r w:rsidRPr="00781112">
              <w:rPr>
                <w:rFonts w:cs="Arial"/>
                <w:b/>
                <w:color w:val="000000" w:themeColor="text1"/>
                <w:szCs w:val="16"/>
              </w:rPr>
              <w:t xml:space="preserve">Group Name </w:t>
            </w:r>
          </w:p>
        </w:tc>
        <w:tc>
          <w:tcPr>
            <w:tcW w:w="1176" w:type="pct"/>
            <w:tcBorders>
              <w:top w:val="single" w:sz="4" w:space="0" w:color="auto"/>
            </w:tcBorders>
            <w:shd w:val="clear" w:color="auto" w:fill="auto"/>
            <w:vAlign w:val="center"/>
          </w:tcPr>
          <w:p w14:paraId="328A387A" w14:textId="77777777" w:rsidR="00E87854" w:rsidRPr="00781112" w:rsidRDefault="00E87854" w:rsidP="00827FF4">
            <w:pPr>
              <w:jc w:val="center"/>
              <w:rPr>
                <w:rFonts w:cs="Arial"/>
                <w:b/>
                <w:color w:val="000000" w:themeColor="text1"/>
                <w:szCs w:val="16"/>
              </w:rPr>
            </w:pPr>
            <w:r w:rsidRPr="00781112">
              <w:rPr>
                <w:rFonts w:cs="Arial"/>
                <w:b/>
                <w:color w:val="000000" w:themeColor="text1"/>
                <w:szCs w:val="16"/>
              </w:rPr>
              <w:t xml:space="preserve">Baseline Year </w:t>
            </w:r>
          </w:p>
        </w:tc>
        <w:tc>
          <w:tcPr>
            <w:tcW w:w="1176" w:type="pct"/>
            <w:tcBorders>
              <w:top w:val="single" w:sz="4" w:space="0" w:color="auto"/>
            </w:tcBorders>
            <w:vAlign w:val="center"/>
          </w:tcPr>
          <w:p w14:paraId="7BA55F2F" w14:textId="77777777" w:rsidR="00E87854" w:rsidRPr="00781112" w:rsidRDefault="00E87854" w:rsidP="00827FF4">
            <w:pPr>
              <w:jc w:val="center"/>
              <w:rPr>
                <w:rFonts w:cs="Arial"/>
                <w:b/>
                <w:color w:val="000000" w:themeColor="text1"/>
                <w:szCs w:val="16"/>
              </w:rPr>
            </w:pPr>
            <w:r w:rsidRPr="00781112">
              <w:rPr>
                <w:rFonts w:cs="Arial"/>
                <w:b/>
                <w:color w:val="000000" w:themeColor="text1"/>
                <w:szCs w:val="16"/>
              </w:rPr>
              <w:t>Baseline Data</w:t>
            </w:r>
          </w:p>
        </w:tc>
      </w:tr>
      <w:tr w:rsidR="00E87854" w:rsidRPr="00781112" w14:paraId="4037BAD8" w14:textId="77777777" w:rsidTr="00360DD6">
        <w:trPr>
          <w:trHeight w:val="368"/>
        </w:trPr>
        <w:tc>
          <w:tcPr>
            <w:tcW w:w="736" w:type="pct"/>
            <w:vAlign w:val="center"/>
          </w:tcPr>
          <w:p w14:paraId="7483D393"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00589D27"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62918043" w14:textId="606DEBBA" w:rsidR="00E87854" w:rsidRPr="00781112" w:rsidRDefault="00E87854" w:rsidP="00827FF4">
            <w:pPr>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02F272CC" w14:textId="71E3B85C" w:rsidR="00E87854" w:rsidRPr="00781112" w:rsidRDefault="00E87854"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2A2A9F8D" w14:textId="7B983B8C" w:rsidR="00E87854" w:rsidRPr="00781112" w:rsidRDefault="00E87854" w:rsidP="00827FF4">
            <w:pPr>
              <w:spacing w:before="0" w:after="0"/>
              <w:jc w:val="center"/>
              <w:rPr>
                <w:color w:val="000000" w:themeColor="text1"/>
              </w:rPr>
            </w:pPr>
            <w:r w:rsidRPr="00781112">
              <w:rPr>
                <w:rFonts w:cs="Arial"/>
                <w:color w:val="000000" w:themeColor="text1"/>
                <w:szCs w:val="16"/>
              </w:rPr>
              <w:t>14.51%</w:t>
            </w:r>
          </w:p>
        </w:tc>
      </w:tr>
      <w:tr w:rsidR="00E87854" w:rsidRPr="00781112" w14:paraId="60278D71" w14:textId="77777777" w:rsidTr="00360DD6">
        <w:trPr>
          <w:trHeight w:val="368"/>
        </w:trPr>
        <w:tc>
          <w:tcPr>
            <w:tcW w:w="736" w:type="pct"/>
            <w:vAlign w:val="center"/>
          </w:tcPr>
          <w:p w14:paraId="3507BA0D"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04794670"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3B8FF5A1" w14:textId="37E21D7F"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1CCEEB25" w14:textId="1C22E745" w:rsidR="00E87854" w:rsidRPr="00781112" w:rsidRDefault="00E87854"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491FB31F" w14:textId="070EC956"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7.31%</w:t>
            </w:r>
          </w:p>
        </w:tc>
      </w:tr>
      <w:tr w:rsidR="00E87854" w:rsidRPr="00781112" w14:paraId="2E17CFEC" w14:textId="77777777" w:rsidTr="00360DD6">
        <w:trPr>
          <w:trHeight w:val="368"/>
        </w:trPr>
        <w:tc>
          <w:tcPr>
            <w:tcW w:w="736" w:type="pct"/>
            <w:vAlign w:val="center"/>
          </w:tcPr>
          <w:p w14:paraId="686A1871"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49389293"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1A5BDDFB" w14:textId="2058F5F3" w:rsidR="00E87854" w:rsidRPr="00781112" w:rsidRDefault="00E87854" w:rsidP="00827FF4">
            <w:pPr>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515FB216" w14:textId="6B3B7253" w:rsidR="00E87854" w:rsidRPr="00781112" w:rsidRDefault="00E87854"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5F3FCFE8" w14:textId="7784B726"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8.58%</w:t>
            </w:r>
          </w:p>
        </w:tc>
      </w:tr>
      <w:tr w:rsidR="00E87854" w:rsidRPr="00781112" w14:paraId="2DE181AC" w14:textId="77777777" w:rsidTr="00360DD6">
        <w:trPr>
          <w:trHeight w:val="368"/>
        </w:trPr>
        <w:tc>
          <w:tcPr>
            <w:tcW w:w="736" w:type="pct"/>
            <w:vAlign w:val="center"/>
          </w:tcPr>
          <w:p w14:paraId="62906600"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58A602F6"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73CC85F5" w14:textId="434951B5"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083C0C1B" w14:textId="1213FD2B" w:rsidR="00E87854" w:rsidRPr="00781112" w:rsidRDefault="00E87854"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02A92448" w14:textId="0F5F274D"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19.74%</w:t>
            </w:r>
          </w:p>
        </w:tc>
      </w:tr>
      <w:tr w:rsidR="00E87854" w:rsidRPr="00781112" w14:paraId="15831A3C" w14:textId="77777777" w:rsidTr="00360DD6">
        <w:trPr>
          <w:trHeight w:val="368"/>
        </w:trPr>
        <w:tc>
          <w:tcPr>
            <w:tcW w:w="736" w:type="pct"/>
            <w:vAlign w:val="center"/>
          </w:tcPr>
          <w:p w14:paraId="3F388113"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75BC7B5C"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5AD560DF" w14:textId="6ED06A7D" w:rsidR="00E87854" w:rsidRPr="00781112" w:rsidRDefault="00E87854" w:rsidP="00827FF4">
            <w:pPr>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46F22CF1" w14:textId="7783498C" w:rsidR="00E87854" w:rsidRPr="00781112" w:rsidRDefault="00E87854"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53B302E6" w14:textId="2F431F68"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6.02%</w:t>
            </w:r>
          </w:p>
        </w:tc>
      </w:tr>
      <w:tr w:rsidR="00E87854" w:rsidRPr="00781112" w14:paraId="5866D3B1" w14:textId="77777777" w:rsidTr="00360DD6">
        <w:trPr>
          <w:trHeight w:val="368"/>
        </w:trPr>
        <w:tc>
          <w:tcPr>
            <w:tcW w:w="736" w:type="pct"/>
            <w:vAlign w:val="center"/>
          </w:tcPr>
          <w:p w14:paraId="619219C1"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3CF2F687"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4FE864B8" w14:textId="002FA991"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216CD238" w14:textId="75E8822F" w:rsidR="00E87854" w:rsidRPr="00781112" w:rsidRDefault="00E87854"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66C96CFB" w14:textId="3BA21F14"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3.19%</w:t>
            </w:r>
          </w:p>
        </w:tc>
      </w:tr>
    </w:tbl>
    <w:p w14:paraId="4E5C7995" w14:textId="4B1994AB" w:rsidR="004D0044" w:rsidRPr="00781112" w:rsidRDefault="00AA3A41" w:rsidP="00AA3A41">
      <w:pPr>
        <w:tabs>
          <w:tab w:val="left" w:pos="2145"/>
        </w:tabs>
        <w:rPr>
          <w:color w:val="000000" w:themeColor="text1"/>
        </w:rPr>
      </w:pPr>
      <w:r>
        <w:rPr>
          <w:color w:val="000000" w:themeColor="text1"/>
        </w:rPr>
        <w:tab/>
      </w:r>
    </w:p>
    <w:p w14:paraId="38F110A8" w14:textId="3014A321" w:rsidR="00E539AB" w:rsidRPr="00781112" w:rsidRDefault="00E539AB" w:rsidP="004369B2">
      <w:pPr>
        <w:rPr>
          <w:b/>
          <w:color w:val="000000" w:themeColor="text1"/>
        </w:rPr>
      </w:pPr>
      <w:r w:rsidRPr="00781112">
        <w:rPr>
          <w:b/>
          <w:color w:val="000000" w:themeColor="text1"/>
        </w:rPr>
        <w:t>Targets</w:t>
      </w:r>
    </w:p>
    <w:tbl>
      <w:tblPr>
        <w:tblW w:w="44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BTARGETS"/>
      </w:tblPr>
      <w:tblGrid>
        <w:gridCol w:w="1197"/>
        <w:gridCol w:w="1200"/>
        <w:gridCol w:w="1200"/>
        <w:gridCol w:w="1200"/>
        <w:gridCol w:w="1200"/>
        <w:gridCol w:w="1200"/>
        <w:gridCol w:w="1200"/>
        <w:gridCol w:w="1200"/>
      </w:tblGrid>
      <w:tr w:rsidR="00B14519" w:rsidRPr="00781112" w14:paraId="241559C7" w14:textId="3976E689" w:rsidTr="00451D7E">
        <w:tc>
          <w:tcPr>
            <w:tcW w:w="624" w:type="pct"/>
            <w:tcBorders>
              <w:bottom w:val="single" w:sz="4" w:space="0" w:color="auto"/>
            </w:tcBorders>
            <w:shd w:val="clear" w:color="auto" w:fill="auto"/>
            <w:vAlign w:val="center"/>
          </w:tcPr>
          <w:p w14:paraId="5F6C0247" w14:textId="02A2F5D1" w:rsidR="00B14519" w:rsidRPr="00781112" w:rsidRDefault="00B14519" w:rsidP="00536B0B">
            <w:pPr>
              <w:jc w:val="center"/>
              <w:rPr>
                <w:b/>
                <w:color w:val="000000" w:themeColor="text1"/>
              </w:rPr>
            </w:pPr>
            <w:r w:rsidRPr="00781112">
              <w:rPr>
                <w:b/>
                <w:color w:val="000000" w:themeColor="text1"/>
              </w:rPr>
              <w:t>Subject</w:t>
            </w:r>
          </w:p>
        </w:tc>
        <w:tc>
          <w:tcPr>
            <w:tcW w:w="625" w:type="pct"/>
            <w:tcBorders>
              <w:bottom w:val="single" w:sz="4" w:space="0" w:color="auto"/>
            </w:tcBorders>
            <w:shd w:val="clear" w:color="auto" w:fill="auto"/>
            <w:vAlign w:val="center"/>
          </w:tcPr>
          <w:p w14:paraId="1318C08B" w14:textId="57349DD9" w:rsidR="00B14519" w:rsidRPr="00781112" w:rsidRDefault="00B14519" w:rsidP="00536B0B">
            <w:pPr>
              <w:jc w:val="center"/>
              <w:rPr>
                <w:b/>
                <w:color w:val="000000" w:themeColor="text1"/>
              </w:rPr>
            </w:pPr>
            <w:r w:rsidRPr="00781112">
              <w:rPr>
                <w:b/>
                <w:color w:val="000000" w:themeColor="text1"/>
              </w:rPr>
              <w:t>Group</w:t>
            </w:r>
          </w:p>
        </w:tc>
        <w:tc>
          <w:tcPr>
            <w:tcW w:w="625" w:type="pct"/>
            <w:shd w:val="clear" w:color="auto" w:fill="auto"/>
            <w:vAlign w:val="center"/>
          </w:tcPr>
          <w:p w14:paraId="7EAB09FA" w14:textId="030EC418" w:rsidR="00B14519" w:rsidRPr="00781112" w:rsidDel="008E7B87" w:rsidRDefault="00B14519" w:rsidP="00536B0B">
            <w:pPr>
              <w:jc w:val="center"/>
              <w:rPr>
                <w:b/>
                <w:color w:val="000000" w:themeColor="text1"/>
              </w:rPr>
            </w:pPr>
            <w:r w:rsidRPr="00781112">
              <w:rPr>
                <w:b/>
                <w:color w:val="000000" w:themeColor="text1"/>
              </w:rPr>
              <w:t>Group Name</w:t>
            </w:r>
          </w:p>
        </w:tc>
        <w:tc>
          <w:tcPr>
            <w:tcW w:w="625" w:type="pct"/>
            <w:shd w:val="clear" w:color="auto" w:fill="auto"/>
            <w:vAlign w:val="center"/>
          </w:tcPr>
          <w:p w14:paraId="547F4988" w14:textId="1F981DE2" w:rsidR="00B14519" w:rsidRPr="00781112" w:rsidRDefault="00B14519" w:rsidP="00536B0B">
            <w:pPr>
              <w:jc w:val="center"/>
              <w:rPr>
                <w:b/>
                <w:color w:val="000000" w:themeColor="text1"/>
              </w:rPr>
            </w:pPr>
            <w:r w:rsidRPr="00781112">
              <w:rPr>
                <w:b/>
                <w:color w:val="000000" w:themeColor="text1"/>
              </w:rPr>
              <w:t>2021</w:t>
            </w:r>
          </w:p>
        </w:tc>
        <w:tc>
          <w:tcPr>
            <w:tcW w:w="625" w:type="pct"/>
            <w:vAlign w:val="center"/>
          </w:tcPr>
          <w:p w14:paraId="54E0670C" w14:textId="46A8862B" w:rsidR="00B14519" w:rsidRPr="00781112" w:rsidRDefault="00B14519" w:rsidP="00536B0B">
            <w:pPr>
              <w:jc w:val="center"/>
              <w:rPr>
                <w:b/>
                <w:color w:val="000000" w:themeColor="text1"/>
              </w:rPr>
            </w:pPr>
            <w:r w:rsidRPr="00781112">
              <w:rPr>
                <w:rFonts w:cs="Arial"/>
                <w:b/>
                <w:color w:val="000000" w:themeColor="text1"/>
                <w:szCs w:val="16"/>
              </w:rPr>
              <w:t>2022</w:t>
            </w:r>
          </w:p>
        </w:tc>
        <w:tc>
          <w:tcPr>
            <w:tcW w:w="625" w:type="pct"/>
            <w:vAlign w:val="center"/>
          </w:tcPr>
          <w:p w14:paraId="0317CAEF" w14:textId="4A2FF736" w:rsidR="00B14519" w:rsidRPr="00781112" w:rsidRDefault="00B14519" w:rsidP="00536B0B">
            <w:pPr>
              <w:jc w:val="center"/>
              <w:rPr>
                <w:b/>
                <w:color w:val="000000" w:themeColor="text1"/>
              </w:rPr>
            </w:pPr>
            <w:r w:rsidRPr="00781112">
              <w:rPr>
                <w:rFonts w:cs="Arial"/>
                <w:b/>
                <w:color w:val="000000" w:themeColor="text1"/>
                <w:szCs w:val="16"/>
              </w:rPr>
              <w:t>2023</w:t>
            </w:r>
          </w:p>
        </w:tc>
        <w:tc>
          <w:tcPr>
            <w:tcW w:w="625" w:type="pct"/>
            <w:vAlign w:val="center"/>
          </w:tcPr>
          <w:p w14:paraId="20B86A7A" w14:textId="2D2BB96C" w:rsidR="00B14519" w:rsidRPr="00781112" w:rsidRDefault="00B14519" w:rsidP="00536B0B">
            <w:pPr>
              <w:jc w:val="center"/>
              <w:rPr>
                <w:b/>
                <w:color w:val="000000" w:themeColor="text1"/>
              </w:rPr>
            </w:pPr>
            <w:r w:rsidRPr="00781112">
              <w:rPr>
                <w:rFonts w:cs="Arial"/>
                <w:b/>
                <w:color w:val="000000" w:themeColor="text1"/>
                <w:szCs w:val="16"/>
              </w:rPr>
              <w:t>2024</w:t>
            </w:r>
          </w:p>
        </w:tc>
        <w:tc>
          <w:tcPr>
            <w:tcW w:w="625" w:type="pct"/>
            <w:vAlign w:val="center"/>
          </w:tcPr>
          <w:p w14:paraId="076A0812" w14:textId="01751FCE" w:rsidR="00B14519" w:rsidRPr="00781112" w:rsidRDefault="00B14519" w:rsidP="00536B0B">
            <w:pPr>
              <w:jc w:val="center"/>
              <w:rPr>
                <w:b/>
                <w:color w:val="000000" w:themeColor="text1"/>
              </w:rPr>
            </w:pPr>
            <w:r w:rsidRPr="00781112">
              <w:rPr>
                <w:rFonts w:cs="Arial"/>
                <w:b/>
                <w:color w:val="000000" w:themeColor="text1"/>
                <w:szCs w:val="16"/>
              </w:rPr>
              <w:t>2025</w:t>
            </w:r>
          </w:p>
        </w:tc>
      </w:tr>
      <w:tr w:rsidR="00B14519" w:rsidRPr="00781112" w14:paraId="6D8B6989" w14:textId="160D0375" w:rsidTr="00451D7E">
        <w:tc>
          <w:tcPr>
            <w:tcW w:w="624" w:type="pct"/>
            <w:shd w:val="clear" w:color="auto" w:fill="auto"/>
            <w:vAlign w:val="center"/>
          </w:tcPr>
          <w:p w14:paraId="1B70FAC0" w14:textId="0849CE9C"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Reading</w:t>
            </w:r>
          </w:p>
        </w:tc>
        <w:tc>
          <w:tcPr>
            <w:tcW w:w="625" w:type="pct"/>
            <w:shd w:val="clear" w:color="auto" w:fill="auto"/>
            <w:vAlign w:val="center"/>
          </w:tcPr>
          <w:p w14:paraId="6221F405" w14:textId="189877A2"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A &gt;=</w:t>
            </w:r>
          </w:p>
        </w:tc>
        <w:tc>
          <w:tcPr>
            <w:tcW w:w="625" w:type="pct"/>
            <w:shd w:val="clear" w:color="auto" w:fill="auto"/>
            <w:vAlign w:val="center"/>
          </w:tcPr>
          <w:p w14:paraId="6D2C8AC8" w14:textId="0101FADC" w:rsidR="00B14519" w:rsidRPr="00781112" w:rsidDel="00DB0A73" w:rsidRDefault="00B14519" w:rsidP="004E5C74">
            <w:pPr>
              <w:jc w:val="center"/>
              <w:rPr>
                <w:rFonts w:cs="Arial"/>
                <w:color w:val="000000" w:themeColor="text1"/>
                <w:szCs w:val="16"/>
              </w:rPr>
            </w:pPr>
            <w:r w:rsidRPr="00781112">
              <w:rPr>
                <w:rFonts w:cs="Arial"/>
                <w:color w:val="000000" w:themeColor="text1"/>
                <w:szCs w:val="16"/>
              </w:rPr>
              <w:t>Grade 4</w:t>
            </w:r>
          </w:p>
        </w:tc>
        <w:tc>
          <w:tcPr>
            <w:tcW w:w="625" w:type="pct"/>
            <w:shd w:val="clear" w:color="auto" w:fill="auto"/>
            <w:vAlign w:val="center"/>
          </w:tcPr>
          <w:p w14:paraId="1794FDC8" w14:textId="2C32479D" w:rsidR="00B14519" w:rsidRPr="00781112" w:rsidRDefault="00B14519" w:rsidP="004E5C74">
            <w:pPr>
              <w:jc w:val="center"/>
              <w:rPr>
                <w:rFonts w:cs="Arial"/>
                <w:color w:val="000000" w:themeColor="text1"/>
                <w:szCs w:val="16"/>
              </w:rPr>
            </w:pPr>
            <w:r w:rsidRPr="00781112">
              <w:rPr>
                <w:rFonts w:cs="Arial"/>
                <w:color w:val="000000" w:themeColor="text1"/>
                <w:szCs w:val="16"/>
              </w:rPr>
              <w:t>14.51%</w:t>
            </w:r>
          </w:p>
        </w:tc>
        <w:tc>
          <w:tcPr>
            <w:tcW w:w="625" w:type="pct"/>
            <w:vAlign w:val="center"/>
          </w:tcPr>
          <w:p w14:paraId="609A7D0F" w14:textId="138D9671" w:rsidR="00B14519" w:rsidRPr="00781112" w:rsidRDefault="00B14519" w:rsidP="004E5C74">
            <w:pPr>
              <w:jc w:val="center"/>
              <w:rPr>
                <w:rFonts w:cs="Arial"/>
                <w:color w:val="000000" w:themeColor="text1"/>
                <w:szCs w:val="16"/>
              </w:rPr>
            </w:pPr>
            <w:r w:rsidRPr="00781112">
              <w:rPr>
                <w:rFonts w:cs="Arial"/>
                <w:color w:val="000000" w:themeColor="text1"/>
                <w:szCs w:val="16"/>
              </w:rPr>
              <w:t>14.75%</w:t>
            </w:r>
          </w:p>
        </w:tc>
        <w:tc>
          <w:tcPr>
            <w:tcW w:w="625" w:type="pct"/>
            <w:vAlign w:val="center"/>
          </w:tcPr>
          <w:p w14:paraId="3DF1FAFA" w14:textId="4C333171" w:rsidR="00B14519" w:rsidRPr="00781112" w:rsidRDefault="00B14519" w:rsidP="004E5C74">
            <w:pPr>
              <w:jc w:val="center"/>
              <w:rPr>
                <w:rFonts w:cs="Arial"/>
                <w:color w:val="000000" w:themeColor="text1"/>
                <w:szCs w:val="16"/>
              </w:rPr>
            </w:pPr>
            <w:r w:rsidRPr="00781112">
              <w:rPr>
                <w:rFonts w:cs="Arial"/>
                <w:color w:val="000000" w:themeColor="text1"/>
                <w:szCs w:val="16"/>
              </w:rPr>
              <w:t>15.00%</w:t>
            </w:r>
          </w:p>
        </w:tc>
        <w:tc>
          <w:tcPr>
            <w:tcW w:w="625" w:type="pct"/>
            <w:vAlign w:val="center"/>
          </w:tcPr>
          <w:p w14:paraId="77B3DA55" w14:textId="44F9C6DA" w:rsidR="00B14519" w:rsidRPr="00781112" w:rsidRDefault="00B14519" w:rsidP="004E5C74">
            <w:pPr>
              <w:jc w:val="center"/>
              <w:rPr>
                <w:rFonts w:cs="Arial"/>
                <w:color w:val="000000" w:themeColor="text1"/>
                <w:szCs w:val="16"/>
              </w:rPr>
            </w:pPr>
            <w:r w:rsidRPr="00781112">
              <w:rPr>
                <w:rFonts w:cs="Arial"/>
                <w:color w:val="000000" w:themeColor="text1"/>
                <w:szCs w:val="16"/>
              </w:rPr>
              <w:t>15.48%</w:t>
            </w:r>
          </w:p>
        </w:tc>
        <w:tc>
          <w:tcPr>
            <w:tcW w:w="625" w:type="pct"/>
            <w:vAlign w:val="center"/>
          </w:tcPr>
          <w:p w14:paraId="59DDD0B3" w14:textId="64292362" w:rsidR="00B14519" w:rsidRPr="00781112" w:rsidRDefault="00B14519" w:rsidP="004E5C74">
            <w:pPr>
              <w:jc w:val="center"/>
              <w:rPr>
                <w:rFonts w:cs="Arial"/>
                <w:color w:val="000000" w:themeColor="text1"/>
                <w:szCs w:val="16"/>
              </w:rPr>
            </w:pPr>
            <w:r w:rsidRPr="00781112">
              <w:rPr>
                <w:rFonts w:cs="Arial"/>
                <w:color w:val="000000" w:themeColor="text1"/>
                <w:szCs w:val="16"/>
              </w:rPr>
              <w:t>16.45%</w:t>
            </w:r>
          </w:p>
        </w:tc>
      </w:tr>
      <w:tr w:rsidR="00B14519" w:rsidRPr="00781112" w14:paraId="6BD665D1" w14:textId="5FDF63E7" w:rsidTr="00451D7E">
        <w:tc>
          <w:tcPr>
            <w:tcW w:w="624" w:type="pct"/>
            <w:shd w:val="clear" w:color="auto" w:fill="auto"/>
            <w:vAlign w:val="center"/>
          </w:tcPr>
          <w:p w14:paraId="2A84087F" w14:textId="4E8F4953"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Reading</w:t>
            </w:r>
          </w:p>
        </w:tc>
        <w:tc>
          <w:tcPr>
            <w:tcW w:w="625" w:type="pct"/>
            <w:shd w:val="clear" w:color="auto" w:fill="auto"/>
            <w:vAlign w:val="center"/>
          </w:tcPr>
          <w:p w14:paraId="2646C0D6" w14:textId="23685D27"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B &gt;=</w:t>
            </w:r>
          </w:p>
        </w:tc>
        <w:tc>
          <w:tcPr>
            <w:tcW w:w="625" w:type="pct"/>
            <w:shd w:val="clear" w:color="auto" w:fill="auto"/>
            <w:vAlign w:val="center"/>
          </w:tcPr>
          <w:p w14:paraId="67079A1D" w14:textId="08C9FD02" w:rsidR="00B14519" w:rsidRPr="00781112" w:rsidDel="00DB0A73" w:rsidRDefault="00B14519" w:rsidP="004E5C74">
            <w:pPr>
              <w:jc w:val="center"/>
              <w:rPr>
                <w:rFonts w:cs="Arial"/>
                <w:color w:val="000000" w:themeColor="text1"/>
                <w:szCs w:val="16"/>
              </w:rPr>
            </w:pPr>
            <w:r w:rsidRPr="00781112">
              <w:rPr>
                <w:rFonts w:cs="Arial"/>
                <w:color w:val="000000" w:themeColor="text1"/>
                <w:szCs w:val="16"/>
              </w:rPr>
              <w:t>Grade 8</w:t>
            </w:r>
          </w:p>
        </w:tc>
        <w:tc>
          <w:tcPr>
            <w:tcW w:w="625" w:type="pct"/>
            <w:shd w:val="clear" w:color="auto" w:fill="auto"/>
            <w:vAlign w:val="center"/>
          </w:tcPr>
          <w:p w14:paraId="03609D46" w14:textId="75CA57B6" w:rsidR="00B14519" w:rsidRPr="00781112" w:rsidRDefault="00B14519" w:rsidP="004E5C74">
            <w:pPr>
              <w:jc w:val="center"/>
              <w:rPr>
                <w:rFonts w:cs="Arial"/>
                <w:color w:val="000000" w:themeColor="text1"/>
                <w:szCs w:val="16"/>
              </w:rPr>
            </w:pPr>
            <w:r w:rsidRPr="00781112">
              <w:rPr>
                <w:rFonts w:cs="Arial"/>
                <w:color w:val="000000" w:themeColor="text1"/>
                <w:szCs w:val="16"/>
              </w:rPr>
              <w:t>7.31%</w:t>
            </w:r>
          </w:p>
        </w:tc>
        <w:tc>
          <w:tcPr>
            <w:tcW w:w="625" w:type="pct"/>
            <w:vAlign w:val="center"/>
          </w:tcPr>
          <w:p w14:paraId="08D72C36" w14:textId="2621CBFF" w:rsidR="00B14519" w:rsidRPr="00781112" w:rsidRDefault="00B14519" w:rsidP="004E5C74">
            <w:pPr>
              <w:jc w:val="center"/>
              <w:rPr>
                <w:rFonts w:cs="Arial"/>
                <w:color w:val="000000" w:themeColor="text1"/>
                <w:szCs w:val="16"/>
              </w:rPr>
            </w:pPr>
            <w:r w:rsidRPr="00781112">
              <w:rPr>
                <w:rFonts w:cs="Arial"/>
                <w:color w:val="000000" w:themeColor="text1"/>
                <w:szCs w:val="16"/>
              </w:rPr>
              <w:t>7.67%</w:t>
            </w:r>
          </w:p>
        </w:tc>
        <w:tc>
          <w:tcPr>
            <w:tcW w:w="625" w:type="pct"/>
            <w:vAlign w:val="center"/>
          </w:tcPr>
          <w:p w14:paraId="60E9FAA2" w14:textId="0E1508C1" w:rsidR="00B14519" w:rsidRPr="00781112" w:rsidRDefault="00B14519" w:rsidP="004E5C74">
            <w:pPr>
              <w:jc w:val="center"/>
              <w:rPr>
                <w:rFonts w:cs="Arial"/>
                <w:color w:val="000000" w:themeColor="text1"/>
                <w:szCs w:val="16"/>
              </w:rPr>
            </w:pPr>
            <w:r w:rsidRPr="00781112">
              <w:rPr>
                <w:rFonts w:cs="Arial"/>
                <w:color w:val="000000" w:themeColor="text1"/>
                <w:szCs w:val="16"/>
              </w:rPr>
              <w:t>8.03%</w:t>
            </w:r>
          </w:p>
        </w:tc>
        <w:tc>
          <w:tcPr>
            <w:tcW w:w="625" w:type="pct"/>
            <w:vAlign w:val="center"/>
          </w:tcPr>
          <w:p w14:paraId="55ED1028" w14:textId="05411637" w:rsidR="00B14519" w:rsidRPr="00781112" w:rsidRDefault="00B14519" w:rsidP="004E5C74">
            <w:pPr>
              <w:jc w:val="center"/>
              <w:rPr>
                <w:rFonts w:cs="Arial"/>
                <w:color w:val="000000" w:themeColor="text1"/>
                <w:szCs w:val="16"/>
              </w:rPr>
            </w:pPr>
            <w:r w:rsidRPr="00781112">
              <w:rPr>
                <w:rFonts w:cs="Arial"/>
                <w:color w:val="000000" w:themeColor="text1"/>
                <w:szCs w:val="16"/>
              </w:rPr>
              <w:t>8.74%</w:t>
            </w:r>
          </w:p>
        </w:tc>
        <w:tc>
          <w:tcPr>
            <w:tcW w:w="625" w:type="pct"/>
            <w:vAlign w:val="center"/>
          </w:tcPr>
          <w:p w14:paraId="3D7C28F8" w14:textId="2CE26657" w:rsidR="00B14519" w:rsidRPr="00781112" w:rsidRDefault="00B14519" w:rsidP="004E5C74">
            <w:pPr>
              <w:jc w:val="center"/>
              <w:rPr>
                <w:rFonts w:cs="Arial"/>
                <w:color w:val="000000" w:themeColor="text1"/>
                <w:szCs w:val="16"/>
              </w:rPr>
            </w:pPr>
            <w:r w:rsidRPr="00781112">
              <w:rPr>
                <w:rFonts w:cs="Arial"/>
                <w:color w:val="000000" w:themeColor="text1"/>
                <w:szCs w:val="16"/>
              </w:rPr>
              <w:t>10.17%</w:t>
            </w:r>
          </w:p>
        </w:tc>
      </w:tr>
      <w:tr w:rsidR="00B14519" w:rsidRPr="00781112" w14:paraId="7A08D372" w14:textId="5FBBCE88" w:rsidTr="00451D7E">
        <w:tc>
          <w:tcPr>
            <w:tcW w:w="624" w:type="pct"/>
            <w:shd w:val="clear" w:color="auto" w:fill="auto"/>
            <w:vAlign w:val="center"/>
          </w:tcPr>
          <w:p w14:paraId="3C8DF435" w14:textId="69FCCDF1"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Reading</w:t>
            </w:r>
          </w:p>
        </w:tc>
        <w:tc>
          <w:tcPr>
            <w:tcW w:w="625" w:type="pct"/>
            <w:shd w:val="clear" w:color="auto" w:fill="auto"/>
            <w:vAlign w:val="center"/>
          </w:tcPr>
          <w:p w14:paraId="2CDE7790" w14:textId="3B90C904"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C &gt;=</w:t>
            </w:r>
          </w:p>
        </w:tc>
        <w:tc>
          <w:tcPr>
            <w:tcW w:w="625" w:type="pct"/>
            <w:shd w:val="clear" w:color="auto" w:fill="auto"/>
            <w:vAlign w:val="center"/>
          </w:tcPr>
          <w:p w14:paraId="69727A60" w14:textId="2476755A" w:rsidR="00B14519" w:rsidRPr="00781112" w:rsidDel="00DB0A73" w:rsidRDefault="00B14519" w:rsidP="004E5C74">
            <w:pPr>
              <w:jc w:val="center"/>
              <w:rPr>
                <w:rFonts w:cs="Arial"/>
                <w:color w:val="000000" w:themeColor="text1"/>
                <w:szCs w:val="16"/>
              </w:rPr>
            </w:pPr>
            <w:r w:rsidRPr="00781112">
              <w:rPr>
                <w:rFonts w:cs="Arial"/>
                <w:color w:val="000000" w:themeColor="text1"/>
                <w:szCs w:val="16"/>
              </w:rPr>
              <w:t>Grade HS</w:t>
            </w:r>
          </w:p>
        </w:tc>
        <w:tc>
          <w:tcPr>
            <w:tcW w:w="625" w:type="pct"/>
            <w:shd w:val="clear" w:color="auto" w:fill="auto"/>
            <w:vAlign w:val="center"/>
          </w:tcPr>
          <w:p w14:paraId="6D9D8EC6" w14:textId="3C7C8315" w:rsidR="00B14519" w:rsidRPr="00781112" w:rsidRDefault="00B14519" w:rsidP="004E5C74">
            <w:pPr>
              <w:jc w:val="center"/>
              <w:rPr>
                <w:rFonts w:cs="Arial"/>
                <w:color w:val="000000" w:themeColor="text1"/>
                <w:szCs w:val="16"/>
              </w:rPr>
            </w:pPr>
            <w:r w:rsidRPr="00781112">
              <w:rPr>
                <w:rFonts w:cs="Arial"/>
                <w:color w:val="000000" w:themeColor="text1"/>
                <w:szCs w:val="16"/>
              </w:rPr>
              <w:t>8.58%</w:t>
            </w:r>
          </w:p>
        </w:tc>
        <w:tc>
          <w:tcPr>
            <w:tcW w:w="625" w:type="pct"/>
            <w:vAlign w:val="center"/>
          </w:tcPr>
          <w:p w14:paraId="6F53672D" w14:textId="674E45B1" w:rsidR="00B14519" w:rsidRPr="00781112" w:rsidRDefault="00B14519" w:rsidP="004E5C74">
            <w:pPr>
              <w:jc w:val="center"/>
              <w:rPr>
                <w:rFonts w:cs="Arial"/>
                <w:color w:val="000000" w:themeColor="text1"/>
                <w:szCs w:val="16"/>
              </w:rPr>
            </w:pPr>
            <w:r w:rsidRPr="00781112">
              <w:rPr>
                <w:rFonts w:cs="Arial"/>
                <w:color w:val="000000" w:themeColor="text1"/>
                <w:szCs w:val="16"/>
              </w:rPr>
              <w:t>8.75%</w:t>
            </w:r>
          </w:p>
        </w:tc>
        <w:tc>
          <w:tcPr>
            <w:tcW w:w="625" w:type="pct"/>
            <w:vAlign w:val="center"/>
          </w:tcPr>
          <w:p w14:paraId="1E839895" w14:textId="3633076A" w:rsidR="00B14519" w:rsidRPr="00781112" w:rsidRDefault="00B14519" w:rsidP="004E5C74">
            <w:pPr>
              <w:jc w:val="center"/>
              <w:rPr>
                <w:rFonts w:cs="Arial"/>
                <w:color w:val="000000" w:themeColor="text1"/>
                <w:szCs w:val="16"/>
              </w:rPr>
            </w:pPr>
            <w:r w:rsidRPr="00781112">
              <w:rPr>
                <w:rFonts w:cs="Arial"/>
                <w:color w:val="000000" w:themeColor="text1"/>
                <w:szCs w:val="16"/>
              </w:rPr>
              <w:t>8.92%</w:t>
            </w:r>
          </w:p>
        </w:tc>
        <w:tc>
          <w:tcPr>
            <w:tcW w:w="625" w:type="pct"/>
            <w:vAlign w:val="center"/>
          </w:tcPr>
          <w:p w14:paraId="64501470" w14:textId="22292C16" w:rsidR="00B14519" w:rsidRPr="00781112" w:rsidRDefault="00B14519" w:rsidP="004E5C74">
            <w:pPr>
              <w:jc w:val="center"/>
              <w:rPr>
                <w:rFonts w:cs="Arial"/>
                <w:color w:val="000000" w:themeColor="text1"/>
                <w:szCs w:val="16"/>
              </w:rPr>
            </w:pPr>
            <w:r w:rsidRPr="00781112">
              <w:rPr>
                <w:rFonts w:cs="Arial"/>
                <w:color w:val="000000" w:themeColor="text1"/>
                <w:szCs w:val="16"/>
              </w:rPr>
              <w:t>9.27%</w:t>
            </w:r>
          </w:p>
        </w:tc>
        <w:tc>
          <w:tcPr>
            <w:tcW w:w="625" w:type="pct"/>
            <w:vAlign w:val="center"/>
          </w:tcPr>
          <w:p w14:paraId="0CF7FF79" w14:textId="48B4AF2C" w:rsidR="00B14519" w:rsidRPr="00781112" w:rsidRDefault="00B14519" w:rsidP="004E5C74">
            <w:pPr>
              <w:jc w:val="center"/>
              <w:rPr>
                <w:rFonts w:cs="Arial"/>
                <w:color w:val="000000" w:themeColor="text1"/>
                <w:szCs w:val="16"/>
              </w:rPr>
            </w:pPr>
            <w:r w:rsidRPr="00781112">
              <w:rPr>
                <w:rFonts w:cs="Arial"/>
                <w:color w:val="000000" w:themeColor="text1"/>
                <w:szCs w:val="16"/>
              </w:rPr>
              <w:t>9.95%</w:t>
            </w:r>
          </w:p>
        </w:tc>
      </w:tr>
      <w:tr w:rsidR="00B14519" w:rsidRPr="00781112" w14:paraId="734BCCC4" w14:textId="02B757A8" w:rsidTr="00451D7E">
        <w:tc>
          <w:tcPr>
            <w:tcW w:w="624" w:type="pct"/>
            <w:shd w:val="clear" w:color="auto" w:fill="auto"/>
            <w:vAlign w:val="center"/>
          </w:tcPr>
          <w:p w14:paraId="20286AC8" w14:textId="018C9C4D"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Math</w:t>
            </w:r>
          </w:p>
        </w:tc>
        <w:tc>
          <w:tcPr>
            <w:tcW w:w="625" w:type="pct"/>
            <w:shd w:val="clear" w:color="auto" w:fill="auto"/>
            <w:vAlign w:val="center"/>
          </w:tcPr>
          <w:p w14:paraId="185C8DA8" w14:textId="6254892D"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A &gt;=</w:t>
            </w:r>
          </w:p>
        </w:tc>
        <w:tc>
          <w:tcPr>
            <w:tcW w:w="625" w:type="pct"/>
            <w:shd w:val="clear" w:color="auto" w:fill="auto"/>
            <w:vAlign w:val="center"/>
          </w:tcPr>
          <w:p w14:paraId="16FD84A2" w14:textId="1BD2010B" w:rsidR="00B14519" w:rsidRPr="00781112" w:rsidDel="00DB0A73" w:rsidRDefault="00B14519" w:rsidP="004E5C74">
            <w:pPr>
              <w:jc w:val="center"/>
              <w:rPr>
                <w:rFonts w:cs="Arial"/>
                <w:color w:val="000000" w:themeColor="text1"/>
                <w:szCs w:val="16"/>
              </w:rPr>
            </w:pPr>
            <w:r w:rsidRPr="00781112">
              <w:rPr>
                <w:rFonts w:cs="Arial"/>
                <w:color w:val="000000" w:themeColor="text1"/>
                <w:szCs w:val="16"/>
              </w:rPr>
              <w:t>Grade 4</w:t>
            </w:r>
          </w:p>
        </w:tc>
        <w:tc>
          <w:tcPr>
            <w:tcW w:w="625" w:type="pct"/>
            <w:shd w:val="clear" w:color="auto" w:fill="auto"/>
            <w:vAlign w:val="center"/>
          </w:tcPr>
          <w:p w14:paraId="0005999A" w14:textId="601F796F" w:rsidR="00B14519" w:rsidRPr="00781112" w:rsidRDefault="00B14519" w:rsidP="004E5C74">
            <w:pPr>
              <w:jc w:val="center"/>
              <w:rPr>
                <w:rFonts w:cs="Arial"/>
                <w:color w:val="000000" w:themeColor="text1"/>
                <w:szCs w:val="16"/>
              </w:rPr>
            </w:pPr>
            <w:r w:rsidRPr="00781112">
              <w:rPr>
                <w:rFonts w:cs="Arial"/>
                <w:color w:val="000000" w:themeColor="text1"/>
                <w:szCs w:val="16"/>
              </w:rPr>
              <w:t>19.74%</w:t>
            </w:r>
          </w:p>
        </w:tc>
        <w:tc>
          <w:tcPr>
            <w:tcW w:w="625" w:type="pct"/>
            <w:vAlign w:val="center"/>
          </w:tcPr>
          <w:p w14:paraId="2ADA59C0" w14:textId="7F027C54" w:rsidR="00B14519" w:rsidRPr="00781112" w:rsidRDefault="00B14519" w:rsidP="004E5C74">
            <w:pPr>
              <w:jc w:val="center"/>
              <w:rPr>
                <w:rFonts w:cs="Arial"/>
                <w:color w:val="000000" w:themeColor="text1"/>
                <w:szCs w:val="16"/>
              </w:rPr>
            </w:pPr>
            <w:r w:rsidRPr="00781112">
              <w:rPr>
                <w:rFonts w:cs="Arial"/>
                <w:color w:val="000000" w:themeColor="text1"/>
                <w:szCs w:val="16"/>
              </w:rPr>
              <w:t>19.91%</w:t>
            </w:r>
          </w:p>
        </w:tc>
        <w:tc>
          <w:tcPr>
            <w:tcW w:w="625" w:type="pct"/>
            <w:vAlign w:val="center"/>
          </w:tcPr>
          <w:p w14:paraId="63258519" w14:textId="524B5DC2" w:rsidR="00B14519" w:rsidRPr="00781112" w:rsidRDefault="00B14519" w:rsidP="004E5C74">
            <w:pPr>
              <w:jc w:val="center"/>
              <w:rPr>
                <w:rFonts w:cs="Arial"/>
                <w:color w:val="000000" w:themeColor="text1"/>
                <w:szCs w:val="16"/>
              </w:rPr>
            </w:pPr>
            <w:r w:rsidRPr="00781112">
              <w:rPr>
                <w:rFonts w:cs="Arial"/>
                <w:color w:val="000000" w:themeColor="text1"/>
                <w:szCs w:val="16"/>
              </w:rPr>
              <w:t>20.09%</w:t>
            </w:r>
          </w:p>
        </w:tc>
        <w:tc>
          <w:tcPr>
            <w:tcW w:w="625" w:type="pct"/>
            <w:vAlign w:val="center"/>
          </w:tcPr>
          <w:p w14:paraId="4B2BD04F" w14:textId="59A32E65" w:rsidR="00B14519" w:rsidRPr="00781112" w:rsidRDefault="00B14519" w:rsidP="004E5C74">
            <w:pPr>
              <w:jc w:val="center"/>
              <w:rPr>
                <w:rFonts w:cs="Arial"/>
                <w:color w:val="000000" w:themeColor="text1"/>
                <w:szCs w:val="16"/>
              </w:rPr>
            </w:pPr>
            <w:r w:rsidRPr="00781112">
              <w:rPr>
                <w:rFonts w:cs="Arial"/>
                <w:color w:val="000000" w:themeColor="text1"/>
                <w:szCs w:val="16"/>
              </w:rPr>
              <w:t>20.43%</w:t>
            </w:r>
          </w:p>
        </w:tc>
        <w:tc>
          <w:tcPr>
            <w:tcW w:w="625" w:type="pct"/>
            <w:vAlign w:val="center"/>
          </w:tcPr>
          <w:p w14:paraId="2E366D74" w14:textId="47D73C6E" w:rsidR="00B14519" w:rsidRPr="00781112" w:rsidRDefault="00B14519" w:rsidP="004E5C74">
            <w:pPr>
              <w:jc w:val="center"/>
              <w:rPr>
                <w:rFonts w:cs="Arial"/>
                <w:color w:val="000000" w:themeColor="text1"/>
                <w:szCs w:val="16"/>
              </w:rPr>
            </w:pPr>
            <w:r w:rsidRPr="00781112">
              <w:rPr>
                <w:rFonts w:cs="Arial"/>
                <w:color w:val="000000" w:themeColor="text1"/>
                <w:szCs w:val="16"/>
              </w:rPr>
              <w:t>21.12%</w:t>
            </w:r>
          </w:p>
        </w:tc>
      </w:tr>
      <w:tr w:rsidR="00B14519" w:rsidRPr="00781112" w14:paraId="26043383" w14:textId="3D057A6F" w:rsidTr="00451D7E">
        <w:tc>
          <w:tcPr>
            <w:tcW w:w="624" w:type="pct"/>
            <w:shd w:val="clear" w:color="auto" w:fill="auto"/>
            <w:vAlign w:val="center"/>
          </w:tcPr>
          <w:p w14:paraId="2BCD3006" w14:textId="785241B2"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Math</w:t>
            </w:r>
          </w:p>
        </w:tc>
        <w:tc>
          <w:tcPr>
            <w:tcW w:w="625" w:type="pct"/>
            <w:shd w:val="clear" w:color="auto" w:fill="auto"/>
            <w:vAlign w:val="center"/>
          </w:tcPr>
          <w:p w14:paraId="79B80F0C" w14:textId="52C31857"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B &gt;=</w:t>
            </w:r>
          </w:p>
        </w:tc>
        <w:tc>
          <w:tcPr>
            <w:tcW w:w="625" w:type="pct"/>
            <w:shd w:val="clear" w:color="auto" w:fill="auto"/>
            <w:vAlign w:val="center"/>
          </w:tcPr>
          <w:p w14:paraId="27B1E35D" w14:textId="336183AA" w:rsidR="00B14519" w:rsidRPr="00781112" w:rsidDel="00DB0A73" w:rsidRDefault="00B14519" w:rsidP="004E5C74">
            <w:pPr>
              <w:jc w:val="center"/>
              <w:rPr>
                <w:rFonts w:cs="Arial"/>
                <w:color w:val="000000" w:themeColor="text1"/>
                <w:szCs w:val="16"/>
              </w:rPr>
            </w:pPr>
            <w:r w:rsidRPr="00781112">
              <w:rPr>
                <w:rFonts w:cs="Arial"/>
                <w:color w:val="000000" w:themeColor="text1"/>
                <w:szCs w:val="16"/>
              </w:rPr>
              <w:t>Grade 8</w:t>
            </w:r>
          </w:p>
        </w:tc>
        <w:tc>
          <w:tcPr>
            <w:tcW w:w="625" w:type="pct"/>
            <w:shd w:val="clear" w:color="auto" w:fill="auto"/>
            <w:vAlign w:val="center"/>
          </w:tcPr>
          <w:p w14:paraId="25263A65" w14:textId="2189A9FC" w:rsidR="00B14519" w:rsidRPr="00781112" w:rsidRDefault="00B14519" w:rsidP="004E5C74">
            <w:pPr>
              <w:jc w:val="center"/>
              <w:rPr>
                <w:rFonts w:cs="Arial"/>
                <w:color w:val="000000" w:themeColor="text1"/>
                <w:szCs w:val="16"/>
              </w:rPr>
            </w:pPr>
            <w:r w:rsidRPr="00781112">
              <w:rPr>
                <w:rFonts w:cs="Arial"/>
                <w:color w:val="000000" w:themeColor="text1"/>
                <w:szCs w:val="16"/>
              </w:rPr>
              <w:t>6.02%</w:t>
            </w:r>
          </w:p>
        </w:tc>
        <w:tc>
          <w:tcPr>
            <w:tcW w:w="625" w:type="pct"/>
            <w:vAlign w:val="center"/>
          </w:tcPr>
          <w:p w14:paraId="558D49D9" w14:textId="56776B71" w:rsidR="00B14519" w:rsidRPr="00781112" w:rsidRDefault="00B14519" w:rsidP="004E5C74">
            <w:pPr>
              <w:jc w:val="center"/>
              <w:rPr>
                <w:rFonts w:cs="Arial"/>
                <w:color w:val="000000" w:themeColor="text1"/>
                <w:szCs w:val="16"/>
              </w:rPr>
            </w:pPr>
            <w:r w:rsidRPr="00781112">
              <w:rPr>
                <w:rFonts w:cs="Arial"/>
                <w:color w:val="000000" w:themeColor="text1"/>
                <w:szCs w:val="16"/>
              </w:rPr>
              <w:t>6.15%</w:t>
            </w:r>
          </w:p>
        </w:tc>
        <w:tc>
          <w:tcPr>
            <w:tcW w:w="625" w:type="pct"/>
            <w:vAlign w:val="center"/>
          </w:tcPr>
          <w:p w14:paraId="529C7F25" w14:textId="45E82B2D" w:rsidR="00B14519" w:rsidRPr="00781112" w:rsidRDefault="00B14519" w:rsidP="004E5C74">
            <w:pPr>
              <w:jc w:val="center"/>
              <w:rPr>
                <w:rFonts w:cs="Arial"/>
                <w:color w:val="000000" w:themeColor="text1"/>
                <w:szCs w:val="16"/>
              </w:rPr>
            </w:pPr>
            <w:r w:rsidRPr="00781112">
              <w:rPr>
                <w:rFonts w:cs="Arial"/>
                <w:color w:val="000000" w:themeColor="text1"/>
                <w:szCs w:val="16"/>
              </w:rPr>
              <w:t>6.28%</w:t>
            </w:r>
          </w:p>
        </w:tc>
        <w:tc>
          <w:tcPr>
            <w:tcW w:w="625" w:type="pct"/>
            <w:vAlign w:val="center"/>
          </w:tcPr>
          <w:p w14:paraId="0CD7F429" w14:textId="3C743F76" w:rsidR="00B14519" w:rsidRPr="00781112" w:rsidRDefault="00B14519" w:rsidP="004E5C74">
            <w:pPr>
              <w:jc w:val="center"/>
              <w:rPr>
                <w:rFonts w:cs="Arial"/>
                <w:color w:val="000000" w:themeColor="text1"/>
                <w:szCs w:val="16"/>
              </w:rPr>
            </w:pPr>
            <w:r w:rsidRPr="00781112">
              <w:rPr>
                <w:rFonts w:cs="Arial"/>
                <w:color w:val="000000" w:themeColor="text1"/>
                <w:szCs w:val="16"/>
              </w:rPr>
              <w:t>6.54%</w:t>
            </w:r>
          </w:p>
        </w:tc>
        <w:tc>
          <w:tcPr>
            <w:tcW w:w="625" w:type="pct"/>
            <w:vAlign w:val="center"/>
          </w:tcPr>
          <w:p w14:paraId="32C7804D" w14:textId="4585EF77" w:rsidR="00B14519" w:rsidRPr="00781112" w:rsidRDefault="00B14519" w:rsidP="004E5C74">
            <w:pPr>
              <w:jc w:val="center"/>
              <w:rPr>
                <w:rFonts w:cs="Arial"/>
                <w:color w:val="000000" w:themeColor="text1"/>
                <w:szCs w:val="16"/>
              </w:rPr>
            </w:pPr>
            <w:r w:rsidRPr="00781112">
              <w:rPr>
                <w:rFonts w:cs="Arial"/>
                <w:color w:val="000000" w:themeColor="text1"/>
                <w:szCs w:val="16"/>
              </w:rPr>
              <w:t>7.05%</w:t>
            </w:r>
          </w:p>
        </w:tc>
      </w:tr>
      <w:tr w:rsidR="00B14519" w:rsidRPr="00781112" w14:paraId="169D5323" w14:textId="1CB4A506" w:rsidTr="00451D7E">
        <w:tc>
          <w:tcPr>
            <w:tcW w:w="624" w:type="pct"/>
            <w:shd w:val="clear" w:color="auto" w:fill="auto"/>
            <w:vAlign w:val="center"/>
          </w:tcPr>
          <w:p w14:paraId="21DAE194" w14:textId="06AF539C"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Math</w:t>
            </w:r>
          </w:p>
        </w:tc>
        <w:tc>
          <w:tcPr>
            <w:tcW w:w="625" w:type="pct"/>
            <w:shd w:val="clear" w:color="auto" w:fill="auto"/>
            <w:vAlign w:val="center"/>
          </w:tcPr>
          <w:p w14:paraId="650CB8D7" w14:textId="080D022D"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C &gt;=</w:t>
            </w:r>
          </w:p>
        </w:tc>
        <w:tc>
          <w:tcPr>
            <w:tcW w:w="625" w:type="pct"/>
            <w:shd w:val="clear" w:color="auto" w:fill="auto"/>
            <w:vAlign w:val="center"/>
          </w:tcPr>
          <w:p w14:paraId="45DBFB21" w14:textId="372229DD" w:rsidR="00B14519" w:rsidRPr="00781112" w:rsidDel="00DB0A73" w:rsidRDefault="00B14519" w:rsidP="004E5C74">
            <w:pPr>
              <w:jc w:val="center"/>
              <w:rPr>
                <w:rFonts w:cs="Arial"/>
                <w:color w:val="000000" w:themeColor="text1"/>
                <w:szCs w:val="16"/>
              </w:rPr>
            </w:pPr>
            <w:r w:rsidRPr="00781112">
              <w:rPr>
                <w:rFonts w:cs="Arial"/>
                <w:color w:val="000000" w:themeColor="text1"/>
                <w:szCs w:val="16"/>
              </w:rPr>
              <w:t>Grade HS</w:t>
            </w:r>
          </w:p>
        </w:tc>
        <w:tc>
          <w:tcPr>
            <w:tcW w:w="625" w:type="pct"/>
            <w:shd w:val="clear" w:color="auto" w:fill="auto"/>
            <w:vAlign w:val="center"/>
          </w:tcPr>
          <w:p w14:paraId="341BF449" w14:textId="76191C29" w:rsidR="00B14519" w:rsidRPr="00781112" w:rsidRDefault="00B14519" w:rsidP="004E5C74">
            <w:pPr>
              <w:jc w:val="center"/>
              <w:rPr>
                <w:rFonts w:cs="Arial"/>
                <w:color w:val="000000" w:themeColor="text1"/>
                <w:szCs w:val="16"/>
              </w:rPr>
            </w:pPr>
            <w:r w:rsidRPr="00781112">
              <w:rPr>
                <w:rFonts w:cs="Arial"/>
                <w:color w:val="000000" w:themeColor="text1"/>
                <w:szCs w:val="16"/>
              </w:rPr>
              <w:t>3.19%</w:t>
            </w:r>
          </w:p>
        </w:tc>
        <w:tc>
          <w:tcPr>
            <w:tcW w:w="625" w:type="pct"/>
            <w:vAlign w:val="center"/>
          </w:tcPr>
          <w:p w14:paraId="5424FF66" w14:textId="7AB6DE06" w:rsidR="00B14519" w:rsidRPr="00781112" w:rsidRDefault="00B14519" w:rsidP="004E5C74">
            <w:pPr>
              <w:jc w:val="center"/>
              <w:rPr>
                <w:rFonts w:cs="Arial"/>
                <w:color w:val="000000" w:themeColor="text1"/>
                <w:szCs w:val="16"/>
              </w:rPr>
            </w:pPr>
            <w:r w:rsidRPr="00781112">
              <w:rPr>
                <w:rFonts w:cs="Arial"/>
                <w:color w:val="000000" w:themeColor="text1"/>
                <w:szCs w:val="16"/>
              </w:rPr>
              <w:t>3.39%</w:t>
            </w:r>
          </w:p>
        </w:tc>
        <w:tc>
          <w:tcPr>
            <w:tcW w:w="625" w:type="pct"/>
            <w:vAlign w:val="center"/>
          </w:tcPr>
          <w:p w14:paraId="552DC3D3" w14:textId="79B2C0C8" w:rsidR="00B14519" w:rsidRPr="00781112" w:rsidRDefault="00B14519" w:rsidP="004E5C74">
            <w:pPr>
              <w:jc w:val="center"/>
              <w:rPr>
                <w:rFonts w:cs="Arial"/>
                <w:color w:val="000000" w:themeColor="text1"/>
                <w:szCs w:val="16"/>
              </w:rPr>
            </w:pPr>
            <w:r w:rsidRPr="00781112">
              <w:rPr>
                <w:rFonts w:cs="Arial"/>
                <w:color w:val="000000" w:themeColor="text1"/>
                <w:szCs w:val="16"/>
              </w:rPr>
              <w:t>3.58%</w:t>
            </w:r>
          </w:p>
        </w:tc>
        <w:tc>
          <w:tcPr>
            <w:tcW w:w="625" w:type="pct"/>
            <w:vAlign w:val="center"/>
          </w:tcPr>
          <w:p w14:paraId="4ECE9215" w14:textId="1D6B1BD9" w:rsidR="00B14519" w:rsidRPr="00781112" w:rsidRDefault="00B14519" w:rsidP="004E5C74">
            <w:pPr>
              <w:jc w:val="center"/>
              <w:rPr>
                <w:rFonts w:cs="Arial"/>
                <w:color w:val="000000" w:themeColor="text1"/>
                <w:szCs w:val="16"/>
              </w:rPr>
            </w:pPr>
            <w:r w:rsidRPr="00781112">
              <w:rPr>
                <w:rFonts w:cs="Arial"/>
                <w:color w:val="000000" w:themeColor="text1"/>
                <w:szCs w:val="16"/>
              </w:rPr>
              <w:t>3.98%</w:t>
            </w:r>
          </w:p>
        </w:tc>
        <w:tc>
          <w:tcPr>
            <w:tcW w:w="625" w:type="pct"/>
            <w:vAlign w:val="center"/>
          </w:tcPr>
          <w:p w14:paraId="6E3EC3AC" w14:textId="066F1EBD" w:rsidR="00B14519" w:rsidRPr="00781112" w:rsidRDefault="00B14519" w:rsidP="004E5C74">
            <w:pPr>
              <w:jc w:val="center"/>
              <w:rPr>
                <w:rFonts w:cs="Arial"/>
                <w:color w:val="000000" w:themeColor="text1"/>
                <w:szCs w:val="16"/>
              </w:rPr>
            </w:pPr>
            <w:r w:rsidRPr="00781112">
              <w:rPr>
                <w:rFonts w:cs="Arial"/>
                <w:color w:val="000000" w:themeColor="text1"/>
                <w:szCs w:val="16"/>
              </w:rPr>
              <w:t>4.76%</w:t>
            </w:r>
          </w:p>
        </w:tc>
      </w:tr>
    </w:tbl>
    <w:p w14:paraId="102C9294" w14:textId="426FC0A1" w:rsidR="002D145D" w:rsidRPr="00781112" w:rsidRDefault="002D145D" w:rsidP="004369B2">
      <w:pPr>
        <w:rPr>
          <w:b/>
          <w:color w:val="000000" w:themeColor="text1"/>
        </w:rPr>
      </w:pPr>
      <w:r w:rsidRPr="00781112">
        <w:rPr>
          <w:b/>
          <w:color w:val="000000" w:themeColor="text1"/>
        </w:rPr>
        <w:t xml:space="preserve">Targets: Description of Stakeholder Input </w:t>
      </w:r>
    </w:p>
    <w:p w14:paraId="18FFE566" w14:textId="1BC11D3C" w:rsidR="002D145D" w:rsidRPr="00781112" w:rsidRDefault="002B7490" w:rsidP="002D145D">
      <w:pPr>
        <w:rPr>
          <w:rFonts w:cs="Arial"/>
          <w:color w:val="000000" w:themeColor="text1"/>
          <w:szCs w:val="16"/>
        </w:rPr>
      </w:pPr>
      <w:r w:rsidRPr="00781112">
        <w:rPr>
          <w:rFonts w:cs="Arial"/>
          <w:color w:val="000000" w:themeColor="text1"/>
          <w:szCs w:val="16"/>
        </w:rPr>
        <w:t>The USBE SES values stakeholder engagement and input and solicits ongoing feedback and review. Stakeholders consistently provide input through collaborative meetings, public comment, written communication, survey data, data analysis, and informal conversations. To share data and information and collect feedback on areas such as SPP/APR targets, the USBE SES employs meetings, newsletters, emails, surveys, and social media with stakeholder groups:</w:t>
      </w:r>
      <w:r w:rsidRPr="00781112">
        <w:rPr>
          <w:rFonts w:cs="Arial"/>
          <w:color w:val="000000" w:themeColor="text1"/>
          <w:szCs w:val="16"/>
        </w:rPr>
        <w:br/>
        <w:t>• LEA Special Education Directors</w:t>
      </w:r>
      <w:r w:rsidRPr="00781112">
        <w:rPr>
          <w:rFonts w:cs="Arial"/>
          <w:color w:val="000000" w:themeColor="text1"/>
          <w:szCs w:val="16"/>
        </w:rPr>
        <w:br/>
        <w:t>• Utah Special Education Advisory Panel (USEAP)</w:t>
      </w:r>
      <w:r w:rsidRPr="00781112">
        <w:rPr>
          <w:rFonts w:cs="Arial"/>
          <w:color w:val="000000" w:themeColor="text1"/>
          <w:szCs w:val="16"/>
        </w:rPr>
        <w:br/>
        <w:t>• USBE Committees</w:t>
      </w:r>
      <w:r w:rsidRPr="00781112">
        <w:rPr>
          <w:rFonts w:cs="Arial"/>
          <w:color w:val="000000" w:themeColor="text1"/>
          <w:szCs w:val="16"/>
        </w:rPr>
        <w:br/>
        <w:t>• Utah Legislative Committees</w:t>
      </w:r>
      <w:r w:rsidRPr="00781112">
        <w:rPr>
          <w:rFonts w:cs="Arial"/>
          <w:color w:val="000000" w:themeColor="text1"/>
          <w:szCs w:val="16"/>
        </w:rPr>
        <w:br/>
        <w:t>• Utah Parent Center (UPC)</w:t>
      </w:r>
      <w:r w:rsidRPr="00781112">
        <w:rPr>
          <w:rFonts w:cs="Arial"/>
          <w:color w:val="000000" w:themeColor="text1"/>
          <w:szCs w:val="16"/>
        </w:rPr>
        <w:br/>
        <w:t>• LEA Curriculum and Assessment Directors</w:t>
      </w:r>
      <w:r w:rsidRPr="00781112">
        <w:rPr>
          <w:rFonts w:cs="Arial"/>
          <w:color w:val="000000" w:themeColor="text1"/>
          <w:szCs w:val="16"/>
        </w:rPr>
        <w:br/>
        <w:t>• LEA Preschool Coordinators</w:t>
      </w:r>
      <w:r w:rsidRPr="00781112">
        <w:rPr>
          <w:rFonts w:cs="Arial"/>
          <w:color w:val="000000" w:themeColor="text1"/>
          <w:szCs w:val="16"/>
        </w:rPr>
        <w:br/>
      </w:r>
      <w:r w:rsidRPr="00781112">
        <w:rPr>
          <w:rFonts w:cs="Arial"/>
          <w:color w:val="000000" w:themeColor="text1"/>
          <w:szCs w:val="16"/>
        </w:rPr>
        <w:lastRenderedPageBreak/>
        <w:t>• LEA Administrators</w:t>
      </w:r>
      <w:r w:rsidRPr="00781112">
        <w:rPr>
          <w:rFonts w:cs="Arial"/>
          <w:color w:val="000000" w:themeColor="text1"/>
          <w:szCs w:val="16"/>
        </w:rPr>
        <w:br/>
        <w:t>•Utah Institutes of Higher Education (IHEs)</w:t>
      </w:r>
      <w:r w:rsidRPr="00781112">
        <w:rPr>
          <w:rFonts w:cs="Arial"/>
          <w:color w:val="000000" w:themeColor="text1"/>
          <w:szCs w:val="16"/>
        </w:rPr>
        <w:br/>
        <w:t>• Baby Watch/Early Intervention (Utah’s Part C agency)</w:t>
      </w:r>
      <w:r w:rsidRPr="00781112">
        <w:rPr>
          <w:rFonts w:cs="Arial"/>
          <w:color w:val="000000" w:themeColor="text1"/>
          <w:szCs w:val="16"/>
        </w:rPr>
        <w:br/>
        <w:t>• Agencies and non-profit organizations that provide services to SWD</w:t>
      </w:r>
      <w:r w:rsidRPr="00781112">
        <w:rPr>
          <w:rFonts w:cs="Arial"/>
          <w:color w:val="000000" w:themeColor="text1"/>
          <w:szCs w:val="16"/>
        </w:rPr>
        <w:br/>
        <w:t>• Utah Educators</w:t>
      </w:r>
      <w:r w:rsidRPr="00781112">
        <w:rPr>
          <w:rFonts w:cs="Arial"/>
          <w:color w:val="000000" w:themeColor="text1"/>
          <w:szCs w:val="16"/>
        </w:rPr>
        <w:br/>
        <w:t>• Advocacy groups throughout the State</w:t>
      </w:r>
      <w:r w:rsidRPr="00781112">
        <w:rPr>
          <w:rFonts w:cs="Arial"/>
          <w:color w:val="000000" w:themeColor="text1"/>
          <w:szCs w:val="16"/>
        </w:rPr>
        <w:br/>
        <w:t>During FFY 2021, no changes were made to the SPP/APR targets. The USBE SES reviewed the progress of the implementation of the Theory of Action for the SSIP and SPP/APR data with USEAM, USEAP, and the Coordinating Council for People with Disabilities (CCPD) (which includes all state agencies that serve individuals with disabilities and all nonprofit organizations that receive any state funding and/or grants).</w:t>
      </w:r>
      <w:r w:rsidRPr="00781112">
        <w:rPr>
          <w:rFonts w:cs="Arial"/>
          <w:color w:val="000000" w:themeColor="text1"/>
          <w:szCs w:val="16"/>
        </w:rPr>
        <w:br/>
        <w:t>The APR summit was held virtually on July 30, 2021. Over 100 participants attended from the stakeholder groups and those with individual interests. Participants reviewed data and projections for the State in 2025–2026. Participants were provided with an overview of the advantages and disadvantages of predictive models as well as an overview of the mindset for target-setting. Participants were asked to select the end targets (2025–2026) for indicators. The USBE SES would then calculate intervening targets between FFY 2020 and FFY 2025 whereby there would be no increase in the target the first year, followed by small increases, then large increases near the end. This is to allow enough time for LEAs to implement initiatives and change practices to realistically meet targets along their way to the rigorous end targets. After this overview, participants determined challenging and achievable end targets. The USBE SES calculated intervening targets and shared these intervening targets with the participants and additional stakeholders to get final approval for all the targets.</w:t>
      </w:r>
      <w:r w:rsidRPr="00781112">
        <w:rPr>
          <w:rFonts w:cs="Arial"/>
          <w:color w:val="000000" w:themeColor="text1"/>
          <w:szCs w:val="16"/>
        </w:rPr>
        <w:br/>
        <w:t>A survey was sent out and 101 individuals participated. Most participants identified as white females in suburban parts of Utah. American Indian/Native Alaskan, Hispanic/Latino, and individuals who identified as multiracial also participated. As a result of this additional feedback, the USBE SES revised Indicator 5 targets to maintain rigor and develop reasonable targets manageable by the LEAs. Targets for all indicators were developed after review of historical indicator and trend data, recommendations from the USBE statistician, the impact of COVID-19, APR summit and APR survey review. All targets were subsequently reviewed and adopted by USBE staff, USEAP, and LEAs. OSEP approved SPP/APR targets in the FFY 2020 SPP/APR.</w:t>
      </w:r>
      <w:r w:rsidRPr="00781112">
        <w:rPr>
          <w:rFonts w:cs="Arial"/>
          <w:color w:val="000000" w:themeColor="text1"/>
          <w:szCs w:val="16"/>
        </w:rPr>
        <w:br/>
        <w:t>During FFY 2021, the SPP/APR and SSIP were discussed regularly with LEA special education directors, USEAP, UPC, the state Parent Teacher Association (PTA), and other parent groups focused on inclusionary practices in Utah schools. Regular meetings are held with all these groups typically on a quarterly basis. Emails, phone calls, and in-person meetings provide for informal opportunities to gain insight and adjust.</w:t>
      </w:r>
      <w:r w:rsidRPr="00781112">
        <w:rPr>
          <w:rFonts w:cs="Arial"/>
          <w:color w:val="000000" w:themeColor="text1"/>
          <w:szCs w:val="16"/>
        </w:rPr>
        <w:br/>
        <w:t>The UPC works closely with USBE to increase the capacity of diverse groups of parents. Meetings at UPC are held in Spanish as the second highest language in the State. Refugee populations are connected through UPC staff assigned to specific LEAs with large populations of refugees.</w:t>
      </w:r>
      <w:r w:rsidRPr="00781112">
        <w:rPr>
          <w:rFonts w:cs="Arial"/>
          <w:color w:val="000000" w:themeColor="text1"/>
          <w:szCs w:val="16"/>
        </w:rPr>
        <w:br/>
        <w:t>The USBE family engagement specialist seeks to increase capacity through cross collaboration with other parent and family engagement programs provided in LEAs that we will continue to target.</w:t>
      </w:r>
      <w:r w:rsidRPr="00781112">
        <w:rPr>
          <w:rFonts w:cs="Arial"/>
          <w:color w:val="000000" w:themeColor="text1"/>
          <w:szCs w:val="16"/>
        </w:rPr>
        <w:br/>
        <w:t>INDICATOR 1</w:t>
      </w:r>
      <w:r w:rsidRPr="00781112">
        <w:rPr>
          <w:rFonts w:cs="Arial"/>
          <w:color w:val="000000" w:themeColor="text1"/>
          <w:szCs w:val="16"/>
        </w:rPr>
        <w:br/>
        <w:t>Data from 2018 was determined to be an appropriate baseline. With a baseline of 67.90%, targets will increase with consideration for COVID-19 impacts.</w:t>
      </w:r>
      <w:r w:rsidRPr="00781112">
        <w:rPr>
          <w:rFonts w:cs="Arial"/>
          <w:color w:val="000000" w:themeColor="text1"/>
          <w:szCs w:val="16"/>
        </w:rPr>
        <w:br/>
        <w:t>INDICATOR 2</w:t>
      </w:r>
      <w:r w:rsidRPr="00781112">
        <w:rPr>
          <w:rFonts w:cs="Arial"/>
          <w:color w:val="000000" w:themeColor="text1"/>
          <w:szCs w:val="16"/>
        </w:rPr>
        <w:br/>
        <w:t>Data from 2018 was determined to be an appropriate baseline. With a baseline of 25.81%, targets will decrease with consideration for COVID-19 impacts.</w:t>
      </w:r>
      <w:r w:rsidRPr="00781112">
        <w:rPr>
          <w:rFonts w:cs="Arial"/>
          <w:color w:val="000000" w:themeColor="text1"/>
          <w:szCs w:val="16"/>
        </w:rPr>
        <w:br/>
        <w:t>INDICATOR 3A</w:t>
      </w:r>
      <w:r w:rsidRPr="00781112">
        <w:rPr>
          <w:rFonts w:cs="Arial"/>
          <w:color w:val="000000" w:themeColor="text1"/>
          <w:szCs w:val="16"/>
        </w:rPr>
        <w:br/>
        <w:t>This target is set by OSEP. Stakeholders discussed ways to improve participation.</w:t>
      </w:r>
      <w:r w:rsidRPr="00781112">
        <w:rPr>
          <w:rFonts w:cs="Arial"/>
          <w:color w:val="000000" w:themeColor="text1"/>
          <w:szCs w:val="16"/>
        </w:rPr>
        <w:br/>
        <w:t>INDICATORS 3B, C, D</w:t>
      </w:r>
      <w:r w:rsidRPr="00781112">
        <w:rPr>
          <w:rFonts w:cs="Arial"/>
          <w:color w:val="000000" w:themeColor="text1"/>
          <w:szCs w:val="16"/>
        </w:rPr>
        <w:br/>
        <w:t>Participants looked at the average mean from the previous four years of data in conjunction with the linear trend and forecasting. This process allowed participants to analyze the best statistical guess of where Utah’s data would most likely be in six years while also seeing the forecasting of possible error over time for predicting far into the future.</w:t>
      </w:r>
      <w:r w:rsidRPr="00781112">
        <w:rPr>
          <w:rFonts w:cs="Arial"/>
          <w:color w:val="000000" w:themeColor="text1"/>
          <w:szCs w:val="16"/>
        </w:rPr>
        <w:br/>
        <w:t>INDICATOR 5</w:t>
      </w:r>
      <w:r w:rsidRPr="00781112">
        <w:rPr>
          <w:rFonts w:cs="Arial"/>
          <w:color w:val="000000" w:themeColor="text1"/>
          <w:szCs w:val="16"/>
        </w:rPr>
        <w:br/>
        <w:t>During FFY 2020, the Indicator 5 baseline was reset. In FFY 2021, all targets were met. A comprehensive approach was taken to provide informative learning sessions to support special education directors who are accountable for reviewing Indicator 5 outcome data. Recognizing the need to differentiate support, the USBE SES offered individual LEA data analysis and problem-solving sessions.</w:t>
      </w:r>
      <w:r w:rsidRPr="00781112">
        <w:rPr>
          <w:rFonts w:cs="Arial"/>
          <w:color w:val="000000" w:themeColor="text1"/>
          <w:szCs w:val="16"/>
        </w:rPr>
        <w:br/>
        <w:t>INDICATOR 6</w:t>
      </w:r>
      <w:r w:rsidRPr="00781112">
        <w:rPr>
          <w:rFonts w:cs="Arial"/>
          <w:color w:val="000000" w:themeColor="text1"/>
          <w:szCs w:val="16"/>
        </w:rPr>
        <w:br/>
        <w:t>Data from 2018 was determined to be an appropriate baseline. With baselines of (A) 46.86%, (B) 32.67%, (C) 0.25%, targets will gradually increase and decrease with consideration for COVID-19 impacts.</w:t>
      </w:r>
      <w:r w:rsidRPr="00781112">
        <w:rPr>
          <w:rFonts w:cs="Arial"/>
          <w:color w:val="000000" w:themeColor="text1"/>
          <w:szCs w:val="16"/>
        </w:rPr>
        <w:br/>
        <w:t>INDICATOR 7</w:t>
      </w:r>
      <w:r w:rsidRPr="00781112">
        <w:rPr>
          <w:rFonts w:cs="Arial"/>
          <w:color w:val="000000" w:themeColor="text1"/>
          <w:szCs w:val="16"/>
        </w:rPr>
        <w:br/>
        <w:t>Data from 2018 was determined to be an appropriate baseline. The USBE predicts outcomes for this indicator are still being largely impacted by COVID-19, and targets are currently set below the baseline. With baselines of (A1) 88.86%, (A2) 58.94%, (B1) 88.41%, (B2) 50.48%, (C1) 89.86%, (C2) 70.52%, targets will increase with consideration for COVID-19 impacts.</w:t>
      </w:r>
      <w:r w:rsidRPr="00781112">
        <w:rPr>
          <w:rFonts w:cs="Arial"/>
          <w:color w:val="000000" w:themeColor="text1"/>
          <w:szCs w:val="16"/>
        </w:rPr>
        <w:br/>
        <w:t>INDICATOR 8</w:t>
      </w:r>
      <w:r w:rsidRPr="00781112">
        <w:rPr>
          <w:rFonts w:cs="Arial"/>
          <w:color w:val="000000" w:themeColor="text1"/>
          <w:szCs w:val="16"/>
        </w:rPr>
        <w:br/>
        <w:t>Data from 2018 was determined to be an appropriate baseline. With a baseline of 78.38%, targets will gradually increase with consideration for COVID-19 impacts.</w:t>
      </w:r>
      <w:r w:rsidRPr="00781112">
        <w:rPr>
          <w:rFonts w:cs="Arial"/>
          <w:color w:val="000000" w:themeColor="text1"/>
          <w:szCs w:val="16"/>
        </w:rPr>
        <w:br/>
        <w:t>INDICATORS 4, 9, 10</w:t>
      </w:r>
      <w:r w:rsidRPr="00781112">
        <w:rPr>
          <w:rFonts w:cs="Arial"/>
          <w:color w:val="000000" w:themeColor="text1"/>
          <w:szCs w:val="16"/>
        </w:rPr>
        <w:br/>
        <w:t>During the APR Summit, stakeholders reviewed current data trends and ways to improve outcomes. Although targets cannot be changed, stakeholder input has been instrumental in meeting targets for these indicators. The calculations and data collection process for these indicators has been updated to improve outcomes for SWD. Stakeholder input has been utilized to determine processes, PL, and support provided to bridge the gap between current performance and targets.</w:t>
      </w:r>
      <w:r w:rsidRPr="00781112">
        <w:rPr>
          <w:rFonts w:cs="Arial"/>
          <w:color w:val="000000" w:themeColor="text1"/>
          <w:szCs w:val="16"/>
        </w:rPr>
        <w:br/>
        <w:t>INDICATORS 11, 12</w:t>
      </w:r>
      <w:r w:rsidRPr="00781112">
        <w:rPr>
          <w:rFonts w:cs="Arial"/>
          <w:color w:val="000000" w:themeColor="text1"/>
          <w:szCs w:val="16"/>
        </w:rPr>
        <w:br/>
        <w:t>During the APR Summit, stakeholders reviewed current data trends and ways to improve outcomes. Although targets cannot be changed, stakeholder input has been instrumental in meeting targets for these indicators. Input has been utilized to determine PL and support provided to bridge the gap between current performance and targets.</w:t>
      </w:r>
      <w:r w:rsidRPr="00781112">
        <w:rPr>
          <w:rFonts w:cs="Arial"/>
          <w:color w:val="000000" w:themeColor="text1"/>
          <w:szCs w:val="16"/>
        </w:rPr>
        <w:br/>
        <w:t>INDICATOR 13</w:t>
      </w:r>
      <w:r w:rsidRPr="00781112">
        <w:rPr>
          <w:rFonts w:cs="Arial"/>
          <w:color w:val="000000" w:themeColor="text1"/>
          <w:szCs w:val="16"/>
        </w:rPr>
        <w:br/>
        <w:t>The USBE SES recognizes this is an area requiring improvement. During the APR Summit, stakeholders reviewed current data trends and ways to improve outcomes. Although targets cannot be changed, stakeholder input has been instrumental in the progression toward meeting the target.</w:t>
      </w:r>
      <w:r w:rsidRPr="00781112">
        <w:rPr>
          <w:rFonts w:cs="Arial"/>
          <w:color w:val="000000" w:themeColor="text1"/>
          <w:szCs w:val="16"/>
        </w:rPr>
        <w:br/>
        <w:t>INDICATOR 14</w:t>
      </w:r>
      <w:r w:rsidRPr="00781112">
        <w:rPr>
          <w:rFonts w:cs="Arial"/>
          <w:color w:val="000000" w:themeColor="text1"/>
          <w:szCs w:val="16"/>
        </w:rPr>
        <w:br/>
        <w:t>Data from 2018 was determined to be an appropriate baseline. The USBE predicts outcomes for this indicator are still being largely impacted by COVID-19, and targets are currently set below the baseline. With baselines of (A) 19.62%, (B) 67.60%, (C) 84.37%, targets will increase with consideration for COVID-19 impacts.</w:t>
      </w:r>
      <w:r w:rsidRPr="00781112">
        <w:rPr>
          <w:rFonts w:cs="Arial"/>
          <w:color w:val="000000" w:themeColor="text1"/>
          <w:szCs w:val="16"/>
        </w:rPr>
        <w:br/>
        <w:t xml:space="preserve">INDICATOR 15 </w:t>
      </w:r>
      <w:r w:rsidRPr="00781112">
        <w:rPr>
          <w:rFonts w:cs="Arial"/>
          <w:color w:val="000000" w:themeColor="text1"/>
          <w:szCs w:val="16"/>
        </w:rPr>
        <w:br/>
        <w:t>The USBE continues to experience relatively low levels of due process hearing requests and resolution meetings and is not required to set a target.</w:t>
      </w:r>
      <w:r w:rsidRPr="00781112">
        <w:rPr>
          <w:rFonts w:cs="Arial"/>
          <w:color w:val="000000" w:themeColor="text1"/>
          <w:szCs w:val="16"/>
        </w:rPr>
        <w:br/>
        <w:t xml:space="preserve">INDICATOR 16 </w:t>
      </w:r>
      <w:r w:rsidRPr="00781112">
        <w:rPr>
          <w:rFonts w:cs="Arial"/>
          <w:color w:val="000000" w:themeColor="text1"/>
          <w:szCs w:val="16"/>
        </w:rPr>
        <w:br/>
        <w:t>The USBE continues to experience relatively low levels of dispute resolution requests, including mediation. Targets have been set based on the low level of mediation requests.</w:t>
      </w:r>
    </w:p>
    <w:p w14:paraId="2446B7C2" w14:textId="77777777" w:rsidR="00F20369" w:rsidRPr="00781112" w:rsidRDefault="00F20369" w:rsidP="004369B2">
      <w:pPr>
        <w:rPr>
          <w:color w:val="000000" w:themeColor="text1"/>
        </w:rPr>
      </w:pPr>
      <w:bookmarkStart w:id="16" w:name="_Toc392159273"/>
    </w:p>
    <w:p w14:paraId="2F64E7B3" w14:textId="74B76004" w:rsidR="00344AE0" w:rsidRPr="00781112" w:rsidRDefault="00FA33C9">
      <w:pPr>
        <w:rPr>
          <w:b/>
          <w:color w:val="000000" w:themeColor="text1"/>
        </w:rPr>
      </w:pPr>
      <w:r>
        <w:rPr>
          <w:b/>
          <w:color w:val="000000" w:themeColor="text1"/>
        </w:rPr>
        <w:lastRenderedPageBreak/>
        <w:t>FFY 2021 Data Disaggregation from EDFacts</w:t>
      </w:r>
    </w:p>
    <w:p w14:paraId="6BDCF123" w14:textId="77777777" w:rsidR="00C01339" w:rsidRPr="00781112" w:rsidRDefault="00344AE0" w:rsidP="00552927">
      <w:pPr>
        <w:rPr>
          <w:rFonts w:cs="Arial"/>
          <w:b/>
          <w:color w:val="000000" w:themeColor="text1"/>
          <w:szCs w:val="16"/>
        </w:rPr>
      </w:pPr>
      <w:r w:rsidRPr="00781112">
        <w:rPr>
          <w:rFonts w:cs="Arial"/>
          <w:b/>
          <w:color w:val="000000" w:themeColor="text1"/>
          <w:szCs w:val="16"/>
        </w:rPr>
        <w:t xml:space="preserve">Data Source:  </w:t>
      </w:r>
    </w:p>
    <w:p w14:paraId="5EBDA348" w14:textId="4BF943DC" w:rsidR="00C470E8" w:rsidRPr="00781112" w:rsidRDefault="002B7490" w:rsidP="00552927">
      <w:pPr>
        <w:rPr>
          <w:rFonts w:cs="Arial"/>
          <w:color w:val="000000" w:themeColor="text1"/>
          <w:szCs w:val="16"/>
        </w:rPr>
      </w:pPr>
      <w:r w:rsidRPr="00781112">
        <w:rPr>
          <w:rFonts w:cs="Arial"/>
          <w:color w:val="000000" w:themeColor="text1"/>
          <w:szCs w:val="16"/>
        </w:rPr>
        <w:t>SY 2021-22 Assessment Data Groups - Reading (EDFacts file spec FS178; Data Group: 584)</w:t>
      </w:r>
    </w:p>
    <w:p w14:paraId="435988E5" w14:textId="77777777" w:rsidR="00C01339" w:rsidRPr="00781112" w:rsidRDefault="00344AE0" w:rsidP="00552927">
      <w:pPr>
        <w:rPr>
          <w:rFonts w:cs="Arial"/>
          <w:b/>
          <w:color w:val="000000" w:themeColor="text1"/>
          <w:szCs w:val="16"/>
        </w:rPr>
      </w:pPr>
      <w:r w:rsidRPr="00781112">
        <w:rPr>
          <w:rFonts w:cs="Arial"/>
          <w:b/>
          <w:color w:val="000000" w:themeColor="text1"/>
          <w:szCs w:val="16"/>
        </w:rPr>
        <w:t xml:space="preserve">Date: </w:t>
      </w:r>
    </w:p>
    <w:p w14:paraId="1E2D8106" w14:textId="34AD25B1" w:rsidR="00344AE0" w:rsidRPr="00781112" w:rsidRDefault="002B7490" w:rsidP="00552927">
      <w:pPr>
        <w:rPr>
          <w:rFonts w:cs="Arial"/>
          <w:color w:val="000000" w:themeColor="text1"/>
          <w:szCs w:val="16"/>
        </w:rPr>
      </w:pPr>
      <w:r w:rsidRPr="00781112">
        <w:rPr>
          <w:rFonts w:cs="Arial"/>
          <w:color w:val="000000" w:themeColor="text1"/>
          <w:szCs w:val="16"/>
        </w:rPr>
        <w:t>04/05/2023</w:t>
      </w:r>
    </w:p>
    <w:p w14:paraId="59BC6B2E" w14:textId="718BB7D0" w:rsidR="009D0D68" w:rsidRPr="00781112" w:rsidRDefault="00FE2056">
      <w:pPr>
        <w:rPr>
          <w:b/>
          <w:color w:val="000000" w:themeColor="text1"/>
        </w:rPr>
      </w:pPr>
      <w:r w:rsidRPr="00781112">
        <w:rPr>
          <w:b/>
          <w:color w:val="000000" w:themeColor="text1"/>
        </w:rPr>
        <w:t>Reading Assessment Proficiency Data by Grade</w:t>
      </w:r>
    </w:p>
    <w:tbl>
      <w:tblPr>
        <w:tblStyle w:val="TableGrid"/>
        <w:tblW w:w="5000" w:type="pct"/>
        <w:tblLayout w:type="fixed"/>
        <w:tblLook w:val="04A0" w:firstRow="1" w:lastRow="0" w:firstColumn="1" w:lastColumn="0" w:noHBand="0" w:noVBand="1"/>
        <w:tblCaption w:val="B03BASSPARTDATABYGRDRLA"/>
      </w:tblPr>
      <w:tblGrid>
        <w:gridCol w:w="2426"/>
        <w:gridCol w:w="2788"/>
        <w:gridCol w:w="2788"/>
        <w:gridCol w:w="2788"/>
      </w:tblGrid>
      <w:tr w:rsidR="00BB2745" w:rsidRPr="00781112" w14:paraId="35CB1461" w14:textId="77777777" w:rsidTr="009E026B">
        <w:tc>
          <w:tcPr>
            <w:tcW w:w="1124" w:type="pct"/>
            <w:shd w:val="clear" w:color="auto" w:fill="auto"/>
          </w:tcPr>
          <w:p w14:paraId="39D40F16" w14:textId="18178F77" w:rsidR="00BB2745" w:rsidRPr="00781112" w:rsidRDefault="00835EAD" w:rsidP="00BB2745">
            <w:pPr>
              <w:jc w:val="center"/>
              <w:rPr>
                <w:rFonts w:cs="Arial"/>
                <w:b/>
                <w:bCs/>
                <w:color w:val="000000" w:themeColor="text1"/>
                <w:szCs w:val="16"/>
              </w:rPr>
            </w:pPr>
            <w:r w:rsidRPr="00781112">
              <w:rPr>
                <w:rFonts w:cs="Arial"/>
                <w:b/>
                <w:bCs/>
                <w:color w:val="000000" w:themeColor="text1"/>
                <w:szCs w:val="16"/>
              </w:rPr>
              <w:t>Group</w:t>
            </w:r>
          </w:p>
        </w:tc>
        <w:tc>
          <w:tcPr>
            <w:tcW w:w="1292" w:type="pct"/>
            <w:shd w:val="clear" w:color="auto" w:fill="auto"/>
            <w:vAlign w:val="center"/>
          </w:tcPr>
          <w:p w14:paraId="17538CC6" w14:textId="5AE78718" w:rsidR="00BB2745" w:rsidRPr="00781112" w:rsidRDefault="00BB2745" w:rsidP="00196CE6">
            <w:pPr>
              <w:jc w:val="center"/>
              <w:rPr>
                <w:rFonts w:cs="Arial"/>
                <w:b/>
                <w:bCs/>
                <w:color w:val="000000" w:themeColor="text1"/>
                <w:szCs w:val="16"/>
              </w:rPr>
            </w:pPr>
            <w:r w:rsidRPr="00781112">
              <w:rPr>
                <w:rFonts w:cs="Arial"/>
                <w:b/>
                <w:bCs/>
                <w:color w:val="000000" w:themeColor="text1"/>
                <w:szCs w:val="16"/>
              </w:rPr>
              <w:t>Grade 4</w:t>
            </w:r>
          </w:p>
        </w:tc>
        <w:tc>
          <w:tcPr>
            <w:tcW w:w="1292" w:type="pct"/>
            <w:shd w:val="clear" w:color="auto" w:fill="auto"/>
            <w:vAlign w:val="center"/>
          </w:tcPr>
          <w:p w14:paraId="7B4C40DF" w14:textId="7F368CC4" w:rsidR="00BB2745" w:rsidRPr="00781112" w:rsidRDefault="00BB2745" w:rsidP="00315E88">
            <w:pPr>
              <w:jc w:val="center"/>
              <w:rPr>
                <w:rFonts w:cs="Arial"/>
                <w:b/>
                <w:bCs/>
                <w:color w:val="000000" w:themeColor="text1"/>
                <w:szCs w:val="16"/>
              </w:rPr>
            </w:pPr>
            <w:r w:rsidRPr="00781112">
              <w:rPr>
                <w:rFonts w:cs="Arial"/>
                <w:b/>
                <w:bCs/>
                <w:color w:val="000000" w:themeColor="text1"/>
                <w:szCs w:val="16"/>
              </w:rPr>
              <w:t>Grade 8</w:t>
            </w:r>
          </w:p>
        </w:tc>
        <w:tc>
          <w:tcPr>
            <w:tcW w:w="1292" w:type="pct"/>
            <w:shd w:val="clear" w:color="auto" w:fill="auto"/>
            <w:vAlign w:val="center"/>
          </w:tcPr>
          <w:p w14:paraId="3761AD03" w14:textId="6AC32E5E" w:rsidR="00BB2745" w:rsidRPr="00781112" w:rsidRDefault="00BB2745" w:rsidP="00E14CF0">
            <w:pPr>
              <w:jc w:val="center"/>
              <w:rPr>
                <w:rFonts w:cs="Arial"/>
                <w:b/>
                <w:bCs/>
                <w:color w:val="000000" w:themeColor="text1"/>
                <w:szCs w:val="16"/>
              </w:rPr>
            </w:pPr>
            <w:r w:rsidRPr="00781112">
              <w:rPr>
                <w:rFonts w:cs="Arial"/>
                <w:b/>
                <w:bCs/>
                <w:color w:val="000000" w:themeColor="text1"/>
                <w:szCs w:val="16"/>
              </w:rPr>
              <w:t>Grade HS</w:t>
            </w:r>
          </w:p>
        </w:tc>
      </w:tr>
      <w:tr w:rsidR="003B0C91" w:rsidRPr="00781112" w14:paraId="568B2C00" w14:textId="77777777" w:rsidTr="008E4335">
        <w:tc>
          <w:tcPr>
            <w:tcW w:w="1124" w:type="pct"/>
            <w:shd w:val="clear" w:color="auto" w:fill="auto"/>
          </w:tcPr>
          <w:p w14:paraId="4AD99060" w14:textId="5CD6AD07" w:rsidR="003B0C91" w:rsidRPr="00781112" w:rsidRDefault="003B0C91" w:rsidP="003B0C91">
            <w:pPr>
              <w:rPr>
                <w:rFonts w:cs="Arial"/>
                <w:color w:val="000000" w:themeColor="text1"/>
                <w:szCs w:val="16"/>
              </w:rPr>
            </w:pPr>
            <w:r w:rsidRPr="00781112">
              <w:rPr>
                <w:rFonts w:cs="Arial"/>
                <w:szCs w:val="16"/>
                <w:shd w:val="clear" w:color="auto" w:fill="FFFFFF"/>
              </w:rPr>
              <w:t>a. Children with IEPs who received a valid score and a proficiency level was assigned for the regular assessment</w:t>
            </w:r>
          </w:p>
        </w:tc>
        <w:tc>
          <w:tcPr>
            <w:tcW w:w="1292" w:type="pct"/>
            <w:shd w:val="clear" w:color="auto" w:fill="auto"/>
            <w:vAlign w:val="center"/>
          </w:tcPr>
          <w:p w14:paraId="17848320" w14:textId="1915AE92" w:rsidR="003B0C91" w:rsidRPr="00781112" w:rsidRDefault="00DB4E16" w:rsidP="008E4335">
            <w:pPr>
              <w:jc w:val="center"/>
              <w:rPr>
                <w:rFonts w:cs="Arial"/>
                <w:color w:val="000000" w:themeColor="text1"/>
                <w:szCs w:val="16"/>
              </w:rPr>
            </w:pPr>
            <w:r>
              <w:rPr>
                <w:rFonts w:cs="Arial"/>
                <w:color w:val="000000" w:themeColor="text1"/>
                <w:szCs w:val="16"/>
              </w:rPr>
              <w:t>*</w:t>
            </w:r>
            <w:bookmarkStart w:id="17" w:name="_Ref141818999"/>
            <w:r>
              <w:rPr>
                <w:rStyle w:val="FootnoteReference"/>
                <w:rFonts w:cs="Arial"/>
                <w:color w:val="000000" w:themeColor="text1"/>
                <w:szCs w:val="16"/>
              </w:rPr>
              <w:footnoteReference w:id="5"/>
            </w:r>
            <w:bookmarkEnd w:id="17"/>
          </w:p>
        </w:tc>
        <w:tc>
          <w:tcPr>
            <w:tcW w:w="1292" w:type="pct"/>
            <w:shd w:val="clear" w:color="auto" w:fill="auto"/>
            <w:vAlign w:val="center"/>
          </w:tcPr>
          <w:p w14:paraId="51A72AB5" w14:textId="7D616949" w:rsidR="003B0C91" w:rsidRPr="00781112" w:rsidRDefault="00DB4E16" w:rsidP="008E4335">
            <w:pPr>
              <w:jc w:val="center"/>
              <w:rPr>
                <w:rFonts w:cs="Arial"/>
                <w:color w:val="000000" w:themeColor="text1"/>
                <w:szCs w:val="16"/>
              </w:rPr>
            </w:pPr>
            <w:r>
              <w:rPr>
                <w:rFonts w:cs="Arial"/>
                <w:color w:val="000000" w:themeColor="text1"/>
                <w:szCs w:val="16"/>
              </w:rPr>
              <w:t>*</w:t>
            </w:r>
            <w:r>
              <w:rPr>
                <w:rFonts w:cs="Arial"/>
                <w:color w:val="000000" w:themeColor="text1"/>
                <w:szCs w:val="16"/>
              </w:rPr>
              <w:fldChar w:fldCharType="begin"/>
            </w:r>
            <w:r>
              <w:rPr>
                <w:rFonts w:cs="Arial"/>
                <w:color w:val="000000" w:themeColor="text1"/>
                <w:szCs w:val="16"/>
              </w:rPr>
              <w:instrText xml:space="preserve"> NOTEREF _Ref141818999 \f \h </w:instrText>
            </w:r>
            <w:r w:rsidR="008E4335">
              <w:rPr>
                <w:rFonts w:cs="Arial"/>
                <w:color w:val="000000" w:themeColor="text1"/>
                <w:szCs w:val="16"/>
              </w:rPr>
              <w:instrText xml:space="preserve"> \* MERGEFORMAT </w:instrText>
            </w:r>
            <w:r>
              <w:rPr>
                <w:rFonts w:cs="Arial"/>
                <w:color w:val="000000" w:themeColor="text1"/>
                <w:szCs w:val="16"/>
              </w:rPr>
            </w:r>
            <w:r>
              <w:rPr>
                <w:rFonts w:cs="Arial"/>
                <w:color w:val="000000" w:themeColor="text1"/>
                <w:szCs w:val="16"/>
              </w:rPr>
              <w:fldChar w:fldCharType="separate"/>
            </w:r>
            <w:r w:rsidRPr="00DB4E16">
              <w:rPr>
                <w:rStyle w:val="FootnoteReference"/>
              </w:rPr>
              <w:t>4</w:t>
            </w:r>
            <w:r>
              <w:rPr>
                <w:rFonts w:cs="Arial"/>
                <w:color w:val="000000" w:themeColor="text1"/>
                <w:szCs w:val="16"/>
              </w:rPr>
              <w:fldChar w:fldCharType="end"/>
            </w:r>
          </w:p>
        </w:tc>
        <w:tc>
          <w:tcPr>
            <w:tcW w:w="1292" w:type="pct"/>
            <w:shd w:val="clear" w:color="auto" w:fill="auto"/>
            <w:vAlign w:val="center"/>
          </w:tcPr>
          <w:p w14:paraId="151E318E" w14:textId="46F9C307" w:rsidR="003B0C91" w:rsidRPr="00781112" w:rsidRDefault="003B0C91" w:rsidP="008E4335">
            <w:pPr>
              <w:jc w:val="center"/>
              <w:rPr>
                <w:rFonts w:cs="Arial"/>
                <w:color w:val="000000" w:themeColor="text1"/>
                <w:szCs w:val="16"/>
              </w:rPr>
            </w:pPr>
            <w:r w:rsidRPr="00781112">
              <w:rPr>
                <w:rFonts w:cs="Arial"/>
                <w:color w:val="000000" w:themeColor="text1"/>
                <w:szCs w:val="16"/>
              </w:rPr>
              <w:t>4,120</w:t>
            </w:r>
          </w:p>
        </w:tc>
      </w:tr>
      <w:tr w:rsidR="00DB4E16" w:rsidRPr="00781112" w14:paraId="4F287E15" w14:textId="77777777" w:rsidTr="008E4335">
        <w:tc>
          <w:tcPr>
            <w:tcW w:w="1124" w:type="pct"/>
            <w:shd w:val="clear" w:color="auto" w:fill="auto"/>
          </w:tcPr>
          <w:p w14:paraId="3423EDAB" w14:textId="76BBADB8" w:rsidR="00DB4E16" w:rsidRPr="00781112" w:rsidRDefault="00DB4E16" w:rsidP="00DB4E16">
            <w:pPr>
              <w:rPr>
                <w:rFonts w:cs="Arial"/>
                <w:color w:val="000000" w:themeColor="text1"/>
                <w:szCs w:val="16"/>
              </w:rPr>
            </w:pPr>
            <w:r w:rsidRPr="00781112">
              <w:rPr>
                <w:rFonts w:cs="Arial"/>
                <w:szCs w:val="16"/>
                <w:shd w:val="clear" w:color="auto" w:fill="FFFFFF"/>
              </w:rPr>
              <w:t xml:space="preserve">b. </w:t>
            </w:r>
            <w:r>
              <w:rPr>
                <w:rFonts w:cs="Arial"/>
                <w:color w:val="000000" w:themeColor="text1"/>
                <w:szCs w:val="16"/>
              </w:rPr>
              <w:t xml:space="preserve">Children with </w:t>
            </w:r>
            <w:r w:rsidRPr="00781112">
              <w:rPr>
                <w:rFonts w:cs="Arial"/>
                <w:szCs w:val="16"/>
                <w:shd w:val="clear" w:color="auto" w:fill="FFFFFF"/>
              </w:rPr>
              <w:t>IEPs in regular assessment with no accommodations scored at or above proficient against grade level</w:t>
            </w:r>
          </w:p>
        </w:tc>
        <w:tc>
          <w:tcPr>
            <w:tcW w:w="1292" w:type="pct"/>
            <w:shd w:val="clear" w:color="auto" w:fill="auto"/>
            <w:vAlign w:val="center"/>
          </w:tcPr>
          <w:p w14:paraId="616181A6" w14:textId="5E728C7A" w:rsidR="00DB4E16" w:rsidRPr="00781112" w:rsidRDefault="00DB4E16" w:rsidP="008E4335">
            <w:pPr>
              <w:jc w:val="center"/>
              <w:rPr>
                <w:rFonts w:cs="Arial"/>
                <w:color w:val="000000" w:themeColor="text1"/>
                <w:szCs w:val="16"/>
              </w:rPr>
            </w:pPr>
            <w:r w:rsidRPr="00307ED3">
              <w:rPr>
                <w:rFonts w:cs="Arial"/>
                <w:color w:val="000000" w:themeColor="text1"/>
                <w:szCs w:val="16"/>
              </w:rPr>
              <w:t>*</w:t>
            </w:r>
            <w:r w:rsidRPr="00307ED3">
              <w:rPr>
                <w:rFonts w:cs="Arial"/>
                <w:color w:val="000000" w:themeColor="text1"/>
                <w:szCs w:val="16"/>
              </w:rPr>
              <w:fldChar w:fldCharType="begin"/>
            </w:r>
            <w:r w:rsidRPr="00307ED3">
              <w:rPr>
                <w:rFonts w:cs="Arial"/>
                <w:color w:val="000000" w:themeColor="text1"/>
                <w:szCs w:val="16"/>
              </w:rPr>
              <w:instrText xml:space="preserve"> NOTEREF _Ref141818999 \f \h </w:instrText>
            </w:r>
            <w:r w:rsidR="008E4335">
              <w:rPr>
                <w:rFonts w:cs="Arial"/>
                <w:color w:val="000000" w:themeColor="text1"/>
                <w:szCs w:val="16"/>
              </w:rPr>
              <w:instrText xml:space="preserve"> \* MERGEFORMAT </w:instrText>
            </w:r>
            <w:r w:rsidRPr="00307ED3">
              <w:rPr>
                <w:rFonts w:cs="Arial"/>
                <w:color w:val="000000" w:themeColor="text1"/>
                <w:szCs w:val="16"/>
              </w:rPr>
            </w:r>
            <w:r w:rsidRPr="00307ED3">
              <w:rPr>
                <w:rFonts w:cs="Arial"/>
                <w:color w:val="000000" w:themeColor="text1"/>
                <w:szCs w:val="16"/>
              </w:rPr>
              <w:fldChar w:fldCharType="separate"/>
            </w:r>
            <w:r w:rsidRPr="00307ED3">
              <w:rPr>
                <w:rStyle w:val="FootnoteReference"/>
              </w:rPr>
              <w:t>4</w:t>
            </w:r>
            <w:r w:rsidRPr="00307ED3">
              <w:rPr>
                <w:rFonts w:cs="Arial"/>
                <w:color w:val="000000" w:themeColor="text1"/>
                <w:szCs w:val="16"/>
              </w:rPr>
              <w:fldChar w:fldCharType="end"/>
            </w:r>
          </w:p>
        </w:tc>
        <w:tc>
          <w:tcPr>
            <w:tcW w:w="1292" w:type="pct"/>
            <w:shd w:val="clear" w:color="auto" w:fill="auto"/>
            <w:vAlign w:val="center"/>
          </w:tcPr>
          <w:p w14:paraId="74B7B6E9" w14:textId="6B83FAA3" w:rsidR="00DB4E16" w:rsidRPr="00781112" w:rsidRDefault="00DB4E16" w:rsidP="008E4335">
            <w:pPr>
              <w:jc w:val="center"/>
              <w:rPr>
                <w:rFonts w:cs="Arial"/>
                <w:color w:val="000000" w:themeColor="text1"/>
                <w:szCs w:val="16"/>
              </w:rPr>
            </w:pPr>
            <w:r w:rsidRPr="00307ED3">
              <w:rPr>
                <w:rFonts w:cs="Arial"/>
                <w:color w:val="000000" w:themeColor="text1"/>
                <w:szCs w:val="16"/>
              </w:rPr>
              <w:t>*</w:t>
            </w:r>
            <w:r w:rsidRPr="00307ED3">
              <w:rPr>
                <w:rFonts w:cs="Arial"/>
                <w:color w:val="000000" w:themeColor="text1"/>
                <w:szCs w:val="16"/>
              </w:rPr>
              <w:fldChar w:fldCharType="begin"/>
            </w:r>
            <w:r w:rsidRPr="00307ED3">
              <w:rPr>
                <w:rFonts w:cs="Arial"/>
                <w:color w:val="000000" w:themeColor="text1"/>
                <w:szCs w:val="16"/>
              </w:rPr>
              <w:instrText xml:space="preserve"> NOTEREF _Ref141818999 \f \h </w:instrText>
            </w:r>
            <w:r w:rsidR="008E4335">
              <w:rPr>
                <w:rFonts w:cs="Arial"/>
                <w:color w:val="000000" w:themeColor="text1"/>
                <w:szCs w:val="16"/>
              </w:rPr>
              <w:instrText xml:space="preserve"> \* MERGEFORMAT </w:instrText>
            </w:r>
            <w:r w:rsidRPr="00307ED3">
              <w:rPr>
                <w:rFonts w:cs="Arial"/>
                <w:color w:val="000000" w:themeColor="text1"/>
                <w:szCs w:val="16"/>
              </w:rPr>
            </w:r>
            <w:r w:rsidRPr="00307ED3">
              <w:rPr>
                <w:rFonts w:cs="Arial"/>
                <w:color w:val="000000" w:themeColor="text1"/>
                <w:szCs w:val="16"/>
              </w:rPr>
              <w:fldChar w:fldCharType="separate"/>
            </w:r>
            <w:r w:rsidRPr="00307ED3">
              <w:rPr>
                <w:rStyle w:val="FootnoteReference"/>
              </w:rPr>
              <w:t>4</w:t>
            </w:r>
            <w:r w:rsidRPr="00307ED3">
              <w:rPr>
                <w:rFonts w:cs="Arial"/>
                <w:color w:val="000000" w:themeColor="text1"/>
                <w:szCs w:val="16"/>
              </w:rPr>
              <w:fldChar w:fldCharType="end"/>
            </w:r>
          </w:p>
        </w:tc>
        <w:tc>
          <w:tcPr>
            <w:tcW w:w="1292" w:type="pct"/>
            <w:shd w:val="clear" w:color="auto" w:fill="auto"/>
            <w:vAlign w:val="center"/>
          </w:tcPr>
          <w:p w14:paraId="46F10147" w14:textId="1408D78A" w:rsidR="00DB4E16" w:rsidRPr="00781112" w:rsidRDefault="00DB4E16" w:rsidP="008E4335">
            <w:pPr>
              <w:jc w:val="center"/>
              <w:rPr>
                <w:rFonts w:cs="Arial"/>
                <w:color w:val="000000" w:themeColor="text1"/>
                <w:szCs w:val="16"/>
              </w:rPr>
            </w:pPr>
            <w:r w:rsidRPr="00781112">
              <w:rPr>
                <w:rFonts w:cs="Arial"/>
                <w:color w:val="000000" w:themeColor="text1"/>
                <w:szCs w:val="16"/>
              </w:rPr>
              <w:t>211</w:t>
            </w:r>
          </w:p>
        </w:tc>
      </w:tr>
      <w:tr w:rsidR="00DB4E16" w:rsidRPr="00781112" w14:paraId="41239D5E" w14:textId="77777777" w:rsidTr="008E4335">
        <w:tc>
          <w:tcPr>
            <w:tcW w:w="1124" w:type="pct"/>
            <w:shd w:val="clear" w:color="auto" w:fill="auto"/>
          </w:tcPr>
          <w:p w14:paraId="5F79CC0F" w14:textId="181C3E67" w:rsidR="00DB4E16" w:rsidRPr="00781112" w:rsidRDefault="00DB4E16" w:rsidP="00DB4E16">
            <w:pPr>
              <w:rPr>
                <w:rFonts w:cs="Arial"/>
                <w:color w:val="000000" w:themeColor="text1"/>
                <w:szCs w:val="16"/>
              </w:rPr>
            </w:pPr>
            <w:r w:rsidRPr="00781112">
              <w:rPr>
                <w:rFonts w:cs="Arial"/>
                <w:szCs w:val="16"/>
                <w:shd w:val="clear" w:color="auto" w:fill="FFFFFF"/>
              </w:rPr>
              <w:t xml:space="preserve">c. </w:t>
            </w:r>
            <w:r>
              <w:rPr>
                <w:rFonts w:cs="Arial"/>
                <w:color w:val="000000" w:themeColor="text1"/>
                <w:szCs w:val="16"/>
              </w:rPr>
              <w:t xml:space="preserve">Children with </w:t>
            </w:r>
            <w:r w:rsidRPr="00781112">
              <w:rPr>
                <w:rFonts w:cs="Arial"/>
                <w:szCs w:val="16"/>
                <w:shd w:val="clear" w:color="auto" w:fill="FFFFFF"/>
              </w:rPr>
              <w:t>IEPs in regular assessment with accommodations scored at or above proficient against grade level</w:t>
            </w:r>
          </w:p>
        </w:tc>
        <w:tc>
          <w:tcPr>
            <w:tcW w:w="1292" w:type="pct"/>
            <w:shd w:val="clear" w:color="auto" w:fill="auto"/>
            <w:vAlign w:val="center"/>
          </w:tcPr>
          <w:p w14:paraId="5E9652E2" w14:textId="413322A5" w:rsidR="00DB4E16" w:rsidRPr="00781112" w:rsidRDefault="00DB4E16" w:rsidP="008E4335">
            <w:pPr>
              <w:jc w:val="center"/>
              <w:rPr>
                <w:rFonts w:cs="Arial"/>
                <w:color w:val="000000" w:themeColor="text1"/>
                <w:szCs w:val="16"/>
              </w:rPr>
            </w:pPr>
            <w:r w:rsidRPr="00307ED3">
              <w:rPr>
                <w:rFonts w:cs="Arial"/>
                <w:color w:val="000000" w:themeColor="text1"/>
                <w:szCs w:val="16"/>
              </w:rPr>
              <w:t>*</w:t>
            </w:r>
            <w:r w:rsidRPr="00307ED3">
              <w:rPr>
                <w:rFonts w:cs="Arial"/>
                <w:color w:val="000000" w:themeColor="text1"/>
                <w:szCs w:val="16"/>
              </w:rPr>
              <w:fldChar w:fldCharType="begin"/>
            </w:r>
            <w:r w:rsidRPr="00307ED3">
              <w:rPr>
                <w:rFonts w:cs="Arial"/>
                <w:color w:val="000000" w:themeColor="text1"/>
                <w:szCs w:val="16"/>
              </w:rPr>
              <w:instrText xml:space="preserve"> NOTEREF _Ref141818999 \f \h </w:instrText>
            </w:r>
            <w:r w:rsidR="008E4335">
              <w:rPr>
                <w:rFonts w:cs="Arial"/>
                <w:color w:val="000000" w:themeColor="text1"/>
                <w:szCs w:val="16"/>
              </w:rPr>
              <w:instrText xml:space="preserve"> \* MERGEFORMAT </w:instrText>
            </w:r>
            <w:r w:rsidRPr="00307ED3">
              <w:rPr>
                <w:rFonts w:cs="Arial"/>
                <w:color w:val="000000" w:themeColor="text1"/>
                <w:szCs w:val="16"/>
              </w:rPr>
            </w:r>
            <w:r w:rsidRPr="00307ED3">
              <w:rPr>
                <w:rFonts w:cs="Arial"/>
                <w:color w:val="000000" w:themeColor="text1"/>
                <w:szCs w:val="16"/>
              </w:rPr>
              <w:fldChar w:fldCharType="separate"/>
            </w:r>
            <w:r w:rsidRPr="00307ED3">
              <w:rPr>
                <w:rStyle w:val="FootnoteReference"/>
              </w:rPr>
              <w:t>4</w:t>
            </w:r>
            <w:r w:rsidRPr="00307ED3">
              <w:rPr>
                <w:rFonts w:cs="Arial"/>
                <w:color w:val="000000" w:themeColor="text1"/>
                <w:szCs w:val="16"/>
              </w:rPr>
              <w:fldChar w:fldCharType="end"/>
            </w:r>
          </w:p>
        </w:tc>
        <w:tc>
          <w:tcPr>
            <w:tcW w:w="1292" w:type="pct"/>
            <w:shd w:val="clear" w:color="auto" w:fill="auto"/>
            <w:vAlign w:val="center"/>
          </w:tcPr>
          <w:p w14:paraId="47F69679" w14:textId="61C4EF47" w:rsidR="00DB4E16" w:rsidRPr="00781112" w:rsidRDefault="00DB4E16" w:rsidP="008E4335">
            <w:pPr>
              <w:jc w:val="center"/>
              <w:rPr>
                <w:rFonts w:cs="Arial"/>
                <w:color w:val="000000" w:themeColor="text1"/>
                <w:szCs w:val="16"/>
              </w:rPr>
            </w:pPr>
            <w:r w:rsidRPr="00307ED3">
              <w:rPr>
                <w:rFonts w:cs="Arial"/>
                <w:color w:val="000000" w:themeColor="text1"/>
                <w:szCs w:val="16"/>
              </w:rPr>
              <w:t>*</w:t>
            </w:r>
            <w:r w:rsidRPr="00307ED3">
              <w:rPr>
                <w:rFonts w:cs="Arial"/>
                <w:color w:val="000000" w:themeColor="text1"/>
                <w:szCs w:val="16"/>
              </w:rPr>
              <w:fldChar w:fldCharType="begin"/>
            </w:r>
            <w:r w:rsidRPr="00307ED3">
              <w:rPr>
                <w:rFonts w:cs="Arial"/>
                <w:color w:val="000000" w:themeColor="text1"/>
                <w:szCs w:val="16"/>
              </w:rPr>
              <w:instrText xml:space="preserve"> NOTEREF _Ref141818999 \f \h </w:instrText>
            </w:r>
            <w:r w:rsidR="008E4335">
              <w:rPr>
                <w:rFonts w:cs="Arial"/>
                <w:color w:val="000000" w:themeColor="text1"/>
                <w:szCs w:val="16"/>
              </w:rPr>
              <w:instrText xml:space="preserve"> \* MERGEFORMAT </w:instrText>
            </w:r>
            <w:r w:rsidRPr="00307ED3">
              <w:rPr>
                <w:rFonts w:cs="Arial"/>
                <w:color w:val="000000" w:themeColor="text1"/>
                <w:szCs w:val="16"/>
              </w:rPr>
            </w:r>
            <w:r w:rsidRPr="00307ED3">
              <w:rPr>
                <w:rFonts w:cs="Arial"/>
                <w:color w:val="000000" w:themeColor="text1"/>
                <w:szCs w:val="16"/>
              </w:rPr>
              <w:fldChar w:fldCharType="separate"/>
            </w:r>
            <w:r w:rsidRPr="00307ED3">
              <w:rPr>
                <w:rStyle w:val="FootnoteReference"/>
              </w:rPr>
              <w:t>4</w:t>
            </w:r>
            <w:r w:rsidRPr="00307ED3">
              <w:rPr>
                <w:rFonts w:cs="Arial"/>
                <w:color w:val="000000" w:themeColor="text1"/>
                <w:szCs w:val="16"/>
              </w:rPr>
              <w:fldChar w:fldCharType="end"/>
            </w:r>
          </w:p>
        </w:tc>
        <w:tc>
          <w:tcPr>
            <w:tcW w:w="1292" w:type="pct"/>
            <w:shd w:val="clear" w:color="auto" w:fill="auto"/>
            <w:vAlign w:val="center"/>
          </w:tcPr>
          <w:p w14:paraId="59F768C9" w14:textId="4401EA9F" w:rsidR="00DB4E16" w:rsidRPr="00781112" w:rsidRDefault="00DB4E16" w:rsidP="008E4335">
            <w:pPr>
              <w:jc w:val="center"/>
              <w:rPr>
                <w:rFonts w:cs="Arial"/>
                <w:color w:val="000000" w:themeColor="text1"/>
                <w:szCs w:val="16"/>
              </w:rPr>
            </w:pPr>
            <w:r w:rsidRPr="00781112">
              <w:rPr>
                <w:rFonts w:cs="Arial"/>
                <w:color w:val="000000" w:themeColor="text1"/>
                <w:szCs w:val="16"/>
              </w:rPr>
              <w:t>49</w:t>
            </w:r>
          </w:p>
        </w:tc>
      </w:tr>
    </w:tbl>
    <w:p w14:paraId="5994F67E" w14:textId="77777777" w:rsidR="00346807" w:rsidRPr="00781112" w:rsidRDefault="00346807">
      <w:pPr>
        <w:rPr>
          <w:b/>
          <w:color w:val="000000" w:themeColor="text1"/>
        </w:rPr>
      </w:pPr>
    </w:p>
    <w:p w14:paraId="6D3557DD" w14:textId="77777777" w:rsidR="00C01339" w:rsidRPr="00781112" w:rsidRDefault="00382F22" w:rsidP="00552927">
      <w:pPr>
        <w:rPr>
          <w:rFonts w:cs="Arial"/>
          <w:b/>
          <w:color w:val="000000" w:themeColor="text1"/>
          <w:szCs w:val="16"/>
        </w:rPr>
      </w:pPr>
      <w:r w:rsidRPr="00781112">
        <w:rPr>
          <w:rFonts w:cs="Arial"/>
          <w:b/>
          <w:color w:val="000000" w:themeColor="text1"/>
          <w:szCs w:val="16"/>
        </w:rPr>
        <w:t xml:space="preserve">Data Source: </w:t>
      </w:r>
    </w:p>
    <w:p w14:paraId="1FB962F7" w14:textId="1892B5D3" w:rsidR="00C470E8" w:rsidRPr="00781112" w:rsidRDefault="002B7490" w:rsidP="00552927">
      <w:pPr>
        <w:rPr>
          <w:rFonts w:cs="Arial"/>
          <w:color w:val="000000" w:themeColor="text1"/>
          <w:szCs w:val="16"/>
        </w:rPr>
      </w:pPr>
      <w:r w:rsidRPr="00781112">
        <w:rPr>
          <w:rFonts w:cs="Arial"/>
          <w:color w:val="000000" w:themeColor="text1"/>
          <w:szCs w:val="16"/>
        </w:rPr>
        <w:t>SY 2021-22 Assessment Data Groups - Math (EDFacts file spec FS175; Data Group: 583)</w:t>
      </w:r>
    </w:p>
    <w:p w14:paraId="57CD97A4" w14:textId="77777777" w:rsidR="00C01339" w:rsidRPr="00781112" w:rsidRDefault="00382F22" w:rsidP="00552927">
      <w:pPr>
        <w:rPr>
          <w:rFonts w:cs="Arial"/>
          <w:b/>
          <w:color w:val="000000" w:themeColor="text1"/>
          <w:szCs w:val="16"/>
        </w:rPr>
      </w:pPr>
      <w:r w:rsidRPr="00781112">
        <w:rPr>
          <w:rFonts w:cs="Arial"/>
          <w:b/>
          <w:color w:val="000000" w:themeColor="text1"/>
          <w:szCs w:val="16"/>
        </w:rPr>
        <w:t xml:space="preserve">Date: </w:t>
      </w:r>
    </w:p>
    <w:p w14:paraId="33DEC24F" w14:textId="2F2311F5" w:rsidR="005D18BE" w:rsidRPr="00781112" w:rsidRDefault="002B7490" w:rsidP="00552927">
      <w:pPr>
        <w:rPr>
          <w:rFonts w:cs="Arial"/>
          <w:color w:val="000000" w:themeColor="text1"/>
          <w:szCs w:val="16"/>
        </w:rPr>
      </w:pPr>
      <w:r w:rsidRPr="00781112">
        <w:rPr>
          <w:rFonts w:cs="Arial"/>
          <w:color w:val="000000" w:themeColor="text1"/>
          <w:szCs w:val="16"/>
        </w:rPr>
        <w:t>04/05/2023</w:t>
      </w:r>
    </w:p>
    <w:p w14:paraId="5767F488" w14:textId="335F73B7" w:rsidR="00FE2056" w:rsidRPr="00781112" w:rsidRDefault="00FE2056">
      <w:pPr>
        <w:rPr>
          <w:b/>
          <w:color w:val="000000" w:themeColor="text1"/>
        </w:rPr>
      </w:pPr>
      <w:r w:rsidRPr="00781112">
        <w:rPr>
          <w:b/>
          <w:color w:val="000000" w:themeColor="text1"/>
        </w:rPr>
        <w:t>Math Assessment Proficiency Data by Grade</w:t>
      </w:r>
    </w:p>
    <w:tbl>
      <w:tblPr>
        <w:tblStyle w:val="TableGrid"/>
        <w:tblW w:w="4998" w:type="pct"/>
        <w:tblLayout w:type="fixed"/>
        <w:tblLook w:val="04A0" w:firstRow="1" w:lastRow="0" w:firstColumn="1" w:lastColumn="0" w:noHBand="0" w:noVBand="1"/>
        <w:tblCaption w:val="B03BASSPARTDATABYGRDMATH"/>
      </w:tblPr>
      <w:tblGrid>
        <w:gridCol w:w="2425"/>
        <w:gridCol w:w="2787"/>
        <w:gridCol w:w="2787"/>
        <w:gridCol w:w="2787"/>
      </w:tblGrid>
      <w:tr w:rsidR="00EB6900" w:rsidRPr="00781112" w14:paraId="1F3A5453" w14:textId="77777777" w:rsidTr="009E026B">
        <w:tc>
          <w:tcPr>
            <w:tcW w:w="1124" w:type="pct"/>
            <w:shd w:val="clear" w:color="auto" w:fill="auto"/>
          </w:tcPr>
          <w:p w14:paraId="5BF018F9" w14:textId="6FE6FA6F" w:rsidR="00EB6900" w:rsidRPr="00781112" w:rsidRDefault="00835EAD" w:rsidP="00EB6900">
            <w:pPr>
              <w:jc w:val="center"/>
              <w:rPr>
                <w:rFonts w:cs="Arial"/>
                <w:b/>
                <w:bCs/>
                <w:color w:val="000000" w:themeColor="text1"/>
                <w:szCs w:val="16"/>
              </w:rPr>
            </w:pPr>
            <w:r w:rsidRPr="00781112">
              <w:rPr>
                <w:rFonts w:cs="Arial"/>
                <w:b/>
                <w:bCs/>
                <w:color w:val="000000" w:themeColor="text1"/>
                <w:szCs w:val="16"/>
              </w:rPr>
              <w:t>Group</w:t>
            </w:r>
          </w:p>
        </w:tc>
        <w:tc>
          <w:tcPr>
            <w:tcW w:w="1292" w:type="pct"/>
            <w:shd w:val="clear" w:color="auto" w:fill="auto"/>
            <w:vAlign w:val="center"/>
          </w:tcPr>
          <w:p w14:paraId="24FAE140" w14:textId="0B22750E" w:rsidR="00EB6900" w:rsidRPr="00781112" w:rsidRDefault="00EB6900" w:rsidP="00196CE6">
            <w:pPr>
              <w:jc w:val="center"/>
              <w:rPr>
                <w:rFonts w:cs="Arial"/>
                <w:b/>
                <w:bCs/>
                <w:color w:val="000000" w:themeColor="text1"/>
                <w:szCs w:val="16"/>
              </w:rPr>
            </w:pPr>
            <w:r w:rsidRPr="00781112">
              <w:rPr>
                <w:rFonts w:cs="Arial"/>
                <w:b/>
                <w:bCs/>
                <w:color w:val="000000" w:themeColor="text1"/>
                <w:szCs w:val="16"/>
              </w:rPr>
              <w:t>Grade 4</w:t>
            </w:r>
          </w:p>
        </w:tc>
        <w:tc>
          <w:tcPr>
            <w:tcW w:w="1292" w:type="pct"/>
            <w:shd w:val="clear" w:color="auto" w:fill="auto"/>
            <w:vAlign w:val="center"/>
          </w:tcPr>
          <w:p w14:paraId="47A01117" w14:textId="43F14FF6" w:rsidR="00EB6900" w:rsidRPr="00781112" w:rsidRDefault="00EB6900" w:rsidP="00315E88">
            <w:pPr>
              <w:jc w:val="center"/>
              <w:rPr>
                <w:rFonts w:cs="Arial"/>
                <w:b/>
                <w:bCs/>
                <w:color w:val="000000" w:themeColor="text1"/>
                <w:szCs w:val="16"/>
              </w:rPr>
            </w:pPr>
            <w:r w:rsidRPr="00781112">
              <w:rPr>
                <w:rFonts w:cs="Arial"/>
                <w:b/>
                <w:bCs/>
                <w:color w:val="000000" w:themeColor="text1"/>
                <w:szCs w:val="16"/>
              </w:rPr>
              <w:t>Grade 8</w:t>
            </w:r>
          </w:p>
        </w:tc>
        <w:tc>
          <w:tcPr>
            <w:tcW w:w="1292" w:type="pct"/>
            <w:shd w:val="clear" w:color="auto" w:fill="auto"/>
            <w:vAlign w:val="center"/>
          </w:tcPr>
          <w:p w14:paraId="62BC8C13" w14:textId="1B955AD9" w:rsidR="00EB6900" w:rsidRPr="00781112" w:rsidRDefault="00EB6900" w:rsidP="00E14CF0">
            <w:pPr>
              <w:jc w:val="center"/>
              <w:rPr>
                <w:rFonts w:cs="Arial"/>
                <w:b/>
                <w:bCs/>
                <w:color w:val="000000" w:themeColor="text1"/>
                <w:szCs w:val="16"/>
              </w:rPr>
            </w:pPr>
            <w:r w:rsidRPr="00781112">
              <w:rPr>
                <w:rFonts w:cs="Arial"/>
                <w:b/>
                <w:bCs/>
                <w:color w:val="000000" w:themeColor="text1"/>
                <w:szCs w:val="16"/>
              </w:rPr>
              <w:t>Grade HS</w:t>
            </w:r>
          </w:p>
        </w:tc>
      </w:tr>
      <w:tr w:rsidR="00DB4E16" w:rsidRPr="00781112" w14:paraId="3E50404B" w14:textId="77777777" w:rsidTr="008E4335">
        <w:tc>
          <w:tcPr>
            <w:tcW w:w="1124" w:type="pct"/>
            <w:shd w:val="clear" w:color="auto" w:fill="auto"/>
          </w:tcPr>
          <w:p w14:paraId="1BC1C3E1" w14:textId="4BCAFF70" w:rsidR="00DB4E16" w:rsidRPr="00781112" w:rsidRDefault="00DB4E16" w:rsidP="00DB4E16">
            <w:pPr>
              <w:rPr>
                <w:rFonts w:cs="Arial"/>
                <w:color w:val="000000" w:themeColor="text1"/>
                <w:szCs w:val="16"/>
              </w:rPr>
            </w:pPr>
            <w:r w:rsidRPr="00781112">
              <w:rPr>
                <w:rFonts w:cs="Arial"/>
                <w:szCs w:val="16"/>
                <w:shd w:val="clear" w:color="auto" w:fill="FFFFFF"/>
              </w:rPr>
              <w:t>a. Children with IEPs who received a valid score and a proficiency level was assigned for the regular assessment</w:t>
            </w:r>
          </w:p>
        </w:tc>
        <w:tc>
          <w:tcPr>
            <w:tcW w:w="1292" w:type="pct"/>
            <w:shd w:val="clear" w:color="auto" w:fill="auto"/>
            <w:vAlign w:val="center"/>
          </w:tcPr>
          <w:p w14:paraId="73844C67" w14:textId="5B1C60BE" w:rsidR="00DB4E16" w:rsidRPr="00781112" w:rsidRDefault="00DB4E16" w:rsidP="008E4335">
            <w:pPr>
              <w:jc w:val="center"/>
              <w:rPr>
                <w:rFonts w:cs="Arial"/>
                <w:color w:val="000000" w:themeColor="text1"/>
                <w:szCs w:val="16"/>
              </w:rPr>
            </w:pPr>
            <w:r w:rsidRPr="0000318C">
              <w:rPr>
                <w:rFonts w:cs="Arial"/>
                <w:color w:val="000000" w:themeColor="text1"/>
                <w:szCs w:val="16"/>
              </w:rPr>
              <w:t>*</w:t>
            </w:r>
            <w:r w:rsidRPr="0000318C">
              <w:rPr>
                <w:rFonts w:cs="Arial"/>
                <w:color w:val="000000" w:themeColor="text1"/>
                <w:szCs w:val="16"/>
              </w:rPr>
              <w:fldChar w:fldCharType="begin"/>
            </w:r>
            <w:r w:rsidRPr="0000318C">
              <w:rPr>
                <w:rFonts w:cs="Arial"/>
                <w:color w:val="000000" w:themeColor="text1"/>
                <w:szCs w:val="16"/>
              </w:rPr>
              <w:instrText xml:space="preserve"> NOTEREF _Ref141818999 \f \h </w:instrText>
            </w:r>
            <w:r w:rsidR="008E4335">
              <w:rPr>
                <w:rFonts w:cs="Arial"/>
                <w:color w:val="000000" w:themeColor="text1"/>
                <w:szCs w:val="16"/>
              </w:rPr>
              <w:instrText xml:space="preserve"> \* MERGEFORMAT </w:instrText>
            </w:r>
            <w:r w:rsidRPr="0000318C">
              <w:rPr>
                <w:rFonts w:cs="Arial"/>
                <w:color w:val="000000" w:themeColor="text1"/>
                <w:szCs w:val="16"/>
              </w:rPr>
            </w:r>
            <w:r w:rsidRPr="0000318C">
              <w:rPr>
                <w:rFonts w:cs="Arial"/>
                <w:color w:val="000000" w:themeColor="text1"/>
                <w:szCs w:val="16"/>
              </w:rPr>
              <w:fldChar w:fldCharType="separate"/>
            </w:r>
            <w:r w:rsidRPr="0000318C">
              <w:rPr>
                <w:rStyle w:val="FootnoteReference"/>
              </w:rPr>
              <w:t>4</w:t>
            </w:r>
            <w:r w:rsidRPr="0000318C">
              <w:rPr>
                <w:rFonts w:cs="Arial"/>
                <w:color w:val="000000" w:themeColor="text1"/>
                <w:szCs w:val="16"/>
              </w:rPr>
              <w:fldChar w:fldCharType="end"/>
            </w:r>
          </w:p>
        </w:tc>
        <w:tc>
          <w:tcPr>
            <w:tcW w:w="1292" w:type="pct"/>
            <w:shd w:val="clear" w:color="auto" w:fill="auto"/>
            <w:vAlign w:val="center"/>
          </w:tcPr>
          <w:p w14:paraId="3573F811" w14:textId="0F56BA5D" w:rsidR="00DB4E16" w:rsidRPr="00781112" w:rsidRDefault="00DB4E16" w:rsidP="008E4335">
            <w:pPr>
              <w:jc w:val="center"/>
              <w:rPr>
                <w:rFonts w:cs="Arial"/>
                <w:color w:val="000000" w:themeColor="text1"/>
                <w:szCs w:val="16"/>
              </w:rPr>
            </w:pPr>
            <w:r w:rsidRPr="0000318C">
              <w:rPr>
                <w:rFonts w:cs="Arial"/>
                <w:color w:val="000000" w:themeColor="text1"/>
                <w:szCs w:val="16"/>
              </w:rPr>
              <w:t>*</w:t>
            </w:r>
            <w:r w:rsidRPr="0000318C">
              <w:rPr>
                <w:rFonts w:cs="Arial"/>
                <w:color w:val="000000" w:themeColor="text1"/>
                <w:szCs w:val="16"/>
              </w:rPr>
              <w:fldChar w:fldCharType="begin"/>
            </w:r>
            <w:r w:rsidRPr="0000318C">
              <w:rPr>
                <w:rFonts w:cs="Arial"/>
                <w:color w:val="000000" w:themeColor="text1"/>
                <w:szCs w:val="16"/>
              </w:rPr>
              <w:instrText xml:space="preserve"> NOTEREF _Ref141818999 \f \h </w:instrText>
            </w:r>
            <w:r w:rsidR="008E4335">
              <w:rPr>
                <w:rFonts w:cs="Arial"/>
                <w:color w:val="000000" w:themeColor="text1"/>
                <w:szCs w:val="16"/>
              </w:rPr>
              <w:instrText xml:space="preserve"> \* MERGEFORMAT </w:instrText>
            </w:r>
            <w:r w:rsidRPr="0000318C">
              <w:rPr>
                <w:rFonts w:cs="Arial"/>
                <w:color w:val="000000" w:themeColor="text1"/>
                <w:szCs w:val="16"/>
              </w:rPr>
            </w:r>
            <w:r w:rsidRPr="0000318C">
              <w:rPr>
                <w:rFonts w:cs="Arial"/>
                <w:color w:val="000000" w:themeColor="text1"/>
                <w:szCs w:val="16"/>
              </w:rPr>
              <w:fldChar w:fldCharType="separate"/>
            </w:r>
            <w:r w:rsidRPr="0000318C">
              <w:rPr>
                <w:rStyle w:val="FootnoteReference"/>
              </w:rPr>
              <w:t>4</w:t>
            </w:r>
            <w:r w:rsidRPr="0000318C">
              <w:rPr>
                <w:rFonts w:cs="Arial"/>
                <w:color w:val="000000" w:themeColor="text1"/>
                <w:szCs w:val="16"/>
              </w:rPr>
              <w:fldChar w:fldCharType="end"/>
            </w:r>
          </w:p>
        </w:tc>
        <w:tc>
          <w:tcPr>
            <w:tcW w:w="1292" w:type="pct"/>
            <w:shd w:val="clear" w:color="auto" w:fill="auto"/>
            <w:vAlign w:val="center"/>
          </w:tcPr>
          <w:p w14:paraId="3D006657" w14:textId="5E74B673" w:rsidR="00DB4E16" w:rsidRPr="00781112" w:rsidRDefault="00DB4E16" w:rsidP="008E4335">
            <w:pPr>
              <w:jc w:val="center"/>
              <w:rPr>
                <w:rFonts w:cs="Arial"/>
                <w:color w:val="000000" w:themeColor="text1"/>
                <w:szCs w:val="16"/>
              </w:rPr>
            </w:pPr>
            <w:r w:rsidRPr="00781112">
              <w:rPr>
                <w:rFonts w:cs="Arial"/>
                <w:color w:val="000000" w:themeColor="text1"/>
                <w:szCs w:val="16"/>
              </w:rPr>
              <w:t>3,793</w:t>
            </w:r>
          </w:p>
        </w:tc>
      </w:tr>
      <w:tr w:rsidR="00DB4E16" w:rsidRPr="00781112" w14:paraId="4482EF44" w14:textId="77777777" w:rsidTr="008E4335">
        <w:tc>
          <w:tcPr>
            <w:tcW w:w="1124" w:type="pct"/>
            <w:shd w:val="clear" w:color="auto" w:fill="auto"/>
          </w:tcPr>
          <w:p w14:paraId="27BF445B" w14:textId="0D33636A" w:rsidR="00DB4E16" w:rsidRPr="00781112" w:rsidRDefault="00DB4E16" w:rsidP="00DB4E16">
            <w:pPr>
              <w:rPr>
                <w:rFonts w:cs="Arial"/>
                <w:color w:val="000000" w:themeColor="text1"/>
                <w:szCs w:val="16"/>
              </w:rPr>
            </w:pPr>
            <w:r w:rsidRPr="00781112">
              <w:rPr>
                <w:rFonts w:cs="Arial"/>
                <w:szCs w:val="16"/>
                <w:shd w:val="clear" w:color="auto" w:fill="FFFFFF"/>
              </w:rPr>
              <w:t>b. Children with IEPs in regular assessment with no accommodations scored at or above proficient against grade level</w:t>
            </w:r>
          </w:p>
        </w:tc>
        <w:tc>
          <w:tcPr>
            <w:tcW w:w="1292" w:type="pct"/>
            <w:shd w:val="clear" w:color="auto" w:fill="auto"/>
            <w:vAlign w:val="center"/>
          </w:tcPr>
          <w:p w14:paraId="6FAE18FE" w14:textId="0D38314B" w:rsidR="00DB4E16" w:rsidRPr="00781112" w:rsidRDefault="00DB4E16" w:rsidP="008E4335">
            <w:pPr>
              <w:jc w:val="center"/>
              <w:rPr>
                <w:rFonts w:cs="Arial"/>
                <w:color w:val="000000" w:themeColor="text1"/>
                <w:szCs w:val="16"/>
              </w:rPr>
            </w:pPr>
            <w:r w:rsidRPr="0000318C">
              <w:rPr>
                <w:rFonts w:cs="Arial"/>
                <w:color w:val="000000" w:themeColor="text1"/>
                <w:szCs w:val="16"/>
              </w:rPr>
              <w:t>*</w:t>
            </w:r>
            <w:r w:rsidRPr="0000318C">
              <w:rPr>
                <w:rFonts w:cs="Arial"/>
                <w:color w:val="000000" w:themeColor="text1"/>
                <w:szCs w:val="16"/>
              </w:rPr>
              <w:fldChar w:fldCharType="begin"/>
            </w:r>
            <w:r w:rsidRPr="0000318C">
              <w:rPr>
                <w:rFonts w:cs="Arial"/>
                <w:color w:val="000000" w:themeColor="text1"/>
                <w:szCs w:val="16"/>
              </w:rPr>
              <w:instrText xml:space="preserve"> NOTEREF _Ref141818999 \f \h </w:instrText>
            </w:r>
            <w:r w:rsidR="008E4335">
              <w:rPr>
                <w:rFonts w:cs="Arial"/>
                <w:color w:val="000000" w:themeColor="text1"/>
                <w:szCs w:val="16"/>
              </w:rPr>
              <w:instrText xml:space="preserve"> \* MERGEFORMAT </w:instrText>
            </w:r>
            <w:r w:rsidRPr="0000318C">
              <w:rPr>
                <w:rFonts w:cs="Arial"/>
                <w:color w:val="000000" w:themeColor="text1"/>
                <w:szCs w:val="16"/>
              </w:rPr>
            </w:r>
            <w:r w:rsidRPr="0000318C">
              <w:rPr>
                <w:rFonts w:cs="Arial"/>
                <w:color w:val="000000" w:themeColor="text1"/>
                <w:szCs w:val="16"/>
              </w:rPr>
              <w:fldChar w:fldCharType="separate"/>
            </w:r>
            <w:r w:rsidRPr="0000318C">
              <w:rPr>
                <w:rStyle w:val="FootnoteReference"/>
              </w:rPr>
              <w:t>4</w:t>
            </w:r>
            <w:r w:rsidRPr="0000318C">
              <w:rPr>
                <w:rFonts w:cs="Arial"/>
                <w:color w:val="000000" w:themeColor="text1"/>
                <w:szCs w:val="16"/>
              </w:rPr>
              <w:fldChar w:fldCharType="end"/>
            </w:r>
          </w:p>
        </w:tc>
        <w:tc>
          <w:tcPr>
            <w:tcW w:w="1292" w:type="pct"/>
            <w:shd w:val="clear" w:color="auto" w:fill="auto"/>
            <w:vAlign w:val="center"/>
          </w:tcPr>
          <w:p w14:paraId="0501C27C" w14:textId="3FC7C3DE" w:rsidR="00DB4E16" w:rsidRPr="00781112" w:rsidRDefault="00DB4E16" w:rsidP="008E4335">
            <w:pPr>
              <w:jc w:val="center"/>
              <w:rPr>
                <w:rFonts w:cs="Arial"/>
                <w:color w:val="000000" w:themeColor="text1"/>
                <w:szCs w:val="16"/>
              </w:rPr>
            </w:pPr>
            <w:r w:rsidRPr="0000318C">
              <w:rPr>
                <w:rFonts w:cs="Arial"/>
                <w:color w:val="000000" w:themeColor="text1"/>
                <w:szCs w:val="16"/>
              </w:rPr>
              <w:t>*</w:t>
            </w:r>
            <w:r w:rsidRPr="0000318C">
              <w:rPr>
                <w:rFonts w:cs="Arial"/>
                <w:color w:val="000000" w:themeColor="text1"/>
                <w:szCs w:val="16"/>
              </w:rPr>
              <w:fldChar w:fldCharType="begin"/>
            </w:r>
            <w:r w:rsidRPr="0000318C">
              <w:rPr>
                <w:rFonts w:cs="Arial"/>
                <w:color w:val="000000" w:themeColor="text1"/>
                <w:szCs w:val="16"/>
              </w:rPr>
              <w:instrText xml:space="preserve"> NOTEREF _Ref141818999 \f \h </w:instrText>
            </w:r>
            <w:r w:rsidR="008E4335">
              <w:rPr>
                <w:rFonts w:cs="Arial"/>
                <w:color w:val="000000" w:themeColor="text1"/>
                <w:szCs w:val="16"/>
              </w:rPr>
              <w:instrText xml:space="preserve"> \* MERGEFORMAT </w:instrText>
            </w:r>
            <w:r w:rsidRPr="0000318C">
              <w:rPr>
                <w:rFonts w:cs="Arial"/>
                <w:color w:val="000000" w:themeColor="text1"/>
                <w:szCs w:val="16"/>
              </w:rPr>
            </w:r>
            <w:r w:rsidRPr="0000318C">
              <w:rPr>
                <w:rFonts w:cs="Arial"/>
                <w:color w:val="000000" w:themeColor="text1"/>
                <w:szCs w:val="16"/>
              </w:rPr>
              <w:fldChar w:fldCharType="separate"/>
            </w:r>
            <w:r w:rsidRPr="0000318C">
              <w:rPr>
                <w:rStyle w:val="FootnoteReference"/>
              </w:rPr>
              <w:t>4</w:t>
            </w:r>
            <w:r w:rsidRPr="0000318C">
              <w:rPr>
                <w:rFonts w:cs="Arial"/>
                <w:color w:val="000000" w:themeColor="text1"/>
                <w:szCs w:val="16"/>
              </w:rPr>
              <w:fldChar w:fldCharType="end"/>
            </w:r>
          </w:p>
        </w:tc>
        <w:tc>
          <w:tcPr>
            <w:tcW w:w="1292" w:type="pct"/>
            <w:shd w:val="clear" w:color="auto" w:fill="auto"/>
            <w:vAlign w:val="center"/>
          </w:tcPr>
          <w:p w14:paraId="2F8ECC6A" w14:textId="065827BA" w:rsidR="00DB4E16" w:rsidRPr="00781112" w:rsidRDefault="00DB4E16" w:rsidP="008E4335">
            <w:pPr>
              <w:jc w:val="center"/>
              <w:rPr>
                <w:rFonts w:cs="Arial"/>
                <w:color w:val="000000" w:themeColor="text1"/>
                <w:szCs w:val="16"/>
              </w:rPr>
            </w:pPr>
            <w:r w:rsidRPr="00781112">
              <w:rPr>
                <w:rFonts w:cs="Arial"/>
                <w:color w:val="000000" w:themeColor="text1"/>
                <w:szCs w:val="16"/>
              </w:rPr>
              <w:t>182</w:t>
            </w:r>
          </w:p>
        </w:tc>
      </w:tr>
      <w:tr w:rsidR="00DB4E16" w:rsidRPr="00781112" w14:paraId="7ED983D3" w14:textId="77777777" w:rsidTr="008E4335">
        <w:tc>
          <w:tcPr>
            <w:tcW w:w="1124" w:type="pct"/>
            <w:shd w:val="clear" w:color="auto" w:fill="auto"/>
          </w:tcPr>
          <w:p w14:paraId="6E21D958" w14:textId="7EF8B281" w:rsidR="00DB4E16" w:rsidRPr="00781112" w:rsidRDefault="00DB4E16" w:rsidP="00DB4E16">
            <w:pPr>
              <w:rPr>
                <w:rFonts w:cs="Arial"/>
                <w:color w:val="000000" w:themeColor="text1"/>
                <w:szCs w:val="16"/>
              </w:rPr>
            </w:pPr>
            <w:r w:rsidRPr="00781112">
              <w:rPr>
                <w:rFonts w:cs="Arial"/>
                <w:szCs w:val="16"/>
                <w:shd w:val="clear" w:color="auto" w:fill="FFFFFF"/>
              </w:rPr>
              <w:t>c. Children with IEPs in regular assessment with accommodations scored at or above proficient against grade level</w:t>
            </w:r>
          </w:p>
        </w:tc>
        <w:tc>
          <w:tcPr>
            <w:tcW w:w="1292" w:type="pct"/>
            <w:shd w:val="clear" w:color="auto" w:fill="auto"/>
            <w:vAlign w:val="center"/>
          </w:tcPr>
          <w:p w14:paraId="239BF66A" w14:textId="6DB1E946" w:rsidR="00DB4E16" w:rsidRPr="00781112" w:rsidRDefault="00DB4E16" w:rsidP="008E4335">
            <w:pPr>
              <w:jc w:val="center"/>
              <w:rPr>
                <w:rFonts w:cs="Arial"/>
                <w:color w:val="000000" w:themeColor="text1"/>
                <w:szCs w:val="16"/>
              </w:rPr>
            </w:pPr>
            <w:r w:rsidRPr="0000318C">
              <w:rPr>
                <w:rFonts w:cs="Arial"/>
                <w:color w:val="000000" w:themeColor="text1"/>
                <w:szCs w:val="16"/>
              </w:rPr>
              <w:t>*</w:t>
            </w:r>
            <w:r w:rsidRPr="0000318C">
              <w:rPr>
                <w:rFonts w:cs="Arial"/>
                <w:color w:val="000000" w:themeColor="text1"/>
                <w:szCs w:val="16"/>
              </w:rPr>
              <w:fldChar w:fldCharType="begin"/>
            </w:r>
            <w:r w:rsidRPr="0000318C">
              <w:rPr>
                <w:rFonts w:cs="Arial"/>
                <w:color w:val="000000" w:themeColor="text1"/>
                <w:szCs w:val="16"/>
              </w:rPr>
              <w:instrText xml:space="preserve"> NOTEREF _Ref141818999 \f \h </w:instrText>
            </w:r>
            <w:r w:rsidR="008E4335">
              <w:rPr>
                <w:rFonts w:cs="Arial"/>
                <w:color w:val="000000" w:themeColor="text1"/>
                <w:szCs w:val="16"/>
              </w:rPr>
              <w:instrText xml:space="preserve"> \* MERGEFORMAT </w:instrText>
            </w:r>
            <w:r w:rsidRPr="0000318C">
              <w:rPr>
                <w:rFonts w:cs="Arial"/>
                <w:color w:val="000000" w:themeColor="text1"/>
                <w:szCs w:val="16"/>
              </w:rPr>
            </w:r>
            <w:r w:rsidRPr="0000318C">
              <w:rPr>
                <w:rFonts w:cs="Arial"/>
                <w:color w:val="000000" w:themeColor="text1"/>
                <w:szCs w:val="16"/>
              </w:rPr>
              <w:fldChar w:fldCharType="separate"/>
            </w:r>
            <w:r w:rsidRPr="0000318C">
              <w:rPr>
                <w:rStyle w:val="FootnoteReference"/>
              </w:rPr>
              <w:t>4</w:t>
            </w:r>
            <w:r w:rsidRPr="0000318C">
              <w:rPr>
                <w:rFonts w:cs="Arial"/>
                <w:color w:val="000000" w:themeColor="text1"/>
                <w:szCs w:val="16"/>
              </w:rPr>
              <w:fldChar w:fldCharType="end"/>
            </w:r>
          </w:p>
        </w:tc>
        <w:tc>
          <w:tcPr>
            <w:tcW w:w="1292" w:type="pct"/>
            <w:shd w:val="clear" w:color="auto" w:fill="auto"/>
            <w:vAlign w:val="center"/>
          </w:tcPr>
          <w:p w14:paraId="3148F449" w14:textId="5D4F0329" w:rsidR="00DB4E16" w:rsidRPr="00781112" w:rsidRDefault="00DB4E16" w:rsidP="008E4335">
            <w:pPr>
              <w:jc w:val="center"/>
              <w:rPr>
                <w:rFonts w:cs="Arial"/>
                <w:color w:val="000000" w:themeColor="text1"/>
                <w:szCs w:val="16"/>
              </w:rPr>
            </w:pPr>
            <w:r w:rsidRPr="0000318C">
              <w:rPr>
                <w:rFonts w:cs="Arial"/>
                <w:color w:val="000000" w:themeColor="text1"/>
                <w:szCs w:val="16"/>
              </w:rPr>
              <w:t>*</w:t>
            </w:r>
            <w:r w:rsidRPr="0000318C">
              <w:rPr>
                <w:rFonts w:cs="Arial"/>
                <w:color w:val="000000" w:themeColor="text1"/>
                <w:szCs w:val="16"/>
              </w:rPr>
              <w:fldChar w:fldCharType="begin"/>
            </w:r>
            <w:r w:rsidRPr="0000318C">
              <w:rPr>
                <w:rFonts w:cs="Arial"/>
                <w:color w:val="000000" w:themeColor="text1"/>
                <w:szCs w:val="16"/>
              </w:rPr>
              <w:instrText xml:space="preserve"> NOTEREF _Ref141818999 \f \h </w:instrText>
            </w:r>
            <w:r w:rsidR="008E4335">
              <w:rPr>
                <w:rFonts w:cs="Arial"/>
                <w:color w:val="000000" w:themeColor="text1"/>
                <w:szCs w:val="16"/>
              </w:rPr>
              <w:instrText xml:space="preserve"> \* MERGEFORMAT </w:instrText>
            </w:r>
            <w:r w:rsidRPr="0000318C">
              <w:rPr>
                <w:rFonts w:cs="Arial"/>
                <w:color w:val="000000" w:themeColor="text1"/>
                <w:szCs w:val="16"/>
              </w:rPr>
            </w:r>
            <w:r w:rsidRPr="0000318C">
              <w:rPr>
                <w:rFonts w:cs="Arial"/>
                <w:color w:val="000000" w:themeColor="text1"/>
                <w:szCs w:val="16"/>
              </w:rPr>
              <w:fldChar w:fldCharType="separate"/>
            </w:r>
            <w:r w:rsidRPr="0000318C">
              <w:rPr>
                <w:rStyle w:val="FootnoteReference"/>
              </w:rPr>
              <w:t>4</w:t>
            </w:r>
            <w:r w:rsidRPr="0000318C">
              <w:rPr>
                <w:rFonts w:cs="Arial"/>
                <w:color w:val="000000" w:themeColor="text1"/>
                <w:szCs w:val="16"/>
              </w:rPr>
              <w:fldChar w:fldCharType="end"/>
            </w:r>
          </w:p>
        </w:tc>
        <w:tc>
          <w:tcPr>
            <w:tcW w:w="1292" w:type="pct"/>
            <w:shd w:val="clear" w:color="auto" w:fill="auto"/>
            <w:vAlign w:val="center"/>
          </w:tcPr>
          <w:p w14:paraId="56D05BB3" w14:textId="5F6BA567" w:rsidR="00DB4E16" w:rsidRPr="00781112" w:rsidRDefault="00DB4E16" w:rsidP="008E4335">
            <w:pPr>
              <w:jc w:val="center"/>
              <w:rPr>
                <w:rFonts w:cs="Arial"/>
                <w:color w:val="000000" w:themeColor="text1"/>
                <w:szCs w:val="16"/>
              </w:rPr>
            </w:pPr>
            <w:r w:rsidRPr="00781112">
              <w:rPr>
                <w:rFonts w:cs="Arial"/>
                <w:color w:val="000000" w:themeColor="text1"/>
                <w:szCs w:val="16"/>
              </w:rPr>
              <w:t>33</w:t>
            </w:r>
          </w:p>
        </w:tc>
      </w:tr>
      <w:bookmarkEnd w:id="16"/>
    </w:tbl>
    <w:p w14:paraId="1A4F8ED6" w14:textId="77777777" w:rsidR="00966232" w:rsidRPr="00781112" w:rsidRDefault="00966232" w:rsidP="004369B2">
      <w:pPr>
        <w:rPr>
          <w:color w:val="000000" w:themeColor="text1"/>
        </w:rPr>
      </w:pPr>
    </w:p>
    <w:p w14:paraId="1E1876C6" w14:textId="39EB7563" w:rsidR="00E539AB" w:rsidRPr="00781112" w:rsidRDefault="0047313F" w:rsidP="004369B2">
      <w:pPr>
        <w:rPr>
          <w:b/>
          <w:color w:val="000000" w:themeColor="text1"/>
        </w:rPr>
      </w:pPr>
      <w:r>
        <w:rPr>
          <w:b/>
          <w:color w:val="000000" w:themeColor="text1"/>
        </w:rPr>
        <w:t>FFY 2021 SPP/APR Data: Reading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BFFYAPRDATARLA"/>
      </w:tblPr>
      <w:tblGrid>
        <w:gridCol w:w="428"/>
        <w:gridCol w:w="888"/>
        <w:gridCol w:w="2027"/>
        <w:gridCol w:w="2026"/>
        <w:gridCol w:w="1085"/>
        <w:gridCol w:w="1085"/>
        <w:gridCol w:w="1085"/>
        <w:gridCol w:w="1085"/>
        <w:gridCol w:w="1081"/>
      </w:tblGrid>
      <w:tr w:rsidR="00FA33C9" w:rsidRPr="00781112" w14:paraId="52CF9222" w14:textId="5C9FC6C2" w:rsidTr="004B3F40">
        <w:trPr>
          <w:tblHeader/>
        </w:trPr>
        <w:tc>
          <w:tcPr>
            <w:tcW w:w="198" w:type="pct"/>
            <w:shd w:val="clear" w:color="auto" w:fill="auto"/>
            <w:vAlign w:val="bottom"/>
          </w:tcPr>
          <w:p w14:paraId="5B0C0A4E" w14:textId="31160362" w:rsidR="00FA33C9" w:rsidRPr="00781112" w:rsidRDefault="00FA33C9" w:rsidP="00FA33C9">
            <w:pPr>
              <w:jc w:val="center"/>
              <w:rPr>
                <w:b/>
                <w:color w:val="000000" w:themeColor="text1"/>
              </w:rPr>
            </w:pPr>
            <w:r w:rsidRPr="00781112">
              <w:rPr>
                <w:b/>
                <w:color w:val="000000" w:themeColor="text1"/>
              </w:rPr>
              <w:t>Group</w:t>
            </w:r>
          </w:p>
        </w:tc>
        <w:tc>
          <w:tcPr>
            <w:tcW w:w="411" w:type="pct"/>
            <w:shd w:val="clear" w:color="auto" w:fill="auto"/>
            <w:vAlign w:val="bottom"/>
          </w:tcPr>
          <w:p w14:paraId="08D526E5" w14:textId="4BDB327D" w:rsidR="00FA33C9" w:rsidRPr="00781112" w:rsidRDefault="00FA33C9" w:rsidP="00FA33C9">
            <w:pPr>
              <w:jc w:val="center"/>
              <w:rPr>
                <w:b/>
                <w:color w:val="000000" w:themeColor="text1"/>
              </w:rPr>
            </w:pPr>
            <w:r w:rsidRPr="00781112">
              <w:rPr>
                <w:b/>
                <w:color w:val="000000" w:themeColor="text1"/>
              </w:rPr>
              <w:t>Group Name</w:t>
            </w:r>
          </w:p>
        </w:tc>
        <w:tc>
          <w:tcPr>
            <w:tcW w:w="939" w:type="pct"/>
            <w:shd w:val="clear" w:color="auto" w:fill="auto"/>
          </w:tcPr>
          <w:p w14:paraId="198DD72E" w14:textId="3FB5565B" w:rsidR="00FA33C9" w:rsidRPr="00781112" w:rsidRDefault="00FA33C9" w:rsidP="00FA33C9">
            <w:pPr>
              <w:jc w:val="center"/>
              <w:rPr>
                <w:b/>
                <w:bCs/>
                <w:color w:val="000000" w:themeColor="text1"/>
              </w:rPr>
            </w:pPr>
            <w:r w:rsidRPr="00781112">
              <w:rPr>
                <w:b/>
                <w:bCs/>
              </w:rPr>
              <w:t>Number of Children with IEPs Scoring At or Above Proficient Against Grade Level Academic Achievement Standards</w:t>
            </w:r>
          </w:p>
        </w:tc>
        <w:tc>
          <w:tcPr>
            <w:tcW w:w="939" w:type="pct"/>
            <w:shd w:val="clear" w:color="auto" w:fill="auto"/>
          </w:tcPr>
          <w:p w14:paraId="43067EB5" w14:textId="1B6A6AEE" w:rsidR="00FA33C9" w:rsidRPr="00781112" w:rsidRDefault="00FA33C9" w:rsidP="00FA33C9">
            <w:pPr>
              <w:jc w:val="center"/>
              <w:rPr>
                <w:b/>
                <w:bCs/>
                <w:color w:val="000000" w:themeColor="text1"/>
              </w:rPr>
            </w:pPr>
            <w:r w:rsidRPr="00781112">
              <w:rPr>
                <w:b/>
                <w:bCs/>
              </w:rPr>
              <w:t>Number of Children with IEPs who Received a Valid Score and for whom a Proficiency Level was Assigned for the Regular Assessment</w:t>
            </w:r>
          </w:p>
        </w:tc>
        <w:tc>
          <w:tcPr>
            <w:tcW w:w="503" w:type="pct"/>
            <w:shd w:val="clear" w:color="auto" w:fill="auto"/>
            <w:vAlign w:val="bottom"/>
          </w:tcPr>
          <w:p w14:paraId="18374487" w14:textId="19033228" w:rsidR="00FA33C9" w:rsidRPr="00073BD7" w:rsidRDefault="00FA33C9" w:rsidP="00FA33C9">
            <w:pPr>
              <w:jc w:val="center"/>
              <w:rPr>
                <w:b/>
                <w:bCs/>
                <w:color w:val="000000" w:themeColor="text1"/>
              </w:rPr>
            </w:pPr>
            <w:r w:rsidRPr="00073BD7">
              <w:rPr>
                <w:b/>
                <w:bCs/>
              </w:rPr>
              <w:t>FFY 2020 Data</w:t>
            </w:r>
          </w:p>
        </w:tc>
        <w:tc>
          <w:tcPr>
            <w:tcW w:w="503" w:type="pct"/>
            <w:shd w:val="clear" w:color="auto" w:fill="auto"/>
            <w:vAlign w:val="bottom"/>
          </w:tcPr>
          <w:p w14:paraId="3E51680E" w14:textId="2AA7DE2E" w:rsidR="00FA33C9" w:rsidRPr="00073BD7" w:rsidRDefault="00FA33C9" w:rsidP="00FA33C9">
            <w:pPr>
              <w:jc w:val="center"/>
              <w:rPr>
                <w:b/>
                <w:bCs/>
                <w:color w:val="000000" w:themeColor="text1"/>
              </w:rPr>
            </w:pPr>
            <w:r w:rsidRPr="00073BD7">
              <w:rPr>
                <w:b/>
                <w:bCs/>
              </w:rPr>
              <w:t>FFY 2021 Target</w:t>
            </w:r>
          </w:p>
        </w:tc>
        <w:tc>
          <w:tcPr>
            <w:tcW w:w="503" w:type="pct"/>
            <w:shd w:val="clear" w:color="auto" w:fill="auto"/>
            <w:vAlign w:val="bottom"/>
          </w:tcPr>
          <w:p w14:paraId="29685ECA" w14:textId="050366A7" w:rsidR="00FA33C9" w:rsidRPr="00073BD7" w:rsidRDefault="00FA33C9" w:rsidP="00FA33C9">
            <w:pPr>
              <w:jc w:val="center"/>
              <w:rPr>
                <w:b/>
                <w:bCs/>
                <w:color w:val="000000" w:themeColor="text1"/>
              </w:rPr>
            </w:pPr>
            <w:r w:rsidRPr="00073BD7">
              <w:rPr>
                <w:b/>
                <w:bCs/>
              </w:rPr>
              <w:t>FFY 2021 Data</w:t>
            </w:r>
          </w:p>
        </w:tc>
        <w:tc>
          <w:tcPr>
            <w:tcW w:w="503" w:type="pct"/>
            <w:shd w:val="clear" w:color="auto" w:fill="auto"/>
            <w:vAlign w:val="bottom"/>
          </w:tcPr>
          <w:p w14:paraId="5E9D6295" w14:textId="7F28EB50" w:rsidR="00FA33C9" w:rsidRPr="00781112" w:rsidRDefault="00FA33C9" w:rsidP="00FA33C9">
            <w:pPr>
              <w:jc w:val="center"/>
              <w:rPr>
                <w:b/>
                <w:color w:val="000000" w:themeColor="text1"/>
              </w:rPr>
            </w:pPr>
            <w:r w:rsidRPr="00781112">
              <w:rPr>
                <w:b/>
                <w:color w:val="000000" w:themeColor="text1"/>
              </w:rPr>
              <w:t>Status</w:t>
            </w:r>
          </w:p>
        </w:tc>
        <w:tc>
          <w:tcPr>
            <w:tcW w:w="501" w:type="pct"/>
            <w:shd w:val="clear" w:color="auto" w:fill="auto"/>
            <w:vAlign w:val="bottom"/>
          </w:tcPr>
          <w:p w14:paraId="7898EF38" w14:textId="75DFA010" w:rsidR="00FA33C9" w:rsidRPr="00781112" w:rsidRDefault="00FA33C9" w:rsidP="00FA33C9">
            <w:pPr>
              <w:jc w:val="center"/>
              <w:rPr>
                <w:b/>
                <w:color w:val="000000" w:themeColor="text1"/>
              </w:rPr>
            </w:pPr>
            <w:r w:rsidRPr="00781112">
              <w:rPr>
                <w:b/>
                <w:color w:val="000000" w:themeColor="text1"/>
              </w:rPr>
              <w:t>Slippage</w:t>
            </w:r>
          </w:p>
        </w:tc>
      </w:tr>
      <w:tr w:rsidR="00DB4E16" w:rsidRPr="00781112" w14:paraId="7760B96D" w14:textId="1E1E2305" w:rsidTr="00B32CE0">
        <w:tc>
          <w:tcPr>
            <w:tcW w:w="198" w:type="pct"/>
            <w:shd w:val="clear" w:color="auto" w:fill="auto"/>
            <w:vAlign w:val="center"/>
          </w:tcPr>
          <w:p w14:paraId="6F54F4BD" w14:textId="3AB2A2E6" w:rsidR="00DB4E16" w:rsidRPr="00781112" w:rsidRDefault="00DB4E16" w:rsidP="00DB4E16">
            <w:pPr>
              <w:pStyle w:val="Default"/>
              <w:jc w:val="center"/>
              <w:rPr>
                <w:rFonts w:eastAsiaTheme="minorHAnsi"/>
                <w:color w:val="000000" w:themeColor="text1"/>
                <w:sz w:val="16"/>
                <w:szCs w:val="16"/>
              </w:rPr>
            </w:pPr>
            <w:r w:rsidRPr="00781112">
              <w:rPr>
                <w:b/>
                <w:color w:val="000000" w:themeColor="text1"/>
                <w:sz w:val="16"/>
                <w:szCs w:val="16"/>
              </w:rPr>
              <w:t>A</w:t>
            </w:r>
          </w:p>
        </w:tc>
        <w:tc>
          <w:tcPr>
            <w:tcW w:w="411" w:type="pct"/>
            <w:shd w:val="clear" w:color="auto" w:fill="auto"/>
            <w:vAlign w:val="center"/>
          </w:tcPr>
          <w:p w14:paraId="1AF12AAB" w14:textId="02722A5C" w:rsidR="00DB4E16" w:rsidRPr="00781112" w:rsidDel="00DE5045" w:rsidRDefault="00DB4E16" w:rsidP="00DB4E16">
            <w:pPr>
              <w:jc w:val="center"/>
              <w:rPr>
                <w:rFonts w:cs="Arial"/>
                <w:color w:val="000000" w:themeColor="text1"/>
                <w:szCs w:val="16"/>
              </w:rPr>
            </w:pPr>
            <w:r w:rsidRPr="00781112">
              <w:rPr>
                <w:rFonts w:cs="Arial"/>
                <w:color w:val="000000" w:themeColor="text1"/>
                <w:szCs w:val="16"/>
              </w:rPr>
              <w:t>Grade 4</w:t>
            </w:r>
          </w:p>
        </w:tc>
        <w:tc>
          <w:tcPr>
            <w:tcW w:w="939" w:type="pct"/>
            <w:shd w:val="clear" w:color="auto" w:fill="auto"/>
          </w:tcPr>
          <w:p w14:paraId="0D75EC1C" w14:textId="6091CF8C" w:rsidR="00DB4E16" w:rsidRPr="00781112" w:rsidRDefault="00DB4E16" w:rsidP="00DB4E16">
            <w:pPr>
              <w:jc w:val="center"/>
              <w:rPr>
                <w:rFonts w:cs="Arial"/>
                <w:color w:val="000000" w:themeColor="text1"/>
                <w:szCs w:val="16"/>
              </w:rPr>
            </w:pPr>
            <w:r w:rsidRPr="000E2E8D">
              <w:rPr>
                <w:rFonts w:cs="Arial"/>
                <w:color w:val="000000" w:themeColor="text1"/>
                <w:szCs w:val="16"/>
              </w:rPr>
              <w:t>*</w:t>
            </w:r>
            <w:r w:rsidRPr="000E2E8D">
              <w:rPr>
                <w:rFonts w:cs="Arial"/>
                <w:color w:val="000000" w:themeColor="text1"/>
                <w:szCs w:val="16"/>
              </w:rPr>
              <w:fldChar w:fldCharType="begin"/>
            </w:r>
            <w:r w:rsidRPr="000E2E8D">
              <w:rPr>
                <w:rFonts w:cs="Arial"/>
                <w:color w:val="000000" w:themeColor="text1"/>
                <w:szCs w:val="16"/>
              </w:rPr>
              <w:instrText xml:space="preserve"> NOTEREF _Ref141818999 \f \h </w:instrText>
            </w:r>
            <w:r w:rsidRPr="000E2E8D">
              <w:rPr>
                <w:rFonts w:cs="Arial"/>
                <w:color w:val="000000" w:themeColor="text1"/>
                <w:szCs w:val="16"/>
              </w:rPr>
            </w:r>
            <w:r w:rsidRPr="000E2E8D">
              <w:rPr>
                <w:rFonts w:cs="Arial"/>
                <w:color w:val="000000" w:themeColor="text1"/>
                <w:szCs w:val="16"/>
              </w:rPr>
              <w:fldChar w:fldCharType="separate"/>
            </w:r>
            <w:r w:rsidRPr="000E2E8D">
              <w:rPr>
                <w:rStyle w:val="FootnoteReference"/>
              </w:rPr>
              <w:t>4</w:t>
            </w:r>
            <w:r w:rsidRPr="000E2E8D">
              <w:rPr>
                <w:rFonts w:cs="Arial"/>
                <w:color w:val="000000" w:themeColor="text1"/>
                <w:szCs w:val="16"/>
              </w:rPr>
              <w:fldChar w:fldCharType="end"/>
            </w:r>
          </w:p>
        </w:tc>
        <w:tc>
          <w:tcPr>
            <w:tcW w:w="939" w:type="pct"/>
            <w:shd w:val="clear" w:color="auto" w:fill="auto"/>
          </w:tcPr>
          <w:p w14:paraId="7E6A021B" w14:textId="65354FD4" w:rsidR="00DB4E16" w:rsidRPr="00781112" w:rsidRDefault="00DB4E16" w:rsidP="00DB4E16">
            <w:pPr>
              <w:jc w:val="center"/>
              <w:rPr>
                <w:rFonts w:cs="Arial"/>
                <w:color w:val="000000" w:themeColor="text1"/>
                <w:szCs w:val="16"/>
              </w:rPr>
            </w:pPr>
            <w:r w:rsidRPr="000E2E8D">
              <w:rPr>
                <w:rFonts w:cs="Arial"/>
                <w:color w:val="000000" w:themeColor="text1"/>
                <w:szCs w:val="16"/>
              </w:rPr>
              <w:t>*</w:t>
            </w:r>
            <w:r w:rsidRPr="000E2E8D">
              <w:rPr>
                <w:rFonts w:cs="Arial"/>
                <w:color w:val="000000" w:themeColor="text1"/>
                <w:szCs w:val="16"/>
              </w:rPr>
              <w:fldChar w:fldCharType="begin"/>
            </w:r>
            <w:r w:rsidRPr="000E2E8D">
              <w:rPr>
                <w:rFonts w:cs="Arial"/>
                <w:color w:val="000000" w:themeColor="text1"/>
                <w:szCs w:val="16"/>
              </w:rPr>
              <w:instrText xml:space="preserve"> NOTEREF _Ref141818999 \f \h </w:instrText>
            </w:r>
            <w:r w:rsidRPr="000E2E8D">
              <w:rPr>
                <w:rFonts w:cs="Arial"/>
                <w:color w:val="000000" w:themeColor="text1"/>
                <w:szCs w:val="16"/>
              </w:rPr>
            </w:r>
            <w:r w:rsidRPr="000E2E8D">
              <w:rPr>
                <w:rFonts w:cs="Arial"/>
                <w:color w:val="000000" w:themeColor="text1"/>
                <w:szCs w:val="16"/>
              </w:rPr>
              <w:fldChar w:fldCharType="separate"/>
            </w:r>
            <w:r w:rsidRPr="000E2E8D">
              <w:rPr>
                <w:rStyle w:val="FootnoteReference"/>
              </w:rPr>
              <w:t>4</w:t>
            </w:r>
            <w:r w:rsidRPr="000E2E8D">
              <w:rPr>
                <w:rFonts w:cs="Arial"/>
                <w:color w:val="000000" w:themeColor="text1"/>
                <w:szCs w:val="16"/>
              </w:rPr>
              <w:fldChar w:fldCharType="end"/>
            </w:r>
          </w:p>
        </w:tc>
        <w:tc>
          <w:tcPr>
            <w:tcW w:w="503" w:type="pct"/>
            <w:shd w:val="clear" w:color="auto" w:fill="auto"/>
            <w:vAlign w:val="center"/>
          </w:tcPr>
          <w:p w14:paraId="69FD37B5" w14:textId="09B40B87" w:rsidR="00DB4E16" w:rsidRPr="00781112" w:rsidRDefault="00DB4E16" w:rsidP="00DB4E16">
            <w:pPr>
              <w:jc w:val="center"/>
              <w:rPr>
                <w:rFonts w:cs="Arial"/>
                <w:color w:val="000000" w:themeColor="text1"/>
                <w:szCs w:val="16"/>
              </w:rPr>
            </w:pPr>
            <w:r w:rsidRPr="00781112">
              <w:rPr>
                <w:rFonts w:cs="Arial"/>
                <w:color w:val="000000" w:themeColor="text1"/>
                <w:szCs w:val="16"/>
              </w:rPr>
              <w:t>14.51%</w:t>
            </w:r>
          </w:p>
        </w:tc>
        <w:tc>
          <w:tcPr>
            <w:tcW w:w="503" w:type="pct"/>
            <w:shd w:val="clear" w:color="auto" w:fill="auto"/>
            <w:vAlign w:val="center"/>
          </w:tcPr>
          <w:p w14:paraId="482B7D09" w14:textId="62AFAA78" w:rsidR="00DB4E16" w:rsidRPr="00781112" w:rsidRDefault="00DB4E16" w:rsidP="00DB4E16">
            <w:pPr>
              <w:jc w:val="center"/>
              <w:rPr>
                <w:rFonts w:cs="Arial"/>
                <w:color w:val="000000" w:themeColor="text1"/>
                <w:szCs w:val="16"/>
              </w:rPr>
            </w:pPr>
            <w:r w:rsidRPr="00781112">
              <w:rPr>
                <w:rFonts w:cs="Arial"/>
                <w:color w:val="000000" w:themeColor="text1"/>
                <w:szCs w:val="16"/>
              </w:rPr>
              <w:t>14.51%</w:t>
            </w:r>
          </w:p>
        </w:tc>
        <w:tc>
          <w:tcPr>
            <w:tcW w:w="503" w:type="pct"/>
            <w:shd w:val="clear" w:color="auto" w:fill="auto"/>
          </w:tcPr>
          <w:p w14:paraId="120D94C1" w14:textId="456AF92D" w:rsidR="00DB4E16" w:rsidRPr="00781112" w:rsidRDefault="00DB4E16" w:rsidP="00DB4E16">
            <w:pPr>
              <w:jc w:val="center"/>
              <w:rPr>
                <w:rFonts w:cs="Arial"/>
                <w:color w:val="000000" w:themeColor="text1"/>
                <w:szCs w:val="16"/>
              </w:rPr>
            </w:pPr>
            <w:r w:rsidRPr="009263B2">
              <w:rPr>
                <w:rFonts w:cs="Arial"/>
                <w:color w:val="000000" w:themeColor="text1"/>
                <w:szCs w:val="16"/>
              </w:rPr>
              <w:t>*</w:t>
            </w:r>
            <w:r w:rsidRPr="009263B2">
              <w:rPr>
                <w:rFonts w:cs="Arial"/>
                <w:color w:val="000000" w:themeColor="text1"/>
                <w:szCs w:val="16"/>
              </w:rPr>
              <w:fldChar w:fldCharType="begin"/>
            </w:r>
            <w:r w:rsidRPr="009263B2">
              <w:rPr>
                <w:rFonts w:cs="Arial"/>
                <w:color w:val="000000" w:themeColor="text1"/>
                <w:szCs w:val="16"/>
              </w:rPr>
              <w:instrText xml:space="preserve"> NOTEREF _Ref141818999 \f \h </w:instrText>
            </w:r>
            <w:r w:rsidRPr="009263B2">
              <w:rPr>
                <w:rFonts w:cs="Arial"/>
                <w:color w:val="000000" w:themeColor="text1"/>
                <w:szCs w:val="16"/>
              </w:rPr>
            </w:r>
            <w:r w:rsidRPr="009263B2">
              <w:rPr>
                <w:rFonts w:cs="Arial"/>
                <w:color w:val="000000" w:themeColor="text1"/>
                <w:szCs w:val="16"/>
              </w:rPr>
              <w:fldChar w:fldCharType="separate"/>
            </w:r>
            <w:r w:rsidRPr="009263B2">
              <w:rPr>
                <w:rStyle w:val="FootnoteReference"/>
              </w:rPr>
              <w:t>4</w:t>
            </w:r>
            <w:r w:rsidRPr="009263B2">
              <w:rPr>
                <w:rFonts w:cs="Arial"/>
                <w:color w:val="000000" w:themeColor="text1"/>
                <w:szCs w:val="16"/>
              </w:rPr>
              <w:fldChar w:fldCharType="end"/>
            </w:r>
          </w:p>
        </w:tc>
        <w:tc>
          <w:tcPr>
            <w:tcW w:w="503" w:type="pct"/>
            <w:shd w:val="clear" w:color="auto" w:fill="auto"/>
            <w:vAlign w:val="center"/>
          </w:tcPr>
          <w:p w14:paraId="4C985877" w14:textId="6C415586" w:rsidR="00DB4E16" w:rsidRPr="00781112" w:rsidRDefault="00DB4E16" w:rsidP="00DB4E16">
            <w:pPr>
              <w:jc w:val="center"/>
              <w:rPr>
                <w:rFonts w:cs="Arial"/>
                <w:color w:val="000000" w:themeColor="text1"/>
                <w:szCs w:val="16"/>
              </w:rPr>
            </w:pPr>
            <w:r w:rsidRPr="00781112">
              <w:rPr>
                <w:rFonts w:cs="Arial"/>
                <w:color w:val="000000" w:themeColor="text1"/>
                <w:szCs w:val="16"/>
              </w:rPr>
              <w:t>Met target</w:t>
            </w:r>
          </w:p>
        </w:tc>
        <w:tc>
          <w:tcPr>
            <w:tcW w:w="501" w:type="pct"/>
            <w:shd w:val="clear" w:color="auto" w:fill="auto"/>
            <w:vAlign w:val="center"/>
          </w:tcPr>
          <w:p w14:paraId="05322B0C" w14:textId="7DA1FCC0" w:rsidR="00DB4E16" w:rsidRPr="00781112" w:rsidRDefault="00DB4E16" w:rsidP="00DB4E16">
            <w:pPr>
              <w:jc w:val="center"/>
              <w:rPr>
                <w:rFonts w:cs="Arial"/>
                <w:color w:val="000000" w:themeColor="text1"/>
                <w:szCs w:val="16"/>
              </w:rPr>
            </w:pPr>
            <w:r w:rsidRPr="00781112">
              <w:rPr>
                <w:rFonts w:cs="Arial"/>
                <w:color w:val="000000" w:themeColor="text1"/>
                <w:szCs w:val="16"/>
              </w:rPr>
              <w:t>N/A</w:t>
            </w:r>
          </w:p>
        </w:tc>
      </w:tr>
      <w:tr w:rsidR="00DB4E16" w:rsidRPr="00781112" w14:paraId="7A5387EE" w14:textId="77777777" w:rsidTr="00B32CE0">
        <w:tc>
          <w:tcPr>
            <w:tcW w:w="198" w:type="pct"/>
            <w:shd w:val="clear" w:color="auto" w:fill="auto"/>
            <w:vAlign w:val="center"/>
          </w:tcPr>
          <w:p w14:paraId="729AFDF4" w14:textId="72203283" w:rsidR="00DB4E16" w:rsidRPr="00781112" w:rsidRDefault="00DB4E16" w:rsidP="00DB4E16">
            <w:pPr>
              <w:pStyle w:val="Default"/>
              <w:jc w:val="center"/>
              <w:rPr>
                <w:rFonts w:eastAsiaTheme="minorHAnsi"/>
                <w:color w:val="000000" w:themeColor="text1"/>
                <w:sz w:val="16"/>
                <w:szCs w:val="16"/>
              </w:rPr>
            </w:pPr>
            <w:r w:rsidRPr="00781112">
              <w:rPr>
                <w:b/>
                <w:color w:val="000000" w:themeColor="text1"/>
                <w:sz w:val="16"/>
                <w:szCs w:val="16"/>
              </w:rPr>
              <w:t>B</w:t>
            </w:r>
          </w:p>
        </w:tc>
        <w:tc>
          <w:tcPr>
            <w:tcW w:w="411" w:type="pct"/>
            <w:shd w:val="clear" w:color="auto" w:fill="auto"/>
            <w:vAlign w:val="center"/>
          </w:tcPr>
          <w:p w14:paraId="33B7C97E" w14:textId="6E25E05B" w:rsidR="00DB4E16" w:rsidRPr="00781112" w:rsidDel="00DE5045" w:rsidRDefault="00DB4E16" w:rsidP="00DB4E16">
            <w:pPr>
              <w:jc w:val="center"/>
              <w:rPr>
                <w:rFonts w:cs="Arial"/>
                <w:color w:val="000000" w:themeColor="text1"/>
                <w:szCs w:val="16"/>
              </w:rPr>
            </w:pPr>
            <w:r w:rsidRPr="00781112">
              <w:rPr>
                <w:rFonts w:cs="Arial"/>
                <w:color w:val="000000" w:themeColor="text1"/>
                <w:szCs w:val="16"/>
              </w:rPr>
              <w:t>Grade 8</w:t>
            </w:r>
          </w:p>
        </w:tc>
        <w:tc>
          <w:tcPr>
            <w:tcW w:w="939" w:type="pct"/>
            <w:shd w:val="clear" w:color="auto" w:fill="auto"/>
          </w:tcPr>
          <w:p w14:paraId="3F0D6576" w14:textId="54D4079F" w:rsidR="00DB4E16" w:rsidRPr="00781112" w:rsidRDefault="00DB4E16" w:rsidP="00DB4E16">
            <w:pPr>
              <w:jc w:val="center"/>
              <w:rPr>
                <w:rFonts w:cs="Arial"/>
                <w:color w:val="000000" w:themeColor="text1"/>
                <w:szCs w:val="16"/>
              </w:rPr>
            </w:pPr>
            <w:r w:rsidRPr="000E2E8D">
              <w:rPr>
                <w:rFonts w:cs="Arial"/>
                <w:color w:val="000000" w:themeColor="text1"/>
                <w:szCs w:val="16"/>
              </w:rPr>
              <w:t>*</w:t>
            </w:r>
            <w:r w:rsidRPr="000E2E8D">
              <w:rPr>
                <w:rFonts w:cs="Arial"/>
                <w:color w:val="000000" w:themeColor="text1"/>
                <w:szCs w:val="16"/>
              </w:rPr>
              <w:fldChar w:fldCharType="begin"/>
            </w:r>
            <w:r w:rsidRPr="000E2E8D">
              <w:rPr>
                <w:rFonts w:cs="Arial"/>
                <w:color w:val="000000" w:themeColor="text1"/>
                <w:szCs w:val="16"/>
              </w:rPr>
              <w:instrText xml:space="preserve"> NOTEREF _Ref141818999 \f \h </w:instrText>
            </w:r>
            <w:r w:rsidRPr="000E2E8D">
              <w:rPr>
                <w:rFonts w:cs="Arial"/>
                <w:color w:val="000000" w:themeColor="text1"/>
                <w:szCs w:val="16"/>
              </w:rPr>
            </w:r>
            <w:r w:rsidRPr="000E2E8D">
              <w:rPr>
                <w:rFonts w:cs="Arial"/>
                <w:color w:val="000000" w:themeColor="text1"/>
                <w:szCs w:val="16"/>
              </w:rPr>
              <w:fldChar w:fldCharType="separate"/>
            </w:r>
            <w:r w:rsidRPr="000E2E8D">
              <w:rPr>
                <w:rStyle w:val="FootnoteReference"/>
              </w:rPr>
              <w:t>4</w:t>
            </w:r>
            <w:r w:rsidRPr="000E2E8D">
              <w:rPr>
                <w:rFonts w:cs="Arial"/>
                <w:color w:val="000000" w:themeColor="text1"/>
                <w:szCs w:val="16"/>
              </w:rPr>
              <w:fldChar w:fldCharType="end"/>
            </w:r>
          </w:p>
        </w:tc>
        <w:tc>
          <w:tcPr>
            <w:tcW w:w="939" w:type="pct"/>
            <w:shd w:val="clear" w:color="auto" w:fill="auto"/>
          </w:tcPr>
          <w:p w14:paraId="7FFA4863" w14:textId="49445587" w:rsidR="00DB4E16" w:rsidRPr="00781112" w:rsidRDefault="00DB4E16" w:rsidP="00DB4E16">
            <w:pPr>
              <w:jc w:val="center"/>
              <w:rPr>
                <w:rFonts w:cs="Arial"/>
                <w:color w:val="000000" w:themeColor="text1"/>
                <w:szCs w:val="16"/>
              </w:rPr>
            </w:pPr>
            <w:r w:rsidRPr="000E2E8D">
              <w:rPr>
                <w:rFonts w:cs="Arial"/>
                <w:color w:val="000000" w:themeColor="text1"/>
                <w:szCs w:val="16"/>
              </w:rPr>
              <w:t>*</w:t>
            </w:r>
            <w:r w:rsidRPr="000E2E8D">
              <w:rPr>
                <w:rFonts w:cs="Arial"/>
                <w:color w:val="000000" w:themeColor="text1"/>
                <w:szCs w:val="16"/>
              </w:rPr>
              <w:fldChar w:fldCharType="begin"/>
            </w:r>
            <w:r w:rsidRPr="000E2E8D">
              <w:rPr>
                <w:rFonts w:cs="Arial"/>
                <w:color w:val="000000" w:themeColor="text1"/>
                <w:szCs w:val="16"/>
              </w:rPr>
              <w:instrText xml:space="preserve"> NOTEREF _Ref141818999 \f \h </w:instrText>
            </w:r>
            <w:r w:rsidRPr="000E2E8D">
              <w:rPr>
                <w:rFonts w:cs="Arial"/>
                <w:color w:val="000000" w:themeColor="text1"/>
                <w:szCs w:val="16"/>
              </w:rPr>
            </w:r>
            <w:r w:rsidRPr="000E2E8D">
              <w:rPr>
                <w:rFonts w:cs="Arial"/>
                <w:color w:val="000000" w:themeColor="text1"/>
                <w:szCs w:val="16"/>
              </w:rPr>
              <w:fldChar w:fldCharType="separate"/>
            </w:r>
            <w:r w:rsidRPr="000E2E8D">
              <w:rPr>
                <w:rStyle w:val="FootnoteReference"/>
              </w:rPr>
              <w:t>4</w:t>
            </w:r>
            <w:r w:rsidRPr="000E2E8D">
              <w:rPr>
                <w:rFonts w:cs="Arial"/>
                <w:color w:val="000000" w:themeColor="text1"/>
                <w:szCs w:val="16"/>
              </w:rPr>
              <w:fldChar w:fldCharType="end"/>
            </w:r>
          </w:p>
        </w:tc>
        <w:tc>
          <w:tcPr>
            <w:tcW w:w="503" w:type="pct"/>
            <w:shd w:val="clear" w:color="auto" w:fill="auto"/>
            <w:vAlign w:val="center"/>
          </w:tcPr>
          <w:p w14:paraId="3FB80D14" w14:textId="17D00589" w:rsidR="00DB4E16" w:rsidRPr="00781112" w:rsidRDefault="00DB4E16" w:rsidP="00DB4E16">
            <w:pPr>
              <w:jc w:val="center"/>
              <w:rPr>
                <w:rFonts w:cs="Arial"/>
                <w:color w:val="000000" w:themeColor="text1"/>
                <w:szCs w:val="16"/>
              </w:rPr>
            </w:pPr>
            <w:r w:rsidRPr="00781112">
              <w:rPr>
                <w:rFonts w:cs="Arial"/>
                <w:color w:val="000000" w:themeColor="text1"/>
                <w:szCs w:val="16"/>
              </w:rPr>
              <w:t>7.31%</w:t>
            </w:r>
          </w:p>
        </w:tc>
        <w:tc>
          <w:tcPr>
            <w:tcW w:w="503" w:type="pct"/>
            <w:shd w:val="clear" w:color="auto" w:fill="auto"/>
            <w:vAlign w:val="center"/>
          </w:tcPr>
          <w:p w14:paraId="12DA8FB6" w14:textId="2A9832BB" w:rsidR="00DB4E16" w:rsidRPr="00781112" w:rsidRDefault="00DB4E16" w:rsidP="00DB4E16">
            <w:pPr>
              <w:jc w:val="center"/>
              <w:rPr>
                <w:rFonts w:cs="Arial"/>
                <w:color w:val="000000" w:themeColor="text1"/>
                <w:szCs w:val="16"/>
              </w:rPr>
            </w:pPr>
            <w:r w:rsidRPr="00781112">
              <w:rPr>
                <w:rFonts w:cs="Arial"/>
                <w:color w:val="000000" w:themeColor="text1"/>
                <w:szCs w:val="16"/>
              </w:rPr>
              <w:t>7.31%</w:t>
            </w:r>
          </w:p>
        </w:tc>
        <w:tc>
          <w:tcPr>
            <w:tcW w:w="503" w:type="pct"/>
            <w:shd w:val="clear" w:color="auto" w:fill="auto"/>
          </w:tcPr>
          <w:p w14:paraId="65C7EB9E" w14:textId="33E6125C" w:rsidR="00DB4E16" w:rsidRPr="00781112" w:rsidRDefault="00DB4E16" w:rsidP="00DB4E16">
            <w:pPr>
              <w:jc w:val="center"/>
              <w:rPr>
                <w:rFonts w:cs="Arial"/>
                <w:color w:val="000000" w:themeColor="text1"/>
                <w:szCs w:val="16"/>
              </w:rPr>
            </w:pPr>
            <w:r w:rsidRPr="009263B2">
              <w:rPr>
                <w:rFonts w:cs="Arial"/>
                <w:color w:val="000000" w:themeColor="text1"/>
                <w:szCs w:val="16"/>
              </w:rPr>
              <w:t>*</w:t>
            </w:r>
            <w:r w:rsidRPr="009263B2">
              <w:rPr>
                <w:rFonts w:cs="Arial"/>
                <w:color w:val="000000" w:themeColor="text1"/>
                <w:szCs w:val="16"/>
              </w:rPr>
              <w:fldChar w:fldCharType="begin"/>
            </w:r>
            <w:r w:rsidRPr="009263B2">
              <w:rPr>
                <w:rFonts w:cs="Arial"/>
                <w:color w:val="000000" w:themeColor="text1"/>
                <w:szCs w:val="16"/>
              </w:rPr>
              <w:instrText xml:space="preserve"> NOTEREF _Ref141818999 \f \h </w:instrText>
            </w:r>
            <w:r w:rsidRPr="009263B2">
              <w:rPr>
                <w:rFonts w:cs="Arial"/>
                <w:color w:val="000000" w:themeColor="text1"/>
                <w:szCs w:val="16"/>
              </w:rPr>
            </w:r>
            <w:r w:rsidRPr="009263B2">
              <w:rPr>
                <w:rFonts w:cs="Arial"/>
                <w:color w:val="000000" w:themeColor="text1"/>
                <w:szCs w:val="16"/>
              </w:rPr>
              <w:fldChar w:fldCharType="separate"/>
            </w:r>
            <w:r w:rsidRPr="009263B2">
              <w:rPr>
                <w:rStyle w:val="FootnoteReference"/>
              </w:rPr>
              <w:t>4</w:t>
            </w:r>
            <w:r w:rsidRPr="009263B2">
              <w:rPr>
                <w:rFonts w:cs="Arial"/>
                <w:color w:val="000000" w:themeColor="text1"/>
                <w:szCs w:val="16"/>
              </w:rPr>
              <w:fldChar w:fldCharType="end"/>
            </w:r>
          </w:p>
        </w:tc>
        <w:tc>
          <w:tcPr>
            <w:tcW w:w="503" w:type="pct"/>
            <w:shd w:val="clear" w:color="auto" w:fill="auto"/>
            <w:vAlign w:val="center"/>
          </w:tcPr>
          <w:p w14:paraId="41A6F692" w14:textId="65CC6347" w:rsidR="00DB4E16" w:rsidRPr="00781112" w:rsidRDefault="00DB4E16" w:rsidP="00DB4E16">
            <w:pPr>
              <w:jc w:val="center"/>
              <w:rPr>
                <w:rFonts w:cs="Arial"/>
                <w:color w:val="000000" w:themeColor="text1"/>
                <w:szCs w:val="16"/>
              </w:rPr>
            </w:pPr>
            <w:r w:rsidRPr="00781112">
              <w:rPr>
                <w:rFonts w:cs="Arial"/>
                <w:color w:val="000000" w:themeColor="text1"/>
                <w:szCs w:val="16"/>
              </w:rPr>
              <w:t>Met target</w:t>
            </w:r>
          </w:p>
        </w:tc>
        <w:tc>
          <w:tcPr>
            <w:tcW w:w="501" w:type="pct"/>
            <w:shd w:val="clear" w:color="auto" w:fill="auto"/>
            <w:vAlign w:val="center"/>
          </w:tcPr>
          <w:p w14:paraId="3D4E27A4" w14:textId="7BDAA77C" w:rsidR="00DB4E16" w:rsidRPr="00781112" w:rsidRDefault="00DB4E16" w:rsidP="00DB4E16">
            <w:pPr>
              <w:jc w:val="center"/>
              <w:rPr>
                <w:rFonts w:cs="Arial"/>
                <w:color w:val="000000" w:themeColor="text1"/>
                <w:szCs w:val="16"/>
              </w:rPr>
            </w:pPr>
            <w:r w:rsidRPr="00781112">
              <w:rPr>
                <w:rFonts w:cs="Arial"/>
                <w:color w:val="000000" w:themeColor="text1"/>
                <w:szCs w:val="16"/>
              </w:rPr>
              <w:t>N/A</w:t>
            </w:r>
          </w:p>
        </w:tc>
      </w:tr>
      <w:tr w:rsidR="00AD0E97" w:rsidRPr="00781112" w14:paraId="26B346DD" w14:textId="77777777" w:rsidTr="004B3F40">
        <w:tc>
          <w:tcPr>
            <w:tcW w:w="198" w:type="pct"/>
            <w:shd w:val="clear" w:color="auto" w:fill="auto"/>
            <w:vAlign w:val="center"/>
          </w:tcPr>
          <w:p w14:paraId="2B13C665" w14:textId="583EB28A" w:rsidR="00AD0E97" w:rsidRPr="00781112" w:rsidRDefault="00AD0E97" w:rsidP="00AD0E97">
            <w:pPr>
              <w:pStyle w:val="Default"/>
              <w:jc w:val="center"/>
              <w:rPr>
                <w:rFonts w:eastAsiaTheme="minorHAnsi"/>
                <w:color w:val="000000" w:themeColor="text1"/>
                <w:sz w:val="16"/>
                <w:szCs w:val="16"/>
              </w:rPr>
            </w:pPr>
            <w:r w:rsidRPr="00781112">
              <w:rPr>
                <w:b/>
                <w:color w:val="000000" w:themeColor="text1"/>
                <w:sz w:val="16"/>
                <w:szCs w:val="16"/>
              </w:rPr>
              <w:t>C</w:t>
            </w:r>
          </w:p>
        </w:tc>
        <w:tc>
          <w:tcPr>
            <w:tcW w:w="411" w:type="pct"/>
            <w:shd w:val="clear" w:color="auto" w:fill="auto"/>
            <w:vAlign w:val="center"/>
          </w:tcPr>
          <w:p w14:paraId="6D97D346" w14:textId="75AC25C8" w:rsidR="00AD0E97" w:rsidRPr="00781112" w:rsidDel="00DE5045" w:rsidRDefault="00AD0E97" w:rsidP="00AD0E97">
            <w:pPr>
              <w:jc w:val="center"/>
              <w:rPr>
                <w:rFonts w:cs="Arial"/>
                <w:color w:val="000000" w:themeColor="text1"/>
                <w:szCs w:val="16"/>
              </w:rPr>
            </w:pPr>
            <w:r w:rsidRPr="00781112">
              <w:rPr>
                <w:rFonts w:cs="Arial"/>
                <w:color w:val="000000" w:themeColor="text1"/>
                <w:szCs w:val="16"/>
              </w:rPr>
              <w:t>Grade HS</w:t>
            </w:r>
          </w:p>
        </w:tc>
        <w:tc>
          <w:tcPr>
            <w:tcW w:w="939" w:type="pct"/>
            <w:shd w:val="clear" w:color="auto" w:fill="auto"/>
            <w:vAlign w:val="center"/>
          </w:tcPr>
          <w:p w14:paraId="30AED5C7" w14:textId="5DD38D7C" w:rsidR="00AD0E97" w:rsidRPr="00781112" w:rsidRDefault="00AD0E97" w:rsidP="00AD0E97">
            <w:pPr>
              <w:jc w:val="center"/>
              <w:rPr>
                <w:rFonts w:cs="Arial"/>
                <w:color w:val="000000" w:themeColor="text1"/>
                <w:szCs w:val="16"/>
              </w:rPr>
            </w:pPr>
            <w:r w:rsidRPr="00781112">
              <w:rPr>
                <w:rFonts w:cs="Arial"/>
                <w:color w:val="000000"/>
                <w:szCs w:val="16"/>
              </w:rPr>
              <w:t>260</w:t>
            </w:r>
          </w:p>
        </w:tc>
        <w:tc>
          <w:tcPr>
            <w:tcW w:w="939" w:type="pct"/>
            <w:shd w:val="clear" w:color="auto" w:fill="auto"/>
            <w:vAlign w:val="center"/>
          </w:tcPr>
          <w:p w14:paraId="3E4BF8E7" w14:textId="17E7C017" w:rsidR="00AD0E97" w:rsidRPr="00781112" w:rsidRDefault="00AD0E97" w:rsidP="00AD0E97">
            <w:pPr>
              <w:jc w:val="center"/>
              <w:rPr>
                <w:rFonts w:cs="Arial"/>
                <w:color w:val="000000" w:themeColor="text1"/>
                <w:szCs w:val="16"/>
              </w:rPr>
            </w:pPr>
            <w:r w:rsidRPr="00781112">
              <w:rPr>
                <w:rFonts w:cs="Arial"/>
                <w:color w:val="000000" w:themeColor="text1"/>
                <w:szCs w:val="16"/>
              </w:rPr>
              <w:t>4,120</w:t>
            </w:r>
          </w:p>
        </w:tc>
        <w:tc>
          <w:tcPr>
            <w:tcW w:w="503" w:type="pct"/>
            <w:shd w:val="clear" w:color="auto" w:fill="auto"/>
            <w:vAlign w:val="center"/>
          </w:tcPr>
          <w:p w14:paraId="039885F2" w14:textId="68486387" w:rsidR="00AD0E97" w:rsidRPr="00781112" w:rsidRDefault="00AD0E97" w:rsidP="00AD0E97">
            <w:pPr>
              <w:jc w:val="center"/>
              <w:rPr>
                <w:rFonts w:cs="Arial"/>
                <w:color w:val="000000" w:themeColor="text1"/>
                <w:szCs w:val="16"/>
              </w:rPr>
            </w:pPr>
            <w:r w:rsidRPr="00781112">
              <w:rPr>
                <w:rFonts w:cs="Arial"/>
                <w:color w:val="000000" w:themeColor="text1"/>
                <w:szCs w:val="16"/>
              </w:rPr>
              <w:t>8.58%</w:t>
            </w:r>
          </w:p>
        </w:tc>
        <w:tc>
          <w:tcPr>
            <w:tcW w:w="503" w:type="pct"/>
            <w:shd w:val="clear" w:color="auto" w:fill="auto"/>
            <w:vAlign w:val="center"/>
          </w:tcPr>
          <w:p w14:paraId="0D574818" w14:textId="0B8E29B8" w:rsidR="00AD0E97" w:rsidRPr="00781112" w:rsidRDefault="00AD0E97" w:rsidP="00AD0E97">
            <w:pPr>
              <w:jc w:val="center"/>
              <w:rPr>
                <w:rFonts w:cs="Arial"/>
                <w:color w:val="000000" w:themeColor="text1"/>
                <w:szCs w:val="16"/>
              </w:rPr>
            </w:pPr>
            <w:r w:rsidRPr="00781112">
              <w:rPr>
                <w:rFonts w:cs="Arial"/>
                <w:color w:val="000000" w:themeColor="text1"/>
                <w:szCs w:val="16"/>
              </w:rPr>
              <w:t>8.58%</w:t>
            </w:r>
          </w:p>
        </w:tc>
        <w:tc>
          <w:tcPr>
            <w:tcW w:w="503" w:type="pct"/>
            <w:shd w:val="clear" w:color="auto" w:fill="auto"/>
            <w:vAlign w:val="center"/>
          </w:tcPr>
          <w:p w14:paraId="68757684" w14:textId="14D897E8" w:rsidR="00AD0E97" w:rsidRPr="00781112" w:rsidRDefault="00AD0E97" w:rsidP="00AD0E97">
            <w:pPr>
              <w:jc w:val="center"/>
              <w:rPr>
                <w:rFonts w:cs="Arial"/>
                <w:color w:val="000000" w:themeColor="text1"/>
                <w:szCs w:val="16"/>
              </w:rPr>
            </w:pPr>
            <w:r w:rsidRPr="00781112">
              <w:rPr>
                <w:rFonts w:cs="Arial"/>
                <w:color w:val="000000" w:themeColor="text1"/>
                <w:szCs w:val="16"/>
              </w:rPr>
              <w:t>6.31%</w:t>
            </w:r>
          </w:p>
        </w:tc>
        <w:tc>
          <w:tcPr>
            <w:tcW w:w="503" w:type="pct"/>
            <w:shd w:val="clear" w:color="auto" w:fill="auto"/>
            <w:vAlign w:val="center"/>
          </w:tcPr>
          <w:p w14:paraId="7D508FD3" w14:textId="5052E8AD" w:rsidR="00AD0E97" w:rsidRPr="00781112" w:rsidRDefault="00AD0E97" w:rsidP="00AD0E97">
            <w:pPr>
              <w:jc w:val="center"/>
              <w:rPr>
                <w:rFonts w:cs="Arial"/>
                <w:color w:val="000000" w:themeColor="text1"/>
                <w:szCs w:val="16"/>
              </w:rPr>
            </w:pPr>
            <w:r w:rsidRPr="00781112">
              <w:rPr>
                <w:rFonts w:cs="Arial"/>
                <w:color w:val="000000" w:themeColor="text1"/>
                <w:szCs w:val="16"/>
              </w:rPr>
              <w:t>Did not meet target</w:t>
            </w:r>
          </w:p>
        </w:tc>
        <w:tc>
          <w:tcPr>
            <w:tcW w:w="501" w:type="pct"/>
            <w:shd w:val="clear" w:color="auto" w:fill="auto"/>
            <w:vAlign w:val="center"/>
          </w:tcPr>
          <w:p w14:paraId="16AA84BF" w14:textId="66A4BF3F" w:rsidR="00AD0E97" w:rsidRPr="00781112" w:rsidRDefault="00AD0E97" w:rsidP="00AD0E97">
            <w:pPr>
              <w:jc w:val="center"/>
              <w:rPr>
                <w:rFonts w:cs="Arial"/>
                <w:color w:val="000000" w:themeColor="text1"/>
                <w:szCs w:val="16"/>
              </w:rPr>
            </w:pPr>
            <w:r w:rsidRPr="00781112">
              <w:rPr>
                <w:rFonts w:cs="Arial"/>
                <w:color w:val="000000" w:themeColor="text1"/>
                <w:szCs w:val="16"/>
              </w:rPr>
              <w:t>Slippage</w:t>
            </w:r>
          </w:p>
        </w:tc>
      </w:tr>
    </w:tbl>
    <w:p w14:paraId="17E4436B" w14:textId="77777777" w:rsidR="00C04118" w:rsidRPr="00781112" w:rsidRDefault="00C04118" w:rsidP="00C04118">
      <w:pPr>
        <w:rPr>
          <w:b/>
          <w:color w:val="000000" w:themeColor="text1"/>
        </w:rPr>
      </w:pPr>
      <w:r w:rsidRPr="00781112">
        <w:rPr>
          <w:b/>
          <w:color w:val="000000" w:themeColor="text1"/>
        </w:rPr>
        <w:t>Provide reasons for slippage for Group C, if applicable</w:t>
      </w:r>
    </w:p>
    <w:p w14:paraId="1E0C977F" w14:textId="77777777" w:rsidR="005004AB" w:rsidRPr="00781112" w:rsidRDefault="005004AB" w:rsidP="005004AB">
      <w:pPr>
        <w:rPr>
          <w:color w:val="000000" w:themeColor="text1"/>
        </w:rPr>
      </w:pPr>
    </w:p>
    <w:p w14:paraId="6817AD84" w14:textId="77777777" w:rsidR="00DB4E16" w:rsidRDefault="00DB4E16">
      <w:pPr>
        <w:spacing w:before="0" w:after="200" w:line="276" w:lineRule="auto"/>
        <w:rPr>
          <w:b/>
          <w:color w:val="000000" w:themeColor="text1"/>
        </w:rPr>
      </w:pPr>
      <w:r>
        <w:rPr>
          <w:b/>
          <w:color w:val="000000" w:themeColor="text1"/>
        </w:rPr>
        <w:br w:type="page"/>
      </w:r>
    </w:p>
    <w:p w14:paraId="324457C6" w14:textId="6F749F7F" w:rsidR="00497DE4" w:rsidRPr="00781112" w:rsidRDefault="0047313F" w:rsidP="004369B2">
      <w:pPr>
        <w:rPr>
          <w:b/>
          <w:color w:val="000000" w:themeColor="text1"/>
        </w:rPr>
      </w:pPr>
      <w:r>
        <w:rPr>
          <w:b/>
          <w:color w:val="000000" w:themeColor="text1"/>
        </w:rPr>
        <w:lastRenderedPageBreak/>
        <w:t>FFY 2021 SPP/APR Data: Math Assessment</w:t>
      </w:r>
    </w:p>
    <w:tbl>
      <w:tblPr>
        <w:tblW w:w="49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BFFYAPRDATAMATHASS"/>
      </w:tblPr>
      <w:tblGrid>
        <w:gridCol w:w="481"/>
        <w:gridCol w:w="1048"/>
        <w:gridCol w:w="1932"/>
        <w:gridCol w:w="1932"/>
        <w:gridCol w:w="1078"/>
        <w:gridCol w:w="1078"/>
        <w:gridCol w:w="1078"/>
        <w:gridCol w:w="1078"/>
        <w:gridCol w:w="1076"/>
      </w:tblGrid>
      <w:tr w:rsidR="00FA33C9" w:rsidRPr="00781112" w14:paraId="1ECD1184" w14:textId="77777777" w:rsidTr="00242D8A">
        <w:trPr>
          <w:tblHeader/>
          <w:jc w:val="center"/>
        </w:trPr>
        <w:tc>
          <w:tcPr>
            <w:tcW w:w="223" w:type="pct"/>
            <w:shd w:val="clear" w:color="auto" w:fill="auto"/>
            <w:vAlign w:val="bottom"/>
          </w:tcPr>
          <w:p w14:paraId="2B938423" w14:textId="01A79B33" w:rsidR="00FA33C9" w:rsidRPr="00781112" w:rsidRDefault="00FA33C9" w:rsidP="00FA33C9">
            <w:pPr>
              <w:jc w:val="center"/>
              <w:rPr>
                <w:b/>
                <w:color w:val="000000" w:themeColor="text1"/>
              </w:rPr>
            </w:pPr>
            <w:r w:rsidRPr="00781112">
              <w:rPr>
                <w:b/>
                <w:color w:val="000000" w:themeColor="text1"/>
              </w:rPr>
              <w:t>Group</w:t>
            </w:r>
          </w:p>
        </w:tc>
        <w:tc>
          <w:tcPr>
            <w:tcW w:w="486" w:type="pct"/>
            <w:shd w:val="clear" w:color="auto" w:fill="auto"/>
            <w:vAlign w:val="bottom"/>
          </w:tcPr>
          <w:p w14:paraId="45BFCF3F" w14:textId="3F4AB58B" w:rsidR="00FA33C9" w:rsidRPr="00781112" w:rsidRDefault="00FA33C9" w:rsidP="00FA33C9">
            <w:pPr>
              <w:jc w:val="center"/>
              <w:rPr>
                <w:b/>
                <w:color w:val="000000" w:themeColor="text1"/>
              </w:rPr>
            </w:pPr>
            <w:r w:rsidRPr="00781112">
              <w:rPr>
                <w:b/>
                <w:color w:val="000000" w:themeColor="text1"/>
              </w:rPr>
              <w:t>Group Name</w:t>
            </w:r>
          </w:p>
        </w:tc>
        <w:tc>
          <w:tcPr>
            <w:tcW w:w="896" w:type="pct"/>
            <w:shd w:val="clear" w:color="auto" w:fill="auto"/>
          </w:tcPr>
          <w:p w14:paraId="5541073C" w14:textId="30C0F75E" w:rsidR="00FA33C9" w:rsidRPr="00781112" w:rsidRDefault="00FA33C9" w:rsidP="00FA33C9">
            <w:pPr>
              <w:jc w:val="center"/>
              <w:rPr>
                <w:b/>
                <w:color w:val="000000" w:themeColor="text1"/>
              </w:rPr>
            </w:pPr>
            <w:r w:rsidRPr="00781112">
              <w:rPr>
                <w:b/>
                <w:bCs/>
              </w:rPr>
              <w:t>Number of Children with IEPs Scoring At or Above Proficient Against Grade Level Academic Achievement Standards</w:t>
            </w:r>
          </w:p>
        </w:tc>
        <w:tc>
          <w:tcPr>
            <w:tcW w:w="896" w:type="pct"/>
            <w:shd w:val="clear" w:color="auto" w:fill="auto"/>
          </w:tcPr>
          <w:p w14:paraId="3ABF5E71" w14:textId="763F0C86" w:rsidR="00FA33C9" w:rsidRPr="00781112" w:rsidRDefault="00FA33C9" w:rsidP="00FA33C9">
            <w:pPr>
              <w:jc w:val="center"/>
              <w:rPr>
                <w:b/>
                <w:color w:val="000000" w:themeColor="text1"/>
              </w:rPr>
            </w:pPr>
            <w:r w:rsidRPr="00781112">
              <w:rPr>
                <w:b/>
                <w:bCs/>
              </w:rPr>
              <w:t>Number of Children with IEPs who Received a Valid Score and for whom a Proficiency Level was Assigned for the Regular Assessment</w:t>
            </w:r>
          </w:p>
        </w:tc>
        <w:tc>
          <w:tcPr>
            <w:tcW w:w="500" w:type="pct"/>
            <w:shd w:val="clear" w:color="auto" w:fill="auto"/>
            <w:vAlign w:val="bottom"/>
          </w:tcPr>
          <w:p w14:paraId="5A96E021" w14:textId="1CA12D86" w:rsidR="00FA33C9" w:rsidRPr="00073BD7" w:rsidRDefault="00FA33C9" w:rsidP="00FA33C9">
            <w:pPr>
              <w:jc w:val="center"/>
              <w:rPr>
                <w:b/>
                <w:bCs/>
                <w:color w:val="000000" w:themeColor="text1"/>
              </w:rPr>
            </w:pPr>
            <w:r w:rsidRPr="00073BD7">
              <w:rPr>
                <w:b/>
                <w:bCs/>
              </w:rPr>
              <w:t>FFY 2020 Data</w:t>
            </w:r>
          </w:p>
        </w:tc>
        <w:tc>
          <w:tcPr>
            <w:tcW w:w="500" w:type="pct"/>
            <w:shd w:val="clear" w:color="auto" w:fill="auto"/>
            <w:vAlign w:val="bottom"/>
          </w:tcPr>
          <w:p w14:paraId="69212BFA" w14:textId="6E5C201B" w:rsidR="00FA33C9" w:rsidRPr="00073BD7" w:rsidRDefault="00FA33C9" w:rsidP="00FA33C9">
            <w:pPr>
              <w:jc w:val="center"/>
              <w:rPr>
                <w:b/>
                <w:bCs/>
                <w:color w:val="000000" w:themeColor="text1"/>
              </w:rPr>
            </w:pPr>
            <w:r w:rsidRPr="00073BD7">
              <w:rPr>
                <w:b/>
                <w:bCs/>
              </w:rPr>
              <w:t>FFY 2021 Target</w:t>
            </w:r>
          </w:p>
        </w:tc>
        <w:tc>
          <w:tcPr>
            <w:tcW w:w="500" w:type="pct"/>
            <w:shd w:val="clear" w:color="auto" w:fill="auto"/>
            <w:vAlign w:val="bottom"/>
          </w:tcPr>
          <w:p w14:paraId="38A0F56E" w14:textId="5F488F03" w:rsidR="00FA33C9" w:rsidRPr="00073BD7" w:rsidRDefault="00FA33C9" w:rsidP="00FA33C9">
            <w:pPr>
              <w:jc w:val="center"/>
              <w:rPr>
                <w:b/>
                <w:bCs/>
                <w:color w:val="000000" w:themeColor="text1"/>
              </w:rPr>
            </w:pPr>
            <w:r w:rsidRPr="00073BD7">
              <w:rPr>
                <w:b/>
                <w:bCs/>
              </w:rPr>
              <w:t>FFY 2021 Data</w:t>
            </w:r>
          </w:p>
        </w:tc>
        <w:tc>
          <w:tcPr>
            <w:tcW w:w="500" w:type="pct"/>
            <w:shd w:val="clear" w:color="auto" w:fill="auto"/>
            <w:vAlign w:val="bottom"/>
          </w:tcPr>
          <w:p w14:paraId="11F44E1D" w14:textId="39A61F57" w:rsidR="00FA33C9" w:rsidRPr="00781112" w:rsidRDefault="00FA33C9" w:rsidP="00FA33C9">
            <w:pPr>
              <w:jc w:val="center"/>
              <w:rPr>
                <w:b/>
                <w:color w:val="000000" w:themeColor="text1"/>
              </w:rPr>
            </w:pPr>
            <w:r w:rsidRPr="00781112">
              <w:rPr>
                <w:b/>
                <w:color w:val="000000" w:themeColor="text1"/>
              </w:rPr>
              <w:t>Status</w:t>
            </w:r>
          </w:p>
        </w:tc>
        <w:tc>
          <w:tcPr>
            <w:tcW w:w="499" w:type="pct"/>
            <w:shd w:val="clear" w:color="auto" w:fill="auto"/>
            <w:vAlign w:val="bottom"/>
          </w:tcPr>
          <w:p w14:paraId="64655725" w14:textId="350D326F" w:rsidR="00FA33C9" w:rsidRPr="00781112" w:rsidRDefault="00FA33C9" w:rsidP="00FA33C9">
            <w:pPr>
              <w:jc w:val="center"/>
              <w:rPr>
                <w:b/>
                <w:color w:val="000000" w:themeColor="text1"/>
              </w:rPr>
            </w:pPr>
            <w:r w:rsidRPr="00781112">
              <w:rPr>
                <w:b/>
                <w:color w:val="000000" w:themeColor="text1"/>
              </w:rPr>
              <w:t>Slippage</w:t>
            </w:r>
          </w:p>
        </w:tc>
      </w:tr>
      <w:tr w:rsidR="00DB4E16" w:rsidRPr="00781112" w14:paraId="14220C43" w14:textId="77777777" w:rsidTr="006D5B00">
        <w:trPr>
          <w:jc w:val="center"/>
        </w:trPr>
        <w:tc>
          <w:tcPr>
            <w:tcW w:w="223" w:type="pct"/>
            <w:shd w:val="clear" w:color="auto" w:fill="auto"/>
            <w:vAlign w:val="center"/>
          </w:tcPr>
          <w:p w14:paraId="16A9CDD2" w14:textId="5DBA3D3A" w:rsidR="00DB4E16" w:rsidRPr="00781112" w:rsidRDefault="00DB4E16" w:rsidP="00DB4E16">
            <w:pPr>
              <w:pStyle w:val="Default"/>
              <w:jc w:val="center"/>
              <w:rPr>
                <w:b/>
                <w:color w:val="000000" w:themeColor="text1"/>
                <w:sz w:val="16"/>
                <w:szCs w:val="16"/>
              </w:rPr>
            </w:pPr>
            <w:r w:rsidRPr="00781112">
              <w:rPr>
                <w:rFonts w:eastAsiaTheme="minorHAnsi"/>
                <w:b/>
                <w:color w:val="000000" w:themeColor="text1"/>
                <w:sz w:val="16"/>
                <w:szCs w:val="16"/>
              </w:rPr>
              <w:t>A</w:t>
            </w:r>
          </w:p>
        </w:tc>
        <w:tc>
          <w:tcPr>
            <w:tcW w:w="486" w:type="pct"/>
            <w:shd w:val="clear" w:color="auto" w:fill="auto"/>
            <w:vAlign w:val="center"/>
          </w:tcPr>
          <w:p w14:paraId="1392C443" w14:textId="646DC1A9" w:rsidR="00DB4E16" w:rsidRPr="00781112" w:rsidDel="00DE5045" w:rsidRDefault="00DB4E16" w:rsidP="00DB4E16">
            <w:pPr>
              <w:jc w:val="center"/>
              <w:rPr>
                <w:rFonts w:cs="Arial"/>
                <w:color w:val="000000" w:themeColor="text1"/>
                <w:szCs w:val="16"/>
              </w:rPr>
            </w:pPr>
            <w:r w:rsidRPr="00781112">
              <w:rPr>
                <w:rFonts w:cs="Arial"/>
                <w:color w:val="000000" w:themeColor="text1"/>
                <w:szCs w:val="16"/>
              </w:rPr>
              <w:t>Grade 4</w:t>
            </w:r>
          </w:p>
        </w:tc>
        <w:tc>
          <w:tcPr>
            <w:tcW w:w="896" w:type="pct"/>
            <w:shd w:val="clear" w:color="auto" w:fill="auto"/>
          </w:tcPr>
          <w:p w14:paraId="0B49B780" w14:textId="05938014" w:rsidR="00DB4E16" w:rsidRPr="00781112" w:rsidRDefault="00DB4E16" w:rsidP="00DB4E16">
            <w:pPr>
              <w:jc w:val="center"/>
              <w:rPr>
                <w:rFonts w:cs="Arial"/>
                <w:color w:val="000000" w:themeColor="text1"/>
                <w:szCs w:val="16"/>
              </w:rPr>
            </w:pPr>
            <w:r w:rsidRPr="001A15CD">
              <w:rPr>
                <w:rFonts w:cs="Arial"/>
                <w:color w:val="000000" w:themeColor="text1"/>
                <w:szCs w:val="16"/>
              </w:rPr>
              <w:t>*</w:t>
            </w:r>
            <w:bookmarkStart w:id="18" w:name="_Ref141819100"/>
            <w:r>
              <w:rPr>
                <w:rStyle w:val="FootnoteReference"/>
                <w:rFonts w:cs="Arial"/>
                <w:color w:val="000000" w:themeColor="text1"/>
                <w:szCs w:val="16"/>
              </w:rPr>
              <w:footnoteReference w:id="6"/>
            </w:r>
            <w:bookmarkEnd w:id="18"/>
          </w:p>
        </w:tc>
        <w:tc>
          <w:tcPr>
            <w:tcW w:w="896" w:type="pct"/>
            <w:shd w:val="clear" w:color="auto" w:fill="auto"/>
          </w:tcPr>
          <w:p w14:paraId="2611648C" w14:textId="375B7048" w:rsidR="00DB4E16" w:rsidRPr="00781112" w:rsidRDefault="00DB4E16" w:rsidP="00DB4E16">
            <w:pPr>
              <w:jc w:val="center"/>
              <w:rPr>
                <w:rFonts w:cs="Arial"/>
                <w:color w:val="000000" w:themeColor="text1"/>
                <w:szCs w:val="16"/>
              </w:rPr>
            </w:pPr>
            <w:r w:rsidRPr="001A15CD">
              <w:rPr>
                <w:rFonts w:cs="Arial"/>
                <w:color w:val="000000" w:themeColor="text1"/>
                <w:szCs w:val="16"/>
              </w:rPr>
              <w:t>*</w:t>
            </w:r>
            <w:r>
              <w:rPr>
                <w:rFonts w:cs="Arial"/>
                <w:color w:val="000000" w:themeColor="text1"/>
                <w:szCs w:val="16"/>
              </w:rPr>
              <w:fldChar w:fldCharType="begin"/>
            </w:r>
            <w:r>
              <w:rPr>
                <w:rFonts w:cs="Arial"/>
                <w:color w:val="000000" w:themeColor="text1"/>
                <w:szCs w:val="16"/>
              </w:rPr>
              <w:instrText xml:space="preserve"> NOTEREF _Ref141819100 \f \h </w:instrText>
            </w:r>
            <w:r>
              <w:rPr>
                <w:rFonts w:cs="Arial"/>
                <w:color w:val="000000" w:themeColor="text1"/>
                <w:szCs w:val="16"/>
              </w:rPr>
            </w:r>
            <w:r>
              <w:rPr>
                <w:rFonts w:cs="Arial"/>
                <w:color w:val="000000" w:themeColor="text1"/>
                <w:szCs w:val="16"/>
              </w:rPr>
              <w:fldChar w:fldCharType="separate"/>
            </w:r>
            <w:r w:rsidRPr="00DB4E16">
              <w:rPr>
                <w:rStyle w:val="FootnoteReference"/>
              </w:rPr>
              <w:t>5</w:t>
            </w:r>
            <w:r>
              <w:rPr>
                <w:rFonts w:cs="Arial"/>
                <w:color w:val="000000" w:themeColor="text1"/>
                <w:szCs w:val="16"/>
              </w:rPr>
              <w:fldChar w:fldCharType="end"/>
            </w:r>
          </w:p>
        </w:tc>
        <w:tc>
          <w:tcPr>
            <w:tcW w:w="500" w:type="pct"/>
            <w:shd w:val="clear" w:color="auto" w:fill="auto"/>
            <w:vAlign w:val="center"/>
          </w:tcPr>
          <w:p w14:paraId="044B076F" w14:textId="2D73EFD2" w:rsidR="00DB4E16" w:rsidRPr="00781112" w:rsidRDefault="00DB4E16" w:rsidP="00DB4E16">
            <w:pPr>
              <w:jc w:val="center"/>
              <w:rPr>
                <w:rFonts w:cs="Arial"/>
                <w:color w:val="000000" w:themeColor="text1"/>
                <w:szCs w:val="16"/>
              </w:rPr>
            </w:pPr>
            <w:r w:rsidRPr="00781112">
              <w:rPr>
                <w:rFonts w:cs="Arial"/>
                <w:color w:val="000000" w:themeColor="text1"/>
                <w:szCs w:val="16"/>
              </w:rPr>
              <w:t>19.74%</w:t>
            </w:r>
          </w:p>
        </w:tc>
        <w:tc>
          <w:tcPr>
            <w:tcW w:w="500" w:type="pct"/>
            <w:shd w:val="clear" w:color="auto" w:fill="auto"/>
            <w:vAlign w:val="center"/>
          </w:tcPr>
          <w:p w14:paraId="4D68E61F" w14:textId="36DB0B83" w:rsidR="00DB4E16" w:rsidRPr="00781112" w:rsidRDefault="00DB4E16" w:rsidP="00DB4E16">
            <w:pPr>
              <w:jc w:val="center"/>
              <w:rPr>
                <w:rFonts w:cs="Arial"/>
                <w:color w:val="000000" w:themeColor="text1"/>
                <w:szCs w:val="16"/>
              </w:rPr>
            </w:pPr>
            <w:r w:rsidRPr="00781112">
              <w:rPr>
                <w:rFonts w:cs="Arial"/>
                <w:color w:val="000000" w:themeColor="text1"/>
                <w:szCs w:val="16"/>
              </w:rPr>
              <w:t>19.74%</w:t>
            </w:r>
          </w:p>
        </w:tc>
        <w:tc>
          <w:tcPr>
            <w:tcW w:w="500" w:type="pct"/>
            <w:shd w:val="clear" w:color="auto" w:fill="auto"/>
          </w:tcPr>
          <w:p w14:paraId="4C5100F6" w14:textId="72926F30" w:rsidR="00DB4E16" w:rsidRPr="00781112" w:rsidRDefault="00DB4E16" w:rsidP="00DB4E16">
            <w:pPr>
              <w:jc w:val="center"/>
              <w:rPr>
                <w:rFonts w:cs="Arial"/>
                <w:color w:val="000000" w:themeColor="text1"/>
                <w:szCs w:val="16"/>
              </w:rPr>
            </w:pPr>
            <w:r w:rsidRPr="004F03B3">
              <w:rPr>
                <w:rFonts w:cs="Arial"/>
                <w:color w:val="000000" w:themeColor="text1"/>
                <w:szCs w:val="16"/>
              </w:rPr>
              <w:t>*</w:t>
            </w:r>
            <w:r w:rsidRPr="004F03B3">
              <w:rPr>
                <w:rFonts w:cs="Arial"/>
                <w:color w:val="000000" w:themeColor="text1"/>
                <w:szCs w:val="16"/>
              </w:rPr>
              <w:fldChar w:fldCharType="begin"/>
            </w:r>
            <w:r w:rsidRPr="004F03B3">
              <w:rPr>
                <w:rFonts w:cs="Arial"/>
                <w:color w:val="000000" w:themeColor="text1"/>
                <w:szCs w:val="16"/>
              </w:rPr>
              <w:instrText xml:space="preserve"> NOTEREF _Ref141819100 \f \h </w:instrText>
            </w:r>
            <w:r w:rsidRPr="004F03B3">
              <w:rPr>
                <w:rFonts w:cs="Arial"/>
                <w:color w:val="000000" w:themeColor="text1"/>
                <w:szCs w:val="16"/>
              </w:rPr>
            </w:r>
            <w:r w:rsidRPr="004F03B3">
              <w:rPr>
                <w:rFonts w:cs="Arial"/>
                <w:color w:val="000000" w:themeColor="text1"/>
                <w:szCs w:val="16"/>
              </w:rPr>
              <w:fldChar w:fldCharType="separate"/>
            </w:r>
            <w:r w:rsidRPr="004F03B3">
              <w:rPr>
                <w:rStyle w:val="FootnoteReference"/>
              </w:rPr>
              <w:t>5</w:t>
            </w:r>
            <w:r w:rsidRPr="004F03B3">
              <w:rPr>
                <w:rFonts w:cs="Arial"/>
                <w:color w:val="000000" w:themeColor="text1"/>
                <w:szCs w:val="16"/>
              </w:rPr>
              <w:fldChar w:fldCharType="end"/>
            </w:r>
          </w:p>
        </w:tc>
        <w:tc>
          <w:tcPr>
            <w:tcW w:w="500" w:type="pct"/>
            <w:shd w:val="clear" w:color="auto" w:fill="auto"/>
            <w:vAlign w:val="center"/>
          </w:tcPr>
          <w:p w14:paraId="5A9EC511" w14:textId="6D6B7DF8" w:rsidR="00DB4E16" w:rsidRPr="00781112" w:rsidRDefault="00DB4E16" w:rsidP="00DB4E16">
            <w:pPr>
              <w:jc w:val="center"/>
              <w:rPr>
                <w:rFonts w:cs="Arial"/>
                <w:color w:val="000000" w:themeColor="text1"/>
                <w:szCs w:val="16"/>
              </w:rPr>
            </w:pPr>
            <w:r w:rsidRPr="00781112">
              <w:rPr>
                <w:rFonts w:cs="Arial"/>
                <w:color w:val="000000" w:themeColor="text1"/>
                <w:szCs w:val="16"/>
              </w:rPr>
              <w:t>Met target</w:t>
            </w:r>
          </w:p>
        </w:tc>
        <w:tc>
          <w:tcPr>
            <w:tcW w:w="499" w:type="pct"/>
            <w:shd w:val="clear" w:color="auto" w:fill="auto"/>
            <w:vAlign w:val="center"/>
          </w:tcPr>
          <w:p w14:paraId="17FB0601" w14:textId="6AA7FF5B" w:rsidR="00DB4E16" w:rsidRPr="00781112" w:rsidRDefault="00DB4E16" w:rsidP="00DB4E16">
            <w:pPr>
              <w:jc w:val="center"/>
              <w:rPr>
                <w:rFonts w:cs="Arial"/>
                <w:color w:val="000000" w:themeColor="text1"/>
                <w:szCs w:val="16"/>
              </w:rPr>
            </w:pPr>
            <w:r w:rsidRPr="00781112">
              <w:rPr>
                <w:rFonts w:cs="Arial"/>
                <w:color w:val="000000" w:themeColor="text1"/>
                <w:szCs w:val="16"/>
              </w:rPr>
              <w:t>N/A</w:t>
            </w:r>
          </w:p>
        </w:tc>
      </w:tr>
      <w:tr w:rsidR="00DB4E16" w:rsidRPr="00781112" w14:paraId="33C5CE6C" w14:textId="77777777" w:rsidTr="006D5B00">
        <w:trPr>
          <w:jc w:val="center"/>
        </w:trPr>
        <w:tc>
          <w:tcPr>
            <w:tcW w:w="223" w:type="pct"/>
            <w:shd w:val="clear" w:color="auto" w:fill="auto"/>
            <w:vAlign w:val="center"/>
          </w:tcPr>
          <w:p w14:paraId="17123B1B" w14:textId="50BB2C71" w:rsidR="00DB4E16" w:rsidRPr="00781112" w:rsidRDefault="00DB4E16" w:rsidP="00DB4E16">
            <w:pPr>
              <w:pStyle w:val="Default"/>
              <w:jc w:val="center"/>
              <w:rPr>
                <w:b/>
                <w:color w:val="000000" w:themeColor="text1"/>
                <w:sz w:val="16"/>
                <w:szCs w:val="16"/>
              </w:rPr>
            </w:pPr>
            <w:r w:rsidRPr="00781112">
              <w:rPr>
                <w:b/>
                <w:color w:val="000000" w:themeColor="text1"/>
                <w:sz w:val="16"/>
                <w:szCs w:val="16"/>
              </w:rPr>
              <w:t>B</w:t>
            </w:r>
          </w:p>
        </w:tc>
        <w:tc>
          <w:tcPr>
            <w:tcW w:w="486" w:type="pct"/>
            <w:shd w:val="clear" w:color="auto" w:fill="auto"/>
            <w:vAlign w:val="center"/>
          </w:tcPr>
          <w:p w14:paraId="45DA42B4" w14:textId="04F51E55" w:rsidR="00DB4E16" w:rsidRPr="00781112" w:rsidDel="00DE5045" w:rsidRDefault="00DB4E16" w:rsidP="00DB4E16">
            <w:pPr>
              <w:jc w:val="center"/>
              <w:rPr>
                <w:rFonts w:cs="Arial"/>
                <w:color w:val="000000" w:themeColor="text1"/>
                <w:szCs w:val="16"/>
              </w:rPr>
            </w:pPr>
            <w:r w:rsidRPr="00781112">
              <w:rPr>
                <w:rFonts w:cs="Arial"/>
                <w:color w:val="000000" w:themeColor="text1"/>
                <w:szCs w:val="16"/>
              </w:rPr>
              <w:t>Grade 8</w:t>
            </w:r>
          </w:p>
        </w:tc>
        <w:tc>
          <w:tcPr>
            <w:tcW w:w="896" w:type="pct"/>
            <w:shd w:val="clear" w:color="auto" w:fill="auto"/>
          </w:tcPr>
          <w:p w14:paraId="31722F1C" w14:textId="50DB6110" w:rsidR="00DB4E16" w:rsidRPr="00781112" w:rsidRDefault="00DB4E16" w:rsidP="00DB4E16">
            <w:pPr>
              <w:jc w:val="center"/>
              <w:rPr>
                <w:rFonts w:cs="Arial"/>
                <w:color w:val="000000" w:themeColor="text1"/>
                <w:szCs w:val="16"/>
              </w:rPr>
            </w:pPr>
            <w:r w:rsidRPr="00851A4E">
              <w:rPr>
                <w:rFonts w:cs="Arial"/>
                <w:color w:val="000000" w:themeColor="text1"/>
                <w:szCs w:val="16"/>
              </w:rPr>
              <w:t>*</w:t>
            </w:r>
            <w:r w:rsidRPr="00851A4E">
              <w:rPr>
                <w:rFonts w:cs="Arial"/>
                <w:color w:val="000000" w:themeColor="text1"/>
                <w:szCs w:val="16"/>
              </w:rPr>
              <w:fldChar w:fldCharType="begin"/>
            </w:r>
            <w:r w:rsidRPr="00851A4E">
              <w:rPr>
                <w:rFonts w:cs="Arial"/>
                <w:color w:val="000000" w:themeColor="text1"/>
                <w:szCs w:val="16"/>
              </w:rPr>
              <w:instrText xml:space="preserve"> NOTEREF _Ref141819100 \f \h </w:instrText>
            </w:r>
            <w:r w:rsidRPr="00851A4E">
              <w:rPr>
                <w:rFonts w:cs="Arial"/>
                <w:color w:val="000000" w:themeColor="text1"/>
                <w:szCs w:val="16"/>
              </w:rPr>
            </w:r>
            <w:r w:rsidRPr="00851A4E">
              <w:rPr>
                <w:rFonts w:cs="Arial"/>
                <w:color w:val="000000" w:themeColor="text1"/>
                <w:szCs w:val="16"/>
              </w:rPr>
              <w:fldChar w:fldCharType="separate"/>
            </w:r>
            <w:r w:rsidRPr="00851A4E">
              <w:rPr>
                <w:rStyle w:val="FootnoteReference"/>
              </w:rPr>
              <w:t>5</w:t>
            </w:r>
            <w:r w:rsidRPr="00851A4E">
              <w:rPr>
                <w:rFonts w:cs="Arial"/>
                <w:color w:val="000000" w:themeColor="text1"/>
                <w:szCs w:val="16"/>
              </w:rPr>
              <w:fldChar w:fldCharType="end"/>
            </w:r>
          </w:p>
        </w:tc>
        <w:tc>
          <w:tcPr>
            <w:tcW w:w="896" w:type="pct"/>
            <w:shd w:val="clear" w:color="auto" w:fill="auto"/>
          </w:tcPr>
          <w:p w14:paraId="048616C6" w14:textId="0314394B" w:rsidR="00DB4E16" w:rsidRPr="00781112" w:rsidRDefault="00DB4E16" w:rsidP="00DB4E16">
            <w:pPr>
              <w:jc w:val="center"/>
              <w:rPr>
                <w:rFonts w:cs="Arial"/>
                <w:color w:val="000000" w:themeColor="text1"/>
                <w:szCs w:val="16"/>
              </w:rPr>
            </w:pPr>
            <w:r w:rsidRPr="00851A4E">
              <w:rPr>
                <w:rFonts w:cs="Arial"/>
                <w:color w:val="000000" w:themeColor="text1"/>
                <w:szCs w:val="16"/>
              </w:rPr>
              <w:t>*</w:t>
            </w:r>
            <w:r w:rsidRPr="00851A4E">
              <w:rPr>
                <w:rFonts w:cs="Arial"/>
                <w:color w:val="000000" w:themeColor="text1"/>
                <w:szCs w:val="16"/>
              </w:rPr>
              <w:fldChar w:fldCharType="begin"/>
            </w:r>
            <w:r w:rsidRPr="00851A4E">
              <w:rPr>
                <w:rFonts w:cs="Arial"/>
                <w:color w:val="000000" w:themeColor="text1"/>
                <w:szCs w:val="16"/>
              </w:rPr>
              <w:instrText xml:space="preserve"> NOTEREF _Ref141819100 \f \h </w:instrText>
            </w:r>
            <w:r w:rsidRPr="00851A4E">
              <w:rPr>
                <w:rFonts w:cs="Arial"/>
                <w:color w:val="000000" w:themeColor="text1"/>
                <w:szCs w:val="16"/>
              </w:rPr>
            </w:r>
            <w:r w:rsidRPr="00851A4E">
              <w:rPr>
                <w:rFonts w:cs="Arial"/>
                <w:color w:val="000000" w:themeColor="text1"/>
                <w:szCs w:val="16"/>
              </w:rPr>
              <w:fldChar w:fldCharType="separate"/>
            </w:r>
            <w:r w:rsidRPr="00851A4E">
              <w:rPr>
                <w:rStyle w:val="FootnoteReference"/>
              </w:rPr>
              <w:t>5</w:t>
            </w:r>
            <w:r w:rsidRPr="00851A4E">
              <w:rPr>
                <w:rFonts w:cs="Arial"/>
                <w:color w:val="000000" w:themeColor="text1"/>
                <w:szCs w:val="16"/>
              </w:rPr>
              <w:fldChar w:fldCharType="end"/>
            </w:r>
          </w:p>
        </w:tc>
        <w:tc>
          <w:tcPr>
            <w:tcW w:w="500" w:type="pct"/>
            <w:shd w:val="clear" w:color="auto" w:fill="auto"/>
            <w:vAlign w:val="center"/>
          </w:tcPr>
          <w:p w14:paraId="272455FD" w14:textId="22DDAA53" w:rsidR="00DB4E16" w:rsidRPr="00781112" w:rsidRDefault="00DB4E16" w:rsidP="00DB4E16">
            <w:pPr>
              <w:jc w:val="center"/>
              <w:rPr>
                <w:rFonts w:cs="Arial"/>
                <w:color w:val="000000" w:themeColor="text1"/>
                <w:szCs w:val="16"/>
              </w:rPr>
            </w:pPr>
            <w:r>
              <w:rPr>
                <w:rFonts w:cs="Arial"/>
                <w:color w:val="000000" w:themeColor="text1"/>
                <w:szCs w:val="16"/>
              </w:rPr>
              <w:t>x</w:t>
            </w:r>
            <w:r>
              <w:rPr>
                <w:rStyle w:val="FootnoteReference"/>
                <w:rFonts w:cs="Arial"/>
                <w:color w:val="000000" w:themeColor="text1"/>
                <w:szCs w:val="16"/>
              </w:rPr>
              <w:footnoteReference w:id="7"/>
            </w:r>
          </w:p>
        </w:tc>
        <w:tc>
          <w:tcPr>
            <w:tcW w:w="500" w:type="pct"/>
            <w:shd w:val="clear" w:color="auto" w:fill="auto"/>
            <w:vAlign w:val="center"/>
          </w:tcPr>
          <w:p w14:paraId="38039D42" w14:textId="45468742" w:rsidR="00DB4E16" w:rsidRPr="00781112" w:rsidRDefault="00DB4E16" w:rsidP="00DB4E16">
            <w:pPr>
              <w:jc w:val="center"/>
              <w:rPr>
                <w:rFonts w:cs="Arial"/>
                <w:color w:val="000000" w:themeColor="text1"/>
                <w:szCs w:val="16"/>
              </w:rPr>
            </w:pPr>
            <w:r w:rsidRPr="00781112">
              <w:rPr>
                <w:rFonts w:cs="Arial"/>
                <w:color w:val="000000" w:themeColor="text1"/>
                <w:szCs w:val="16"/>
              </w:rPr>
              <w:t>6.02%</w:t>
            </w:r>
          </w:p>
        </w:tc>
        <w:tc>
          <w:tcPr>
            <w:tcW w:w="500" w:type="pct"/>
            <w:shd w:val="clear" w:color="auto" w:fill="auto"/>
          </w:tcPr>
          <w:p w14:paraId="7DB4B85A" w14:textId="4EE784C7" w:rsidR="00DB4E16" w:rsidRPr="00781112" w:rsidRDefault="00DB4E16" w:rsidP="00DB4E16">
            <w:pPr>
              <w:jc w:val="center"/>
              <w:rPr>
                <w:rFonts w:cs="Arial"/>
                <w:color w:val="000000" w:themeColor="text1"/>
                <w:szCs w:val="16"/>
              </w:rPr>
            </w:pPr>
            <w:r w:rsidRPr="004F03B3">
              <w:rPr>
                <w:rFonts w:cs="Arial"/>
                <w:color w:val="000000" w:themeColor="text1"/>
                <w:szCs w:val="16"/>
              </w:rPr>
              <w:t>*</w:t>
            </w:r>
            <w:r w:rsidRPr="004F03B3">
              <w:rPr>
                <w:rFonts w:cs="Arial"/>
                <w:color w:val="000000" w:themeColor="text1"/>
                <w:szCs w:val="16"/>
              </w:rPr>
              <w:fldChar w:fldCharType="begin"/>
            </w:r>
            <w:r w:rsidRPr="004F03B3">
              <w:rPr>
                <w:rFonts w:cs="Arial"/>
                <w:color w:val="000000" w:themeColor="text1"/>
                <w:szCs w:val="16"/>
              </w:rPr>
              <w:instrText xml:space="preserve"> NOTEREF _Ref141819100 \f \h </w:instrText>
            </w:r>
            <w:r w:rsidRPr="004F03B3">
              <w:rPr>
                <w:rFonts w:cs="Arial"/>
                <w:color w:val="000000" w:themeColor="text1"/>
                <w:szCs w:val="16"/>
              </w:rPr>
            </w:r>
            <w:r w:rsidRPr="004F03B3">
              <w:rPr>
                <w:rFonts w:cs="Arial"/>
                <w:color w:val="000000" w:themeColor="text1"/>
                <w:szCs w:val="16"/>
              </w:rPr>
              <w:fldChar w:fldCharType="separate"/>
            </w:r>
            <w:r w:rsidRPr="004F03B3">
              <w:rPr>
                <w:rStyle w:val="FootnoteReference"/>
              </w:rPr>
              <w:t>5</w:t>
            </w:r>
            <w:r w:rsidRPr="004F03B3">
              <w:rPr>
                <w:rFonts w:cs="Arial"/>
                <w:color w:val="000000" w:themeColor="text1"/>
                <w:szCs w:val="16"/>
              </w:rPr>
              <w:fldChar w:fldCharType="end"/>
            </w:r>
          </w:p>
        </w:tc>
        <w:tc>
          <w:tcPr>
            <w:tcW w:w="500" w:type="pct"/>
            <w:shd w:val="clear" w:color="auto" w:fill="auto"/>
            <w:vAlign w:val="center"/>
          </w:tcPr>
          <w:p w14:paraId="19114A8F" w14:textId="4F4B3C10" w:rsidR="00DB4E16" w:rsidRPr="00781112" w:rsidRDefault="00DB4E16" w:rsidP="00DB4E16">
            <w:pPr>
              <w:jc w:val="center"/>
              <w:rPr>
                <w:rFonts w:cs="Arial"/>
                <w:color w:val="000000" w:themeColor="text1"/>
                <w:szCs w:val="16"/>
              </w:rPr>
            </w:pPr>
            <w:r w:rsidRPr="00781112">
              <w:rPr>
                <w:rFonts w:cs="Arial"/>
                <w:color w:val="000000" w:themeColor="text1"/>
                <w:szCs w:val="16"/>
              </w:rPr>
              <w:t>Met target</w:t>
            </w:r>
          </w:p>
        </w:tc>
        <w:tc>
          <w:tcPr>
            <w:tcW w:w="499" w:type="pct"/>
            <w:shd w:val="clear" w:color="auto" w:fill="auto"/>
            <w:vAlign w:val="center"/>
          </w:tcPr>
          <w:p w14:paraId="47661F26" w14:textId="727C9546" w:rsidR="00DB4E16" w:rsidRPr="00781112" w:rsidRDefault="00DB4E16" w:rsidP="00DB4E16">
            <w:pPr>
              <w:jc w:val="center"/>
              <w:rPr>
                <w:rFonts w:cs="Arial"/>
                <w:color w:val="000000" w:themeColor="text1"/>
                <w:szCs w:val="16"/>
              </w:rPr>
            </w:pPr>
            <w:r w:rsidRPr="00781112">
              <w:rPr>
                <w:rFonts w:cs="Arial"/>
                <w:color w:val="000000" w:themeColor="text1"/>
                <w:szCs w:val="16"/>
              </w:rPr>
              <w:t>N/A</w:t>
            </w:r>
          </w:p>
        </w:tc>
      </w:tr>
      <w:tr w:rsidR="00242D8A" w:rsidRPr="00781112" w14:paraId="573A5711" w14:textId="77777777" w:rsidTr="00242D8A">
        <w:trPr>
          <w:jc w:val="center"/>
        </w:trPr>
        <w:tc>
          <w:tcPr>
            <w:tcW w:w="223" w:type="pct"/>
            <w:shd w:val="clear" w:color="auto" w:fill="auto"/>
            <w:vAlign w:val="center"/>
          </w:tcPr>
          <w:p w14:paraId="3C25BE15" w14:textId="77777777" w:rsidR="00242D8A" w:rsidRPr="00781112" w:rsidRDefault="00242D8A" w:rsidP="00242D8A">
            <w:pPr>
              <w:pStyle w:val="Default"/>
              <w:jc w:val="center"/>
              <w:rPr>
                <w:rFonts w:eastAsiaTheme="minorHAnsi"/>
                <w:color w:val="000000" w:themeColor="text1"/>
                <w:sz w:val="16"/>
                <w:szCs w:val="16"/>
              </w:rPr>
            </w:pPr>
            <w:r w:rsidRPr="00781112">
              <w:rPr>
                <w:b/>
                <w:color w:val="000000" w:themeColor="text1"/>
                <w:sz w:val="16"/>
                <w:szCs w:val="16"/>
              </w:rPr>
              <w:t>C</w:t>
            </w:r>
          </w:p>
        </w:tc>
        <w:tc>
          <w:tcPr>
            <w:tcW w:w="486" w:type="pct"/>
            <w:shd w:val="clear" w:color="auto" w:fill="auto"/>
            <w:vAlign w:val="center"/>
          </w:tcPr>
          <w:p w14:paraId="1B1F6BC3" w14:textId="7816ECC7" w:rsidR="00242D8A" w:rsidRPr="00781112" w:rsidDel="00DE5045" w:rsidRDefault="00242D8A" w:rsidP="00242D8A">
            <w:pPr>
              <w:jc w:val="center"/>
              <w:rPr>
                <w:rFonts w:cs="Arial"/>
                <w:color w:val="000000" w:themeColor="text1"/>
                <w:szCs w:val="16"/>
              </w:rPr>
            </w:pPr>
            <w:r w:rsidRPr="00781112">
              <w:rPr>
                <w:rFonts w:cs="Arial"/>
                <w:color w:val="000000" w:themeColor="text1"/>
                <w:szCs w:val="16"/>
              </w:rPr>
              <w:t>Grade HS</w:t>
            </w:r>
          </w:p>
        </w:tc>
        <w:tc>
          <w:tcPr>
            <w:tcW w:w="896" w:type="pct"/>
            <w:shd w:val="clear" w:color="auto" w:fill="auto"/>
            <w:vAlign w:val="center"/>
          </w:tcPr>
          <w:p w14:paraId="0EFA1043" w14:textId="0F9EE258" w:rsidR="00242D8A" w:rsidRPr="00781112" w:rsidRDefault="00242D8A" w:rsidP="00242D8A">
            <w:pPr>
              <w:jc w:val="center"/>
              <w:rPr>
                <w:rFonts w:cs="Arial"/>
                <w:color w:val="000000" w:themeColor="text1"/>
                <w:szCs w:val="16"/>
              </w:rPr>
            </w:pPr>
            <w:r w:rsidRPr="00781112">
              <w:rPr>
                <w:rFonts w:cs="Arial"/>
                <w:color w:val="000000" w:themeColor="text1"/>
                <w:szCs w:val="16"/>
              </w:rPr>
              <w:t>215</w:t>
            </w:r>
          </w:p>
        </w:tc>
        <w:tc>
          <w:tcPr>
            <w:tcW w:w="896" w:type="pct"/>
            <w:shd w:val="clear" w:color="auto" w:fill="auto"/>
            <w:vAlign w:val="center"/>
          </w:tcPr>
          <w:p w14:paraId="2A4E8BA5" w14:textId="01157060" w:rsidR="00242D8A" w:rsidRPr="00781112" w:rsidRDefault="00242D8A" w:rsidP="00242D8A">
            <w:pPr>
              <w:jc w:val="center"/>
              <w:rPr>
                <w:rFonts w:cs="Arial"/>
                <w:color w:val="000000" w:themeColor="text1"/>
                <w:szCs w:val="16"/>
              </w:rPr>
            </w:pPr>
            <w:r w:rsidRPr="00242D8A">
              <w:rPr>
                <w:rFonts w:cs="Arial"/>
                <w:color w:val="000000" w:themeColor="text1"/>
                <w:szCs w:val="16"/>
              </w:rPr>
              <w:t>3,793</w:t>
            </w:r>
          </w:p>
        </w:tc>
        <w:tc>
          <w:tcPr>
            <w:tcW w:w="500" w:type="pct"/>
            <w:shd w:val="clear" w:color="auto" w:fill="auto"/>
            <w:vAlign w:val="center"/>
          </w:tcPr>
          <w:p w14:paraId="2250005A" w14:textId="360EA34B" w:rsidR="00242D8A" w:rsidRPr="00781112" w:rsidRDefault="00242D8A" w:rsidP="00242D8A">
            <w:pPr>
              <w:jc w:val="center"/>
              <w:rPr>
                <w:rFonts w:cs="Arial"/>
                <w:color w:val="000000" w:themeColor="text1"/>
                <w:szCs w:val="16"/>
              </w:rPr>
            </w:pPr>
            <w:r w:rsidRPr="00781112">
              <w:rPr>
                <w:rFonts w:cs="Arial"/>
                <w:color w:val="000000" w:themeColor="text1"/>
                <w:szCs w:val="16"/>
              </w:rPr>
              <w:t>3.19%</w:t>
            </w:r>
          </w:p>
        </w:tc>
        <w:tc>
          <w:tcPr>
            <w:tcW w:w="500" w:type="pct"/>
            <w:shd w:val="clear" w:color="auto" w:fill="auto"/>
            <w:vAlign w:val="center"/>
          </w:tcPr>
          <w:p w14:paraId="722A3424" w14:textId="24478E1D" w:rsidR="00242D8A" w:rsidRPr="00781112" w:rsidRDefault="00242D8A" w:rsidP="00242D8A">
            <w:pPr>
              <w:jc w:val="center"/>
              <w:rPr>
                <w:rFonts w:cs="Arial"/>
                <w:color w:val="000000" w:themeColor="text1"/>
                <w:szCs w:val="16"/>
              </w:rPr>
            </w:pPr>
            <w:r w:rsidRPr="00781112">
              <w:rPr>
                <w:rFonts w:cs="Arial"/>
                <w:color w:val="000000" w:themeColor="text1"/>
                <w:szCs w:val="16"/>
              </w:rPr>
              <w:t>3.19%</w:t>
            </w:r>
          </w:p>
        </w:tc>
        <w:tc>
          <w:tcPr>
            <w:tcW w:w="500" w:type="pct"/>
            <w:shd w:val="clear" w:color="auto" w:fill="auto"/>
            <w:vAlign w:val="center"/>
          </w:tcPr>
          <w:p w14:paraId="581F32CD" w14:textId="4D615B60" w:rsidR="00242D8A" w:rsidRPr="00781112" w:rsidRDefault="00242D8A" w:rsidP="00242D8A">
            <w:pPr>
              <w:jc w:val="center"/>
              <w:rPr>
                <w:rFonts w:cs="Arial"/>
                <w:color w:val="000000" w:themeColor="text1"/>
                <w:szCs w:val="16"/>
              </w:rPr>
            </w:pPr>
            <w:r w:rsidRPr="00781112">
              <w:rPr>
                <w:rFonts w:cs="Arial"/>
                <w:color w:val="000000" w:themeColor="text1"/>
                <w:szCs w:val="16"/>
              </w:rPr>
              <w:t>5.67%</w:t>
            </w:r>
          </w:p>
        </w:tc>
        <w:tc>
          <w:tcPr>
            <w:tcW w:w="500" w:type="pct"/>
            <w:shd w:val="clear" w:color="auto" w:fill="auto"/>
            <w:vAlign w:val="center"/>
          </w:tcPr>
          <w:p w14:paraId="3FECC7B3" w14:textId="2C921A8F" w:rsidR="00242D8A" w:rsidRPr="00781112" w:rsidRDefault="00242D8A" w:rsidP="00242D8A">
            <w:pPr>
              <w:jc w:val="center"/>
              <w:rPr>
                <w:rFonts w:cs="Arial"/>
                <w:color w:val="000000" w:themeColor="text1"/>
                <w:szCs w:val="16"/>
              </w:rPr>
            </w:pPr>
            <w:r w:rsidRPr="00781112">
              <w:rPr>
                <w:rFonts w:cs="Arial"/>
                <w:color w:val="000000" w:themeColor="text1"/>
                <w:szCs w:val="16"/>
              </w:rPr>
              <w:t>Met target</w:t>
            </w:r>
          </w:p>
        </w:tc>
        <w:tc>
          <w:tcPr>
            <w:tcW w:w="499" w:type="pct"/>
            <w:shd w:val="clear" w:color="auto" w:fill="auto"/>
            <w:vAlign w:val="center"/>
          </w:tcPr>
          <w:p w14:paraId="79B60713" w14:textId="20FD7180" w:rsidR="00242D8A" w:rsidRPr="00781112" w:rsidRDefault="00242D8A" w:rsidP="00242D8A">
            <w:pPr>
              <w:jc w:val="center"/>
              <w:rPr>
                <w:rFonts w:cs="Arial"/>
                <w:color w:val="000000" w:themeColor="text1"/>
                <w:szCs w:val="16"/>
              </w:rPr>
            </w:pPr>
            <w:r w:rsidRPr="00781112">
              <w:rPr>
                <w:rFonts w:cs="Arial"/>
                <w:color w:val="000000" w:themeColor="text1"/>
                <w:szCs w:val="16"/>
              </w:rPr>
              <w:t>No Slippage</w:t>
            </w:r>
          </w:p>
        </w:tc>
      </w:tr>
    </w:tbl>
    <w:p w14:paraId="197C30C8" w14:textId="77777777" w:rsidR="00CF57A2" w:rsidRPr="00781112" w:rsidRDefault="00CF57A2" w:rsidP="00580134">
      <w:pPr>
        <w:rPr>
          <w:rFonts w:cs="Arial"/>
          <w:iCs/>
          <w:color w:val="000000" w:themeColor="text1"/>
          <w:szCs w:val="16"/>
        </w:rPr>
      </w:pPr>
    </w:p>
    <w:p w14:paraId="3C6B4961" w14:textId="37E7DE15" w:rsidR="00497DE4" w:rsidRPr="00DB4E16" w:rsidRDefault="00497DE4" w:rsidP="00DB4E16">
      <w:pPr>
        <w:spacing w:before="0" w:after="200" w:line="276" w:lineRule="auto"/>
        <w:rPr>
          <w:color w:val="000000" w:themeColor="text1"/>
        </w:rPr>
      </w:pPr>
      <w:r w:rsidRPr="00781112">
        <w:rPr>
          <w:b/>
          <w:color w:val="000000" w:themeColor="text1"/>
        </w:rPr>
        <w:t>Regulatory Information</w:t>
      </w:r>
      <w:r w:rsidR="00DB4E16">
        <w:rPr>
          <w:color w:val="000000" w:themeColor="text1"/>
        </w:rPr>
        <w:br/>
      </w:r>
      <w:r w:rsidR="00A14B5D" w:rsidRPr="00781112">
        <w:rPr>
          <w:rFonts w:cs="Arial"/>
          <w:b/>
          <w:color w:val="000000" w:themeColor="text1"/>
          <w:szCs w:val="16"/>
        </w:rPr>
        <w:t>The SEA, (or, in the case of a district-wide assessment, LEA) must make available to the public, and report to the public with the same frequency and in the same detail as it reports on the assessment of nondisabled children: (1) the number of children with disabilities participating in: (a) regular assessments, and the number of those children who were provided accommodations in order to participate in those assessments; and (b) alternate assessments aligned with alternate achievement standards; and (2) the performance of children with disabilities on regular assessments and on alternate assessments, compared with the achievement of all children, including children with disabilities, on those assessments. [20 U.S.C. 1412 (a)(16)(D); 34 CFR §300.160(f)]</w:t>
      </w:r>
      <w:r w:rsidRPr="00781112">
        <w:rPr>
          <w:rFonts w:cs="Arial"/>
          <w:b/>
          <w:color w:val="000000" w:themeColor="text1"/>
          <w:szCs w:val="16"/>
          <w:shd w:val="clear" w:color="auto" w:fill="FFFFFF"/>
        </w:rPr>
        <w:t xml:space="preserve"> </w:t>
      </w:r>
    </w:p>
    <w:p w14:paraId="0071F535" w14:textId="77777777" w:rsidR="00585959" w:rsidRPr="00781112" w:rsidRDefault="00585959" w:rsidP="004369B2">
      <w:pPr>
        <w:rPr>
          <w:color w:val="000000" w:themeColor="text1"/>
        </w:rPr>
      </w:pPr>
    </w:p>
    <w:p w14:paraId="36CE185D" w14:textId="50CA6AD9" w:rsidR="000A5A2E" w:rsidRPr="00781112" w:rsidRDefault="000A5A2E" w:rsidP="004369B2">
      <w:pPr>
        <w:rPr>
          <w:color w:val="000000" w:themeColor="text1"/>
        </w:rPr>
      </w:pPr>
      <w:r w:rsidRPr="00781112">
        <w:rPr>
          <w:b/>
          <w:color w:val="000000" w:themeColor="text1"/>
        </w:rPr>
        <w:t>Public Reporting Information</w:t>
      </w:r>
    </w:p>
    <w:p w14:paraId="09EDA537" w14:textId="77777777" w:rsidR="00E539AB" w:rsidRPr="00781112" w:rsidRDefault="00E539AB" w:rsidP="00E539AB">
      <w:pPr>
        <w:rPr>
          <w:rFonts w:cs="Arial"/>
          <w:b/>
          <w:color w:val="000000" w:themeColor="text1"/>
          <w:szCs w:val="16"/>
        </w:rPr>
      </w:pPr>
      <w:r w:rsidRPr="00781112">
        <w:rPr>
          <w:rFonts w:cs="Arial"/>
          <w:b/>
          <w:color w:val="000000" w:themeColor="text1"/>
          <w:szCs w:val="16"/>
        </w:rPr>
        <w:t xml:space="preserve">Provide links to the page(s) where you provide public reports of assessment results. </w:t>
      </w:r>
    </w:p>
    <w:p w14:paraId="111DD1A5" w14:textId="0E809EBD" w:rsidR="00A869E9" w:rsidRPr="00781112" w:rsidRDefault="002B7490" w:rsidP="00E539AB">
      <w:pPr>
        <w:rPr>
          <w:rFonts w:cs="Arial"/>
          <w:color w:val="000000" w:themeColor="text1"/>
          <w:szCs w:val="16"/>
        </w:rPr>
      </w:pPr>
      <w:r w:rsidRPr="00781112">
        <w:rPr>
          <w:rFonts w:cs="Arial"/>
          <w:color w:val="000000" w:themeColor="text1"/>
          <w:szCs w:val="16"/>
        </w:rPr>
        <w:t>Utah’s regular assessments include the Readiness Improvement Success Empowerment (RISE) assessment for grades 4 and 8 and the Utah Aspire Plus assessment for grade 10. Each school’s achievement results for regular assessments are posted on their individual school report cards available on Utah's School Report Card website (https://utahschoolgrades.schools.utah.gov/).</w:t>
      </w:r>
      <w:r w:rsidRPr="00781112">
        <w:rPr>
          <w:rFonts w:cs="Arial"/>
          <w:color w:val="000000" w:themeColor="text1"/>
          <w:szCs w:val="16"/>
        </w:rPr>
        <w:br/>
      </w:r>
      <w:r w:rsidRPr="00781112">
        <w:rPr>
          <w:rFonts w:cs="Arial"/>
          <w:color w:val="000000" w:themeColor="text1"/>
          <w:szCs w:val="16"/>
        </w:rPr>
        <w:br/>
        <w:t xml:space="preserve">State-level data can be viewed by clicking the "View State Report" button in the “ABOUT SCHOOL REPORT CARDS” section of the homepage. From the “PERFORMANCE” tab, the grade range can be selected at the top. Additional details for achievement can be viewed by clicking the “View Details” on the “Achievement” </w:t>
      </w:r>
      <w:proofErr w:type="gramStart"/>
      <w:r w:rsidRPr="00781112">
        <w:rPr>
          <w:rFonts w:cs="Arial"/>
          <w:color w:val="000000" w:themeColor="text1"/>
          <w:szCs w:val="16"/>
        </w:rPr>
        <w:t>tile</w:t>
      </w:r>
      <w:proofErr w:type="gramEnd"/>
      <w:r w:rsidRPr="00781112">
        <w:rPr>
          <w:rFonts w:cs="Arial"/>
          <w:color w:val="000000" w:themeColor="text1"/>
          <w:szCs w:val="16"/>
        </w:rPr>
        <w:t>, then again for each individual subject.</w:t>
      </w:r>
    </w:p>
    <w:p w14:paraId="2BE473B4" w14:textId="77777777" w:rsidR="00053391" w:rsidRPr="00781112" w:rsidRDefault="00053391" w:rsidP="004369B2">
      <w:pPr>
        <w:rPr>
          <w:b/>
          <w:color w:val="000000" w:themeColor="text1"/>
        </w:rPr>
      </w:pPr>
      <w:bookmarkStart w:id="19" w:name="_Toc382082367"/>
      <w:bookmarkStart w:id="20" w:name="_Toc392159276"/>
      <w:r w:rsidRPr="00781112">
        <w:rPr>
          <w:b/>
          <w:color w:val="000000" w:themeColor="text1"/>
        </w:rPr>
        <w:t>Provide additional information about this indicator (optional)</w:t>
      </w:r>
    </w:p>
    <w:p w14:paraId="3E9E8793" w14:textId="126D5C73" w:rsidR="00A869E9" w:rsidRPr="00781112" w:rsidRDefault="002B7490" w:rsidP="000E33D0">
      <w:pPr>
        <w:rPr>
          <w:rFonts w:cs="Arial"/>
          <w:color w:val="000000" w:themeColor="text1"/>
          <w:szCs w:val="16"/>
        </w:rPr>
      </w:pPr>
      <w:r w:rsidRPr="00781112">
        <w:rPr>
          <w:rFonts w:cs="Arial"/>
          <w:color w:val="000000" w:themeColor="text1"/>
          <w:szCs w:val="16"/>
        </w:rPr>
        <w:t>The prepopulated data for Indicator 3 is incorrect as the data submitted to EDFacts on 12/21/2022 was the prior year’s data. New files with the correct FFY 2021 data were submitted on 01/04/2023. The correct data, submitted on 01/04/2023, and any slippage reasons are outlined in Utah APR FFY 2021 Indicator 3 Correct Data and Slippage Reasons (https://usbe-my.sharepoint.com/:w:/g/personal/emily_nordfelt_schools_utah_gov/ER7TDoqZrR1MmY-rmS-rC1wBiEyWfEaqxYvAG7sXrlIHIA?e=vI8BoE). As discussed with the OSEP State Lead, the linked document was accurate and continues to be accurate.</w:t>
      </w:r>
      <w:r w:rsidRPr="00781112">
        <w:rPr>
          <w:rFonts w:cs="Arial"/>
          <w:color w:val="000000" w:themeColor="text1"/>
          <w:szCs w:val="16"/>
        </w:rPr>
        <w:br/>
      </w:r>
      <w:r w:rsidRPr="00781112">
        <w:rPr>
          <w:rFonts w:cs="Arial"/>
          <w:color w:val="000000" w:themeColor="text1"/>
          <w:szCs w:val="16"/>
        </w:rPr>
        <w:br/>
        <w:t>Utah met targets for proficiency on the regular assessment for all areas except reading for grade 10.</w:t>
      </w:r>
    </w:p>
    <w:p w14:paraId="7E90E47A" w14:textId="1FCF2660" w:rsidR="000A2C83" w:rsidRPr="00781112" w:rsidRDefault="00573F6C" w:rsidP="008645AD">
      <w:pPr>
        <w:pStyle w:val="Heading2"/>
      </w:pPr>
      <w:r w:rsidRPr="00781112">
        <w:t>3B</w:t>
      </w:r>
      <w:r w:rsidR="00BB4FD7" w:rsidRPr="00781112">
        <w:t xml:space="preserve"> </w:t>
      </w:r>
      <w:r w:rsidRPr="00781112">
        <w:t xml:space="preserve">- </w:t>
      </w:r>
      <w:r w:rsidR="000A2C83" w:rsidRPr="00781112">
        <w:t>Prior FFY Required Actions</w:t>
      </w:r>
    </w:p>
    <w:p w14:paraId="020116A7" w14:textId="30989224" w:rsidR="00CA1E5A" w:rsidRPr="00781112" w:rsidRDefault="002B7490" w:rsidP="000A2C83">
      <w:pPr>
        <w:rPr>
          <w:rFonts w:cs="Arial"/>
          <w:color w:val="000000" w:themeColor="text1"/>
          <w:szCs w:val="16"/>
        </w:rPr>
      </w:pPr>
      <w:r w:rsidRPr="00781112">
        <w:rPr>
          <w:rFonts w:cs="Arial"/>
          <w:color w:val="000000" w:themeColor="text1"/>
          <w:szCs w:val="16"/>
        </w:rPr>
        <w:t>None</w:t>
      </w:r>
    </w:p>
    <w:p w14:paraId="40E83F51" w14:textId="68FFF50F" w:rsidR="00053391" w:rsidRPr="00781112" w:rsidRDefault="00573F6C" w:rsidP="008645AD">
      <w:pPr>
        <w:pStyle w:val="Heading2"/>
      </w:pPr>
      <w:r w:rsidRPr="00781112">
        <w:t>3B - OSEP Response</w:t>
      </w:r>
    </w:p>
    <w:p w14:paraId="3ED35024" w14:textId="0A8D2725" w:rsidR="00A869E9" w:rsidRPr="00781112" w:rsidRDefault="002B7490" w:rsidP="001F692C">
      <w:pPr>
        <w:rPr>
          <w:rFonts w:cs="Arial"/>
          <w:color w:val="000000" w:themeColor="text1"/>
          <w:szCs w:val="16"/>
        </w:rPr>
      </w:pPr>
      <w:r w:rsidRPr="00781112">
        <w:rPr>
          <w:rFonts w:cs="Arial"/>
          <w:color w:val="000000" w:themeColor="text1"/>
          <w:szCs w:val="16"/>
          <w:shd w:val="clear" w:color="auto" w:fill="FFFFFF"/>
        </w:rPr>
        <w:t xml:space="preserve">The assessment data for Indicators 3A, 3B, 3C, and 3D are prefilled using the State-level assessment data submitted as of the final freeze date/ close date for EDFacts files 185, 188, 175, 178. For the SY 2021-22 assessment data, the freeze date/ close date for these files was April 5, 2023. Data submitted by a State after the April 5, </w:t>
      </w:r>
      <w:proofErr w:type="gramStart"/>
      <w:r w:rsidRPr="00781112">
        <w:rPr>
          <w:rFonts w:cs="Arial"/>
          <w:color w:val="000000" w:themeColor="text1"/>
          <w:szCs w:val="16"/>
          <w:shd w:val="clear" w:color="auto" w:fill="FFFFFF"/>
        </w:rPr>
        <w:t>2023</w:t>
      </w:r>
      <w:proofErr w:type="gramEnd"/>
      <w:r w:rsidRPr="00781112">
        <w:rPr>
          <w:rFonts w:cs="Arial"/>
          <w:color w:val="000000" w:themeColor="text1"/>
          <w:szCs w:val="16"/>
          <w:shd w:val="clear" w:color="auto" w:fill="FFFFFF"/>
        </w:rPr>
        <w:t xml:space="preserve"> freeze date is not prefilled into the State's SPP/APR, used in the IDEA Part B Results Matrix, or published in the IDEA Part B Assessment data file and associated products. </w:t>
      </w:r>
    </w:p>
    <w:p w14:paraId="4E98DE68" w14:textId="3E692587" w:rsidR="00053391" w:rsidRPr="00781112" w:rsidRDefault="00573F6C" w:rsidP="008645AD">
      <w:pPr>
        <w:pStyle w:val="Heading2"/>
      </w:pPr>
      <w:r w:rsidRPr="00781112">
        <w:t>3B - Required Actions</w:t>
      </w:r>
    </w:p>
    <w:p w14:paraId="54E3AE73" w14:textId="681577C9" w:rsidR="00A869E9" w:rsidRPr="00781112" w:rsidRDefault="00A869E9" w:rsidP="001F692C">
      <w:pPr>
        <w:rPr>
          <w:rFonts w:cs="Arial"/>
          <w:color w:val="000000" w:themeColor="text1"/>
          <w:szCs w:val="16"/>
        </w:rPr>
      </w:pPr>
    </w:p>
    <w:p w14:paraId="4DBC1CB9" w14:textId="77777777" w:rsidR="00D37BF0" w:rsidRPr="00781112" w:rsidRDefault="00D37BF0">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162E86A4" w14:textId="6BD07048" w:rsidR="009D378C" w:rsidRPr="00781112" w:rsidRDefault="009D378C">
      <w:pPr>
        <w:pStyle w:val="Heading1"/>
        <w:rPr>
          <w:color w:val="000000" w:themeColor="text1"/>
          <w:sz w:val="22"/>
        </w:rPr>
      </w:pPr>
      <w:r w:rsidRPr="00781112">
        <w:rPr>
          <w:color w:val="000000" w:themeColor="text1"/>
          <w:sz w:val="22"/>
        </w:rPr>
        <w:lastRenderedPageBreak/>
        <w:t>Indicator 3C: Proficiency for Children with IEPs (Alternate Academic Achievement Standards)</w:t>
      </w:r>
      <w:bookmarkEnd w:id="19"/>
      <w:bookmarkEnd w:id="20"/>
    </w:p>
    <w:p w14:paraId="52EFBCBE" w14:textId="26DA486B" w:rsidR="008878CC" w:rsidRPr="00781112" w:rsidRDefault="008878CC" w:rsidP="00A018D4">
      <w:pPr>
        <w:rPr>
          <w:color w:val="000000" w:themeColor="text1"/>
          <w:szCs w:val="20"/>
        </w:rPr>
      </w:pPr>
      <w:r w:rsidRPr="00781112">
        <w:rPr>
          <w:b/>
          <w:color w:val="000000" w:themeColor="text1"/>
          <w:sz w:val="20"/>
          <w:szCs w:val="20"/>
        </w:rPr>
        <w:t xml:space="preserve">Instructions and Measurement </w:t>
      </w:r>
    </w:p>
    <w:p w14:paraId="241F1C78" w14:textId="77777777" w:rsidR="000A5A2E" w:rsidRPr="00781112" w:rsidRDefault="000A5A2E" w:rsidP="004369B2">
      <w:pPr>
        <w:rPr>
          <w:color w:val="000000" w:themeColor="text1"/>
        </w:rPr>
      </w:pPr>
      <w:bookmarkStart w:id="21" w:name="_Toc384383330"/>
      <w:bookmarkStart w:id="22" w:name="_Toc392159282"/>
      <w:bookmarkStart w:id="23" w:name="_Toc382082372"/>
      <w:r w:rsidRPr="00781112">
        <w:rPr>
          <w:b/>
          <w:color w:val="000000" w:themeColor="text1"/>
        </w:rPr>
        <w:t xml:space="preserve">Monitoring Priority: </w:t>
      </w:r>
      <w:r w:rsidRPr="00781112">
        <w:rPr>
          <w:color w:val="000000" w:themeColor="text1"/>
        </w:rPr>
        <w:t>FAPE in the LRE</w:t>
      </w:r>
    </w:p>
    <w:p w14:paraId="40B194E0" w14:textId="1AA1580D" w:rsidR="000A5A2E" w:rsidRPr="00781112" w:rsidRDefault="000A5A2E" w:rsidP="00552927">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xml:space="preserve"> Participation and performance </w:t>
      </w:r>
      <w:r w:rsidR="00DA7FAE" w:rsidRPr="00781112">
        <w:rPr>
          <w:rFonts w:cs="Arial"/>
          <w:color w:val="000000" w:themeColor="text1"/>
          <w:szCs w:val="16"/>
        </w:rPr>
        <w:t xml:space="preserve">of </w:t>
      </w:r>
      <w:r w:rsidRPr="00781112">
        <w:rPr>
          <w:rFonts w:cs="Arial"/>
          <w:color w:val="000000" w:themeColor="text1"/>
          <w:szCs w:val="16"/>
        </w:rPr>
        <w:t>children with IEPs on statewide assessments:</w:t>
      </w:r>
    </w:p>
    <w:p w14:paraId="7F5EE1FA" w14:textId="77777777" w:rsidR="00385214" w:rsidRPr="00781112" w:rsidRDefault="00385214" w:rsidP="00385214">
      <w:pPr>
        <w:ind w:firstLine="720"/>
        <w:rPr>
          <w:rFonts w:cs="Arial"/>
          <w:color w:val="000000" w:themeColor="text1"/>
          <w:szCs w:val="16"/>
        </w:rPr>
      </w:pPr>
      <w:r w:rsidRPr="00781112">
        <w:rPr>
          <w:rFonts w:cs="Arial"/>
          <w:color w:val="000000" w:themeColor="text1"/>
          <w:szCs w:val="16"/>
        </w:rPr>
        <w:t>A. Participation rate for children with IEPs.</w:t>
      </w:r>
    </w:p>
    <w:p w14:paraId="76102D80" w14:textId="77777777" w:rsidR="00385214" w:rsidRPr="00781112" w:rsidRDefault="00385214" w:rsidP="00385214">
      <w:pPr>
        <w:ind w:firstLine="720"/>
        <w:rPr>
          <w:rFonts w:cs="Arial"/>
          <w:color w:val="000000" w:themeColor="text1"/>
          <w:szCs w:val="16"/>
        </w:rPr>
      </w:pPr>
      <w:r w:rsidRPr="00781112">
        <w:rPr>
          <w:rFonts w:cs="Arial"/>
          <w:color w:val="000000" w:themeColor="text1"/>
          <w:szCs w:val="16"/>
        </w:rPr>
        <w:t xml:space="preserve">B. </w:t>
      </w:r>
      <w:r w:rsidRPr="00781112">
        <w:rPr>
          <w:rFonts w:cs="Arial"/>
          <w:szCs w:val="16"/>
        </w:rPr>
        <w:t>Proficiency rate for children with IEPs against grade level academic achievement standards.</w:t>
      </w:r>
    </w:p>
    <w:p w14:paraId="65AE871A" w14:textId="77777777" w:rsidR="00385214" w:rsidRPr="00781112" w:rsidRDefault="00385214" w:rsidP="00385214">
      <w:pPr>
        <w:ind w:firstLine="720"/>
        <w:rPr>
          <w:rFonts w:cs="Arial"/>
          <w:color w:val="000000" w:themeColor="text1"/>
          <w:szCs w:val="16"/>
        </w:rPr>
      </w:pPr>
      <w:r w:rsidRPr="00781112">
        <w:rPr>
          <w:rFonts w:cs="Arial"/>
          <w:color w:val="000000" w:themeColor="text1"/>
          <w:szCs w:val="16"/>
        </w:rPr>
        <w:t>C. Proficiency rate for children with IEPs against alternate academic achievement standards.</w:t>
      </w:r>
    </w:p>
    <w:p w14:paraId="7381D72B" w14:textId="77777777" w:rsidR="00385214" w:rsidRPr="00781112" w:rsidRDefault="00385214" w:rsidP="00385214">
      <w:pPr>
        <w:ind w:firstLine="720"/>
        <w:rPr>
          <w:rFonts w:cs="Arial"/>
          <w:color w:val="000000" w:themeColor="text1"/>
          <w:szCs w:val="16"/>
        </w:rPr>
      </w:pPr>
      <w:r w:rsidRPr="00781112">
        <w:rPr>
          <w:rFonts w:cs="Arial"/>
          <w:color w:val="000000" w:themeColor="text1"/>
          <w:szCs w:val="16"/>
        </w:rPr>
        <w:t>D.</w:t>
      </w:r>
      <w:r w:rsidRPr="00781112">
        <w:rPr>
          <w:rFonts w:cs="Arial"/>
          <w:szCs w:val="16"/>
        </w:rPr>
        <w:t xml:space="preserve"> Gap in proficiency rates for children with IEPs and all students against grade level academic achievement standards.</w:t>
      </w:r>
    </w:p>
    <w:p w14:paraId="57288DF2" w14:textId="77777777" w:rsidR="00385214" w:rsidRPr="00781112" w:rsidRDefault="00385214" w:rsidP="00385214">
      <w:pPr>
        <w:rPr>
          <w:rFonts w:cs="Arial"/>
          <w:color w:val="000000" w:themeColor="text1"/>
          <w:szCs w:val="16"/>
        </w:rPr>
      </w:pPr>
      <w:r w:rsidRPr="00781112">
        <w:rPr>
          <w:rFonts w:cs="Arial"/>
          <w:color w:val="000000" w:themeColor="text1"/>
          <w:szCs w:val="16"/>
        </w:rPr>
        <w:t>(20 U.S.C. 1416 (a)(3)(A))</w:t>
      </w:r>
    </w:p>
    <w:p w14:paraId="363AAB3C" w14:textId="77777777" w:rsidR="000A5A2E" w:rsidRPr="00781112" w:rsidRDefault="000A5A2E" w:rsidP="004369B2">
      <w:pPr>
        <w:rPr>
          <w:color w:val="000000" w:themeColor="text1"/>
        </w:rPr>
      </w:pPr>
      <w:r w:rsidRPr="00781112">
        <w:rPr>
          <w:b/>
          <w:color w:val="000000" w:themeColor="text1"/>
        </w:rPr>
        <w:t>Data Source</w:t>
      </w:r>
    </w:p>
    <w:p w14:paraId="274B140A" w14:textId="3ABBB221" w:rsidR="000A5A2E" w:rsidRPr="00781112" w:rsidRDefault="000A5A2E" w:rsidP="00552927">
      <w:pPr>
        <w:rPr>
          <w:rFonts w:cs="Arial"/>
          <w:color w:val="000000" w:themeColor="text1"/>
          <w:szCs w:val="16"/>
        </w:rPr>
      </w:pPr>
      <w:r w:rsidRPr="00781112">
        <w:rPr>
          <w:rFonts w:cs="Arial"/>
          <w:color w:val="000000" w:themeColor="text1"/>
          <w:szCs w:val="16"/>
        </w:rPr>
        <w:t>3C. Same data as used for reporting to the Department under Title I of the ESEA, using EDFacts file specifications FS175 and 178.</w:t>
      </w:r>
    </w:p>
    <w:p w14:paraId="064C7F6E" w14:textId="77777777" w:rsidR="000A5A2E" w:rsidRPr="00781112" w:rsidRDefault="000A5A2E" w:rsidP="004369B2">
      <w:pPr>
        <w:rPr>
          <w:color w:val="000000" w:themeColor="text1"/>
        </w:rPr>
      </w:pPr>
      <w:r w:rsidRPr="00781112">
        <w:rPr>
          <w:b/>
          <w:color w:val="000000" w:themeColor="text1"/>
        </w:rPr>
        <w:t>Measurement</w:t>
      </w:r>
    </w:p>
    <w:p w14:paraId="7639A7B8" w14:textId="3B2FB141" w:rsidR="000A5A2E" w:rsidRPr="00781112" w:rsidRDefault="000A5A2E" w:rsidP="00552927">
      <w:pPr>
        <w:rPr>
          <w:rFonts w:cs="Arial"/>
          <w:color w:val="000000" w:themeColor="text1"/>
          <w:szCs w:val="16"/>
        </w:rPr>
      </w:pPr>
      <w:r w:rsidRPr="00781112">
        <w:rPr>
          <w:rFonts w:cs="Arial"/>
          <w:color w:val="000000" w:themeColor="text1"/>
          <w:szCs w:val="16"/>
        </w:rPr>
        <w:t xml:space="preserve">C. </w:t>
      </w:r>
      <w:r w:rsidR="00385214" w:rsidRPr="00781112">
        <w:rPr>
          <w:rFonts w:cs="Arial"/>
          <w:szCs w:val="16"/>
        </w:rPr>
        <w:t>Proficiency rate percent = [(# of children with IEPs scoring at or above proficient against alternate academic achievement standards) divided by the (total # of children with IEPs who received a valid score and for whom a proficiency level was assigned for the alternate assessment)]. Calculate separately for reading and math.  Calculate separately for grades 4, 8, and high school. The proficiency rate includes both children with IEPs enrolled for a full academic year and those not enrolled for a full academic year.</w:t>
      </w:r>
    </w:p>
    <w:p w14:paraId="1CE435A8" w14:textId="77777777" w:rsidR="000A5A2E" w:rsidRPr="00781112" w:rsidRDefault="000A5A2E" w:rsidP="004369B2">
      <w:pPr>
        <w:rPr>
          <w:color w:val="000000" w:themeColor="text1"/>
        </w:rPr>
      </w:pPr>
      <w:r w:rsidRPr="00781112">
        <w:rPr>
          <w:b/>
          <w:color w:val="000000" w:themeColor="text1"/>
        </w:rPr>
        <w:t>Instructions</w:t>
      </w:r>
    </w:p>
    <w:p w14:paraId="79EB3296" w14:textId="77777777" w:rsidR="000A5A2E" w:rsidRPr="00781112" w:rsidRDefault="000A5A2E" w:rsidP="00552927">
      <w:pPr>
        <w:rPr>
          <w:rFonts w:cs="Arial"/>
          <w:color w:val="000000" w:themeColor="text1"/>
          <w:szCs w:val="16"/>
        </w:rPr>
      </w:pPr>
      <w:r w:rsidRPr="00781112">
        <w:rPr>
          <w:rFonts w:cs="Arial"/>
          <w:color w:val="000000" w:themeColor="text1"/>
          <w:szCs w:val="16"/>
        </w:rPr>
        <w:t>Describe the results of the calculations and compare the results to the targets. Provide the actual numbers used in the calculation.</w:t>
      </w:r>
    </w:p>
    <w:p w14:paraId="4F00AC69" w14:textId="77777777" w:rsidR="000A5A2E" w:rsidRPr="00781112" w:rsidRDefault="000A5A2E" w:rsidP="00552927">
      <w:pPr>
        <w:rPr>
          <w:rFonts w:cs="Arial"/>
          <w:color w:val="000000" w:themeColor="text1"/>
          <w:szCs w:val="16"/>
        </w:rPr>
      </w:pPr>
      <w:r w:rsidRPr="00781112">
        <w:rPr>
          <w:rFonts w:cs="Arial"/>
          <w:color w:val="000000" w:themeColor="text1"/>
          <w:szCs w:val="16"/>
        </w:rPr>
        <w:t>Include information regarding where to find public reports of assessment participation and performance results, as required by 34 CFR §300.160(f), i.e., a link to the Web site where these data are reported.</w:t>
      </w:r>
    </w:p>
    <w:p w14:paraId="04E96BDA" w14:textId="77777777" w:rsidR="00385214" w:rsidRPr="00781112" w:rsidRDefault="000A5A2E" w:rsidP="00385214">
      <w:pPr>
        <w:rPr>
          <w:rFonts w:cs="Arial"/>
          <w:szCs w:val="16"/>
        </w:rPr>
      </w:pPr>
      <w:r w:rsidRPr="00781112">
        <w:rPr>
          <w:rFonts w:cs="Arial"/>
          <w:color w:val="000000" w:themeColor="text1"/>
          <w:szCs w:val="16"/>
        </w:rPr>
        <w:t xml:space="preserve">Indicator 3C: </w:t>
      </w:r>
      <w:r w:rsidR="00385214" w:rsidRPr="00781112">
        <w:rPr>
          <w:rFonts w:cs="Arial"/>
          <w:szCs w:val="16"/>
        </w:rPr>
        <w:t>Proficiency calculations in this SPP/APR must result in proficiency rates for children with IEPs on the alternate assessment in reading/language arts and mathematics assessments (separately) in each of the following grades: 4, 8, and high school, including both children with IEPs enrolled for a full academic year and those not enrolled for a full academic year. Only include children with disabilities who had an IEP at the time</w:t>
      </w:r>
    </w:p>
    <w:p w14:paraId="1015A11D" w14:textId="071607C2" w:rsidR="000A5A2E" w:rsidRPr="00781112" w:rsidRDefault="00385214" w:rsidP="00385214">
      <w:pPr>
        <w:rPr>
          <w:rFonts w:cs="Arial"/>
          <w:color w:val="000000" w:themeColor="text1"/>
          <w:szCs w:val="16"/>
        </w:rPr>
      </w:pPr>
      <w:r w:rsidRPr="00781112">
        <w:rPr>
          <w:rFonts w:cs="Arial"/>
          <w:szCs w:val="16"/>
        </w:rPr>
        <w:t>of testing.</w:t>
      </w:r>
    </w:p>
    <w:p w14:paraId="7CE600A3" w14:textId="62D18727" w:rsidR="001B5210" w:rsidRPr="00781112" w:rsidRDefault="00573F6C" w:rsidP="008645AD">
      <w:pPr>
        <w:pStyle w:val="Heading2"/>
      </w:pPr>
      <w:r w:rsidRPr="00781112">
        <w:t>3C</w:t>
      </w:r>
      <w:r w:rsidR="00BB4FD7" w:rsidRPr="00781112">
        <w:t xml:space="preserve"> </w:t>
      </w:r>
      <w:r w:rsidRPr="00781112">
        <w:t xml:space="preserve">- </w:t>
      </w:r>
      <w:r w:rsidR="001B5210" w:rsidRPr="00781112">
        <w:t>Indicator Data</w:t>
      </w:r>
    </w:p>
    <w:p w14:paraId="0B1C0DD7" w14:textId="51BE70AF" w:rsidR="00A10323" w:rsidRPr="00781112" w:rsidRDefault="00A10323">
      <w:pPr>
        <w:rPr>
          <w:b/>
          <w:color w:val="000000" w:themeColor="text1"/>
        </w:rPr>
      </w:pPr>
      <w:r w:rsidRPr="00781112">
        <w:rPr>
          <w:b/>
          <w:color w:val="000000" w:themeColor="text1"/>
        </w:rPr>
        <w:t xml:space="preserve">Historical Data: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CHISTDATA"/>
      </w:tblPr>
      <w:tblGrid>
        <w:gridCol w:w="1588"/>
        <w:gridCol w:w="1588"/>
        <w:gridCol w:w="2538"/>
        <w:gridCol w:w="2538"/>
        <w:gridCol w:w="2538"/>
      </w:tblGrid>
      <w:tr w:rsidR="00537221" w:rsidRPr="00781112" w14:paraId="5299B4E6" w14:textId="77777777" w:rsidTr="009725F4">
        <w:trPr>
          <w:trHeight w:val="368"/>
          <w:tblHeader/>
        </w:trPr>
        <w:tc>
          <w:tcPr>
            <w:tcW w:w="736" w:type="pct"/>
            <w:tcBorders>
              <w:top w:val="single" w:sz="4" w:space="0" w:color="auto"/>
            </w:tcBorders>
            <w:vAlign w:val="center"/>
          </w:tcPr>
          <w:p w14:paraId="43B0649B" w14:textId="77777777" w:rsidR="00537221" w:rsidRPr="00781112" w:rsidRDefault="00537221" w:rsidP="00827FF4">
            <w:pPr>
              <w:jc w:val="center"/>
              <w:rPr>
                <w:rFonts w:cs="Arial"/>
                <w:b/>
                <w:color w:val="000000" w:themeColor="text1"/>
                <w:szCs w:val="16"/>
              </w:rPr>
            </w:pPr>
            <w:r w:rsidRPr="00781112">
              <w:rPr>
                <w:rFonts w:cs="Arial"/>
                <w:b/>
                <w:color w:val="000000" w:themeColor="text1"/>
                <w:szCs w:val="16"/>
              </w:rPr>
              <w:t>Subject</w:t>
            </w:r>
          </w:p>
        </w:tc>
        <w:tc>
          <w:tcPr>
            <w:tcW w:w="736" w:type="pct"/>
            <w:tcBorders>
              <w:top w:val="single" w:sz="4" w:space="0" w:color="auto"/>
            </w:tcBorders>
            <w:shd w:val="clear" w:color="auto" w:fill="auto"/>
            <w:vAlign w:val="center"/>
          </w:tcPr>
          <w:p w14:paraId="611078A1" w14:textId="77777777" w:rsidR="00537221" w:rsidRPr="00781112" w:rsidRDefault="00537221" w:rsidP="00827FF4">
            <w:pPr>
              <w:jc w:val="center"/>
              <w:rPr>
                <w:rFonts w:cs="Arial"/>
                <w:b/>
                <w:color w:val="000000" w:themeColor="text1"/>
                <w:szCs w:val="16"/>
              </w:rPr>
            </w:pPr>
            <w:r w:rsidRPr="00781112">
              <w:rPr>
                <w:rFonts w:cs="Arial"/>
                <w:b/>
                <w:color w:val="000000" w:themeColor="text1"/>
                <w:szCs w:val="16"/>
              </w:rPr>
              <w:t xml:space="preserve">Group </w:t>
            </w:r>
          </w:p>
        </w:tc>
        <w:tc>
          <w:tcPr>
            <w:tcW w:w="1176" w:type="pct"/>
            <w:tcBorders>
              <w:top w:val="single" w:sz="4" w:space="0" w:color="auto"/>
            </w:tcBorders>
            <w:shd w:val="clear" w:color="auto" w:fill="auto"/>
            <w:vAlign w:val="center"/>
          </w:tcPr>
          <w:p w14:paraId="4FF0AF06" w14:textId="77777777" w:rsidR="00537221" w:rsidRPr="00781112" w:rsidRDefault="00537221" w:rsidP="00827FF4">
            <w:pPr>
              <w:jc w:val="center"/>
              <w:rPr>
                <w:rFonts w:cs="Arial"/>
                <w:b/>
                <w:color w:val="000000" w:themeColor="text1"/>
                <w:szCs w:val="16"/>
              </w:rPr>
            </w:pPr>
            <w:r w:rsidRPr="00781112">
              <w:rPr>
                <w:rFonts w:cs="Arial"/>
                <w:b/>
                <w:color w:val="000000" w:themeColor="text1"/>
                <w:szCs w:val="16"/>
              </w:rPr>
              <w:t xml:space="preserve">Group Name </w:t>
            </w:r>
          </w:p>
        </w:tc>
        <w:tc>
          <w:tcPr>
            <w:tcW w:w="1176" w:type="pct"/>
            <w:tcBorders>
              <w:top w:val="single" w:sz="4" w:space="0" w:color="auto"/>
            </w:tcBorders>
            <w:shd w:val="clear" w:color="auto" w:fill="auto"/>
            <w:vAlign w:val="center"/>
          </w:tcPr>
          <w:p w14:paraId="5F7760A7" w14:textId="77777777" w:rsidR="00537221" w:rsidRPr="00781112" w:rsidRDefault="00537221" w:rsidP="00827FF4">
            <w:pPr>
              <w:jc w:val="center"/>
              <w:rPr>
                <w:rFonts w:cs="Arial"/>
                <w:b/>
                <w:color w:val="000000" w:themeColor="text1"/>
                <w:szCs w:val="16"/>
              </w:rPr>
            </w:pPr>
            <w:r w:rsidRPr="00781112">
              <w:rPr>
                <w:rFonts w:cs="Arial"/>
                <w:b/>
                <w:color w:val="000000" w:themeColor="text1"/>
                <w:szCs w:val="16"/>
              </w:rPr>
              <w:t xml:space="preserve">Baseline Year </w:t>
            </w:r>
          </w:p>
        </w:tc>
        <w:tc>
          <w:tcPr>
            <w:tcW w:w="1176" w:type="pct"/>
            <w:tcBorders>
              <w:top w:val="single" w:sz="4" w:space="0" w:color="auto"/>
            </w:tcBorders>
            <w:vAlign w:val="center"/>
          </w:tcPr>
          <w:p w14:paraId="01C3E0F4" w14:textId="77777777" w:rsidR="00537221" w:rsidRPr="00781112" w:rsidRDefault="00537221" w:rsidP="00827FF4">
            <w:pPr>
              <w:jc w:val="center"/>
              <w:rPr>
                <w:rFonts w:cs="Arial"/>
                <w:b/>
                <w:color w:val="000000" w:themeColor="text1"/>
                <w:szCs w:val="16"/>
              </w:rPr>
            </w:pPr>
            <w:r w:rsidRPr="00781112">
              <w:rPr>
                <w:rFonts w:cs="Arial"/>
                <w:b/>
                <w:color w:val="000000" w:themeColor="text1"/>
                <w:szCs w:val="16"/>
              </w:rPr>
              <w:t>Baseline Data</w:t>
            </w:r>
          </w:p>
        </w:tc>
      </w:tr>
      <w:tr w:rsidR="00537221" w:rsidRPr="00781112" w14:paraId="62CCD80E" w14:textId="77777777" w:rsidTr="00827FF4">
        <w:trPr>
          <w:trHeight w:val="368"/>
        </w:trPr>
        <w:tc>
          <w:tcPr>
            <w:tcW w:w="736" w:type="pct"/>
            <w:vAlign w:val="center"/>
          </w:tcPr>
          <w:p w14:paraId="6DBDC79A"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249F4CF1"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0E5785E8" w14:textId="11F5BAE0" w:rsidR="00537221" w:rsidRPr="00781112" w:rsidRDefault="00537221" w:rsidP="00827FF4">
            <w:pPr>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4EB8CC47" w14:textId="1B0ED9ED" w:rsidR="00537221" w:rsidRPr="00781112" w:rsidRDefault="00537221"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2281A612" w14:textId="23CB1591" w:rsidR="00537221" w:rsidRPr="00781112" w:rsidRDefault="00537221" w:rsidP="00827FF4">
            <w:pPr>
              <w:spacing w:before="0" w:after="0"/>
              <w:jc w:val="center"/>
              <w:rPr>
                <w:color w:val="000000" w:themeColor="text1"/>
              </w:rPr>
            </w:pPr>
            <w:r w:rsidRPr="00781112">
              <w:rPr>
                <w:rFonts w:cs="Arial"/>
                <w:color w:val="000000" w:themeColor="text1"/>
                <w:szCs w:val="16"/>
              </w:rPr>
              <w:t>15.06%</w:t>
            </w:r>
          </w:p>
        </w:tc>
      </w:tr>
      <w:tr w:rsidR="00537221" w:rsidRPr="00781112" w14:paraId="1C24E702" w14:textId="77777777" w:rsidTr="00827FF4">
        <w:trPr>
          <w:trHeight w:val="368"/>
        </w:trPr>
        <w:tc>
          <w:tcPr>
            <w:tcW w:w="736" w:type="pct"/>
            <w:vAlign w:val="center"/>
          </w:tcPr>
          <w:p w14:paraId="678970EB"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1EBDCD6D"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727E9135" w14:textId="4107258E"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7C958A72" w14:textId="4A38962C" w:rsidR="00537221" w:rsidRPr="00781112" w:rsidRDefault="00537221"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0FED42B6" w14:textId="77E5EACD"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23.74%</w:t>
            </w:r>
          </w:p>
        </w:tc>
      </w:tr>
      <w:tr w:rsidR="00537221" w:rsidRPr="00781112" w14:paraId="59B71803" w14:textId="77777777" w:rsidTr="00827FF4">
        <w:trPr>
          <w:trHeight w:val="368"/>
        </w:trPr>
        <w:tc>
          <w:tcPr>
            <w:tcW w:w="736" w:type="pct"/>
            <w:vAlign w:val="center"/>
          </w:tcPr>
          <w:p w14:paraId="4EBEF59E"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0EE18997"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7D681B80" w14:textId="4A6DABFD" w:rsidR="00537221" w:rsidRPr="00781112" w:rsidRDefault="00537221" w:rsidP="00827FF4">
            <w:pPr>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1DF3FFCD" w14:textId="6C6BE9F1" w:rsidR="00537221" w:rsidRPr="00781112" w:rsidRDefault="00537221"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34A93084" w14:textId="02FAA503"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29.43%</w:t>
            </w:r>
          </w:p>
        </w:tc>
      </w:tr>
      <w:tr w:rsidR="00537221" w:rsidRPr="00781112" w14:paraId="05A06BC9" w14:textId="77777777" w:rsidTr="00827FF4">
        <w:trPr>
          <w:trHeight w:val="368"/>
        </w:trPr>
        <w:tc>
          <w:tcPr>
            <w:tcW w:w="736" w:type="pct"/>
            <w:vAlign w:val="center"/>
          </w:tcPr>
          <w:p w14:paraId="6020FFAF"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6CFDB92F"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5CB62D65" w14:textId="5E527C8F"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53F85621" w14:textId="1D815BA8" w:rsidR="00537221" w:rsidRPr="00781112" w:rsidRDefault="00537221"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790D130A" w14:textId="06A6107B"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31.43%</w:t>
            </w:r>
          </w:p>
        </w:tc>
      </w:tr>
      <w:tr w:rsidR="00537221" w:rsidRPr="00781112" w14:paraId="086B388C" w14:textId="77777777" w:rsidTr="00827FF4">
        <w:trPr>
          <w:trHeight w:val="368"/>
        </w:trPr>
        <w:tc>
          <w:tcPr>
            <w:tcW w:w="736" w:type="pct"/>
            <w:vAlign w:val="center"/>
          </w:tcPr>
          <w:p w14:paraId="7653A8F3"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0285758E"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54FB850D" w14:textId="54F493D6" w:rsidR="00537221" w:rsidRPr="00781112" w:rsidRDefault="00537221" w:rsidP="00827FF4">
            <w:pPr>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502C33F8" w14:textId="45D8525B" w:rsidR="00537221" w:rsidRPr="00781112" w:rsidRDefault="00537221"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4AD27F52" w14:textId="16DC5031"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6.24%</w:t>
            </w:r>
          </w:p>
        </w:tc>
      </w:tr>
      <w:tr w:rsidR="00537221" w:rsidRPr="00781112" w14:paraId="43D0DD14" w14:textId="77777777" w:rsidTr="00827FF4">
        <w:trPr>
          <w:trHeight w:val="368"/>
        </w:trPr>
        <w:tc>
          <w:tcPr>
            <w:tcW w:w="736" w:type="pct"/>
            <w:vAlign w:val="center"/>
          </w:tcPr>
          <w:p w14:paraId="1464F87A"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009D1AD8"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261B7EA0" w14:textId="1CFD2731"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07D595C6" w14:textId="36D54FE7" w:rsidR="00537221" w:rsidRPr="00781112" w:rsidRDefault="00537221"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27DF7D26" w14:textId="3067273D"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12.41%</w:t>
            </w:r>
          </w:p>
        </w:tc>
      </w:tr>
    </w:tbl>
    <w:p w14:paraId="4679A4B4" w14:textId="77777777" w:rsidR="00537221" w:rsidRPr="00781112" w:rsidRDefault="00537221">
      <w:pPr>
        <w:rPr>
          <w:b/>
          <w:color w:val="000000" w:themeColor="text1"/>
        </w:rPr>
      </w:pPr>
    </w:p>
    <w:p w14:paraId="764C016B" w14:textId="48180105" w:rsidR="00A10323" w:rsidRPr="00781112" w:rsidRDefault="00A10323" w:rsidP="004369B2">
      <w:pPr>
        <w:rPr>
          <w:b/>
          <w:color w:val="000000" w:themeColor="text1"/>
        </w:rPr>
      </w:pPr>
      <w:r w:rsidRPr="00781112">
        <w:rPr>
          <w:b/>
          <w:color w:val="000000" w:themeColor="text1"/>
        </w:rPr>
        <w:t>Targets</w:t>
      </w:r>
    </w:p>
    <w:tbl>
      <w:tblPr>
        <w:tblW w:w="44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CTARGETS"/>
      </w:tblPr>
      <w:tblGrid>
        <w:gridCol w:w="813"/>
        <w:gridCol w:w="697"/>
        <w:gridCol w:w="1738"/>
        <w:gridCol w:w="1256"/>
        <w:gridCol w:w="1256"/>
        <w:gridCol w:w="1256"/>
        <w:gridCol w:w="1256"/>
        <w:gridCol w:w="1256"/>
      </w:tblGrid>
      <w:tr w:rsidR="00B14519" w:rsidRPr="00781112" w14:paraId="6FE97918" w14:textId="1BF8CF9D" w:rsidTr="00451D7E">
        <w:tc>
          <w:tcPr>
            <w:tcW w:w="427" w:type="pct"/>
            <w:tcBorders>
              <w:bottom w:val="single" w:sz="4" w:space="0" w:color="auto"/>
            </w:tcBorders>
            <w:shd w:val="clear" w:color="auto" w:fill="auto"/>
          </w:tcPr>
          <w:p w14:paraId="5CDF6985" w14:textId="5342FC63" w:rsidR="00B14519" w:rsidRPr="00781112" w:rsidRDefault="00B14519" w:rsidP="00561042">
            <w:pPr>
              <w:jc w:val="center"/>
              <w:rPr>
                <w:b/>
                <w:color w:val="000000" w:themeColor="text1"/>
              </w:rPr>
            </w:pPr>
            <w:r w:rsidRPr="00781112">
              <w:rPr>
                <w:b/>
                <w:color w:val="000000" w:themeColor="text1"/>
              </w:rPr>
              <w:t>Subject</w:t>
            </w:r>
          </w:p>
        </w:tc>
        <w:tc>
          <w:tcPr>
            <w:tcW w:w="366" w:type="pct"/>
            <w:tcBorders>
              <w:bottom w:val="single" w:sz="4" w:space="0" w:color="auto"/>
            </w:tcBorders>
            <w:shd w:val="clear" w:color="auto" w:fill="auto"/>
          </w:tcPr>
          <w:p w14:paraId="01DFF2B4" w14:textId="2094C240" w:rsidR="00B14519" w:rsidRPr="00781112" w:rsidRDefault="00B14519" w:rsidP="00561042">
            <w:pPr>
              <w:jc w:val="center"/>
              <w:rPr>
                <w:b/>
                <w:color w:val="000000" w:themeColor="text1"/>
              </w:rPr>
            </w:pPr>
            <w:r w:rsidRPr="00781112">
              <w:rPr>
                <w:b/>
                <w:color w:val="000000" w:themeColor="text1"/>
              </w:rPr>
              <w:t>Group</w:t>
            </w:r>
          </w:p>
        </w:tc>
        <w:tc>
          <w:tcPr>
            <w:tcW w:w="912" w:type="pct"/>
            <w:shd w:val="clear" w:color="auto" w:fill="auto"/>
          </w:tcPr>
          <w:p w14:paraId="3976F221" w14:textId="32F28582" w:rsidR="00B14519" w:rsidRPr="00781112" w:rsidDel="008E7B87" w:rsidRDefault="00B14519" w:rsidP="00561042">
            <w:pPr>
              <w:jc w:val="center"/>
              <w:rPr>
                <w:b/>
                <w:color w:val="000000" w:themeColor="text1"/>
              </w:rPr>
            </w:pPr>
            <w:r w:rsidRPr="00781112">
              <w:rPr>
                <w:b/>
                <w:color w:val="000000" w:themeColor="text1"/>
              </w:rPr>
              <w:t>Group Name</w:t>
            </w:r>
          </w:p>
        </w:tc>
        <w:tc>
          <w:tcPr>
            <w:tcW w:w="659" w:type="pct"/>
            <w:shd w:val="clear" w:color="auto" w:fill="auto"/>
          </w:tcPr>
          <w:p w14:paraId="076E9FA3" w14:textId="2BDFEC53" w:rsidR="00B14519" w:rsidRPr="00781112" w:rsidRDefault="00B14519" w:rsidP="00561042">
            <w:pPr>
              <w:jc w:val="center"/>
              <w:rPr>
                <w:b/>
                <w:color w:val="000000" w:themeColor="text1"/>
              </w:rPr>
            </w:pPr>
            <w:r w:rsidRPr="00781112">
              <w:rPr>
                <w:b/>
                <w:color w:val="000000" w:themeColor="text1"/>
              </w:rPr>
              <w:t>2021</w:t>
            </w:r>
          </w:p>
        </w:tc>
        <w:tc>
          <w:tcPr>
            <w:tcW w:w="659" w:type="pct"/>
            <w:vAlign w:val="center"/>
          </w:tcPr>
          <w:p w14:paraId="2A95FA03" w14:textId="46828D1C" w:rsidR="00B14519" w:rsidRPr="00781112" w:rsidRDefault="00B14519" w:rsidP="00561042">
            <w:pPr>
              <w:jc w:val="center"/>
              <w:rPr>
                <w:b/>
                <w:color w:val="000000" w:themeColor="text1"/>
              </w:rPr>
            </w:pPr>
            <w:r w:rsidRPr="00781112">
              <w:rPr>
                <w:rFonts w:cs="Arial"/>
                <w:b/>
                <w:color w:val="000000" w:themeColor="text1"/>
                <w:szCs w:val="16"/>
              </w:rPr>
              <w:t>2022</w:t>
            </w:r>
          </w:p>
        </w:tc>
        <w:tc>
          <w:tcPr>
            <w:tcW w:w="659" w:type="pct"/>
            <w:vAlign w:val="center"/>
          </w:tcPr>
          <w:p w14:paraId="56A4FE1C" w14:textId="196C362E" w:rsidR="00B14519" w:rsidRPr="00781112" w:rsidRDefault="00B14519" w:rsidP="00561042">
            <w:pPr>
              <w:jc w:val="center"/>
              <w:rPr>
                <w:b/>
                <w:color w:val="000000" w:themeColor="text1"/>
              </w:rPr>
            </w:pPr>
            <w:r w:rsidRPr="00781112">
              <w:rPr>
                <w:rFonts w:cs="Arial"/>
                <w:b/>
                <w:color w:val="000000" w:themeColor="text1"/>
                <w:szCs w:val="16"/>
              </w:rPr>
              <w:t>2023</w:t>
            </w:r>
          </w:p>
        </w:tc>
        <w:tc>
          <w:tcPr>
            <w:tcW w:w="659" w:type="pct"/>
            <w:vAlign w:val="center"/>
          </w:tcPr>
          <w:p w14:paraId="6FCB9B7C" w14:textId="67672F5E" w:rsidR="00B14519" w:rsidRPr="00781112" w:rsidRDefault="00B14519" w:rsidP="00561042">
            <w:pPr>
              <w:jc w:val="center"/>
              <w:rPr>
                <w:b/>
                <w:color w:val="000000" w:themeColor="text1"/>
              </w:rPr>
            </w:pPr>
            <w:r w:rsidRPr="00781112">
              <w:rPr>
                <w:rFonts w:cs="Arial"/>
                <w:b/>
                <w:color w:val="000000" w:themeColor="text1"/>
                <w:szCs w:val="16"/>
              </w:rPr>
              <w:t>2024</w:t>
            </w:r>
          </w:p>
        </w:tc>
        <w:tc>
          <w:tcPr>
            <w:tcW w:w="659" w:type="pct"/>
            <w:vAlign w:val="center"/>
          </w:tcPr>
          <w:p w14:paraId="7118C826" w14:textId="7C910CE0" w:rsidR="00B14519" w:rsidRPr="00781112" w:rsidRDefault="00B14519" w:rsidP="00561042">
            <w:pPr>
              <w:jc w:val="center"/>
              <w:rPr>
                <w:b/>
                <w:color w:val="000000" w:themeColor="text1"/>
              </w:rPr>
            </w:pPr>
            <w:r w:rsidRPr="00781112">
              <w:rPr>
                <w:rFonts w:cs="Arial"/>
                <w:b/>
                <w:color w:val="000000" w:themeColor="text1"/>
                <w:szCs w:val="16"/>
              </w:rPr>
              <w:t>2025</w:t>
            </w:r>
          </w:p>
        </w:tc>
      </w:tr>
      <w:tr w:rsidR="00B14519" w:rsidRPr="00781112" w14:paraId="24016D03" w14:textId="0FC0BA7B" w:rsidTr="00451D7E">
        <w:tc>
          <w:tcPr>
            <w:tcW w:w="427" w:type="pct"/>
            <w:shd w:val="clear" w:color="auto" w:fill="auto"/>
            <w:vAlign w:val="center"/>
          </w:tcPr>
          <w:p w14:paraId="6AD78348" w14:textId="77777777"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Reading</w:t>
            </w:r>
          </w:p>
        </w:tc>
        <w:tc>
          <w:tcPr>
            <w:tcW w:w="366" w:type="pct"/>
            <w:shd w:val="clear" w:color="auto" w:fill="auto"/>
            <w:vAlign w:val="center"/>
          </w:tcPr>
          <w:p w14:paraId="68D451C5" w14:textId="0D62DF33"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A &gt;=</w:t>
            </w:r>
          </w:p>
        </w:tc>
        <w:tc>
          <w:tcPr>
            <w:tcW w:w="912" w:type="pct"/>
            <w:shd w:val="clear" w:color="auto" w:fill="auto"/>
            <w:vAlign w:val="center"/>
          </w:tcPr>
          <w:p w14:paraId="10A86524" w14:textId="5A63BB47" w:rsidR="00B14519" w:rsidRPr="00781112" w:rsidDel="00DE5045" w:rsidRDefault="00B14519" w:rsidP="00D13592">
            <w:pPr>
              <w:jc w:val="center"/>
              <w:rPr>
                <w:rFonts w:cs="Arial"/>
                <w:color w:val="000000" w:themeColor="text1"/>
                <w:szCs w:val="16"/>
              </w:rPr>
            </w:pPr>
            <w:r w:rsidRPr="00781112">
              <w:rPr>
                <w:rFonts w:cs="Arial"/>
                <w:color w:val="000000" w:themeColor="text1"/>
                <w:szCs w:val="16"/>
              </w:rPr>
              <w:t>Grade 4</w:t>
            </w:r>
          </w:p>
        </w:tc>
        <w:tc>
          <w:tcPr>
            <w:tcW w:w="659" w:type="pct"/>
            <w:shd w:val="clear" w:color="auto" w:fill="auto"/>
            <w:vAlign w:val="center"/>
          </w:tcPr>
          <w:p w14:paraId="3451F312" w14:textId="2295E6F6" w:rsidR="00B14519" w:rsidRPr="00781112" w:rsidRDefault="00B14519" w:rsidP="00D13592">
            <w:pPr>
              <w:jc w:val="center"/>
              <w:rPr>
                <w:rFonts w:cs="Arial"/>
                <w:color w:val="000000" w:themeColor="text1"/>
                <w:szCs w:val="16"/>
              </w:rPr>
            </w:pPr>
            <w:r w:rsidRPr="00781112">
              <w:rPr>
                <w:rFonts w:cs="Arial"/>
                <w:color w:val="000000" w:themeColor="text1"/>
                <w:szCs w:val="16"/>
              </w:rPr>
              <w:t>15.06%</w:t>
            </w:r>
          </w:p>
        </w:tc>
        <w:tc>
          <w:tcPr>
            <w:tcW w:w="659" w:type="pct"/>
            <w:vAlign w:val="center"/>
          </w:tcPr>
          <w:p w14:paraId="1A23D563" w14:textId="56F68959" w:rsidR="00B14519" w:rsidRPr="00781112" w:rsidRDefault="00B14519" w:rsidP="00D13592">
            <w:pPr>
              <w:jc w:val="center"/>
              <w:rPr>
                <w:rFonts w:cs="Arial"/>
                <w:color w:val="000000" w:themeColor="text1"/>
                <w:szCs w:val="16"/>
              </w:rPr>
            </w:pPr>
            <w:r w:rsidRPr="00781112">
              <w:rPr>
                <w:rFonts w:cs="Arial"/>
                <w:color w:val="000000" w:themeColor="text1"/>
                <w:szCs w:val="16"/>
              </w:rPr>
              <w:t>15.17%</w:t>
            </w:r>
          </w:p>
        </w:tc>
        <w:tc>
          <w:tcPr>
            <w:tcW w:w="659" w:type="pct"/>
            <w:vAlign w:val="center"/>
          </w:tcPr>
          <w:p w14:paraId="6BBDE651" w14:textId="47B65FE0" w:rsidR="00B14519" w:rsidRPr="00781112" w:rsidRDefault="00B14519" w:rsidP="00D13592">
            <w:pPr>
              <w:jc w:val="center"/>
              <w:rPr>
                <w:rFonts w:cs="Arial"/>
                <w:color w:val="000000" w:themeColor="text1"/>
                <w:szCs w:val="16"/>
              </w:rPr>
            </w:pPr>
            <w:r w:rsidRPr="00781112">
              <w:rPr>
                <w:rFonts w:cs="Arial"/>
                <w:color w:val="000000" w:themeColor="text1"/>
                <w:szCs w:val="16"/>
              </w:rPr>
              <w:t>15.28%</w:t>
            </w:r>
          </w:p>
        </w:tc>
        <w:tc>
          <w:tcPr>
            <w:tcW w:w="659" w:type="pct"/>
            <w:vAlign w:val="center"/>
          </w:tcPr>
          <w:p w14:paraId="5A275577" w14:textId="6DCA94CB" w:rsidR="00B14519" w:rsidRPr="00781112" w:rsidRDefault="00B14519" w:rsidP="00D13592">
            <w:pPr>
              <w:jc w:val="center"/>
              <w:rPr>
                <w:rFonts w:cs="Arial"/>
                <w:color w:val="000000" w:themeColor="text1"/>
                <w:szCs w:val="16"/>
              </w:rPr>
            </w:pPr>
            <w:r w:rsidRPr="00781112">
              <w:rPr>
                <w:rFonts w:cs="Arial"/>
                <w:color w:val="000000" w:themeColor="text1"/>
                <w:szCs w:val="16"/>
              </w:rPr>
              <w:t>15.49%</w:t>
            </w:r>
          </w:p>
        </w:tc>
        <w:tc>
          <w:tcPr>
            <w:tcW w:w="659" w:type="pct"/>
            <w:vAlign w:val="center"/>
          </w:tcPr>
          <w:p w14:paraId="3206928B" w14:textId="11EAF098" w:rsidR="00B14519" w:rsidRPr="00781112" w:rsidRDefault="00B14519" w:rsidP="00D13592">
            <w:pPr>
              <w:jc w:val="center"/>
              <w:rPr>
                <w:rFonts w:cs="Arial"/>
                <w:color w:val="000000" w:themeColor="text1"/>
                <w:szCs w:val="16"/>
              </w:rPr>
            </w:pPr>
            <w:r w:rsidRPr="00781112">
              <w:rPr>
                <w:rFonts w:cs="Arial"/>
                <w:color w:val="000000" w:themeColor="text1"/>
                <w:szCs w:val="16"/>
              </w:rPr>
              <w:t>15.92%</w:t>
            </w:r>
          </w:p>
        </w:tc>
      </w:tr>
      <w:tr w:rsidR="00B14519" w:rsidRPr="00781112" w14:paraId="4229AE62" w14:textId="33381C2A" w:rsidTr="00451D7E">
        <w:tc>
          <w:tcPr>
            <w:tcW w:w="427" w:type="pct"/>
            <w:shd w:val="clear" w:color="auto" w:fill="auto"/>
            <w:vAlign w:val="center"/>
          </w:tcPr>
          <w:p w14:paraId="65BFCE1A" w14:textId="0D697A5F"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Reading</w:t>
            </w:r>
          </w:p>
        </w:tc>
        <w:tc>
          <w:tcPr>
            <w:tcW w:w="366" w:type="pct"/>
            <w:shd w:val="clear" w:color="auto" w:fill="auto"/>
            <w:vAlign w:val="center"/>
          </w:tcPr>
          <w:p w14:paraId="0A529643" w14:textId="25196352"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B &gt;=</w:t>
            </w:r>
          </w:p>
        </w:tc>
        <w:tc>
          <w:tcPr>
            <w:tcW w:w="912" w:type="pct"/>
            <w:shd w:val="clear" w:color="auto" w:fill="auto"/>
            <w:vAlign w:val="center"/>
          </w:tcPr>
          <w:p w14:paraId="62F8D3A7" w14:textId="0DE3112A" w:rsidR="00B14519" w:rsidRPr="00781112" w:rsidDel="00DE5045" w:rsidRDefault="00B14519" w:rsidP="00D13592">
            <w:pPr>
              <w:jc w:val="center"/>
              <w:rPr>
                <w:rFonts w:cs="Arial"/>
                <w:color w:val="000000" w:themeColor="text1"/>
                <w:szCs w:val="16"/>
              </w:rPr>
            </w:pPr>
            <w:r w:rsidRPr="00781112">
              <w:rPr>
                <w:rFonts w:cs="Arial"/>
                <w:color w:val="000000" w:themeColor="text1"/>
                <w:szCs w:val="16"/>
              </w:rPr>
              <w:t>Grade 8</w:t>
            </w:r>
          </w:p>
        </w:tc>
        <w:tc>
          <w:tcPr>
            <w:tcW w:w="659" w:type="pct"/>
            <w:shd w:val="clear" w:color="auto" w:fill="auto"/>
            <w:vAlign w:val="center"/>
          </w:tcPr>
          <w:p w14:paraId="1D5B4183" w14:textId="1238BC64" w:rsidR="00B14519" w:rsidRPr="00781112" w:rsidRDefault="00B14519" w:rsidP="00D13592">
            <w:pPr>
              <w:jc w:val="center"/>
              <w:rPr>
                <w:rFonts w:cs="Arial"/>
                <w:color w:val="000000" w:themeColor="text1"/>
                <w:szCs w:val="16"/>
              </w:rPr>
            </w:pPr>
            <w:r w:rsidRPr="00781112">
              <w:rPr>
                <w:rFonts w:cs="Arial"/>
                <w:color w:val="000000" w:themeColor="text1"/>
                <w:szCs w:val="16"/>
              </w:rPr>
              <w:t>23.74%</w:t>
            </w:r>
          </w:p>
        </w:tc>
        <w:tc>
          <w:tcPr>
            <w:tcW w:w="659" w:type="pct"/>
            <w:vAlign w:val="center"/>
          </w:tcPr>
          <w:p w14:paraId="200F306C" w14:textId="40F15380" w:rsidR="00B14519" w:rsidRPr="00781112" w:rsidRDefault="00B14519" w:rsidP="00D13592">
            <w:pPr>
              <w:jc w:val="center"/>
              <w:rPr>
                <w:rFonts w:cs="Arial"/>
                <w:color w:val="000000" w:themeColor="text1"/>
                <w:szCs w:val="16"/>
              </w:rPr>
            </w:pPr>
            <w:r w:rsidRPr="00781112">
              <w:rPr>
                <w:rFonts w:cs="Arial"/>
                <w:color w:val="000000" w:themeColor="text1"/>
                <w:szCs w:val="16"/>
              </w:rPr>
              <w:t>23.91%</w:t>
            </w:r>
          </w:p>
        </w:tc>
        <w:tc>
          <w:tcPr>
            <w:tcW w:w="659" w:type="pct"/>
            <w:vAlign w:val="center"/>
          </w:tcPr>
          <w:p w14:paraId="01C155DC" w14:textId="32FC3C15" w:rsidR="00B14519" w:rsidRPr="00781112" w:rsidRDefault="00B14519" w:rsidP="00D13592">
            <w:pPr>
              <w:jc w:val="center"/>
              <w:rPr>
                <w:rFonts w:cs="Arial"/>
                <w:color w:val="000000" w:themeColor="text1"/>
                <w:szCs w:val="16"/>
              </w:rPr>
            </w:pPr>
            <w:r w:rsidRPr="00781112">
              <w:rPr>
                <w:rFonts w:cs="Arial"/>
                <w:color w:val="000000" w:themeColor="text1"/>
                <w:szCs w:val="16"/>
              </w:rPr>
              <w:t>24.09%</w:t>
            </w:r>
          </w:p>
        </w:tc>
        <w:tc>
          <w:tcPr>
            <w:tcW w:w="659" w:type="pct"/>
            <w:vAlign w:val="center"/>
          </w:tcPr>
          <w:p w14:paraId="31A2EE92" w14:textId="183FF0A7" w:rsidR="00B14519" w:rsidRPr="00781112" w:rsidRDefault="00B14519" w:rsidP="00D13592">
            <w:pPr>
              <w:jc w:val="center"/>
              <w:rPr>
                <w:rFonts w:cs="Arial"/>
                <w:color w:val="000000" w:themeColor="text1"/>
                <w:szCs w:val="16"/>
              </w:rPr>
            </w:pPr>
            <w:r w:rsidRPr="00781112">
              <w:rPr>
                <w:rFonts w:cs="Arial"/>
                <w:color w:val="000000" w:themeColor="text1"/>
                <w:szCs w:val="16"/>
              </w:rPr>
              <w:t>24.43%</w:t>
            </w:r>
          </w:p>
        </w:tc>
        <w:tc>
          <w:tcPr>
            <w:tcW w:w="659" w:type="pct"/>
            <w:vAlign w:val="center"/>
          </w:tcPr>
          <w:p w14:paraId="52A72D95" w14:textId="51822CAD" w:rsidR="00B14519" w:rsidRPr="00781112" w:rsidRDefault="00B14519" w:rsidP="00D13592">
            <w:pPr>
              <w:jc w:val="center"/>
              <w:rPr>
                <w:rFonts w:cs="Arial"/>
                <w:color w:val="000000" w:themeColor="text1"/>
                <w:szCs w:val="16"/>
              </w:rPr>
            </w:pPr>
            <w:r w:rsidRPr="00781112">
              <w:rPr>
                <w:rFonts w:cs="Arial"/>
                <w:color w:val="000000" w:themeColor="text1"/>
                <w:szCs w:val="16"/>
              </w:rPr>
              <w:t>25.12%</w:t>
            </w:r>
          </w:p>
        </w:tc>
      </w:tr>
      <w:tr w:rsidR="00B14519" w:rsidRPr="00781112" w14:paraId="53D446D4" w14:textId="31EA6E11" w:rsidTr="00451D7E">
        <w:tc>
          <w:tcPr>
            <w:tcW w:w="427" w:type="pct"/>
            <w:shd w:val="clear" w:color="auto" w:fill="auto"/>
            <w:vAlign w:val="center"/>
          </w:tcPr>
          <w:p w14:paraId="5413BB65" w14:textId="22884284"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Reading</w:t>
            </w:r>
          </w:p>
        </w:tc>
        <w:tc>
          <w:tcPr>
            <w:tcW w:w="366" w:type="pct"/>
            <w:shd w:val="clear" w:color="auto" w:fill="auto"/>
            <w:vAlign w:val="center"/>
          </w:tcPr>
          <w:p w14:paraId="1408EAB6" w14:textId="5A0418AE"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C &gt;=</w:t>
            </w:r>
          </w:p>
        </w:tc>
        <w:tc>
          <w:tcPr>
            <w:tcW w:w="912" w:type="pct"/>
            <w:shd w:val="clear" w:color="auto" w:fill="auto"/>
            <w:vAlign w:val="center"/>
          </w:tcPr>
          <w:p w14:paraId="6E4FCBFF" w14:textId="158A4AA0" w:rsidR="00B14519" w:rsidRPr="00781112" w:rsidDel="00DE5045" w:rsidRDefault="00B14519" w:rsidP="00D13592">
            <w:pPr>
              <w:jc w:val="center"/>
              <w:rPr>
                <w:rFonts w:cs="Arial"/>
                <w:color w:val="000000" w:themeColor="text1"/>
                <w:szCs w:val="16"/>
              </w:rPr>
            </w:pPr>
            <w:r w:rsidRPr="00781112">
              <w:rPr>
                <w:rFonts w:cs="Arial"/>
                <w:color w:val="000000" w:themeColor="text1"/>
                <w:szCs w:val="16"/>
              </w:rPr>
              <w:t>Grade HS</w:t>
            </w:r>
          </w:p>
        </w:tc>
        <w:tc>
          <w:tcPr>
            <w:tcW w:w="659" w:type="pct"/>
            <w:shd w:val="clear" w:color="auto" w:fill="auto"/>
            <w:vAlign w:val="center"/>
          </w:tcPr>
          <w:p w14:paraId="3520F380" w14:textId="38C36219" w:rsidR="00B14519" w:rsidRPr="00781112" w:rsidRDefault="00B14519" w:rsidP="00D13592">
            <w:pPr>
              <w:jc w:val="center"/>
              <w:rPr>
                <w:rFonts w:cs="Arial"/>
                <w:color w:val="000000" w:themeColor="text1"/>
                <w:szCs w:val="16"/>
              </w:rPr>
            </w:pPr>
            <w:r w:rsidRPr="00781112">
              <w:rPr>
                <w:rFonts w:cs="Arial"/>
                <w:color w:val="000000" w:themeColor="text1"/>
                <w:szCs w:val="16"/>
              </w:rPr>
              <w:t>29.43%</w:t>
            </w:r>
          </w:p>
        </w:tc>
        <w:tc>
          <w:tcPr>
            <w:tcW w:w="659" w:type="pct"/>
            <w:vAlign w:val="center"/>
          </w:tcPr>
          <w:p w14:paraId="3305DD14" w14:textId="4DBBF69C" w:rsidR="00B14519" w:rsidRPr="00781112" w:rsidRDefault="00B14519" w:rsidP="00D13592">
            <w:pPr>
              <w:jc w:val="center"/>
              <w:rPr>
                <w:rFonts w:cs="Arial"/>
                <w:color w:val="000000" w:themeColor="text1"/>
                <w:szCs w:val="16"/>
              </w:rPr>
            </w:pPr>
            <w:r w:rsidRPr="00781112">
              <w:rPr>
                <w:rFonts w:cs="Arial"/>
                <w:color w:val="000000" w:themeColor="text1"/>
                <w:szCs w:val="16"/>
              </w:rPr>
              <w:t>29.62%</w:t>
            </w:r>
          </w:p>
        </w:tc>
        <w:tc>
          <w:tcPr>
            <w:tcW w:w="659" w:type="pct"/>
            <w:vAlign w:val="center"/>
          </w:tcPr>
          <w:p w14:paraId="02FF2601" w14:textId="545909AE" w:rsidR="00B14519" w:rsidRPr="00781112" w:rsidRDefault="00B14519" w:rsidP="00D13592">
            <w:pPr>
              <w:jc w:val="center"/>
              <w:rPr>
                <w:rFonts w:cs="Arial"/>
                <w:color w:val="000000" w:themeColor="text1"/>
                <w:szCs w:val="16"/>
              </w:rPr>
            </w:pPr>
            <w:r w:rsidRPr="00781112">
              <w:rPr>
                <w:rFonts w:cs="Arial"/>
                <w:color w:val="000000" w:themeColor="text1"/>
                <w:szCs w:val="16"/>
              </w:rPr>
              <w:t>29.80%</w:t>
            </w:r>
          </w:p>
        </w:tc>
        <w:tc>
          <w:tcPr>
            <w:tcW w:w="659" w:type="pct"/>
            <w:vAlign w:val="center"/>
          </w:tcPr>
          <w:p w14:paraId="607B9906" w14:textId="6058F884" w:rsidR="00B14519" w:rsidRPr="00781112" w:rsidRDefault="00B14519" w:rsidP="00D13592">
            <w:pPr>
              <w:jc w:val="center"/>
              <w:rPr>
                <w:rFonts w:cs="Arial"/>
                <w:color w:val="000000" w:themeColor="text1"/>
                <w:szCs w:val="16"/>
              </w:rPr>
            </w:pPr>
            <w:r w:rsidRPr="00781112">
              <w:rPr>
                <w:rFonts w:cs="Arial"/>
                <w:color w:val="000000" w:themeColor="text1"/>
                <w:szCs w:val="16"/>
              </w:rPr>
              <w:t>30.17%</w:t>
            </w:r>
          </w:p>
        </w:tc>
        <w:tc>
          <w:tcPr>
            <w:tcW w:w="659" w:type="pct"/>
            <w:vAlign w:val="center"/>
          </w:tcPr>
          <w:p w14:paraId="00AA5B51" w14:textId="2B22FFA4" w:rsidR="00B14519" w:rsidRPr="00781112" w:rsidRDefault="00B14519" w:rsidP="00D13592">
            <w:pPr>
              <w:jc w:val="center"/>
              <w:rPr>
                <w:rFonts w:cs="Arial"/>
                <w:color w:val="000000" w:themeColor="text1"/>
                <w:szCs w:val="16"/>
              </w:rPr>
            </w:pPr>
            <w:r w:rsidRPr="00781112">
              <w:rPr>
                <w:rFonts w:cs="Arial"/>
                <w:color w:val="000000" w:themeColor="text1"/>
                <w:szCs w:val="16"/>
              </w:rPr>
              <w:t>30.91%</w:t>
            </w:r>
          </w:p>
        </w:tc>
      </w:tr>
      <w:tr w:rsidR="00B14519" w:rsidRPr="00781112" w14:paraId="4D7E1CB4" w14:textId="31C0C80F" w:rsidTr="00451D7E">
        <w:tc>
          <w:tcPr>
            <w:tcW w:w="427" w:type="pct"/>
            <w:shd w:val="clear" w:color="auto" w:fill="auto"/>
            <w:vAlign w:val="center"/>
          </w:tcPr>
          <w:p w14:paraId="3E17FC71" w14:textId="77777777"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Math</w:t>
            </w:r>
          </w:p>
        </w:tc>
        <w:tc>
          <w:tcPr>
            <w:tcW w:w="366" w:type="pct"/>
            <w:shd w:val="clear" w:color="auto" w:fill="auto"/>
            <w:vAlign w:val="center"/>
          </w:tcPr>
          <w:p w14:paraId="393C59D6" w14:textId="4FA6AC82"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A &gt;=</w:t>
            </w:r>
          </w:p>
        </w:tc>
        <w:tc>
          <w:tcPr>
            <w:tcW w:w="912" w:type="pct"/>
            <w:shd w:val="clear" w:color="auto" w:fill="auto"/>
            <w:vAlign w:val="center"/>
          </w:tcPr>
          <w:p w14:paraId="06CBBAA1" w14:textId="25010E97" w:rsidR="00B14519" w:rsidRPr="00781112" w:rsidDel="00DE5045" w:rsidRDefault="00B14519" w:rsidP="00D13592">
            <w:pPr>
              <w:jc w:val="center"/>
              <w:rPr>
                <w:rFonts w:cs="Arial"/>
                <w:color w:val="000000" w:themeColor="text1"/>
                <w:szCs w:val="16"/>
              </w:rPr>
            </w:pPr>
            <w:r w:rsidRPr="00781112">
              <w:rPr>
                <w:rFonts w:cs="Arial"/>
                <w:color w:val="000000" w:themeColor="text1"/>
                <w:szCs w:val="16"/>
              </w:rPr>
              <w:t>Grade 4</w:t>
            </w:r>
          </w:p>
        </w:tc>
        <w:tc>
          <w:tcPr>
            <w:tcW w:w="659" w:type="pct"/>
            <w:shd w:val="clear" w:color="auto" w:fill="auto"/>
            <w:vAlign w:val="center"/>
          </w:tcPr>
          <w:p w14:paraId="5B4F37F7" w14:textId="0586B65B" w:rsidR="00B14519" w:rsidRPr="00781112" w:rsidRDefault="00B14519" w:rsidP="00D13592">
            <w:pPr>
              <w:jc w:val="center"/>
              <w:rPr>
                <w:rFonts w:cs="Arial"/>
                <w:color w:val="000000" w:themeColor="text1"/>
                <w:szCs w:val="16"/>
              </w:rPr>
            </w:pPr>
            <w:r w:rsidRPr="00781112">
              <w:rPr>
                <w:rFonts w:cs="Arial"/>
                <w:color w:val="000000" w:themeColor="text1"/>
                <w:szCs w:val="16"/>
              </w:rPr>
              <w:t>31.43%</w:t>
            </w:r>
          </w:p>
        </w:tc>
        <w:tc>
          <w:tcPr>
            <w:tcW w:w="659" w:type="pct"/>
            <w:vAlign w:val="center"/>
          </w:tcPr>
          <w:p w14:paraId="5BCC413B" w14:textId="09A05E02" w:rsidR="00B14519" w:rsidRPr="00781112" w:rsidRDefault="00B14519" w:rsidP="00D13592">
            <w:pPr>
              <w:jc w:val="center"/>
              <w:rPr>
                <w:rFonts w:cs="Arial"/>
                <w:color w:val="000000" w:themeColor="text1"/>
                <w:szCs w:val="16"/>
              </w:rPr>
            </w:pPr>
            <w:r w:rsidRPr="00781112">
              <w:rPr>
                <w:rFonts w:cs="Arial"/>
                <w:color w:val="000000" w:themeColor="text1"/>
                <w:szCs w:val="16"/>
              </w:rPr>
              <w:t>31.56%</w:t>
            </w:r>
          </w:p>
        </w:tc>
        <w:tc>
          <w:tcPr>
            <w:tcW w:w="659" w:type="pct"/>
            <w:vAlign w:val="center"/>
          </w:tcPr>
          <w:p w14:paraId="45EF5FCE" w14:textId="00D7D29B" w:rsidR="00B14519" w:rsidRPr="00781112" w:rsidRDefault="00B14519" w:rsidP="00D13592">
            <w:pPr>
              <w:jc w:val="center"/>
              <w:rPr>
                <w:rFonts w:cs="Arial"/>
                <w:color w:val="000000" w:themeColor="text1"/>
                <w:szCs w:val="16"/>
              </w:rPr>
            </w:pPr>
            <w:r w:rsidRPr="00781112">
              <w:rPr>
                <w:rFonts w:cs="Arial"/>
                <w:color w:val="000000" w:themeColor="text1"/>
                <w:szCs w:val="16"/>
              </w:rPr>
              <w:t>31.68%</w:t>
            </w:r>
          </w:p>
        </w:tc>
        <w:tc>
          <w:tcPr>
            <w:tcW w:w="659" w:type="pct"/>
            <w:vAlign w:val="center"/>
          </w:tcPr>
          <w:p w14:paraId="68AE213E" w14:textId="4ECF4085" w:rsidR="00B14519" w:rsidRPr="00781112" w:rsidRDefault="00B14519" w:rsidP="00D13592">
            <w:pPr>
              <w:jc w:val="center"/>
              <w:rPr>
                <w:rFonts w:cs="Arial"/>
                <w:color w:val="000000" w:themeColor="text1"/>
                <w:szCs w:val="16"/>
              </w:rPr>
            </w:pPr>
            <w:r w:rsidRPr="00781112">
              <w:rPr>
                <w:rFonts w:cs="Arial"/>
                <w:color w:val="000000" w:themeColor="text1"/>
                <w:szCs w:val="16"/>
              </w:rPr>
              <w:t>31.93%</w:t>
            </w:r>
          </w:p>
        </w:tc>
        <w:tc>
          <w:tcPr>
            <w:tcW w:w="659" w:type="pct"/>
            <w:vAlign w:val="center"/>
          </w:tcPr>
          <w:p w14:paraId="7B3E2D7F" w14:textId="73124E34" w:rsidR="00B14519" w:rsidRPr="00781112" w:rsidRDefault="00B14519" w:rsidP="00D13592">
            <w:pPr>
              <w:jc w:val="center"/>
              <w:rPr>
                <w:rFonts w:cs="Arial"/>
                <w:color w:val="000000" w:themeColor="text1"/>
                <w:szCs w:val="16"/>
              </w:rPr>
            </w:pPr>
            <w:r w:rsidRPr="00781112">
              <w:rPr>
                <w:rFonts w:cs="Arial"/>
                <w:color w:val="000000" w:themeColor="text1"/>
                <w:szCs w:val="16"/>
              </w:rPr>
              <w:t>32.43%</w:t>
            </w:r>
          </w:p>
        </w:tc>
      </w:tr>
      <w:tr w:rsidR="00B14519" w:rsidRPr="00781112" w14:paraId="6A0B25C6" w14:textId="3CA923D5" w:rsidTr="00451D7E">
        <w:tc>
          <w:tcPr>
            <w:tcW w:w="427" w:type="pct"/>
            <w:shd w:val="clear" w:color="auto" w:fill="auto"/>
            <w:vAlign w:val="center"/>
          </w:tcPr>
          <w:p w14:paraId="7A201508" w14:textId="57E216ED"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Math</w:t>
            </w:r>
          </w:p>
        </w:tc>
        <w:tc>
          <w:tcPr>
            <w:tcW w:w="366" w:type="pct"/>
            <w:shd w:val="clear" w:color="auto" w:fill="auto"/>
            <w:vAlign w:val="center"/>
          </w:tcPr>
          <w:p w14:paraId="3BD3C679" w14:textId="4834DDCE"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B &gt;=</w:t>
            </w:r>
          </w:p>
        </w:tc>
        <w:tc>
          <w:tcPr>
            <w:tcW w:w="912" w:type="pct"/>
            <w:shd w:val="clear" w:color="auto" w:fill="auto"/>
            <w:vAlign w:val="center"/>
          </w:tcPr>
          <w:p w14:paraId="75E8E6D8" w14:textId="7D040B60" w:rsidR="00B14519" w:rsidRPr="00781112" w:rsidDel="00DE5045" w:rsidRDefault="00B14519" w:rsidP="00D13592">
            <w:pPr>
              <w:jc w:val="center"/>
              <w:rPr>
                <w:rFonts w:cs="Arial"/>
                <w:color w:val="000000" w:themeColor="text1"/>
                <w:szCs w:val="16"/>
              </w:rPr>
            </w:pPr>
            <w:r w:rsidRPr="00781112">
              <w:rPr>
                <w:rFonts w:cs="Arial"/>
                <w:color w:val="000000" w:themeColor="text1"/>
                <w:szCs w:val="16"/>
              </w:rPr>
              <w:t>Grade 8</w:t>
            </w:r>
          </w:p>
        </w:tc>
        <w:tc>
          <w:tcPr>
            <w:tcW w:w="659" w:type="pct"/>
            <w:shd w:val="clear" w:color="auto" w:fill="auto"/>
            <w:vAlign w:val="center"/>
          </w:tcPr>
          <w:p w14:paraId="4671DF75" w14:textId="2CD78B1B" w:rsidR="00B14519" w:rsidRPr="00781112" w:rsidRDefault="00B14519" w:rsidP="00D13592">
            <w:pPr>
              <w:jc w:val="center"/>
              <w:rPr>
                <w:rFonts w:cs="Arial"/>
                <w:color w:val="000000" w:themeColor="text1"/>
                <w:szCs w:val="16"/>
              </w:rPr>
            </w:pPr>
            <w:r w:rsidRPr="00781112">
              <w:rPr>
                <w:rFonts w:cs="Arial"/>
                <w:color w:val="000000" w:themeColor="text1"/>
                <w:szCs w:val="16"/>
              </w:rPr>
              <w:t>6.24%</w:t>
            </w:r>
          </w:p>
        </w:tc>
        <w:tc>
          <w:tcPr>
            <w:tcW w:w="659" w:type="pct"/>
            <w:vAlign w:val="center"/>
          </w:tcPr>
          <w:p w14:paraId="0BF63C58" w14:textId="72F24C80" w:rsidR="00B14519" w:rsidRPr="00781112" w:rsidRDefault="00B14519" w:rsidP="00D13592">
            <w:pPr>
              <w:jc w:val="center"/>
              <w:rPr>
                <w:rFonts w:cs="Arial"/>
                <w:color w:val="000000" w:themeColor="text1"/>
                <w:szCs w:val="16"/>
              </w:rPr>
            </w:pPr>
            <w:r w:rsidRPr="00781112">
              <w:rPr>
                <w:rFonts w:cs="Arial"/>
                <w:color w:val="000000" w:themeColor="text1"/>
                <w:szCs w:val="16"/>
              </w:rPr>
              <w:t>6.38%</w:t>
            </w:r>
          </w:p>
        </w:tc>
        <w:tc>
          <w:tcPr>
            <w:tcW w:w="659" w:type="pct"/>
            <w:vAlign w:val="center"/>
          </w:tcPr>
          <w:p w14:paraId="0075BBBD" w14:textId="7AFABF25" w:rsidR="00B14519" w:rsidRPr="00781112" w:rsidRDefault="00B14519" w:rsidP="00D13592">
            <w:pPr>
              <w:jc w:val="center"/>
              <w:rPr>
                <w:rFonts w:cs="Arial"/>
                <w:color w:val="000000" w:themeColor="text1"/>
                <w:szCs w:val="16"/>
              </w:rPr>
            </w:pPr>
            <w:r w:rsidRPr="00781112">
              <w:rPr>
                <w:rFonts w:cs="Arial"/>
                <w:color w:val="000000" w:themeColor="text1"/>
                <w:szCs w:val="16"/>
              </w:rPr>
              <w:t>6.53%</w:t>
            </w:r>
          </w:p>
        </w:tc>
        <w:tc>
          <w:tcPr>
            <w:tcW w:w="659" w:type="pct"/>
            <w:vAlign w:val="center"/>
          </w:tcPr>
          <w:p w14:paraId="0162408E" w14:textId="763A5CFC" w:rsidR="00B14519" w:rsidRPr="00781112" w:rsidRDefault="00B14519" w:rsidP="00D13592">
            <w:pPr>
              <w:jc w:val="center"/>
              <w:rPr>
                <w:rFonts w:cs="Arial"/>
                <w:color w:val="000000" w:themeColor="text1"/>
                <w:szCs w:val="16"/>
              </w:rPr>
            </w:pPr>
            <w:r w:rsidRPr="00781112">
              <w:rPr>
                <w:rFonts w:cs="Arial"/>
                <w:color w:val="000000" w:themeColor="text1"/>
                <w:szCs w:val="16"/>
              </w:rPr>
              <w:t>6.81%</w:t>
            </w:r>
          </w:p>
        </w:tc>
        <w:tc>
          <w:tcPr>
            <w:tcW w:w="659" w:type="pct"/>
            <w:vAlign w:val="center"/>
          </w:tcPr>
          <w:p w14:paraId="31533AB0" w14:textId="168489BE" w:rsidR="00B14519" w:rsidRPr="00781112" w:rsidRDefault="00B14519" w:rsidP="00D13592">
            <w:pPr>
              <w:jc w:val="center"/>
              <w:rPr>
                <w:rFonts w:cs="Arial"/>
                <w:color w:val="000000" w:themeColor="text1"/>
                <w:szCs w:val="16"/>
              </w:rPr>
            </w:pPr>
            <w:r w:rsidRPr="00781112">
              <w:rPr>
                <w:rFonts w:cs="Arial"/>
                <w:color w:val="000000" w:themeColor="text1"/>
                <w:szCs w:val="16"/>
              </w:rPr>
              <w:t>7.38%</w:t>
            </w:r>
          </w:p>
        </w:tc>
      </w:tr>
      <w:tr w:rsidR="00B14519" w:rsidRPr="00781112" w14:paraId="72653908" w14:textId="04D938F0" w:rsidTr="00451D7E">
        <w:tc>
          <w:tcPr>
            <w:tcW w:w="427" w:type="pct"/>
            <w:shd w:val="clear" w:color="auto" w:fill="auto"/>
            <w:vAlign w:val="center"/>
          </w:tcPr>
          <w:p w14:paraId="48B507DA" w14:textId="179672F1"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Math</w:t>
            </w:r>
          </w:p>
        </w:tc>
        <w:tc>
          <w:tcPr>
            <w:tcW w:w="366" w:type="pct"/>
            <w:shd w:val="clear" w:color="auto" w:fill="auto"/>
            <w:vAlign w:val="center"/>
          </w:tcPr>
          <w:p w14:paraId="63FB17C0" w14:textId="2F2DF4DD"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C &gt;=</w:t>
            </w:r>
          </w:p>
        </w:tc>
        <w:tc>
          <w:tcPr>
            <w:tcW w:w="912" w:type="pct"/>
            <w:shd w:val="clear" w:color="auto" w:fill="auto"/>
            <w:vAlign w:val="center"/>
          </w:tcPr>
          <w:p w14:paraId="54F8A2F9" w14:textId="5C3A3F72" w:rsidR="00B14519" w:rsidRPr="00781112" w:rsidDel="00DE5045" w:rsidRDefault="00B14519" w:rsidP="00D13592">
            <w:pPr>
              <w:jc w:val="center"/>
              <w:rPr>
                <w:rFonts w:cs="Arial"/>
                <w:color w:val="000000" w:themeColor="text1"/>
                <w:szCs w:val="16"/>
              </w:rPr>
            </w:pPr>
            <w:r w:rsidRPr="00781112">
              <w:rPr>
                <w:rFonts w:cs="Arial"/>
                <w:color w:val="000000" w:themeColor="text1"/>
                <w:szCs w:val="16"/>
              </w:rPr>
              <w:t>Grade HS</w:t>
            </w:r>
          </w:p>
        </w:tc>
        <w:tc>
          <w:tcPr>
            <w:tcW w:w="659" w:type="pct"/>
            <w:shd w:val="clear" w:color="auto" w:fill="auto"/>
            <w:vAlign w:val="center"/>
          </w:tcPr>
          <w:p w14:paraId="32CB0D9F" w14:textId="65605481" w:rsidR="00B14519" w:rsidRPr="00781112" w:rsidRDefault="00B14519" w:rsidP="00D13592">
            <w:pPr>
              <w:jc w:val="center"/>
              <w:rPr>
                <w:rFonts w:cs="Arial"/>
                <w:color w:val="000000" w:themeColor="text1"/>
                <w:szCs w:val="16"/>
              </w:rPr>
            </w:pPr>
            <w:r w:rsidRPr="00781112">
              <w:rPr>
                <w:rFonts w:cs="Arial"/>
                <w:color w:val="000000" w:themeColor="text1"/>
                <w:szCs w:val="16"/>
              </w:rPr>
              <w:t>12.41%</w:t>
            </w:r>
          </w:p>
        </w:tc>
        <w:tc>
          <w:tcPr>
            <w:tcW w:w="659" w:type="pct"/>
            <w:vAlign w:val="center"/>
          </w:tcPr>
          <w:p w14:paraId="72012D7E" w14:textId="10B8E7BA" w:rsidR="00B14519" w:rsidRPr="00781112" w:rsidRDefault="00B14519" w:rsidP="00D13592">
            <w:pPr>
              <w:jc w:val="center"/>
              <w:rPr>
                <w:rFonts w:cs="Arial"/>
                <w:color w:val="000000" w:themeColor="text1"/>
                <w:szCs w:val="16"/>
              </w:rPr>
            </w:pPr>
            <w:r w:rsidRPr="00781112">
              <w:rPr>
                <w:rFonts w:cs="Arial"/>
                <w:color w:val="000000" w:themeColor="text1"/>
                <w:szCs w:val="16"/>
              </w:rPr>
              <w:t>12.56%</w:t>
            </w:r>
          </w:p>
        </w:tc>
        <w:tc>
          <w:tcPr>
            <w:tcW w:w="659" w:type="pct"/>
            <w:vAlign w:val="center"/>
          </w:tcPr>
          <w:p w14:paraId="323B3F79" w14:textId="5FA94A39" w:rsidR="00B14519" w:rsidRPr="00781112" w:rsidRDefault="00B14519" w:rsidP="00D13592">
            <w:pPr>
              <w:jc w:val="center"/>
              <w:rPr>
                <w:rFonts w:cs="Arial"/>
                <w:color w:val="000000" w:themeColor="text1"/>
                <w:szCs w:val="16"/>
              </w:rPr>
            </w:pPr>
            <w:r w:rsidRPr="00781112">
              <w:rPr>
                <w:rFonts w:cs="Arial"/>
                <w:color w:val="000000" w:themeColor="text1"/>
                <w:szCs w:val="16"/>
              </w:rPr>
              <w:t>12.71%</w:t>
            </w:r>
          </w:p>
        </w:tc>
        <w:tc>
          <w:tcPr>
            <w:tcW w:w="659" w:type="pct"/>
            <w:vAlign w:val="center"/>
          </w:tcPr>
          <w:p w14:paraId="4A1DD032" w14:textId="1316ECD4" w:rsidR="00B14519" w:rsidRPr="00781112" w:rsidRDefault="00B14519" w:rsidP="00D13592">
            <w:pPr>
              <w:jc w:val="center"/>
              <w:rPr>
                <w:rFonts w:cs="Arial"/>
                <w:color w:val="000000" w:themeColor="text1"/>
                <w:szCs w:val="16"/>
              </w:rPr>
            </w:pPr>
            <w:r w:rsidRPr="00781112">
              <w:rPr>
                <w:rFonts w:cs="Arial"/>
                <w:color w:val="000000" w:themeColor="text1"/>
                <w:szCs w:val="16"/>
              </w:rPr>
              <w:t>13.01%</w:t>
            </w:r>
          </w:p>
        </w:tc>
        <w:tc>
          <w:tcPr>
            <w:tcW w:w="659" w:type="pct"/>
            <w:vAlign w:val="center"/>
          </w:tcPr>
          <w:p w14:paraId="74C8F676" w14:textId="54D72167" w:rsidR="00B14519" w:rsidRPr="00781112" w:rsidRDefault="00B14519" w:rsidP="00D13592">
            <w:pPr>
              <w:jc w:val="center"/>
              <w:rPr>
                <w:rFonts w:cs="Arial"/>
                <w:color w:val="000000" w:themeColor="text1"/>
                <w:szCs w:val="16"/>
              </w:rPr>
            </w:pPr>
            <w:r w:rsidRPr="00781112">
              <w:rPr>
                <w:rFonts w:cs="Arial"/>
                <w:color w:val="000000" w:themeColor="text1"/>
                <w:szCs w:val="16"/>
              </w:rPr>
              <w:t>13.60%</w:t>
            </w:r>
          </w:p>
        </w:tc>
      </w:tr>
    </w:tbl>
    <w:p w14:paraId="1A690268" w14:textId="77777777" w:rsidR="00DB4E16" w:rsidRDefault="00DB4E16" w:rsidP="00DB4E16">
      <w:pPr>
        <w:spacing w:before="0" w:after="200" w:line="276" w:lineRule="auto"/>
        <w:rPr>
          <w:b/>
          <w:color w:val="000000" w:themeColor="text1"/>
        </w:rPr>
      </w:pPr>
    </w:p>
    <w:p w14:paraId="08B1A70A" w14:textId="6C139F20" w:rsidR="002D145D" w:rsidRPr="00DB4E16" w:rsidRDefault="002D145D" w:rsidP="00DB4E16">
      <w:pPr>
        <w:spacing w:before="0" w:after="200"/>
        <w:rPr>
          <w:b/>
          <w:color w:val="000000" w:themeColor="text1"/>
        </w:rPr>
      </w:pPr>
      <w:r w:rsidRPr="00781112">
        <w:rPr>
          <w:b/>
          <w:color w:val="000000" w:themeColor="text1"/>
        </w:rPr>
        <w:t xml:space="preserve">Targets: Description of Stakeholder Input </w:t>
      </w:r>
      <w:r w:rsidR="00DB4E16">
        <w:rPr>
          <w:b/>
          <w:color w:val="000000" w:themeColor="text1"/>
        </w:rPr>
        <w:br/>
      </w:r>
      <w:r w:rsidR="002B7490" w:rsidRPr="00781112">
        <w:rPr>
          <w:rFonts w:cs="Arial"/>
          <w:color w:val="000000" w:themeColor="text1"/>
          <w:szCs w:val="16"/>
        </w:rPr>
        <w:t>The USBE SES values stakeholder engagement and input and solicits ongoing feedback and review. Stakeholders consistently provide input through collaborative meetings, public comment, written communication, survey data, data analysis, and informal conversations. To share data and information and collect feedback on areas such as SPP/APR targets, the USBE SES employs meetings, newsletters, emails, surveys, and social media with stakeholder groups:</w:t>
      </w:r>
      <w:r w:rsidR="002B7490" w:rsidRPr="00781112">
        <w:rPr>
          <w:rFonts w:cs="Arial"/>
          <w:color w:val="000000" w:themeColor="text1"/>
          <w:szCs w:val="16"/>
        </w:rPr>
        <w:br/>
        <w:t>• LEA Special Education Directors</w:t>
      </w:r>
      <w:r w:rsidR="002B7490" w:rsidRPr="00781112">
        <w:rPr>
          <w:rFonts w:cs="Arial"/>
          <w:color w:val="000000" w:themeColor="text1"/>
          <w:szCs w:val="16"/>
        </w:rPr>
        <w:br/>
        <w:t>• Utah Special Education Advisory Panel (USEAP)</w:t>
      </w:r>
      <w:r w:rsidR="002B7490" w:rsidRPr="00781112">
        <w:rPr>
          <w:rFonts w:cs="Arial"/>
          <w:color w:val="000000" w:themeColor="text1"/>
          <w:szCs w:val="16"/>
        </w:rPr>
        <w:br/>
        <w:t>• USBE Committees</w:t>
      </w:r>
      <w:r w:rsidR="002B7490" w:rsidRPr="00781112">
        <w:rPr>
          <w:rFonts w:cs="Arial"/>
          <w:color w:val="000000" w:themeColor="text1"/>
          <w:szCs w:val="16"/>
        </w:rPr>
        <w:br/>
        <w:t>• Utah Legislative Committees</w:t>
      </w:r>
      <w:r w:rsidR="002B7490" w:rsidRPr="00781112">
        <w:rPr>
          <w:rFonts w:cs="Arial"/>
          <w:color w:val="000000" w:themeColor="text1"/>
          <w:szCs w:val="16"/>
        </w:rPr>
        <w:br/>
        <w:t>• Utah Parent Center (UPC)</w:t>
      </w:r>
      <w:r w:rsidR="002B7490" w:rsidRPr="00781112">
        <w:rPr>
          <w:rFonts w:cs="Arial"/>
          <w:color w:val="000000" w:themeColor="text1"/>
          <w:szCs w:val="16"/>
        </w:rPr>
        <w:br/>
        <w:t>• LEA Curriculum and Assessment Directors</w:t>
      </w:r>
      <w:r w:rsidR="002B7490" w:rsidRPr="00781112">
        <w:rPr>
          <w:rFonts w:cs="Arial"/>
          <w:color w:val="000000" w:themeColor="text1"/>
          <w:szCs w:val="16"/>
        </w:rPr>
        <w:br/>
      </w:r>
      <w:r w:rsidR="002B7490" w:rsidRPr="00781112">
        <w:rPr>
          <w:rFonts w:cs="Arial"/>
          <w:color w:val="000000" w:themeColor="text1"/>
          <w:szCs w:val="16"/>
        </w:rPr>
        <w:lastRenderedPageBreak/>
        <w:t>• LEA Preschool Coordinators</w:t>
      </w:r>
      <w:r w:rsidR="002B7490" w:rsidRPr="00781112">
        <w:rPr>
          <w:rFonts w:cs="Arial"/>
          <w:color w:val="000000" w:themeColor="text1"/>
          <w:szCs w:val="16"/>
        </w:rPr>
        <w:br/>
        <w:t>• LEA Administrators</w:t>
      </w:r>
      <w:r w:rsidR="002B7490" w:rsidRPr="00781112">
        <w:rPr>
          <w:rFonts w:cs="Arial"/>
          <w:color w:val="000000" w:themeColor="text1"/>
          <w:szCs w:val="16"/>
        </w:rPr>
        <w:br/>
        <w:t>•Utah Institutes of Higher Education (IHEs)</w:t>
      </w:r>
      <w:r w:rsidR="002B7490" w:rsidRPr="00781112">
        <w:rPr>
          <w:rFonts w:cs="Arial"/>
          <w:color w:val="000000" w:themeColor="text1"/>
          <w:szCs w:val="16"/>
        </w:rPr>
        <w:br/>
        <w:t>• Baby Watch/Early Intervention (Utah’s Part C agency)</w:t>
      </w:r>
      <w:r w:rsidR="002B7490" w:rsidRPr="00781112">
        <w:rPr>
          <w:rFonts w:cs="Arial"/>
          <w:color w:val="000000" w:themeColor="text1"/>
          <w:szCs w:val="16"/>
        </w:rPr>
        <w:br/>
        <w:t>• Agencies and non-profit organizations that provide services to SWD</w:t>
      </w:r>
      <w:r w:rsidR="002B7490" w:rsidRPr="00781112">
        <w:rPr>
          <w:rFonts w:cs="Arial"/>
          <w:color w:val="000000" w:themeColor="text1"/>
          <w:szCs w:val="16"/>
        </w:rPr>
        <w:br/>
        <w:t>• Utah Educators</w:t>
      </w:r>
      <w:r w:rsidR="002B7490" w:rsidRPr="00781112">
        <w:rPr>
          <w:rFonts w:cs="Arial"/>
          <w:color w:val="000000" w:themeColor="text1"/>
          <w:szCs w:val="16"/>
        </w:rPr>
        <w:br/>
        <w:t>• Advocacy groups throughout the State</w:t>
      </w:r>
      <w:r w:rsidR="002B7490" w:rsidRPr="00781112">
        <w:rPr>
          <w:rFonts w:cs="Arial"/>
          <w:color w:val="000000" w:themeColor="text1"/>
          <w:szCs w:val="16"/>
        </w:rPr>
        <w:br/>
        <w:t>During FFY 2021, no changes were made to the SPP/APR targets. The USBE SES reviewed the progress of the implementation of the Theory of Action for the SSIP and SPP/APR data with USEAM, USEAP, and the Coordinating Council for People with Disabilities (CCPD) (which includes all state agencies that serve individuals with disabilities and all nonprofit organizations that receive any state funding and/or grants).</w:t>
      </w:r>
      <w:r w:rsidR="002B7490" w:rsidRPr="00781112">
        <w:rPr>
          <w:rFonts w:cs="Arial"/>
          <w:color w:val="000000" w:themeColor="text1"/>
          <w:szCs w:val="16"/>
        </w:rPr>
        <w:br/>
        <w:t>The APR summit was held virtually on July 30, 2021. Over 100 participants attended from the stakeholder groups and those with individual interests. Participants reviewed data and projections for the State in 2025–2026. Participants were provided with an overview of the advantages and disadvantages of predictive models as well as an overview of the mindset for target-setting. Participants were asked to select the end targets (2025–2026) for indicators. The USBE SES would then calculate intervening targets between FFY 2020 and FFY 2025 whereby there would be no increase in the target the first year, followed by small increases, then large increases near the end. This is to allow enough time for LEAs to implement initiatives and change practices to realistically meet targets along their way to the rigorous end targets. After this overview, participants determined challenging and achievable end targets. The USBE SES calculated intervening targets and shared these intervening targets with the participants and additional stakeholders to get final approval for all the targets.</w:t>
      </w:r>
      <w:r w:rsidR="002B7490" w:rsidRPr="00781112">
        <w:rPr>
          <w:rFonts w:cs="Arial"/>
          <w:color w:val="000000" w:themeColor="text1"/>
          <w:szCs w:val="16"/>
        </w:rPr>
        <w:br/>
        <w:t>A survey was sent out and 101 individuals participated. Most participants identified as white females in suburban parts of Utah. American Indian/Native Alaskan, Hispanic/Latino, and individuals who identified as multiracial also participated. As a result of this additional feedback, the USBE SES revised Indicator 5 targets to maintain rigor and develop reasonable targets manageable by the LEAs. Targets for all indicators were developed after review of historical indicator and trend data, recommendations from the USBE statistician, the impact of COVID-19, APR summit and APR survey review. All targets were subsequently reviewed and adopted by USBE staff, USEAP, and LEAs. OSEP approved SPP/APR targets in the FFY 2020 SPP/APR.</w:t>
      </w:r>
      <w:r w:rsidR="002B7490" w:rsidRPr="00781112">
        <w:rPr>
          <w:rFonts w:cs="Arial"/>
          <w:color w:val="000000" w:themeColor="text1"/>
          <w:szCs w:val="16"/>
        </w:rPr>
        <w:br/>
        <w:t>During FFY 2021, the SPP/APR and SSIP were discussed regularly with LEA special education directors, USEAP, UPC, the state Parent Teacher Association (PTA), and other parent groups focused on inclusionary practices in Utah schools. Regular meetings are held with all these groups typically on a quarterly basis. Emails, phone calls, and in-person meetings provide for informal opportunities to gain insight and adjust.</w:t>
      </w:r>
      <w:r w:rsidR="002B7490" w:rsidRPr="00781112">
        <w:rPr>
          <w:rFonts w:cs="Arial"/>
          <w:color w:val="000000" w:themeColor="text1"/>
          <w:szCs w:val="16"/>
        </w:rPr>
        <w:br/>
        <w:t>The UPC works closely with USBE to increase the capacity of diverse groups of parents. Meetings at UPC are held in Spanish as the second highest language in the State. Refugee populations are connected through UPC staff assigned to specific LEAs with large populations of refugees.</w:t>
      </w:r>
      <w:r w:rsidR="002B7490" w:rsidRPr="00781112">
        <w:rPr>
          <w:rFonts w:cs="Arial"/>
          <w:color w:val="000000" w:themeColor="text1"/>
          <w:szCs w:val="16"/>
        </w:rPr>
        <w:br/>
        <w:t>The USBE family engagement specialist seeks to increase capacity through cross collaboration with other parent and family engagement programs provided in LEAs that we will continue to target.</w:t>
      </w:r>
      <w:r w:rsidR="002B7490" w:rsidRPr="00781112">
        <w:rPr>
          <w:rFonts w:cs="Arial"/>
          <w:color w:val="000000" w:themeColor="text1"/>
          <w:szCs w:val="16"/>
        </w:rPr>
        <w:br/>
        <w:t>INDICATOR 1</w:t>
      </w:r>
      <w:r w:rsidR="002B7490" w:rsidRPr="00781112">
        <w:rPr>
          <w:rFonts w:cs="Arial"/>
          <w:color w:val="000000" w:themeColor="text1"/>
          <w:szCs w:val="16"/>
        </w:rPr>
        <w:br/>
        <w:t>Data from 2018 was determined to be an appropriate baseline. With a baseline of 67.90%, targets will increase with consideration for COVID-19 impacts.</w:t>
      </w:r>
      <w:r w:rsidR="002B7490" w:rsidRPr="00781112">
        <w:rPr>
          <w:rFonts w:cs="Arial"/>
          <w:color w:val="000000" w:themeColor="text1"/>
          <w:szCs w:val="16"/>
        </w:rPr>
        <w:br/>
        <w:t>INDICATOR 2</w:t>
      </w:r>
      <w:r w:rsidR="002B7490" w:rsidRPr="00781112">
        <w:rPr>
          <w:rFonts w:cs="Arial"/>
          <w:color w:val="000000" w:themeColor="text1"/>
          <w:szCs w:val="16"/>
        </w:rPr>
        <w:br/>
        <w:t>Data from 2018 was determined to be an appropriate baseline. With a baseline of 25.81%, targets will decrease with consideration for COVID-19 impacts.</w:t>
      </w:r>
      <w:r w:rsidR="002B7490" w:rsidRPr="00781112">
        <w:rPr>
          <w:rFonts w:cs="Arial"/>
          <w:color w:val="000000" w:themeColor="text1"/>
          <w:szCs w:val="16"/>
        </w:rPr>
        <w:br/>
        <w:t>INDICATOR 3A</w:t>
      </w:r>
      <w:r w:rsidR="002B7490" w:rsidRPr="00781112">
        <w:rPr>
          <w:rFonts w:cs="Arial"/>
          <w:color w:val="000000" w:themeColor="text1"/>
          <w:szCs w:val="16"/>
        </w:rPr>
        <w:br/>
        <w:t>This target is set by OSEP. Stakeholders discussed ways to improve participation.</w:t>
      </w:r>
      <w:r w:rsidR="002B7490" w:rsidRPr="00781112">
        <w:rPr>
          <w:rFonts w:cs="Arial"/>
          <w:color w:val="000000" w:themeColor="text1"/>
          <w:szCs w:val="16"/>
        </w:rPr>
        <w:br/>
        <w:t>INDICATORS 3B, C, D</w:t>
      </w:r>
      <w:r w:rsidR="002B7490" w:rsidRPr="00781112">
        <w:rPr>
          <w:rFonts w:cs="Arial"/>
          <w:color w:val="000000" w:themeColor="text1"/>
          <w:szCs w:val="16"/>
        </w:rPr>
        <w:br/>
        <w:t>Participants looked at the average mean from the previous four years of data in conjunction with the linear trend and forecasting. This process allowed participants to analyze the best statistical guess of where Utah’s data would most likely be in six years while also seeing the forecasting of possible error over time for predicting far into the future.</w:t>
      </w:r>
      <w:r w:rsidR="002B7490" w:rsidRPr="00781112">
        <w:rPr>
          <w:rFonts w:cs="Arial"/>
          <w:color w:val="000000" w:themeColor="text1"/>
          <w:szCs w:val="16"/>
        </w:rPr>
        <w:br/>
        <w:t>INDICATOR 5</w:t>
      </w:r>
      <w:r w:rsidR="002B7490" w:rsidRPr="00781112">
        <w:rPr>
          <w:rFonts w:cs="Arial"/>
          <w:color w:val="000000" w:themeColor="text1"/>
          <w:szCs w:val="16"/>
        </w:rPr>
        <w:br/>
        <w:t>During FFY 2020, the Indicator 5 baseline was reset. In FFY 2021, all targets were met. A comprehensive approach was taken to provide informative learning sessions to support special education directors who are accountable for reviewing Indicator 5 outcome data. Recognizing the need to differentiate support, the USBE SES offered individual LEA data analysis and problem-solving sessions.</w:t>
      </w:r>
      <w:r w:rsidR="002B7490" w:rsidRPr="00781112">
        <w:rPr>
          <w:rFonts w:cs="Arial"/>
          <w:color w:val="000000" w:themeColor="text1"/>
          <w:szCs w:val="16"/>
        </w:rPr>
        <w:br/>
        <w:t>INDICATOR 6</w:t>
      </w:r>
      <w:r w:rsidR="002B7490" w:rsidRPr="00781112">
        <w:rPr>
          <w:rFonts w:cs="Arial"/>
          <w:color w:val="000000" w:themeColor="text1"/>
          <w:szCs w:val="16"/>
        </w:rPr>
        <w:br/>
        <w:t>Data from 2018 was determined to be an appropriate baseline. With baselines of (A) 46.86%, (B) 32.67%, (C) 0.25%, targets will gradually increase and decrease with consideration for COVID-19 impacts.</w:t>
      </w:r>
      <w:r w:rsidR="002B7490" w:rsidRPr="00781112">
        <w:rPr>
          <w:rFonts w:cs="Arial"/>
          <w:color w:val="000000" w:themeColor="text1"/>
          <w:szCs w:val="16"/>
        </w:rPr>
        <w:br/>
        <w:t>INDICATOR 7</w:t>
      </w:r>
      <w:r w:rsidR="002B7490" w:rsidRPr="00781112">
        <w:rPr>
          <w:rFonts w:cs="Arial"/>
          <w:color w:val="000000" w:themeColor="text1"/>
          <w:szCs w:val="16"/>
        </w:rPr>
        <w:br/>
        <w:t>Data from 2018 was determined to be an appropriate baseline. The USBE predicts outcomes for this indicator are still being largely impacted by COVID-19, and targets are currently set below the baseline. With baselines of (A1) 88.86%, (A2) 58.94%, (B1) 88.41%, (B2) 50.48%, (C1) 89.86%, (C2) 70.52%, targets will increase with consideration for COVID-19 impacts.</w:t>
      </w:r>
      <w:r w:rsidR="002B7490" w:rsidRPr="00781112">
        <w:rPr>
          <w:rFonts w:cs="Arial"/>
          <w:color w:val="000000" w:themeColor="text1"/>
          <w:szCs w:val="16"/>
        </w:rPr>
        <w:br/>
        <w:t>INDICATOR 8</w:t>
      </w:r>
      <w:r w:rsidR="002B7490" w:rsidRPr="00781112">
        <w:rPr>
          <w:rFonts w:cs="Arial"/>
          <w:color w:val="000000" w:themeColor="text1"/>
          <w:szCs w:val="16"/>
        </w:rPr>
        <w:br/>
        <w:t>Data from 2018 was determined to be an appropriate baseline. With a baseline of 78.38%, targets will gradually increase with consideration for COVID-19 impacts.</w:t>
      </w:r>
      <w:r w:rsidR="002B7490" w:rsidRPr="00781112">
        <w:rPr>
          <w:rFonts w:cs="Arial"/>
          <w:color w:val="000000" w:themeColor="text1"/>
          <w:szCs w:val="16"/>
        </w:rPr>
        <w:br/>
        <w:t>INDICATORS 4, 9, 10</w:t>
      </w:r>
      <w:r w:rsidR="002B7490" w:rsidRPr="00781112">
        <w:rPr>
          <w:rFonts w:cs="Arial"/>
          <w:color w:val="000000" w:themeColor="text1"/>
          <w:szCs w:val="16"/>
        </w:rPr>
        <w:br/>
        <w:t>During the APR Summit, stakeholders reviewed current data trends and ways to improve outcomes. Although targets cannot be changed, stakeholder input has been instrumental in meeting targets for these indicators. The calculations and data collection process for these indicators has been updated to improve outcomes for SWD. Stakeholder input has been utilized to determine processes, PL, and support provided to bridge the gap between current performance and targets.</w:t>
      </w:r>
      <w:r w:rsidR="002B7490" w:rsidRPr="00781112">
        <w:rPr>
          <w:rFonts w:cs="Arial"/>
          <w:color w:val="000000" w:themeColor="text1"/>
          <w:szCs w:val="16"/>
        </w:rPr>
        <w:br/>
        <w:t>INDICATORS 11, 12</w:t>
      </w:r>
      <w:r w:rsidR="002B7490" w:rsidRPr="00781112">
        <w:rPr>
          <w:rFonts w:cs="Arial"/>
          <w:color w:val="000000" w:themeColor="text1"/>
          <w:szCs w:val="16"/>
        </w:rPr>
        <w:br/>
        <w:t>During the APR Summit, stakeholders reviewed current data trends and ways to improve outcomes. Although targets cannot be changed, stakeholder input has been instrumental in meeting targets for these indicators. Input has been utilized to determine PL and support provided to bridge the gap between current performance and targets.</w:t>
      </w:r>
      <w:r w:rsidR="002B7490" w:rsidRPr="00781112">
        <w:rPr>
          <w:rFonts w:cs="Arial"/>
          <w:color w:val="000000" w:themeColor="text1"/>
          <w:szCs w:val="16"/>
        </w:rPr>
        <w:br/>
        <w:t>INDICATOR 13</w:t>
      </w:r>
      <w:r w:rsidR="002B7490" w:rsidRPr="00781112">
        <w:rPr>
          <w:rFonts w:cs="Arial"/>
          <w:color w:val="000000" w:themeColor="text1"/>
          <w:szCs w:val="16"/>
        </w:rPr>
        <w:br/>
        <w:t>The USBE SES recognizes this is an area requiring improvement. During the APR Summit, stakeholders reviewed current data trends and ways to improve outcomes. Although targets cannot be changed, stakeholder input has been instrumental in the progression toward meeting the target.</w:t>
      </w:r>
      <w:r w:rsidR="002B7490" w:rsidRPr="00781112">
        <w:rPr>
          <w:rFonts w:cs="Arial"/>
          <w:color w:val="000000" w:themeColor="text1"/>
          <w:szCs w:val="16"/>
        </w:rPr>
        <w:br/>
        <w:t>INDICATOR 14</w:t>
      </w:r>
      <w:r w:rsidR="002B7490" w:rsidRPr="00781112">
        <w:rPr>
          <w:rFonts w:cs="Arial"/>
          <w:color w:val="000000" w:themeColor="text1"/>
          <w:szCs w:val="16"/>
        </w:rPr>
        <w:br/>
        <w:t>Data from 2018 was determined to be an appropriate baseline. The USBE predicts outcomes for this indicator are still being largely impacted by COVID-19, and targets are currently set below the baseline. With baselines of (A) 19.62%, (B) 67.60%, (C) 84.37%, targets will increase with consideration for COVID-19 impacts.</w:t>
      </w:r>
      <w:r w:rsidR="002B7490" w:rsidRPr="00781112">
        <w:rPr>
          <w:rFonts w:cs="Arial"/>
          <w:color w:val="000000" w:themeColor="text1"/>
          <w:szCs w:val="16"/>
        </w:rPr>
        <w:br/>
        <w:t xml:space="preserve">INDICATOR 15 </w:t>
      </w:r>
      <w:r w:rsidR="002B7490" w:rsidRPr="00781112">
        <w:rPr>
          <w:rFonts w:cs="Arial"/>
          <w:color w:val="000000" w:themeColor="text1"/>
          <w:szCs w:val="16"/>
        </w:rPr>
        <w:br/>
        <w:t>The USBE continues to experience relatively low levels of due process hearing requests and resolution meetings and is not required to set a target.</w:t>
      </w:r>
      <w:r w:rsidR="002B7490" w:rsidRPr="00781112">
        <w:rPr>
          <w:rFonts w:cs="Arial"/>
          <w:color w:val="000000" w:themeColor="text1"/>
          <w:szCs w:val="16"/>
        </w:rPr>
        <w:br/>
        <w:t xml:space="preserve">INDICATOR 16 </w:t>
      </w:r>
      <w:r w:rsidR="002B7490" w:rsidRPr="00781112">
        <w:rPr>
          <w:rFonts w:cs="Arial"/>
          <w:color w:val="000000" w:themeColor="text1"/>
          <w:szCs w:val="16"/>
        </w:rPr>
        <w:br/>
        <w:t>The USBE continues to experience relatively low levels of dispute resolution requests, including mediation. Targets have been set based on the low level of mediation requests.</w:t>
      </w:r>
    </w:p>
    <w:p w14:paraId="4A15E54A" w14:textId="77777777" w:rsidR="00B8751C" w:rsidRDefault="00B8751C">
      <w:pPr>
        <w:rPr>
          <w:b/>
          <w:color w:val="000000" w:themeColor="text1"/>
        </w:rPr>
      </w:pPr>
    </w:p>
    <w:p w14:paraId="006703A5" w14:textId="77777777" w:rsidR="00DB4E16" w:rsidRPr="00781112" w:rsidRDefault="00DB4E16">
      <w:pPr>
        <w:rPr>
          <w:b/>
          <w:color w:val="000000" w:themeColor="text1"/>
        </w:rPr>
      </w:pPr>
    </w:p>
    <w:p w14:paraId="01651096" w14:textId="7DACBE8A" w:rsidR="000A5A2E" w:rsidRPr="00781112" w:rsidRDefault="00FA33C9">
      <w:pPr>
        <w:rPr>
          <w:b/>
          <w:color w:val="000000" w:themeColor="text1"/>
        </w:rPr>
      </w:pPr>
      <w:r>
        <w:rPr>
          <w:b/>
          <w:color w:val="000000" w:themeColor="text1"/>
        </w:rPr>
        <w:t>FFY 2021 Data Disaggregation from EDFacts</w:t>
      </w:r>
    </w:p>
    <w:p w14:paraId="42AECFE6" w14:textId="77777777" w:rsidR="00F41DFF" w:rsidRPr="00781112" w:rsidRDefault="00A10323" w:rsidP="00286BDF">
      <w:pPr>
        <w:rPr>
          <w:rFonts w:cs="Arial"/>
          <w:b/>
          <w:color w:val="000000" w:themeColor="text1"/>
          <w:szCs w:val="16"/>
        </w:rPr>
      </w:pPr>
      <w:r w:rsidRPr="00781112">
        <w:rPr>
          <w:rFonts w:cs="Arial"/>
          <w:b/>
          <w:color w:val="000000" w:themeColor="text1"/>
          <w:szCs w:val="16"/>
        </w:rPr>
        <w:t xml:space="preserve">Data Source: </w:t>
      </w:r>
    </w:p>
    <w:p w14:paraId="4E62FCFE" w14:textId="0B9900E2" w:rsidR="00A10323" w:rsidRPr="00781112" w:rsidRDefault="002B7490" w:rsidP="00286BDF">
      <w:pPr>
        <w:rPr>
          <w:rFonts w:cs="Arial"/>
          <w:color w:val="000000" w:themeColor="text1"/>
          <w:szCs w:val="16"/>
        </w:rPr>
      </w:pPr>
      <w:r w:rsidRPr="00781112">
        <w:rPr>
          <w:rFonts w:cs="Arial"/>
          <w:color w:val="000000" w:themeColor="text1"/>
          <w:szCs w:val="16"/>
        </w:rPr>
        <w:t>SY 2021-22 Assessment Data Groups - Reading (EDFacts file spec FS178; Data Group: 584)</w:t>
      </w:r>
    </w:p>
    <w:p w14:paraId="5E404A07" w14:textId="77777777" w:rsidR="00F41DFF" w:rsidRPr="00781112" w:rsidRDefault="00A10323" w:rsidP="00286BDF">
      <w:pPr>
        <w:rPr>
          <w:rFonts w:cs="Arial"/>
          <w:b/>
          <w:color w:val="000000" w:themeColor="text1"/>
          <w:szCs w:val="16"/>
        </w:rPr>
      </w:pPr>
      <w:r w:rsidRPr="00781112">
        <w:rPr>
          <w:rFonts w:cs="Arial"/>
          <w:b/>
          <w:color w:val="000000" w:themeColor="text1"/>
          <w:szCs w:val="16"/>
        </w:rPr>
        <w:t xml:space="preserve">Date: </w:t>
      </w:r>
    </w:p>
    <w:p w14:paraId="7A786FF9" w14:textId="1817651F" w:rsidR="00A63347" w:rsidRPr="00DB4E16" w:rsidRDefault="002B7490">
      <w:pPr>
        <w:rPr>
          <w:rFonts w:cs="Arial"/>
          <w:color w:val="000000" w:themeColor="text1"/>
          <w:szCs w:val="16"/>
        </w:rPr>
      </w:pPr>
      <w:r w:rsidRPr="00781112">
        <w:rPr>
          <w:rFonts w:cs="Arial"/>
          <w:color w:val="000000" w:themeColor="text1"/>
          <w:szCs w:val="16"/>
        </w:rPr>
        <w:t>04/05/2023</w:t>
      </w:r>
    </w:p>
    <w:p w14:paraId="603FD8CB" w14:textId="05C9185C" w:rsidR="00162F4A" w:rsidRPr="00781112" w:rsidRDefault="00162F4A">
      <w:pPr>
        <w:rPr>
          <w:b/>
          <w:color w:val="000000" w:themeColor="text1"/>
        </w:rPr>
      </w:pPr>
      <w:r w:rsidRPr="00781112">
        <w:rPr>
          <w:b/>
          <w:color w:val="000000" w:themeColor="text1"/>
        </w:rPr>
        <w:t>Reading Assessment Proficiency Data by Grade</w:t>
      </w:r>
    </w:p>
    <w:tbl>
      <w:tblPr>
        <w:tblStyle w:val="TableGrid"/>
        <w:tblW w:w="10795" w:type="dxa"/>
        <w:tblLayout w:type="fixed"/>
        <w:tblLook w:val="04A0" w:firstRow="1" w:lastRow="0" w:firstColumn="1" w:lastColumn="0" w:noHBand="0" w:noVBand="1"/>
        <w:tblCaption w:val="B03CASSPARTDATABYGRDRLA"/>
      </w:tblPr>
      <w:tblGrid>
        <w:gridCol w:w="2695"/>
        <w:gridCol w:w="2700"/>
        <w:gridCol w:w="2700"/>
        <w:gridCol w:w="2700"/>
      </w:tblGrid>
      <w:tr w:rsidR="003403B4" w:rsidRPr="00781112" w14:paraId="428FB0F7" w14:textId="08DAAE1B" w:rsidTr="00E95FBF">
        <w:tc>
          <w:tcPr>
            <w:tcW w:w="2695" w:type="dxa"/>
            <w:shd w:val="clear" w:color="auto" w:fill="auto"/>
          </w:tcPr>
          <w:p w14:paraId="3C2A5B11" w14:textId="73EE4867" w:rsidR="003403B4" w:rsidRPr="00781112" w:rsidRDefault="00835EAD" w:rsidP="003403B4">
            <w:pPr>
              <w:jc w:val="center"/>
              <w:rPr>
                <w:b/>
                <w:color w:val="000000" w:themeColor="text1"/>
              </w:rPr>
            </w:pPr>
            <w:r w:rsidRPr="00781112">
              <w:rPr>
                <w:rFonts w:cs="Arial"/>
                <w:b/>
                <w:bCs/>
                <w:color w:val="000000" w:themeColor="text1"/>
                <w:szCs w:val="16"/>
              </w:rPr>
              <w:t>Group</w:t>
            </w:r>
          </w:p>
        </w:tc>
        <w:tc>
          <w:tcPr>
            <w:tcW w:w="2700" w:type="dxa"/>
            <w:shd w:val="clear" w:color="auto" w:fill="auto"/>
            <w:vAlign w:val="center"/>
          </w:tcPr>
          <w:p w14:paraId="3FF46CFF" w14:textId="175C9EF7" w:rsidR="003403B4" w:rsidRPr="00781112" w:rsidRDefault="003403B4" w:rsidP="00196CE6">
            <w:pPr>
              <w:jc w:val="center"/>
              <w:rPr>
                <w:b/>
                <w:color w:val="000000" w:themeColor="text1"/>
              </w:rPr>
            </w:pPr>
            <w:r w:rsidRPr="00781112">
              <w:rPr>
                <w:rFonts w:cs="Arial"/>
                <w:b/>
                <w:bCs/>
                <w:color w:val="000000" w:themeColor="text1"/>
                <w:szCs w:val="16"/>
              </w:rPr>
              <w:t>Grade 4</w:t>
            </w:r>
          </w:p>
        </w:tc>
        <w:tc>
          <w:tcPr>
            <w:tcW w:w="2700" w:type="dxa"/>
            <w:shd w:val="clear" w:color="auto" w:fill="auto"/>
            <w:vAlign w:val="center"/>
          </w:tcPr>
          <w:p w14:paraId="1F0659F7" w14:textId="574B33D5" w:rsidR="003403B4" w:rsidRPr="00781112" w:rsidRDefault="003403B4" w:rsidP="00315E88">
            <w:pPr>
              <w:jc w:val="center"/>
              <w:rPr>
                <w:b/>
                <w:color w:val="000000" w:themeColor="text1"/>
              </w:rPr>
            </w:pPr>
            <w:r w:rsidRPr="00781112">
              <w:rPr>
                <w:rFonts w:cs="Arial"/>
                <w:b/>
                <w:bCs/>
                <w:color w:val="000000" w:themeColor="text1"/>
                <w:szCs w:val="16"/>
              </w:rPr>
              <w:t>Grade 8</w:t>
            </w:r>
          </w:p>
        </w:tc>
        <w:tc>
          <w:tcPr>
            <w:tcW w:w="2700" w:type="dxa"/>
            <w:shd w:val="clear" w:color="auto" w:fill="auto"/>
            <w:vAlign w:val="center"/>
          </w:tcPr>
          <w:p w14:paraId="51B61EB6" w14:textId="7B1064DE" w:rsidR="003403B4" w:rsidRPr="00781112" w:rsidRDefault="003403B4" w:rsidP="00E14CF0">
            <w:pPr>
              <w:jc w:val="center"/>
              <w:rPr>
                <w:b/>
                <w:color w:val="000000" w:themeColor="text1"/>
              </w:rPr>
            </w:pPr>
            <w:r w:rsidRPr="00781112">
              <w:rPr>
                <w:rFonts w:cs="Arial"/>
                <w:b/>
                <w:bCs/>
                <w:color w:val="000000" w:themeColor="text1"/>
                <w:szCs w:val="16"/>
              </w:rPr>
              <w:t>Grade HS</w:t>
            </w:r>
          </w:p>
        </w:tc>
      </w:tr>
      <w:tr w:rsidR="005A486A" w:rsidRPr="00781112" w14:paraId="15C4E2F5" w14:textId="23A18F5A" w:rsidTr="008E4335">
        <w:tc>
          <w:tcPr>
            <w:tcW w:w="2695" w:type="dxa"/>
            <w:shd w:val="clear" w:color="auto" w:fill="auto"/>
          </w:tcPr>
          <w:p w14:paraId="1D84B931" w14:textId="3EFA8778" w:rsidR="005A486A" w:rsidRPr="00781112" w:rsidRDefault="005A486A" w:rsidP="005A486A">
            <w:pPr>
              <w:rPr>
                <w:b/>
                <w:color w:val="000000" w:themeColor="text1"/>
              </w:rPr>
            </w:pPr>
            <w:r w:rsidRPr="00781112">
              <w:rPr>
                <w:rFonts w:cs="Arial"/>
                <w:szCs w:val="16"/>
                <w:shd w:val="clear" w:color="auto" w:fill="FFFFFF"/>
              </w:rPr>
              <w:t xml:space="preserve">a. Children with IEPs who received a valid score and a proficiency level was assigned </w:t>
            </w:r>
            <w:r w:rsidRPr="0075451F">
              <w:rPr>
                <w:rFonts w:cs="Arial"/>
                <w:szCs w:val="16"/>
              </w:rPr>
              <w:t>for the alternate assessment</w:t>
            </w:r>
          </w:p>
        </w:tc>
        <w:tc>
          <w:tcPr>
            <w:tcW w:w="2700" w:type="dxa"/>
            <w:shd w:val="clear" w:color="auto" w:fill="auto"/>
            <w:vAlign w:val="center"/>
          </w:tcPr>
          <w:p w14:paraId="07C14EE4" w14:textId="10EAED03" w:rsidR="005A486A" w:rsidRPr="00781112" w:rsidRDefault="00DB4E16" w:rsidP="008E4335">
            <w:pPr>
              <w:jc w:val="center"/>
              <w:rPr>
                <w:b/>
                <w:color w:val="000000" w:themeColor="text1"/>
              </w:rPr>
            </w:pPr>
            <w:r>
              <w:rPr>
                <w:b/>
                <w:color w:val="000000" w:themeColor="text1"/>
              </w:rPr>
              <w:t>*</w:t>
            </w:r>
            <w:bookmarkStart w:id="24" w:name="_Ref141819293"/>
            <w:r>
              <w:rPr>
                <w:rStyle w:val="FootnoteReference"/>
                <w:b/>
                <w:color w:val="000000" w:themeColor="text1"/>
              </w:rPr>
              <w:footnoteReference w:id="8"/>
            </w:r>
            <w:bookmarkEnd w:id="24"/>
          </w:p>
        </w:tc>
        <w:tc>
          <w:tcPr>
            <w:tcW w:w="2700" w:type="dxa"/>
            <w:shd w:val="clear" w:color="auto" w:fill="auto"/>
            <w:vAlign w:val="center"/>
          </w:tcPr>
          <w:p w14:paraId="1DFC3C40" w14:textId="3B3928EA" w:rsidR="005A486A" w:rsidRPr="00781112" w:rsidRDefault="00DB4E16" w:rsidP="008E4335">
            <w:pPr>
              <w:jc w:val="center"/>
              <w:rPr>
                <w:b/>
                <w:color w:val="000000" w:themeColor="text1"/>
              </w:rPr>
            </w:pPr>
            <w:r>
              <w:rPr>
                <w:b/>
                <w:color w:val="000000" w:themeColor="text1"/>
              </w:rPr>
              <w:t>*</w:t>
            </w:r>
            <w:r>
              <w:rPr>
                <w:b/>
                <w:color w:val="000000" w:themeColor="text1"/>
              </w:rPr>
              <w:fldChar w:fldCharType="begin"/>
            </w:r>
            <w:r>
              <w:rPr>
                <w:b/>
                <w:color w:val="000000" w:themeColor="text1"/>
              </w:rPr>
              <w:instrText xml:space="preserve"> NOTEREF _Ref141819293 \f \h </w:instrText>
            </w:r>
            <w:r w:rsidR="008E4335">
              <w:rPr>
                <w:b/>
                <w:color w:val="000000" w:themeColor="text1"/>
              </w:rPr>
              <w:instrText xml:space="preserve"> \* MERGEFORMAT </w:instrText>
            </w:r>
            <w:r>
              <w:rPr>
                <w:b/>
                <w:color w:val="000000" w:themeColor="text1"/>
              </w:rPr>
            </w:r>
            <w:r>
              <w:rPr>
                <w:b/>
                <w:color w:val="000000" w:themeColor="text1"/>
              </w:rPr>
              <w:fldChar w:fldCharType="separate"/>
            </w:r>
            <w:r w:rsidRPr="00DB4E16">
              <w:rPr>
                <w:rStyle w:val="FootnoteReference"/>
              </w:rPr>
              <w:t>7</w:t>
            </w:r>
            <w:r>
              <w:rPr>
                <w:b/>
                <w:color w:val="000000" w:themeColor="text1"/>
              </w:rPr>
              <w:fldChar w:fldCharType="end"/>
            </w:r>
          </w:p>
        </w:tc>
        <w:tc>
          <w:tcPr>
            <w:tcW w:w="2700" w:type="dxa"/>
            <w:shd w:val="clear" w:color="auto" w:fill="auto"/>
            <w:vAlign w:val="center"/>
          </w:tcPr>
          <w:p w14:paraId="70A0184C" w14:textId="4D57349B" w:rsidR="005A486A" w:rsidRPr="00781112" w:rsidRDefault="005A486A" w:rsidP="00360DD6">
            <w:pPr>
              <w:jc w:val="center"/>
              <w:rPr>
                <w:b/>
                <w:color w:val="000000" w:themeColor="text1"/>
              </w:rPr>
            </w:pPr>
            <w:r w:rsidRPr="00781112">
              <w:rPr>
                <w:color w:val="000000" w:themeColor="text1"/>
              </w:rPr>
              <w:t>454</w:t>
            </w:r>
          </w:p>
        </w:tc>
      </w:tr>
      <w:tr w:rsidR="00DB4E16" w:rsidRPr="00781112" w14:paraId="3BE009FE" w14:textId="48A19AF7" w:rsidTr="008E4335">
        <w:tc>
          <w:tcPr>
            <w:tcW w:w="2695" w:type="dxa"/>
            <w:shd w:val="clear" w:color="auto" w:fill="auto"/>
          </w:tcPr>
          <w:p w14:paraId="3D43994F" w14:textId="3B46415A" w:rsidR="00DB4E16" w:rsidRPr="00781112" w:rsidRDefault="00DB4E16" w:rsidP="00DB4E16">
            <w:pPr>
              <w:rPr>
                <w:b/>
                <w:color w:val="000000" w:themeColor="text1"/>
              </w:rPr>
            </w:pPr>
            <w:r w:rsidRPr="00781112">
              <w:rPr>
                <w:rFonts w:cs="Arial"/>
                <w:szCs w:val="16"/>
                <w:shd w:val="clear" w:color="auto" w:fill="FFFFFF"/>
              </w:rPr>
              <w:t>b. Children with IEPs in alternate assessment against alternate standards scored at or above proficient</w:t>
            </w:r>
          </w:p>
        </w:tc>
        <w:tc>
          <w:tcPr>
            <w:tcW w:w="2700" w:type="dxa"/>
            <w:shd w:val="clear" w:color="auto" w:fill="auto"/>
            <w:vAlign w:val="center"/>
          </w:tcPr>
          <w:p w14:paraId="655D5067" w14:textId="1D89BC2F" w:rsidR="00DB4E16" w:rsidRPr="00781112" w:rsidRDefault="00DB4E16" w:rsidP="008E4335">
            <w:pPr>
              <w:jc w:val="center"/>
              <w:rPr>
                <w:b/>
                <w:color w:val="000000" w:themeColor="text1"/>
              </w:rPr>
            </w:pPr>
            <w:r w:rsidRPr="000540B7">
              <w:rPr>
                <w:b/>
                <w:color w:val="000000" w:themeColor="text1"/>
              </w:rPr>
              <w:t>*</w:t>
            </w:r>
            <w:r w:rsidRPr="000540B7">
              <w:rPr>
                <w:b/>
                <w:color w:val="000000" w:themeColor="text1"/>
              </w:rPr>
              <w:fldChar w:fldCharType="begin"/>
            </w:r>
            <w:r w:rsidRPr="000540B7">
              <w:rPr>
                <w:b/>
                <w:color w:val="000000" w:themeColor="text1"/>
              </w:rPr>
              <w:instrText xml:space="preserve"> NOTEREF _Ref141819293 \f \h </w:instrText>
            </w:r>
            <w:r w:rsidR="008E4335">
              <w:rPr>
                <w:b/>
                <w:color w:val="000000" w:themeColor="text1"/>
              </w:rPr>
              <w:instrText xml:space="preserve"> \* MERGEFORMAT </w:instrText>
            </w:r>
            <w:r w:rsidRPr="000540B7">
              <w:rPr>
                <w:b/>
                <w:color w:val="000000" w:themeColor="text1"/>
              </w:rPr>
            </w:r>
            <w:r w:rsidRPr="000540B7">
              <w:rPr>
                <w:b/>
                <w:color w:val="000000" w:themeColor="text1"/>
              </w:rPr>
              <w:fldChar w:fldCharType="separate"/>
            </w:r>
            <w:r w:rsidRPr="000540B7">
              <w:rPr>
                <w:rStyle w:val="FootnoteReference"/>
              </w:rPr>
              <w:t>7</w:t>
            </w:r>
            <w:r w:rsidRPr="000540B7">
              <w:rPr>
                <w:b/>
                <w:color w:val="000000" w:themeColor="text1"/>
              </w:rPr>
              <w:fldChar w:fldCharType="end"/>
            </w:r>
          </w:p>
        </w:tc>
        <w:tc>
          <w:tcPr>
            <w:tcW w:w="2700" w:type="dxa"/>
            <w:shd w:val="clear" w:color="auto" w:fill="auto"/>
            <w:vAlign w:val="center"/>
          </w:tcPr>
          <w:p w14:paraId="47E25E0D" w14:textId="48050FA5" w:rsidR="00DB4E16" w:rsidRPr="00781112" w:rsidRDefault="00DB4E16" w:rsidP="008E4335">
            <w:pPr>
              <w:jc w:val="center"/>
              <w:rPr>
                <w:b/>
                <w:color w:val="000000" w:themeColor="text1"/>
              </w:rPr>
            </w:pPr>
            <w:r w:rsidRPr="000540B7">
              <w:rPr>
                <w:b/>
                <w:color w:val="000000" w:themeColor="text1"/>
              </w:rPr>
              <w:t>*</w:t>
            </w:r>
            <w:r w:rsidRPr="000540B7">
              <w:rPr>
                <w:b/>
                <w:color w:val="000000" w:themeColor="text1"/>
              </w:rPr>
              <w:fldChar w:fldCharType="begin"/>
            </w:r>
            <w:r w:rsidRPr="000540B7">
              <w:rPr>
                <w:b/>
                <w:color w:val="000000" w:themeColor="text1"/>
              </w:rPr>
              <w:instrText xml:space="preserve"> NOTEREF _Ref141819293 \f \h </w:instrText>
            </w:r>
            <w:r w:rsidR="008E4335">
              <w:rPr>
                <w:b/>
                <w:color w:val="000000" w:themeColor="text1"/>
              </w:rPr>
              <w:instrText xml:space="preserve"> \* MERGEFORMAT </w:instrText>
            </w:r>
            <w:r w:rsidRPr="000540B7">
              <w:rPr>
                <w:b/>
                <w:color w:val="000000" w:themeColor="text1"/>
              </w:rPr>
            </w:r>
            <w:r w:rsidRPr="000540B7">
              <w:rPr>
                <w:b/>
                <w:color w:val="000000" w:themeColor="text1"/>
              </w:rPr>
              <w:fldChar w:fldCharType="separate"/>
            </w:r>
            <w:r w:rsidRPr="000540B7">
              <w:rPr>
                <w:rStyle w:val="FootnoteReference"/>
              </w:rPr>
              <w:t>7</w:t>
            </w:r>
            <w:r w:rsidRPr="000540B7">
              <w:rPr>
                <w:b/>
                <w:color w:val="000000" w:themeColor="text1"/>
              </w:rPr>
              <w:fldChar w:fldCharType="end"/>
            </w:r>
          </w:p>
        </w:tc>
        <w:tc>
          <w:tcPr>
            <w:tcW w:w="2700" w:type="dxa"/>
            <w:shd w:val="clear" w:color="auto" w:fill="auto"/>
            <w:vAlign w:val="center"/>
          </w:tcPr>
          <w:p w14:paraId="523F025F" w14:textId="6533B4FD" w:rsidR="00DB4E16" w:rsidRPr="00781112" w:rsidRDefault="00DB4E16" w:rsidP="00DB4E16">
            <w:pPr>
              <w:jc w:val="center"/>
              <w:rPr>
                <w:b/>
                <w:color w:val="000000" w:themeColor="text1"/>
              </w:rPr>
            </w:pPr>
            <w:r w:rsidRPr="00781112">
              <w:rPr>
                <w:color w:val="000000" w:themeColor="text1"/>
              </w:rPr>
              <w:t>109</w:t>
            </w:r>
          </w:p>
        </w:tc>
      </w:tr>
    </w:tbl>
    <w:p w14:paraId="41774824" w14:textId="77777777" w:rsidR="00DB4E16" w:rsidRDefault="00DB4E16" w:rsidP="00286BDF">
      <w:pPr>
        <w:rPr>
          <w:rFonts w:cs="Arial"/>
          <w:b/>
          <w:color w:val="000000" w:themeColor="text1"/>
          <w:szCs w:val="16"/>
        </w:rPr>
      </w:pPr>
    </w:p>
    <w:p w14:paraId="31899BDA" w14:textId="745A262B" w:rsidR="00F41DFF" w:rsidRPr="00781112" w:rsidRDefault="00BD7229" w:rsidP="00286BDF">
      <w:pPr>
        <w:rPr>
          <w:rFonts w:cs="Arial"/>
          <w:b/>
          <w:color w:val="000000" w:themeColor="text1"/>
          <w:szCs w:val="16"/>
        </w:rPr>
      </w:pPr>
      <w:r w:rsidRPr="00781112">
        <w:rPr>
          <w:rFonts w:cs="Arial"/>
          <w:b/>
          <w:color w:val="000000" w:themeColor="text1"/>
          <w:szCs w:val="16"/>
        </w:rPr>
        <w:t xml:space="preserve">Data Source:  </w:t>
      </w:r>
    </w:p>
    <w:p w14:paraId="6AEE1AE1" w14:textId="785594EB" w:rsidR="00BD7229" w:rsidRPr="00781112" w:rsidRDefault="002B7490" w:rsidP="00286BDF">
      <w:pPr>
        <w:rPr>
          <w:rFonts w:cs="Arial"/>
          <w:color w:val="000000" w:themeColor="text1"/>
          <w:szCs w:val="16"/>
        </w:rPr>
      </w:pPr>
      <w:r w:rsidRPr="00781112">
        <w:rPr>
          <w:rFonts w:cs="Arial"/>
          <w:color w:val="000000" w:themeColor="text1"/>
          <w:szCs w:val="16"/>
        </w:rPr>
        <w:t>SY 2021-22 Assessment Data Groups - Math (EDFacts file spec FS175; Data Group: 583)</w:t>
      </w:r>
    </w:p>
    <w:p w14:paraId="59F25B6E" w14:textId="77777777" w:rsidR="00F41DFF" w:rsidRPr="00781112" w:rsidRDefault="00BD7229" w:rsidP="00286BDF">
      <w:pPr>
        <w:rPr>
          <w:rFonts w:cs="Arial"/>
          <w:b/>
          <w:color w:val="000000" w:themeColor="text1"/>
          <w:szCs w:val="16"/>
        </w:rPr>
      </w:pPr>
      <w:r w:rsidRPr="00781112">
        <w:rPr>
          <w:rFonts w:cs="Arial"/>
          <w:b/>
          <w:color w:val="000000" w:themeColor="text1"/>
          <w:szCs w:val="16"/>
        </w:rPr>
        <w:t xml:space="preserve">Date: </w:t>
      </w:r>
    </w:p>
    <w:p w14:paraId="4B8A206D" w14:textId="36B0E5E5" w:rsidR="00BD7229" w:rsidRPr="00781112" w:rsidRDefault="002B7490" w:rsidP="00286BDF">
      <w:pPr>
        <w:rPr>
          <w:rFonts w:cs="Arial"/>
          <w:color w:val="000000" w:themeColor="text1"/>
          <w:szCs w:val="16"/>
        </w:rPr>
      </w:pPr>
      <w:r w:rsidRPr="00781112">
        <w:rPr>
          <w:rFonts w:cs="Arial"/>
          <w:color w:val="000000" w:themeColor="text1"/>
          <w:szCs w:val="16"/>
        </w:rPr>
        <w:t>04/05/2023</w:t>
      </w:r>
    </w:p>
    <w:p w14:paraId="3365AF3D" w14:textId="2AFA5758" w:rsidR="00162F4A" w:rsidRPr="00781112" w:rsidRDefault="00162F4A">
      <w:pPr>
        <w:rPr>
          <w:b/>
          <w:color w:val="000000" w:themeColor="text1"/>
        </w:rPr>
      </w:pPr>
      <w:r w:rsidRPr="00781112">
        <w:rPr>
          <w:b/>
          <w:color w:val="000000" w:themeColor="text1"/>
        </w:rPr>
        <w:t>Math Assessment Proficiency Data by Grade</w:t>
      </w:r>
    </w:p>
    <w:tbl>
      <w:tblPr>
        <w:tblStyle w:val="TableGrid"/>
        <w:tblW w:w="10795" w:type="dxa"/>
        <w:tblLayout w:type="fixed"/>
        <w:tblLook w:val="04A0" w:firstRow="1" w:lastRow="0" w:firstColumn="1" w:lastColumn="0" w:noHBand="0" w:noVBand="1"/>
        <w:tblCaption w:val="B03CASSPARTDATABYGRDMATH"/>
      </w:tblPr>
      <w:tblGrid>
        <w:gridCol w:w="2695"/>
        <w:gridCol w:w="2700"/>
        <w:gridCol w:w="2700"/>
        <w:gridCol w:w="2700"/>
      </w:tblGrid>
      <w:tr w:rsidR="0084736E" w:rsidRPr="00781112" w14:paraId="62DE1B1F" w14:textId="77777777" w:rsidTr="00E95FBF">
        <w:tc>
          <w:tcPr>
            <w:tcW w:w="2695" w:type="dxa"/>
            <w:shd w:val="clear" w:color="auto" w:fill="auto"/>
          </w:tcPr>
          <w:p w14:paraId="190C09EE" w14:textId="0BB3377D" w:rsidR="0084736E" w:rsidRPr="00781112" w:rsidRDefault="00835EAD" w:rsidP="0084736E">
            <w:pPr>
              <w:jc w:val="center"/>
              <w:rPr>
                <w:b/>
                <w:color w:val="000000" w:themeColor="text1"/>
              </w:rPr>
            </w:pPr>
            <w:r w:rsidRPr="00781112">
              <w:rPr>
                <w:rFonts w:cs="Arial"/>
                <w:b/>
                <w:bCs/>
                <w:color w:val="000000" w:themeColor="text1"/>
                <w:szCs w:val="16"/>
              </w:rPr>
              <w:t>Group</w:t>
            </w:r>
          </w:p>
        </w:tc>
        <w:tc>
          <w:tcPr>
            <w:tcW w:w="2700" w:type="dxa"/>
            <w:shd w:val="clear" w:color="auto" w:fill="auto"/>
            <w:vAlign w:val="center"/>
          </w:tcPr>
          <w:p w14:paraId="7DE5B404" w14:textId="75646743" w:rsidR="0084736E" w:rsidRPr="00781112" w:rsidRDefault="0084736E" w:rsidP="0084736E">
            <w:pPr>
              <w:jc w:val="center"/>
              <w:rPr>
                <w:b/>
                <w:color w:val="000000" w:themeColor="text1"/>
              </w:rPr>
            </w:pPr>
            <w:r w:rsidRPr="00781112">
              <w:rPr>
                <w:rFonts w:cs="Arial"/>
                <w:b/>
                <w:bCs/>
                <w:color w:val="000000" w:themeColor="text1"/>
                <w:szCs w:val="16"/>
              </w:rPr>
              <w:t>Grade 4</w:t>
            </w:r>
          </w:p>
        </w:tc>
        <w:tc>
          <w:tcPr>
            <w:tcW w:w="2700" w:type="dxa"/>
            <w:shd w:val="clear" w:color="auto" w:fill="auto"/>
            <w:vAlign w:val="center"/>
          </w:tcPr>
          <w:p w14:paraId="7038055F" w14:textId="27DA5FAA" w:rsidR="0084736E" w:rsidRPr="00781112" w:rsidRDefault="0084736E" w:rsidP="0084736E">
            <w:pPr>
              <w:jc w:val="center"/>
              <w:rPr>
                <w:b/>
                <w:color w:val="000000" w:themeColor="text1"/>
              </w:rPr>
            </w:pPr>
            <w:r w:rsidRPr="00781112">
              <w:rPr>
                <w:rFonts w:cs="Arial"/>
                <w:b/>
                <w:bCs/>
                <w:color w:val="000000" w:themeColor="text1"/>
                <w:szCs w:val="16"/>
              </w:rPr>
              <w:t>Grade 8</w:t>
            </w:r>
          </w:p>
        </w:tc>
        <w:tc>
          <w:tcPr>
            <w:tcW w:w="2700" w:type="dxa"/>
            <w:shd w:val="clear" w:color="auto" w:fill="auto"/>
            <w:vAlign w:val="center"/>
          </w:tcPr>
          <w:p w14:paraId="3032FA89" w14:textId="7F94CD01" w:rsidR="0084736E" w:rsidRPr="00781112" w:rsidRDefault="0084736E" w:rsidP="0084736E">
            <w:pPr>
              <w:jc w:val="center"/>
              <w:rPr>
                <w:b/>
                <w:color w:val="000000" w:themeColor="text1"/>
              </w:rPr>
            </w:pPr>
            <w:r w:rsidRPr="00781112">
              <w:rPr>
                <w:rFonts w:cs="Arial"/>
                <w:b/>
                <w:bCs/>
                <w:color w:val="000000" w:themeColor="text1"/>
                <w:szCs w:val="16"/>
              </w:rPr>
              <w:t>Grade HS</w:t>
            </w:r>
          </w:p>
        </w:tc>
      </w:tr>
      <w:tr w:rsidR="00DB4E16" w:rsidRPr="00781112" w14:paraId="33333988" w14:textId="77777777" w:rsidTr="008E4335">
        <w:tc>
          <w:tcPr>
            <w:tcW w:w="2695" w:type="dxa"/>
            <w:shd w:val="clear" w:color="auto" w:fill="auto"/>
          </w:tcPr>
          <w:p w14:paraId="7DC36ACB" w14:textId="0A898DD0" w:rsidR="00DB4E16" w:rsidRPr="00781112" w:rsidRDefault="00DB4E16" w:rsidP="00DB4E16">
            <w:pPr>
              <w:rPr>
                <w:b/>
                <w:color w:val="000000" w:themeColor="text1"/>
              </w:rPr>
            </w:pPr>
            <w:r w:rsidRPr="00781112">
              <w:rPr>
                <w:rFonts w:cs="Arial"/>
                <w:szCs w:val="16"/>
                <w:shd w:val="clear" w:color="auto" w:fill="FFFFFF"/>
              </w:rPr>
              <w:t xml:space="preserve">a. Children with IEPs who received a valid score and a proficiency level was assigned </w:t>
            </w:r>
            <w:r w:rsidRPr="0075451F">
              <w:rPr>
                <w:rFonts w:cs="Arial"/>
                <w:szCs w:val="16"/>
              </w:rPr>
              <w:t>for the alternate assessment</w:t>
            </w:r>
          </w:p>
        </w:tc>
        <w:tc>
          <w:tcPr>
            <w:tcW w:w="2700" w:type="dxa"/>
            <w:shd w:val="clear" w:color="auto" w:fill="auto"/>
            <w:vAlign w:val="center"/>
          </w:tcPr>
          <w:p w14:paraId="4CE4FB96" w14:textId="05360C1B" w:rsidR="00DB4E16" w:rsidRPr="00781112" w:rsidRDefault="00DB4E16" w:rsidP="008E4335">
            <w:pPr>
              <w:jc w:val="center"/>
              <w:rPr>
                <w:b/>
                <w:color w:val="000000" w:themeColor="text1"/>
              </w:rPr>
            </w:pPr>
            <w:r w:rsidRPr="009C5824">
              <w:rPr>
                <w:b/>
                <w:color w:val="000000" w:themeColor="text1"/>
              </w:rPr>
              <w:t>*</w:t>
            </w:r>
            <w:r w:rsidRPr="009C5824">
              <w:rPr>
                <w:b/>
                <w:color w:val="000000" w:themeColor="text1"/>
              </w:rPr>
              <w:fldChar w:fldCharType="begin"/>
            </w:r>
            <w:r w:rsidRPr="009C5824">
              <w:rPr>
                <w:b/>
                <w:color w:val="000000" w:themeColor="text1"/>
              </w:rPr>
              <w:instrText xml:space="preserve"> NOTEREF _Ref141819293 \f \h </w:instrText>
            </w:r>
            <w:r w:rsidR="008E4335">
              <w:rPr>
                <w:b/>
                <w:color w:val="000000" w:themeColor="text1"/>
              </w:rPr>
              <w:instrText xml:space="preserve"> \* MERGEFORMAT </w:instrText>
            </w:r>
            <w:r w:rsidRPr="009C5824">
              <w:rPr>
                <w:b/>
                <w:color w:val="000000" w:themeColor="text1"/>
              </w:rPr>
            </w:r>
            <w:r w:rsidRPr="009C5824">
              <w:rPr>
                <w:b/>
                <w:color w:val="000000" w:themeColor="text1"/>
              </w:rPr>
              <w:fldChar w:fldCharType="separate"/>
            </w:r>
            <w:r w:rsidRPr="009C5824">
              <w:rPr>
                <w:rStyle w:val="FootnoteReference"/>
              </w:rPr>
              <w:t>7</w:t>
            </w:r>
            <w:r w:rsidRPr="009C5824">
              <w:rPr>
                <w:b/>
                <w:color w:val="000000" w:themeColor="text1"/>
              </w:rPr>
              <w:fldChar w:fldCharType="end"/>
            </w:r>
          </w:p>
        </w:tc>
        <w:tc>
          <w:tcPr>
            <w:tcW w:w="2700" w:type="dxa"/>
            <w:shd w:val="clear" w:color="auto" w:fill="auto"/>
            <w:vAlign w:val="center"/>
          </w:tcPr>
          <w:p w14:paraId="07947D7E" w14:textId="0689DBE8" w:rsidR="00DB4E16" w:rsidRPr="00781112" w:rsidRDefault="00DB4E16" w:rsidP="008E4335">
            <w:pPr>
              <w:jc w:val="center"/>
              <w:rPr>
                <w:b/>
                <w:color w:val="000000" w:themeColor="text1"/>
              </w:rPr>
            </w:pPr>
            <w:r w:rsidRPr="009C5824">
              <w:rPr>
                <w:b/>
                <w:color w:val="000000" w:themeColor="text1"/>
              </w:rPr>
              <w:t>*</w:t>
            </w:r>
            <w:r w:rsidRPr="009C5824">
              <w:rPr>
                <w:b/>
                <w:color w:val="000000" w:themeColor="text1"/>
              </w:rPr>
              <w:fldChar w:fldCharType="begin"/>
            </w:r>
            <w:r w:rsidRPr="009C5824">
              <w:rPr>
                <w:b/>
                <w:color w:val="000000" w:themeColor="text1"/>
              </w:rPr>
              <w:instrText xml:space="preserve"> NOTEREF _Ref141819293 \f \h </w:instrText>
            </w:r>
            <w:r w:rsidR="008E4335">
              <w:rPr>
                <w:b/>
                <w:color w:val="000000" w:themeColor="text1"/>
              </w:rPr>
              <w:instrText xml:space="preserve"> \* MERGEFORMAT </w:instrText>
            </w:r>
            <w:r w:rsidRPr="009C5824">
              <w:rPr>
                <w:b/>
                <w:color w:val="000000" w:themeColor="text1"/>
              </w:rPr>
            </w:r>
            <w:r w:rsidRPr="009C5824">
              <w:rPr>
                <w:b/>
                <w:color w:val="000000" w:themeColor="text1"/>
              </w:rPr>
              <w:fldChar w:fldCharType="separate"/>
            </w:r>
            <w:r w:rsidRPr="009C5824">
              <w:rPr>
                <w:rStyle w:val="FootnoteReference"/>
              </w:rPr>
              <w:t>7</w:t>
            </w:r>
            <w:r w:rsidRPr="009C5824">
              <w:rPr>
                <w:b/>
                <w:color w:val="000000" w:themeColor="text1"/>
              </w:rPr>
              <w:fldChar w:fldCharType="end"/>
            </w:r>
          </w:p>
        </w:tc>
        <w:tc>
          <w:tcPr>
            <w:tcW w:w="2700" w:type="dxa"/>
            <w:shd w:val="clear" w:color="auto" w:fill="auto"/>
            <w:vAlign w:val="center"/>
          </w:tcPr>
          <w:p w14:paraId="669EEFA3" w14:textId="194786E9" w:rsidR="00DB4E16" w:rsidRPr="00781112" w:rsidRDefault="00DB4E16" w:rsidP="00DB4E16">
            <w:pPr>
              <w:jc w:val="center"/>
              <w:rPr>
                <w:b/>
                <w:color w:val="000000" w:themeColor="text1"/>
              </w:rPr>
            </w:pPr>
            <w:r w:rsidRPr="00781112">
              <w:rPr>
                <w:color w:val="000000" w:themeColor="text1"/>
              </w:rPr>
              <w:t>456</w:t>
            </w:r>
          </w:p>
        </w:tc>
      </w:tr>
      <w:tr w:rsidR="00DB4E16" w:rsidRPr="00781112" w14:paraId="7E58498F" w14:textId="77777777" w:rsidTr="008E4335">
        <w:tc>
          <w:tcPr>
            <w:tcW w:w="2695" w:type="dxa"/>
            <w:shd w:val="clear" w:color="auto" w:fill="auto"/>
          </w:tcPr>
          <w:p w14:paraId="4F32E0BC" w14:textId="3249207F" w:rsidR="00DB4E16" w:rsidRPr="00781112" w:rsidRDefault="00DB4E16" w:rsidP="00DB4E16">
            <w:pPr>
              <w:rPr>
                <w:b/>
                <w:color w:val="000000" w:themeColor="text1"/>
              </w:rPr>
            </w:pPr>
            <w:r w:rsidRPr="00781112">
              <w:rPr>
                <w:rFonts w:cs="Arial"/>
                <w:szCs w:val="16"/>
                <w:shd w:val="clear" w:color="auto" w:fill="FFFFFF"/>
              </w:rPr>
              <w:t>b. Children with IEPs in alternate assessment against alternate standards scored at or above proficient</w:t>
            </w:r>
          </w:p>
        </w:tc>
        <w:tc>
          <w:tcPr>
            <w:tcW w:w="2700" w:type="dxa"/>
            <w:shd w:val="clear" w:color="auto" w:fill="auto"/>
            <w:vAlign w:val="center"/>
          </w:tcPr>
          <w:p w14:paraId="6DE46D54" w14:textId="71C60B2D" w:rsidR="00DB4E16" w:rsidRPr="00781112" w:rsidRDefault="00DB4E16" w:rsidP="008E4335">
            <w:pPr>
              <w:jc w:val="center"/>
              <w:rPr>
                <w:b/>
                <w:color w:val="000000" w:themeColor="text1"/>
              </w:rPr>
            </w:pPr>
            <w:r w:rsidRPr="009C5824">
              <w:rPr>
                <w:b/>
                <w:color w:val="000000" w:themeColor="text1"/>
              </w:rPr>
              <w:t>*</w:t>
            </w:r>
            <w:r w:rsidRPr="009C5824">
              <w:rPr>
                <w:b/>
                <w:color w:val="000000" w:themeColor="text1"/>
              </w:rPr>
              <w:fldChar w:fldCharType="begin"/>
            </w:r>
            <w:r w:rsidRPr="009C5824">
              <w:rPr>
                <w:b/>
                <w:color w:val="000000" w:themeColor="text1"/>
              </w:rPr>
              <w:instrText xml:space="preserve"> NOTEREF _Ref141819293 \f \h </w:instrText>
            </w:r>
            <w:r w:rsidR="008E4335">
              <w:rPr>
                <w:b/>
                <w:color w:val="000000" w:themeColor="text1"/>
              </w:rPr>
              <w:instrText xml:space="preserve"> \* MERGEFORMAT </w:instrText>
            </w:r>
            <w:r w:rsidRPr="009C5824">
              <w:rPr>
                <w:b/>
                <w:color w:val="000000" w:themeColor="text1"/>
              </w:rPr>
            </w:r>
            <w:r w:rsidRPr="009C5824">
              <w:rPr>
                <w:b/>
                <w:color w:val="000000" w:themeColor="text1"/>
              </w:rPr>
              <w:fldChar w:fldCharType="separate"/>
            </w:r>
            <w:r w:rsidRPr="009C5824">
              <w:rPr>
                <w:rStyle w:val="FootnoteReference"/>
              </w:rPr>
              <w:t>7</w:t>
            </w:r>
            <w:r w:rsidRPr="009C5824">
              <w:rPr>
                <w:b/>
                <w:color w:val="000000" w:themeColor="text1"/>
              </w:rPr>
              <w:fldChar w:fldCharType="end"/>
            </w:r>
          </w:p>
        </w:tc>
        <w:tc>
          <w:tcPr>
            <w:tcW w:w="2700" w:type="dxa"/>
            <w:shd w:val="clear" w:color="auto" w:fill="auto"/>
            <w:vAlign w:val="center"/>
          </w:tcPr>
          <w:p w14:paraId="6F4311F8" w14:textId="55A7AA84" w:rsidR="00DB4E16" w:rsidRPr="00781112" w:rsidRDefault="00DB4E16" w:rsidP="008E4335">
            <w:pPr>
              <w:jc w:val="center"/>
              <w:rPr>
                <w:b/>
                <w:color w:val="000000" w:themeColor="text1"/>
              </w:rPr>
            </w:pPr>
            <w:r w:rsidRPr="009C5824">
              <w:rPr>
                <w:b/>
                <w:color w:val="000000" w:themeColor="text1"/>
              </w:rPr>
              <w:t>*</w:t>
            </w:r>
            <w:r w:rsidRPr="009C5824">
              <w:rPr>
                <w:b/>
                <w:color w:val="000000" w:themeColor="text1"/>
              </w:rPr>
              <w:fldChar w:fldCharType="begin"/>
            </w:r>
            <w:r w:rsidRPr="009C5824">
              <w:rPr>
                <w:b/>
                <w:color w:val="000000" w:themeColor="text1"/>
              </w:rPr>
              <w:instrText xml:space="preserve"> NOTEREF _Ref141819293 \f \h </w:instrText>
            </w:r>
            <w:r w:rsidR="008E4335">
              <w:rPr>
                <w:b/>
                <w:color w:val="000000" w:themeColor="text1"/>
              </w:rPr>
              <w:instrText xml:space="preserve"> \* MERGEFORMAT </w:instrText>
            </w:r>
            <w:r w:rsidRPr="009C5824">
              <w:rPr>
                <w:b/>
                <w:color w:val="000000" w:themeColor="text1"/>
              </w:rPr>
            </w:r>
            <w:r w:rsidRPr="009C5824">
              <w:rPr>
                <w:b/>
                <w:color w:val="000000" w:themeColor="text1"/>
              </w:rPr>
              <w:fldChar w:fldCharType="separate"/>
            </w:r>
            <w:r w:rsidRPr="009C5824">
              <w:rPr>
                <w:rStyle w:val="FootnoteReference"/>
              </w:rPr>
              <w:t>7</w:t>
            </w:r>
            <w:r w:rsidRPr="009C5824">
              <w:rPr>
                <w:b/>
                <w:color w:val="000000" w:themeColor="text1"/>
              </w:rPr>
              <w:fldChar w:fldCharType="end"/>
            </w:r>
          </w:p>
        </w:tc>
        <w:tc>
          <w:tcPr>
            <w:tcW w:w="2700" w:type="dxa"/>
            <w:shd w:val="clear" w:color="auto" w:fill="auto"/>
            <w:vAlign w:val="center"/>
          </w:tcPr>
          <w:p w14:paraId="7B154B01" w14:textId="7C106CF5" w:rsidR="00DB4E16" w:rsidRPr="00781112" w:rsidRDefault="00DB4E16" w:rsidP="00DB4E16">
            <w:pPr>
              <w:jc w:val="center"/>
              <w:rPr>
                <w:b/>
                <w:color w:val="000000" w:themeColor="text1"/>
              </w:rPr>
            </w:pPr>
            <w:r w:rsidRPr="00781112">
              <w:rPr>
                <w:color w:val="000000" w:themeColor="text1"/>
              </w:rPr>
              <w:t>76</w:t>
            </w:r>
          </w:p>
        </w:tc>
      </w:tr>
    </w:tbl>
    <w:p w14:paraId="56C37F05" w14:textId="77777777" w:rsidR="00241BD0" w:rsidRDefault="00241BD0" w:rsidP="004369B2">
      <w:pPr>
        <w:rPr>
          <w:color w:val="000000" w:themeColor="text1"/>
        </w:rPr>
      </w:pPr>
    </w:p>
    <w:p w14:paraId="4D8266F2" w14:textId="77777777" w:rsidR="00DB4E16" w:rsidRPr="00781112" w:rsidRDefault="00DB4E16" w:rsidP="004369B2">
      <w:pPr>
        <w:rPr>
          <w:color w:val="000000" w:themeColor="text1"/>
        </w:rPr>
      </w:pPr>
    </w:p>
    <w:p w14:paraId="0E0A129D" w14:textId="6716B156" w:rsidR="00BD7229" w:rsidRPr="00781112" w:rsidRDefault="0047313F" w:rsidP="004369B2">
      <w:pPr>
        <w:rPr>
          <w:b/>
          <w:color w:val="000000" w:themeColor="text1"/>
        </w:rPr>
      </w:pPr>
      <w:r>
        <w:rPr>
          <w:b/>
          <w:color w:val="000000" w:themeColor="text1"/>
        </w:rPr>
        <w:t>FFY 2021 SPP/APR Data: Reading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3CFFYAPRDATARLA"/>
      </w:tblPr>
      <w:tblGrid>
        <w:gridCol w:w="698"/>
        <w:gridCol w:w="1178"/>
        <w:gridCol w:w="1245"/>
        <w:gridCol w:w="1372"/>
        <w:gridCol w:w="1139"/>
        <w:gridCol w:w="1599"/>
        <w:gridCol w:w="1051"/>
        <w:gridCol w:w="1271"/>
        <w:gridCol w:w="1237"/>
      </w:tblGrid>
      <w:tr w:rsidR="00FA33C9" w:rsidRPr="00781112" w14:paraId="73241F59" w14:textId="77777777" w:rsidTr="00DB4E16">
        <w:trPr>
          <w:tblHeader/>
        </w:trPr>
        <w:tc>
          <w:tcPr>
            <w:tcW w:w="323" w:type="pct"/>
            <w:shd w:val="clear" w:color="auto" w:fill="auto"/>
            <w:vAlign w:val="bottom"/>
          </w:tcPr>
          <w:p w14:paraId="3378C689" w14:textId="77777777" w:rsidR="00FA33C9" w:rsidRPr="00781112" w:rsidRDefault="00FA33C9" w:rsidP="00FA33C9">
            <w:pPr>
              <w:jc w:val="center"/>
              <w:rPr>
                <w:b/>
                <w:color w:val="000000" w:themeColor="text1"/>
              </w:rPr>
            </w:pPr>
            <w:r w:rsidRPr="00781112">
              <w:rPr>
                <w:b/>
                <w:color w:val="000000" w:themeColor="text1"/>
              </w:rPr>
              <w:t>Group</w:t>
            </w:r>
          </w:p>
        </w:tc>
        <w:tc>
          <w:tcPr>
            <w:tcW w:w="546" w:type="pct"/>
            <w:shd w:val="clear" w:color="auto" w:fill="auto"/>
            <w:vAlign w:val="bottom"/>
          </w:tcPr>
          <w:p w14:paraId="34B96D6C" w14:textId="2E1BB354" w:rsidR="00FA33C9" w:rsidRPr="00781112" w:rsidRDefault="00FA33C9" w:rsidP="00FA33C9">
            <w:pPr>
              <w:jc w:val="center"/>
              <w:rPr>
                <w:b/>
                <w:color w:val="000000" w:themeColor="text1"/>
              </w:rPr>
            </w:pPr>
            <w:r w:rsidRPr="00781112">
              <w:rPr>
                <w:b/>
                <w:color w:val="000000" w:themeColor="text1"/>
              </w:rPr>
              <w:t>Group Name</w:t>
            </w:r>
          </w:p>
        </w:tc>
        <w:tc>
          <w:tcPr>
            <w:tcW w:w="577" w:type="pct"/>
            <w:shd w:val="clear" w:color="auto" w:fill="auto"/>
            <w:vAlign w:val="bottom"/>
          </w:tcPr>
          <w:p w14:paraId="3B6543C5" w14:textId="7737694B" w:rsidR="00FA33C9" w:rsidRPr="00781112" w:rsidRDefault="00FA33C9" w:rsidP="00FA33C9">
            <w:pPr>
              <w:jc w:val="center"/>
              <w:rPr>
                <w:b/>
                <w:color w:val="000000" w:themeColor="text1"/>
              </w:rPr>
            </w:pPr>
            <w:r w:rsidRPr="00781112">
              <w:rPr>
                <w:b/>
                <w:color w:val="000000" w:themeColor="text1"/>
              </w:rPr>
              <w:t>Number of Children with IEPs Scoring At or Above Proficient Against Alternate Academic Achievement Standards</w:t>
            </w:r>
          </w:p>
        </w:tc>
        <w:tc>
          <w:tcPr>
            <w:tcW w:w="636" w:type="pct"/>
            <w:shd w:val="clear" w:color="auto" w:fill="auto"/>
            <w:vAlign w:val="bottom"/>
          </w:tcPr>
          <w:p w14:paraId="36E5B9C7" w14:textId="23CF68D2" w:rsidR="00FA33C9" w:rsidRPr="00781112" w:rsidRDefault="00FA33C9" w:rsidP="00FA33C9">
            <w:pPr>
              <w:jc w:val="center"/>
              <w:rPr>
                <w:b/>
                <w:color w:val="000000" w:themeColor="text1"/>
              </w:rPr>
            </w:pPr>
            <w:r w:rsidRPr="00781112">
              <w:rPr>
                <w:b/>
                <w:color w:val="000000" w:themeColor="text1"/>
              </w:rPr>
              <w:t>Number of Children with IEPs who Received a Valid Score and for whom a Proficiency Level was Assigned for the Alternate Assessment</w:t>
            </w:r>
          </w:p>
        </w:tc>
        <w:tc>
          <w:tcPr>
            <w:tcW w:w="528" w:type="pct"/>
            <w:shd w:val="clear" w:color="auto" w:fill="auto"/>
            <w:vAlign w:val="bottom"/>
          </w:tcPr>
          <w:p w14:paraId="2614DFA3" w14:textId="6C9E1E29" w:rsidR="00FA33C9" w:rsidRPr="00073BD7" w:rsidRDefault="00FA33C9" w:rsidP="00FA33C9">
            <w:pPr>
              <w:jc w:val="center"/>
              <w:rPr>
                <w:b/>
                <w:bCs/>
                <w:color w:val="000000" w:themeColor="text1"/>
              </w:rPr>
            </w:pPr>
            <w:r w:rsidRPr="00073BD7">
              <w:rPr>
                <w:b/>
                <w:bCs/>
              </w:rPr>
              <w:t>FFY 2020 Data</w:t>
            </w:r>
          </w:p>
        </w:tc>
        <w:tc>
          <w:tcPr>
            <w:tcW w:w="741" w:type="pct"/>
            <w:shd w:val="clear" w:color="auto" w:fill="auto"/>
            <w:vAlign w:val="bottom"/>
          </w:tcPr>
          <w:p w14:paraId="09D4299D" w14:textId="08F7F6A5" w:rsidR="00FA33C9" w:rsidRPr="00073BD7" w:rsidRDefault="00FA33C9" w:rsidP="00FA33C9">
            <w:pPr>
              <w:jc w:val="center"/>
              <w:rPr>
                <w:b/>
                <w:bCs/>
                <w:color w:val="000000" w:themeColor="text1"/>
              </w:rPr>
            </w:pPr>
            <w:r w:rsidRPr="00073BD7">
              <w:rPr>
                <w:b/>
                <w:bCs/>
              </w:rPr>
              <w:t>FFY 2021 Target</w:t>
            </w:r>
          </w:p>
        </w:tc>
        <w:tc>
          <w:tcPr>
            <w:tcW w:w="487" w:type="pct"/>
            <w:shd w:val="clear" w:color="auto" w:fill="auto"/>
            <w:vAlign w:val="bottom"/>
          </w:tcPr>
          <w:p w14:paraId="2B4D24C2" w14:textId="2BBDD336" w:rsidR="00FA33C9" w:rsidRPr="00073BD7" w:rsidRDefault="00FA33C9" w:rsidP="00FA33C9">
            <w:pPr>
              <w:jc w:val="center"/>
              <w:rPr>
                <w:b/>
                <w:bCs/>
                <w:color w:val="000000" w:themeColor="text1"/>
              </w:rPr>
            </w:pPr>
            <w:r w:rsidRPr="00073BD7">
              <w:rPr>
                <w:b/>
                <w:bCs/>
              </w:rPr>
              <w:t>FFY 2021 Data</w:t>
            </w:r>
          </w:p>
        </w:tc>
        <w:tc>
          <w:tcPr>
            <w:tcW w:w="589" w:type="pct"/>
            <w:shd w:val="clear" w:color="auto" w:fill="auto"/>
            <w:vAlign w:val="bottom"/>
          </w:tcPr>
          <w:p w14:paraId="4987ED35" w14:textId="77777777" w:rsidR="00FA33C9" w:rsidRPr="00781112" w:rsidRDefault="00FA33C9" w:rsidP="00FA33C9">
            <w:pPr>
              <w:jc w:val="center"/>
              <w:rPr>
                <w:b/>
                <w:color w:val="000000" w:themeColor="text1"/>
              </w:rPr>
            </w:pPr>
            <w:r w:rsidRPr="00781112">
              <w:rPr>
                <w:b/>
                <w:color w:val="000000" w:themeColor="text1"/>
              </w:rPr>
              <w:t>Status</w:t>
            </w:r>
          </w:p>
        </w:tc>
        <w:tc>
          <w:tcPr>
            <w:tcW w:w="573" w:type="pct"/>
            <w:shd w:val="clear" w:color="auto" w:fill="auto"/>
            <w:vAlign w:val="bottom"/>
          </w:tcPr>
          <w:p w14:paraId="7EA3F612" w14:textId="77777777" w:rsidR="00FA33C9" w:rsidRPr="00781112" w:rsidRDefault="00FA33C9" w:rsidP="00FA33C9">
            <w:pPr>
              <w:jc w:val="center"/>
              <w:rPr>
                <w:b/>
                <w:color w:val="000000" w:themeColor="text1"/>
              </w:rPr>
            </w:pPr>
            <w:r w:rsidRPr="00781112">
              <w:rPr>
                <w:b/>
                <w:color w:val="000000" w:themeColor="text1"/>
              </w:rPr>
              <w:t>Slippage</w:t>
            </w:r>
          </w:p>
        </w:tc>
      </w:tr>
      <w:tr w:rsidR="00DB4E16" w:rsidRPr="00781112" w14:paraId="318B8AAD" w14:textId="77777777" w:rsidTr="00DB4E16">
        <w:tc>
          <w:tcPr>
            <w:tcW w:w="323" w:type="pct"/>
            <w:shd w:val="clear" w:color="auto" w:fill="auto"/>
            <w:vAlign w:val="center"/>
          </w:tcPr>
          <w:p w14:paraId="4BD3A1A0" w14:textId="77777777" w:rsidR="00DB4E16" w:rsidRPr="00781112" w:rsidRDefault="00DB4E16" w:rsidP="00DB4E16">
            <w:pPr>
              <w:pStyle w:val="Default"/>
              <w:jc w:val="center"/>
              <w:rPr>
                <w:rFonts w:eastAsiaTheme="minorHAnsi"/>
                <w:color w:val="000000" w:themeColor="text1"/>
                <w:sz w:val="16"/>
                <w:szCs w:val="16"/>
              </w:rPr>
            </w:pPr>
            <w:r w:rsidRPr="00781112">
              <w:rPr>
                <w:b/>
                <w:color w:val="000000" w:themeColor="text1"/>
                <w:sz w:val="16"/>
                <w:szCs w:val="16"/>
              </w:rPr>
              <w:t>A</w:t>
            </w:r>
          </w:p>
        </w:tc>
        <w:tc>
          <w:tcPr>
            <w:tcW w:w="546" w:type="pct"/>
            <w:shd w:val="clear" w:color="auto" w:fill="auto"/>
          </w:tcPr>
          <w:p w14:paraId="2D59B69E" w14:textId="71850FD0" w:rsidR="00DB4E16" w:rsidRPr="00781112" w:rsidDel="00DE5045" w:rsidRDefault="00DB4E16" w:rsidP="00DB4E16">
            <w:pPr>
              <w:jc w:val="center"/>
              <w:rPr>
                <w:rFonts w:cs="Arial"/>
                <w:color w:val="000000" w:themeColor="text1"/>
                <w:szCs w:val="16"/>
              </w:rPr>
            </w:pPr>
            <w:r w:rsidRPr="00781112">
              <w:rPr>
                <w:rFonts w:cs="Arial"/>
                <w:color w:val="000000" w:themeColor="text1"/>
                <w:szCs w:val="16"/>
              </w:rPr>
              <w:t>Grade 4</w:t>
            </w:r>
          </w:p>
        </w:tc>
        <w:tc>
          <w:tcPr>
            <w:tcW w:w="577" w:type="pct"/>
            <w:shd w:val="clear" w:color="auto" w:fill="auto"/>
          </w:tcPr>
          <w:p w14:paraId="10EC608D" w14:textId="33B796AB" w:rsidR="00DB4E16" w:rsidRPr="00781112" w:rsidRDefault="00DB4E16" w:rsidP="00DB4E16">
            <w:pPr>
              <w:jc w:val="center"/>
              <w:rPr>
                <w:rFonts w:cs="Arial"/>
                <w:color w:val="000000" w:themeColor="text1"/>
                <w:szCs w:val="16"/>
              </w:rPr>
            </w:pPr>
            <w:r w:rsidRPr="00481687">
              <w:rPr>
                <w:b/>
                <w:color w:val="000000" w:themeColor="text1"/>
              </w:rPr>
              <w:t>*</w:t>
            </w:r>
            <w:r w:rsidRPr="00481687">
              <w:rPr>
                <w:b/>
                <w:color w:val="000000" w:themeColor="text1"/>
              </w:rPr>
              <w:fldChar w:fldCharType="begin"/>
            </w:r>
            <w:r w:rsidRPr="00481687">
              <w:rPr>
                <w:b/>
                <w:color w:val="000000" w:themeColor="text1"/>
              </w:rPr>
              <w:instrText xml:space="preserve"> NOTEREF _Ref141819293 \f \h </w:instrText>
            </w:r>
            <w:r w:rsidRPr="00481687">
              <w:rPr>
                <w:b/>
                <w:color w:val="000000" w:themeColor="text1"/>
              </w:rPr>
            </w:r>
            <w:r w:rsidRPr="00481687">
              <w:rPr>
                <w:b/>
                <w:color w:val="000000" w:themeColor="text1"/>
              </w:rPr>
              <w:fldChar w:fldCharType="separate"/>
            </w:r>
            <w:r w:rsidRPr="00481687">
              <w:rPr>
                <w:rStyle w:val="FootnoteReference"/>
              </w:rPr>
              <w:t>7</w:t>
            </w:r>
            <w:r w:rsidRPr="00481687">
              <w:rPr>
                <w:b/>
                <w:color w:val="000000" w:themeColor="text1"/>
              </w:rPr>
              <w:fldChar w:fldCharType="end"/>
            </w:r>
          </w:p>
        </w:tc>
        <w:tc>
          <w:tcPr>
            <w:tcW w:w="636" w:type="pct"/>
            <w:shd w:val="clear" w:color="auto" w:fill="auto"/>
          </w:tcPr>
          <w:p w14:paraId="5740CA80" w14:textId="3AE8025A" w:rsidR="00DB4E16" w:rsidRPr="00781112" w:rsidRDefault="00DB4E16" w:rsidP="00DB4E16">
            <w:pPr>
              <w:jc w:val="center"/>
              <w:rPr>
                <w:rFonts w:cs="Arial"/>
                <w:color w:val="000000" w:themeColor="text1"/>
                <w:szCs w:val="16"/>
              </w:rPr>
            </w:pPr>
            <w:r w:rsidRPr="00481687">
              <w:rPr>
                <w:b/>
                <w:color w:val="000000" w:themeColor="text1"/>
              </w:rPr>
              <w:t>*</w:t>
            </w:r>
            <w:r w:rsidRPr="00481687">
              <w:rPr>
                <w:b/>
                <w:color w:val="000000" w:themeColor="text1"/>
              </w:rPr>
              <w:fldChar w:fldCharType="begin"/>
            </w:r>
            <w:r w:rsidRPr="00481687">
              <w:rPr>
                <w:b/>
                <w:color w:val="000000" w:themeColor="text1"/>
              </w:rPr>
              <w:instrText xml:space="preserve"> NOTEREF _Ref141819293 \f \h </w:instrText>
            </w:r>
            <w:r w:rsidRPr="00481687">
              <w:rPr>
                <w:b/>
                <w:color w:val="000000" w:themeColor="text1"/>
              </w:rPr>
            </w:r>
            <w:r w:rsidRPr="00481687">
              <w:rPr>
                <w:b/>
                <w:color w:val="000000" w:themeColor="text1"/>
              </w:rPr>
              <w:fldChar w:fldCharType="separate"/>
            </w:r>
            <w:r w:rsidRPr="00481687">
              <w:rPr>
                <w:rStyle w:val="FootnoteReference"/>
              </w:rPr>
              <w:t>7</w:t>
            </w:r>
            <w:r w:rsidRPr="00481687">
              <w:rPr>
                <w:b/>
                <w:color w:val="000000" w:themeColor="text1"/>
              </w:rPr>
              <w:fldChar w:fldCharType="end"/>
            </w:r>
          </w:p>
        </w:tc>
        <w:tc>
          <w:tcPr>
            <w:tcW w:w="528" w:type="pct"/>
            <w:shd w:val="clear" w:color="auto" w:fill="auto"/>
          </w:tcPr>
          <w:p w14:paraId="6BA58310" w14:textId="391F367C" w:rsidR="00DB4E16" w:rsidRPr="00781112" w:rsidRDefault="00DB4E16" w:rsidP="00DB4E16">
            <w:pPr>
              <w:jc w:val="center"/>
              <w:rPr>
                <w:rFonts w:cs="Arial"/>
                <w:color w:val="000000" w:themeColor="text1"/>
                <w:szCs w:val="16"/>
              </w:rPr>
            </w:pPr>
            <w:r w:rsidRPr="00781112">
              <w:rPr>
                <w:rFonts w:cs="Arial"/>
                <w:color w:val="000000" w:themeColor="text1"/>
                <w:szCs w:val="16"/>
              </w:rPr>
              <w:t>15.06%</w:t>
            </w:r>
          </w:p>
        </w:tc>
        <w:tc>
          <w:tcPr>
            <w:tcW w:w="741" w:type="pct"/>
            <w:shd w:val="clear" w:color="auto" w:fill="auto"/>
          </w:tcPr>
          <w:p w14:paraId="47A1F29A" w14:textId="0E923F64" w:rsidR="00DB4E16" w:rsidRPr="00781112" w:rsidRDefault="00DB4E16" w:rsidP="00DB4E16">
            <w:pPr>
              <w:jc w:val="center"/>
              <w:rPr>
                <w:rFonts w:cs="Arial"/>
                <w:color w:val="000000" w:themeColor="text1"/>
                <w:szCs w:val="16"/>
              </w:rPr>
            </w:pPr>
            <w:r w:rsidRPr="00781112">
              <w:rPr>
                <w:rFonts w:cs="Arial"/>
                <w:color w:val="000000" w:themeColor="text1"/>
                <w:szCs w:val="16"/>
              </w:rPr>
              <w:t>15.06%</w:t>
            </w:r>
          </w:p>
        </w:tc>
        <w:tc>
          <w:tcPr>
            <w:tcW w:w="487" w:type="pct"/>
            <w:shd w:val="clear" w:color="auto" w:fill="auto"/>
          </w:tcPr>
          <w:p w14:paraId="2AE4C61A" w14:textId="00EB4E29" w:rsidR="00DB4E16" w:rsidRPr="00781112" w:rsidRDefault="00DB4E16" w:rsidP="00DB4E16">
            <w:pPr>
              <w:jc w:val="center"/>
              <w:rPr>
                <w:rFonts w:cs="Arial"/>
                <w:color w:val="000000" w:themeColor="text1"/>
                <w:szCs w:val="16"/>
              </w:rPr>
            </w:pPr>
            <w:r w:rsidRPr="003C7825">
              <w:rPr>
                <w:b/>
                <w:color w:val="000000" w:themeColor="text1"/>
              </w:rPr>
              <w:t>*</w:t>
            </w:r>
            <w:r w:rsidRPr="003C7825">
              <w:rPr>
                <w:b/>
                <w:color w:val="000000" w:themeColor="text1"/>
              </w:rPr>
              <w:fldChar w:fldCharType="begin"/>
            </w:r>
            <w:r w:rsidRPr="003C7825">
              <w:rPr>
                <w:b/>
                <w:color w:val="000000" w:themeColor="text1"/>
              </w:rPr>
              <w:instrText xml:space="preserve"> NOTEREF _Ref141819293 \f \h </w:instrText>
            </w:r>
            <w:r w:rsidRPr="003C7825">
              <w:rPr>
                <w:b/>
                <w:color w:val="000000" w:themeColor="text1"/>
              </w:rPr>
            </w:r>
            <w:r w:rsidRPr="003C7825">
              <w:rPr>
                <w:b/>
                <w:color w:val="000000" w:themeColor="text1"/>
              </w:rPr>
              <w:fldChar w:fldCharType="separate"/>
            </w:r>
            <w:r w:rsidRPr="003C7825">
              <w:rPr>
                <w:rStyle w:val="FootnoteReference"/>
              </w:rPr>
              <w:t>7</w:t>
            </w:r>
            <w:r w:rsidRPr="003C7825">
              <w:rPr>
                <w:b/>
                <w:color w:val="000000" w:themeColor="text1"/>
              </w:rPr>
              <w:fldChar w:fldCharType="end"/>
            </w:r>
          </w:p>
        </w:tc>
        <w:tc>
          <w:tcPr>
            <w:tcW w:w="589" w:type="pct"/>
            <w:shd w:val="clear" w:color="auto" w:fill="auto"/>
          </w:tcPr>
          <w:p w14:paraId="2590AA37" w14:textId="2B2E3DAE" w:rsidR="00DB4E16" w:rsidRPr="00781112" w:rsidRDefault="00DB4E16" w:rsidP="00DB4E16">
            <w:pPr>
              <w:jc w:val="center"/>
              <w:rPr>
                <w:rFonts w:cs="Arial"/>
                <w:color w:val="000000" w:themeColor="text1"/>
                <w:szCs w:val="16"/>
              </w:rPr>
            </w:pPr>
            <w:r w:rsidRPr="00781112">
              <w:rPr>
                <w:rFonts w:cs="Arial"/>
                <w:color w:val="000000" w:themeColor="text1"/>
                <w:szCs w:val="16"/>
              </w:rPr>
              <w:t>Met target</w:t>
            </w:r>
          </w:p>
        </w:tc>
        <w:tc>
          <w:tcPr>
            <w:tcW w:w="573" w:type="pct"/>
            <w:shd w:val="clear" w:color="auto" w:fill="auto"/>
          </w:tcPr>
          <w:p w14:paraId="39DEC07F" w14:textId="70B28667" w:rsidR="00DB4E16" w:rsidRPr="00781112" w:rsidRDefault="00DB4E16" w:rsidP="00DB4E16">
            <w:pPr>
              <w:jc w:val="center"/>
              <w:rPr>
                <w:rFonts w:cs="Arial"/>
                <w:color w:val="000000" w:themeColor="text1"/>
                <w:szCs w:val="16"/>
              </w:rPr>
            </w:pPr>
            <w:r w:rsidRPr="00781112">
              <w:rPr>
                <w:rFonts w:cs="Arial"/>
                <w:color w:val="000000" w:themeColor="text1"/>
                <w:szCs w:val="16"/>
              </w:rPr>
              <w:t>N/A</w:t>
            </w:r>
          </w:p>
        </w:tc>
      </w:tr>
      <w:tr w:rsidR="00DB4E16" w:rsidRPr="00781112" w14:paraId="52B173E5" w14:textId="77777777" w:rsidTr="00DB4E16">
        <w:tc>
          <w:tcPr>
            <w:tcW w:w="323" w:type="pct"/>
            <w:shd w:val="clear" w:color="auto" w:fill="auto"/>
            <w:vAlign w:val="center"/>
          </w:tcPr>
          <w:p w14:paraId="5153CDB6" w14:textId="77777777" w:rsidR="00DB4E16" w:rsidRPr="00781112" w:rsidRDefault="00DB4E16" w:rsidP="00DB4E16">
            <w:pPr>
              <w:pStyle w:val="Default"/>
              <w:jc w:val="center"/>
              <w:rPr>
                <w:rFonts w:eastAsiaTheme="minorHAnsi"/>
                <w:color w:val="000000" w:themeColor="text1"/>
                <w:sz w:val="16"/>
                <w:szCs w:val="16"/>
              </w:rPr>
            </w:pPr>
            <w:r w:rsidRPr="00781112">
              <w:rPr>
                <w:b/>
                <w:color w:val="000000" w:themeColor="text1"/>
                <w:sz w:val="16"/>
                <w:szCs w:val="16"/>
              </w:rPr>
              <w:t>B</w:t>
            </w:r>
          </w:p>
        </w:tc>
        <w:tc>
          <w:tcPr>
            <w:tcW w:w="546" w:type="pct"/>
            <w:shd w:val="clear" w:color="auto" w:fill="auto"/>
          </w:tcPr>
          <w:p w14:paraId="137CEDF6" w14:textId="15D625F4" w:rsidR="00DB4E16" w:rsidRPr="00781112" w:rsidDel="00DE5045" w:rsidRDefault="00DB4E16" w:rsidP="00DB4E16">
            <w:pPr>
              <w:jc w:val="center"/>
              <w:rPr>
                <w:rFonts w:cs="Arial"/>
                <w:color w:val="000000" w:themeColor="text1"/>
                <w:szCs w:val="16"/>
              </w:rPr>
            </w:pPr>
            <w:r w:rsidRPr="00781112">
              <w:rPr>
                <w:rFonts w:cs="Arial"/>
                <w:color w:val="000000" w:themeColor="text1"/>
                <w:szCs w:val="16"/>
              </w:rPr>
              <w:t>Grade 8</w:t>
            </w:r>
          </w:p>
        </w:tc>
        <w:tc>
          <w:tcPr>
            <w:tcW w:w="577" w:type="pct"/>
            <w:shd w:val="clear" w:color="auto" w:fill="auto"/>
          </w:tcPr>
          <w:p w14:paraId="1707A82B" w14:textId="251BE9E0" w:rsidR="00DB4E16" w:rsidRPr="00781112" w:rsidRDefault="00DB4E16" w:rsidP="00DB4E16">
            <w:pPr>
              <w:jc w:val="center"/>
              <w:rPr>
                <w:rFonts w:cs="Arial"/>
                <w:color w:val="000000" w:themeColor="text1"/>
                <w:szCs w:val="16"/>
              </w:rPr>
            </w:pPr>
            <w:r w:rsidRPr="00481687">
              <w:rPr>
                <w:b/>
                <w:color w:val="000000" w:themeColor="text1"/>
              </w:rPr>
              <w:t>*</w:t>
            </w:r>
            <w:r w:rsidRPr="00481687">
              <w:rPr>
                <w:b/>
                <w:color w:val="000000" w:themeColor="text1"/>
              </w:rPr>
              <w:fldChar w:fldCharType="begin"/>
            </w:r>
            <w:r w:rsidRPr="00481687">
              <w:rPr>
                <w:b/>
                <w:color w:val="000000" w:themeColor="text1"/>
              </w:rPr>
              <w:instrText xml:space="preserve"> NOTEREF _Ref141819293 \f \h </w:instrText>
            </w:r>
            <w:r w:rsidRPr="00481687">
              <w:rPr>
                <w:b/>
                <w:color w:val="000000" w:themeColor="text1"/>
              </w:rPr>
            </w:r>
            <w:r w:rsidRPr="00481687">
              <w:rPr>
                <w:b/>
                <w:color w:val="000000" w:themeColor="text1"/>
              </w:rPr>
              <w:fldChar w:fldCharType="separate"/>
            </w:r>
            <w:r w:rsidRPr="00481687">
              <w:rPr>
                <w:rStyle w:val="FootnoteReference"/>
              </w:rPr>
              <w:t>7</w:t>
            </w:r>
            <w:r w:rsidRPr="00481687">
              <w:rPr>
                <w:b/>
                <w:color w:val="000000" w:themeColor="text1"/>
              </w:rPr>
              <w:fldChar w:fldCharType="end"/>
            </w:r>
          </w:p>
        </w:tc>
        <w:tc>
          <w:tcPr>
            <w:tcW w:w="636" w:type="pct"/>
            <w:shd w:val="clear" w:color="auto" w:fill="auto"/>
          </w:tcPr>
          <w:p w14:paraId="1BCB466D" w14:textId="71AF1793" w:rsidR="00DB4E16" w:rsidRPr="00781112" w:rsidRDefault="00DB4E16" w:rsidP="00DB4E16">
            <w:pPr>
              <w:jc w:val="center"/>
              <w:rPr>
                <w:rFonts w:cs="Arial"/>
                <w:color w:val="000000" w:themeColor="text1"/>
                <w:szCs w:val="16"/>
              </w:rPr>
            </w:pPr>
            <w:r w:rsidRPr="00481687">
              <w:rPr>
                <w:b/>
                <w:color w:val="000000" w:themeColor="text1"/>
              </w:rPr>
              <w:t>*</w:t>
            </w:r>
            <w:r w:rsidRPr="00481687">
              <w:rPr>
                <w:b/>
                <w:color w:val="000000" w:themeColor="text1"/>
              </w:rPr>
              <w:fldChar w:fldCharType="begin"/>
            </w:r>
            <w:r w:rsidRPr="00481687">
              <w:rPr>
                <w:b/>
                <w:color w:val="000000" w:themeColor="text1"/>
              </w:rPr>
              <w:instrText xml:space="preserve"> NOTEREF _Ref141819293 \f \h </w:instrText>
            </w:r>
            <w:r w:rsidRPr="00481687">
              <w:rPr>
                <w:b/>
                <w:color w:val="000000" w:themeColor="text1"/>
              </w:rPr>
            </w:r>
            <w:r w:rsidRPr="00481687">
              <w:rPr>
                <w:b/>
                <w:color w:val="000000" w:themeColor="text1"/>
              </w:rPr>
              <w:fldChar w:fldCharType="separate"/>
            </w:r>
            <w:r w:rsidRPr="00481687">
              <w:rPr>
                <w:rStyle w:val="FootnoteReference"/>
              </w:rPr>
              <w:t>7</w:t>
            </w:r>
            <w:r w:rsidRPr="00481687">
              <w:rPr>
                <w:b/>
                <w:color w:val="000000" w:themeColor="text1"/>
              </w:rPr>
              <w:fldChar w:fldCharType="end"/>
            </w:r>
          </w:p>
        </w:tc>
        <w:tc>
          <w:tcPr>
            <w:tcW w:w="528" w:type="pct"/>
            <w:shd w:val="clear" w:color="auto" w:fill="auto"/>
          </w:tcPr>
          <w:p w14:paraId="60597E0A" w14:textId="4D673C7B" w:rsidR="00DB4E16" w:rsidRPr="00781112" w:rsidRDefault="00DB4E16" w:rsidP="00DB4E16">
            <w:pPr>
              <w:jc w:val="center"/>
              <w:rPr>
                <w:rFonts w:cs="Arial"/>
                <w:color w:val="000000" w:themeColor="text1"/>
                <w:szCs w:val="16"/>
              </w:rPr>
            </w:pPr>
            <w:r w:rsidRPr="00781112">
              <w:rPr>
                <w:rFonts w:cs="Arial"/>
                <w:color w:val="000000" w:themeColor="text1"/>
                <w:szCs w:val="16"/>
              </w:rPr>
              <w:t>23.74%</w:t>
            </w:r>
          </w:p>
        </w:tc>
        <w:tc>
          <w:tcPr>
            <w:tcW w:w="741" w:type="pct"/>
            <w:shd w:val="clear" w:color="auto" w:fill="auto"/>
          </w:tcPr>
          <w:p w14:paraId="6445398C" w14:textId="393A6DFD" w:rsidR="00DB4E16" w:rsidRPr="00781112" w:rsidRDefault="00DB4E16" w:rsidP="00DB4E16">
            <w:pPr>
              <w:jc w:val="center"/>
              <w:rPr>
                <w:rFonts w:cs="Arial"/>
                <w:color w:val="000000" w:themeColor="text1"/>
                <w:szCs w:val="16"/>
              </w:rPr>
            </w:pPr>
            <w:r w:rsidRPr="00781112">
              <w:rPr>
                <w:rFonts w:cs="Arial"/>
                <w:color w:val="000000" w:themeColor="text1"/>
                <w:szCs w:val="16"/>
              </w:rPr>
              <w:t>23.74%</w:t>
            </w:r>
          </w:p>
        </w:tc>
        <w:tc>
          <w:tcPr>
            <w:tcW w:w="487" w:type="pct"/>
            <w:shd w:val="clear" w:color="auto" w:fill="auto"/>
          </w:tcPr>
          <w:p w14:paraId="4EBD899F" w14:textId="5E22314A" w:rsidR="00DB4E16" w:rsidRPr="00781112" w:rsidRDefault="00DB4E16" w:rsidP="00DB4E16">
            <w:pPr>
              <w:jc w:val="center"/>
              <w:rPr>
                <w:rFonts w:cs="Arial"/>
                <w:color w:val="000000" w:themeColor="text1"/>
                <w:szCs w:val="16"/>
              </w:rPr>
            </w:pPr>
            <w:r w:rsidRPr="003C7825">
              <w:rPr>
                <w:b/>
                <w:color w:val="000000" w:themeColor="text1"/>
              </w:rPr>
              <w:t>*</w:t>
            </w:r>
            <w:r w:rsidRPr="003C7825">
              <w:rPr>
                <w:b/>
                <w:color w:val="000000" w:themeColor="text1"/>
              </w:rPr>
              <w:fldChar w:fldCharType="begin"/>
            </w:r>
            <w:r w:rsidRPr="003C7825">
              <w:rPr>
                <w:b/>
                <w:color w:val="000000" w:themeColor="text1"/>
              </w:rPr>
              <w:instrText xml:space="preserve"> NOTEREF _Ref141819293 \f \h </w:instrText>
            </w:r>
            <w:r w:rsidRPr="003C7825">
              <w:rPr>
                <w:b/>
                <w:color w:val="000000" w:themeColor="text1"/>
              </w:rPr>
            </w:r>
            <w:r w:rsidRPr="003C7825">
              <w:rPr>
                <w:b/>
                <w:color w:val="000000" w:themeColor="text1"/>
              </w:rPr>
              <w:fldChar w:fldCharType="separate"/>
            </w:r>
            <w:r w:rsidRPr="003C7825">
              <w:rPr>
                <w:rStyle w:val="FootnoteReference"/>
              </w:rPr>
              <w:t>7</w:t>
            </w:r>
            <w:r w:rsidRPr="003C7825">
              <w:rPr>
                <w:b/>
                <w:color w:val="000000" w:themeColor="text1"/>
              </w:rPr>
              <w:fldChar w:fldCharType="end"/>
            </w:r>
          </w:p>
        </w:tc>
        <w:tc>
          <w:tcPr>
            <w:tcW w:w="589" w:type="pct"/>
            <w:shd w:val="clear" w:color="auto" w:fill="auto"/>
          </w:tcPr>
          <w:p w14:paraId="585589D4" w14:textId="6C3ED8A0" w:rsidR="00DB4E16" w:rsidRPr="00781112" w:rsidRDefault="00DB4E16" w:rsidP="00DB4E16">
            <w:pPr>
              <w:jc w:val="center"/>
              <w:rPr>
                <w:rFonts w:cs="Arial"/>
                <w:color w:val="000000" w:themeColor="text1"/>
                <w:szCs w:val="16"/>
              </w:rPr>
            </w:pPr>
            <w:r w:rsidRPr="00781112">
              <w:rPr>
                <w:rFonts w:cs="Arial"/>
                <w:color w:val="000000" w:themeColor="text1"/>
                <w:szCs w:val="16"/>
              </w:rPr>
              <w:t>Met target</w:t>
            </w:r>
          </w:p>
        </w:tc>
        <w:tc>
          <w:tcPr>
            <w:tcW w:w="573" w:type="pct"/>
            <w:shd w:val="clear" w:color="auto" w:fill="auto"/>
          </w:tcPr>
          <w:p w14:paraId="64956786" w14:textId="4047CECE" w:rsidR="00DB4E16" w:rsidRPr="00781112" w:rsidRDefault="00DB4E16" w:rsidP="00DB4E16">
            <w:pPr>
              <w:jc w:val="center"/>
              <w:rPr>
                <w:rFonts w:cs="Arial"/>
                <w:color w:val="000000" w:themeColor="text1"/>
                <w:szCs w:val="16"/>
              </w:rPr>
            </w:pPr>
            <w:r w:rsidRPr="00781112">
              <w:rPr>
                <w:rFonts w:cs="Arial"/>
                <w:color w:val="000000" w:themeColor="text1"/>
                <w:szCs w:val="16"/>
              </w:rPr>
              <w:t>N/A</w:t>
            </w:r>
          </w:p>
        </w:tc>
      </w:tr>
      <w:tr w:rsidR="00566725" w:rsidRPr="00781112" w14:paraId="3EA2EA1E" w14:textId="77777777" w:rsidTr="00DB4E16">
        <w:tc>
          <w:tcPr>
            <w:tcW w:w="323" w:type="pct"/>
            <w:shd w:val="clear" w:color="auto" w:fill="auto"/>
            <w:vAlign w:val="center"/>
          </w:tcPr>
          <w:p w14:paraId="7CB7E776" w14:textId="77777777" w:rsidR="00566725" w:rsidRPr="00781112" w:rsidRDefault="00566725" w:rsidP="00566725">
            <w:pPr>
              <w:pStyle w:val="Default"/>
              <w:jc w:val="center"/>
              <w:rPr>
                <w:rFonts w:eastAsiaTheme="minorHAnsi"/>
                <w:color w:val="000000" w:themeColor="text1"/>
                <w:sz w:val="16"/>
                <w:szCs w:val="16"/>
              </w:rPr>
            </w:pPr>
            <w:r w:rsidRPr="00781112">
              <w:rPr>
                <w:b/>
                <w:color w:val="000000" w:themeColor="text1"/>
                <w:sz w:val="16"/>
                <w:szCs w:val="16"/>
              </w:rPr>
              <w:t>C</w:t>
            </w:r>
          </w:p>
        </w:tc>
        <w:tc>
          <w:tcPr>
            <w:tcW w:w="546" w:type="pct"/>
            <w:shd w:val="clear" w:color="auto" w:fill="auto"/>
          </w:tcPr>
          <w:p w14:paraId="260DAFBC" w14:textId="292387CD" w:rsidR="00566725" w:rsidRPr="00781112" w:rsidDel="00DE5045" w:rsidRDefault="00566725" w:rsidP="00566725">
            <w:pPr>
              <w:jc w:val="center"/>
              <w:rPr>
                <w:rFonts w:cs="Arial"/>
                <w:color w:val="000000" w:themeColor="text1"/>
                <w:szCs w:val="16"/>
              </w:rPr>
            </w:pPr>
            <w:r w:rsidRPr="00781112">
              <w:rPr>
                <w:rFonts w:cs="Arial"/>
                <w:color w:val="000000" w:themeColor="text1"/>
                <w:szCs w:val="16"/>
              </w:rPr>
              <w:t>Grade HS</w:t>
            </w:r>
          </w:p>
        </w:tc>
        <w:tc>
          <w:tcPr>
            <w:tcW w:w="577" w:type="pct"/>
            <w:shd w:val="clear" w:color="auto" w:fill="auto"/>
          </w:tcPr>
          <w:p w14:paraId="3637A0D0" w14:textId="4E467DC1" w:rsidR="00566725" w:rsidRPr="00781112" w:rsidRDefault="00566725" w:rsidP="00566725">
            <w:pPr>
              <w:jc w:val="center"/>
              <w:rPr>
                <w:rFonts w:cs="Arial"/>
                <w:color w:val="000000" w:themeColor="text1"/>
                <w:szCs w:val="16"/>
              </w:rPr>
            </w:pPr>
            <w:r w:rsidRPr="00781112">
              <w:rPr>
                <w:rFonts w:cs="Arial"/>
                <w:color w:val="000000" w:themeColor="text1"/>
                <w:szCs w:val="16"/>
              </w:rPr>
              <w:t>109</w:t>
            </w:r>
          </w:p>
        </w:tc>
        <w:tc>
          <w:tcPr>
            <w:tcW w:w="636" w:type="pct"/>
            <w:shd w:val="clear" w:color="auto" w:fill="auto"/>
          </w:tcPr>
          <w:p w14:paraId="0F212AA6" w14:textId="77E5B78D" w:rsidR="00566725" w:rsidRPr="00781112" w:rsidRDefault="00566725" w:rsidP="00566725">
            <w:pPr>
              <w:jc w:val="center"/>
              <w:rPr>
                <w:rFonts w:cs="Arial"/>
                <w:color w:val="000000" w:themeColor="text1"/>
                <w:szCs w:val="16"/>
              </w:rPr>
            </w:pPr>
            <w:r>
              <w:rPr>
                <w:rFonts w:cs="Arial"/>
                <w:color w:val="000000"/>
                <w:szCs w:val="16"/>
              </w:rPr>
              <w:t>454</w:t>
            </w:r>
          </w:p>
        </w:tc>
        <w:tc>
          <w:tcPr>
            <w:tcW w:w="528" w:type="pct"/>
            <w:shd w:val="clear" w:color="auto" w:fill="auto"/>
          </w:tcPr>
          <w:p w14:paraId="066DE90A" w14:textId="5EE6838D" w:rsidR="00566725" w:rsidRPr="00781112" w:rsidRDefault="00566725" w:rsidP="00566725">
            <w:pPr>
              <w:jc w:val="center"/>
              <w:rPr>
                <w:rFonts w:cs="Arial"/>
                <w:color w:val="000000" w:themeColor="text1"/>
                <w:szCs w:val="16"/>
              </w:rPr>
            </w:pPr>
            <w:r w:rsidRPr="00781112">
              <w:rPr>
                <w:rFonts w:cs="Arial"/>
                <w:color w:val="000000" w:themeColor="text1"/>
                <w:szCs w:val="16"/>
              </w:rPr>
              <w:t>29.43%</w:t>
            </w:r>
          </w:p>
        </w:tc>
        <w:tc>
          <w:tcPr>
            <w:tcW w:w="741" w:type="pct"/>
            <w:shd w:val="clear" w:color="auto" w:fill="auto"/>
          </w:tcPr>
          <w:p w14:paraId="4191EA17" w14:textId="17F82057" w:rsidR="00566725" w:rsidRPr="00781112" w:rsidRDefault="00566725" w:rsidP="00566725">
            <w:pPr>
              <w:jc w:val="center"/>
              <w:rPr>
                <w:rFonts w:cs="Arial"/>
                <w:color w:val="000000" w:themeColor="text1"/>
                <w:szCs w:val="16"/>
              </w:rPr>
            </w:pPr>
            <w:r w:rsidRPr="00781112">
              <w:rPr>
                <w:rFonts w:cs="Arial"/>
                <w:color w:val="000000" w:themeColor="text1"/>
                <w:szCs w:val="16"/>
              </w:rPr>
              <w:t>29.43%</w:t>
            </w:r>
          </w:p>
        </w:tc>
        <w:tc>
          <w:tcPr>
            <w:tcW w:w="487" w:type="pct"/>
            <w:shd w:val="clear" w:color="auto" w:fill="auto"/>
          </w:tcPr>
          <w:p w14:paraId="15CE5CCF" w14:textId="00F68E62" w:rsidR="00566725" w:rsidRPr="00781112" w:rsidRDefault="00566725" w:rsidP="00566725">
            <w:pPr>
              <w:jc w:val="center"/>
              <w:rPr>
                <w:rFonts w:cs="Arial"/>
                <w:color w:val="000000" w:themeColor="text1"/>
                <w:szCs w:val="16"/>
              </w:rPr>
            </w:pPr>
            <w:r w:rsidRPr="00781112">
              <w:rPr>
                <w:rFonts w:cs="Arial"/>
                <w:color w:val="000000" w:themeColor="text1"/>
                <w:szCs w:val="16"/>
              </w:rPr>
              <w:t>24.01%</w:t>
            </w:r>
          </w:p>
        </w:tc>
        <w:tc>
          <w:tcPr>
            <w:tcW w:w="589" w:type="pct"/>
            <w:shd w:val="clear" w:color="auto" w:fill="auto"/>
          </w:tcPr>
          <w:p w14:paraId="28CB2C9E" w14:textId="4F0EF91A" w:rsidR="00566725" w:rsidRPr="00781112" w:rsidRDefault="00566725" w:rsidP="00566725">
            <w:pPr>
              <w:jc w:val="center"/>
              <w:rPr>
                <w:rFonts w:cs="Arial"/>
                <w:color w:val="000000" w:themeColor="text1"/>
                <w:szCs w:val="16"/>
              </w:rPr>
            </w:pPr>
            <w:r w:rsidRPr="00781112">
              <w:rPr>
                <w:rFonts w:cs="Arial"/>
                <w:color w:val="000000" w:themeColor="text1"/>
                <w:szCs w:val="16"/>
              </w:rPr>
              <w:t>Did not meet target</w:t>
            </w:r>
          </w:p>
        </w:tc>
        <w:tc>
          <w:tcPr>
            <w:tcW w:w="573" w:type="pct"/>
            <w:shd w:val="clear" w:color="auto" w:fill="auto"/>
          </w:tcPr>
          <w:p w14:paraId="157B84D0" w14:textId="0B58E631" w:rsidR="00566725" w:rsidRPr="00781112" w:rsidRDefault="00566725" w:rsidP="00566725">
            <w:pPr>
              <w:jc w:val="center"/>
              <w:rPr>
                <w:rFonts w:cs="Arial"/>
                <w:color w:val="000000" w:themeColor="text1"/>
                <w:szCs w:val="16"/>
              </w:rPr>
            </w:pPr>
            <w:r w:rsidRPr="00781112">
              <w:rPr>
                <w:rFonts w:cs="Arial"/>
                <w:color w:val="000000" w:themeColor="text1"/>
                <w:szCs w:val="16"/>
              </w:rPr>
              <w:t>Slippage</w:t>
            </w:r>
          </w:p>
        </w:tc>
      </w:tr>
    </w:tbl>
    <w:p w14:paraId="030DB68B" w14:textId="77777777" w:rsidR="00445640" w:rsidRPr="00781112" w:rsidRDefault="00445640" w:rsidP="00445640">
      <w:pPr>
        <w:rPr>
          <w:b/>
          <w:color w:val="000000" w:themeColor="text1"/>
        </w:rPr>
      </w:pPr>
      <w:r w:rsidRPr="00781112">
        <w:rPr>
          <w:b/>
          <w:color w:val="000000" w:themeColor="text1"/>
        </w:rPr>
        <w:t>Provide reasons for slippage for Group C, if applicable</w:t>
      </w:r>
    </w:p>
    <w:p w14:paraId="402097F6" w14:textId="77777777" w:rsidR="00445640" w:rsidRPr="00781112" w:rsidRDefault="00445640" w:rsidP="00445640">
      <w:pPr>
        <w:rPr>
          <w:rFonts w:cs="Arial"/>
          <w:color w:val="000000" w:themeColor="text1"/>
          <w:szCs w:val="16"/>
        </w:rPr>
      </w:pPr>
    </w:p>
    <w:p w14:paraId="6B5F25BF" w14:textId="77777777" w:rsidR="00DB4E16" w:rsidRDefault="00DB4E16">
      <w:pPr>
        <w:spacing w:before="0" w:after="200" w:line="276" w:lineRule="auto"/>
        <w:rPr>
          <w:color w:val="000000" w:themeColor="text1"/>
        </w:rPr>
      </w:pPr>
      <w:r>
        <w:rPr>
          <w:color w:val="000000" w:themeColor="text1"/>
        </w:rPr>
        <w:br w:type="page"/>
      </w:r>
    </w:p>
    <w:p w14:paraId="73E73F7F" w14:textId="1D8751F0" w:rsidR="00BD7229" w:rsidRPr="00781112" w:rsidRDefault="0047313F" w:rsidP="004369B2">
      <w:pPr>
        <w:rPr>
          <w:b/>
          <w:color w:val="000000" w:themeColor="text1"/>
        </w:rPr>
      </w:pPr>
      <w:r>
        <w:rPr>
          <w:b/>
          <w:color w:val="000000" w:themeColor="text1"/>
        </w:rPr>
        <w:lastRenderedPageBreak/>
        <w:t>FFY 2021 SPP/APR Data: Math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3CFFYAPRDATAMATHASS"/>
      </w:tblPr>
      <w:tblGrid>
        <w:gridCol w:w="698"/>
        <w:gridCol w:w="1187"/>
        <w:gridCol w:w="1245"/>
        <w:gridCol w:w="1370"/>
        <w:gridCol w:w="1139"/>
        <w:gridCol w:w="1595"/>
        <w:gridCol w:w="1051"/>
        <w:gridCol w:w="1271"/>
        <w:gridCol w:w="1234"/>
      </w:tblGrid>
      <w:tr w:rsidR="00FA33C9" w:rsidRPr="00781112" w14:paraId="2361B602" w14:textId="77777777" w:rsidTr="008E4335">
        <w:trPr>
          <w:tblHeader/>
        </w:trPr>
        <w:tc>
          <w:tcPr>
            <w:tcW w:w="323" w:type="pct"/>
            <w:shd w:val="clear" w:color="auto" w:fill="auto"/>
            <w:vAlign w:val="bottom"/>
          </w:tcPr>
          <w:p w14:paraId="097BD4DD" w14:textId="77777777" w:rsidR="00FA33C9" w:rsidRPr="00781112" w:rsidRDefault="00FA33C9" w:rsidP="00FA33C9">
            <w:pPr>
              <w:jc w:val="center"/>
              <w:rPr>
                <w:b/>
                <w:color w:val="000000" w:themeColor="text1"/>
              </w:rPr>
            </w:pPr>
            <w:r w:rsidRPr="00781112">
              <w:rPr>
                <w:b/>
                <w:color w:val="000000" w:themeColor="text1"/>
              </w:rPr>
              <w:t>Group</w:t>
            </w:r>
          </w:p>
        </w:tc>
        <w:tc>
          <w:tcPr>
            <w:tcW w:w="550" w:type="pct"/>
            <w:shd w:val="clear" w:color="auto" w:fill="auto"/>
            <w:vAlign w:val="bottom"/>
          </w:tcPr>
          <w:p w14:paraId="221D62AE" w14:textId="46B1DC14" w:rsidR="00FA33C9" w:rsidRPr="00781112" w:rsidRDefault="00FA33C9" w:rsidP="00FA33C9">
            <w:pPr>
              <w:jc w:val="center"/>
              <w:rPr>
                <w:b/>
                <w:color w:val="000000" w:themeColor="text1"/>
              </w:rPr>
            </w:pPr>
            <w:r w:rsidRPr="00781112">
              <w:rPr>
                <w:b/>
                <w:color w:val="000000" w:themeColor="text1"/>
              </w:rPr>
              <w:t>Group Name</w:t>
            </w:r>
          </w:p>
        </w:tc>
        <w:tc>
          <w:tcPr>
            <w:tcW w:w="577" w:type="pct"/>
            <w:shd w:val="clear" w:color="auto" w:fill="auto"/>
            <w:vAlign w:val="bottom"/>
          </w:tcPr>
          <w:p w14:paraId="6EA1E126" w14:textId="66F4FC74" w:rsidR="00FA33C9" w:rsidRPr="00781112" w:rsidRDefault="00FA33C9" w:rsidP="00FA33C9">
            <w:pPr>
              <w:jc w:val="center"/>
              <w:rPr>
                <w:b/>
                <w:color w:val="000000" w:themeColor="text1"/>
              </w:rPr>
            </w:pPr>
            <w:r w:rsidRPr="00781112">
              <w:rPr>
                <w:b/>
                <w:color w:val="000000" w:themeColor="text1"/>
              </w:rPr>
              <w:t>Number of Children with IEPs Scoring At or Above Proficient Against Alternate Academic Achievement Standards</w:t>
            </w:r>
          </w:p>
        </w:tc>
        <w:tc>
          <w:tcPr>
            <w:tcW w:w="635" w:type="pct"/>
            <w:shd w:val="clear" w:color="auto" w:fill="auto"/>
            <w:vAlign w:val="bottom"/>
          </w:tcPr>
          <w:p w14:paraId="534757DA" w14:textId="5F85E8DF" w:rsidR="00FA33C9" w:rsidRPr="00781112" w:rsidRDefault="00FA33C9" w:rsidP="00FA33C9">
            <w:pPr>
              <w:jc w:val="center"/>
              <w:rPr>
                <w:b/>
                <w:color w:val="000000" w:themeColor="text1"/>
              </w:rPr>
            </w:pPr>
            <w:r w:rsidRPr="00781112">
              <w:rPr>
                <w:b/>
                <w:color w:val="000000" w:themeColor="text1"/>
              </w:rPr>
              <w:t>Number of Children with IEPs who Received a Valid Score and for whom a Proficiency Level was Assigned for the Alternate Assessment</w:t>
            </w:r>
          </w:p>
        </w:tc>
        <w:tc>
          <w:tcPr>
            <w:tcW w:w="528" w:type="pct"/>
            <w:shd w:val="clear" w:color="auto" w:fill="auto"/>
            <w:vAlign w:val="bottom"/>
          </w:tcPr>
          <w:p w14:paraId="73023982" w14:textId="75774783" w:rsidR="00FA33C9" w:rsidRPr="00073BD7" w:rsidRDefault="00FA33C9" w:rsidP="00FA33C9">
            <w:pPr>
              <w:jc w:val="center"/>
              <w:rPr>
                <w:b/>
                <w:bCs/>
                <w:color w:val="000000" w:themeColor="text1"/>
              </w:rPr>
            </w:pPr>
            <w:r w:rsidRPr="00073BD7">
              <w:rPr>
                <w:b/>
                <w:bCs/>
              </w:rPr>
              <w:t>FFY 2020 Data</w:t>
            </w:r>
          </w:p>
        </w:tc>
        <w:tc>
          <w:tcPr>
            <w:tcW w:w="739" w:type="pct"/>
            <w:shd w:val="clear" w:color="auto" w:fill="auto"/>
            <w:vAlign w:val="bottom"/>
          </w:tcPr>
          <w:p w14:paraId="37651EF9" w14:textId="7BFF61C6" w:rsidR="00FA33C9" w:rsidRPr="00073BD7" w:rsidRDefault="00FA33C9" w:rsidP="00FA33C9">
            <w:pPr>
              <w:jc w:val="center"/>
              <w:rPr>
                <w:b/>
                <w:bCs/>
                <w:color w:val="000000" w:themeColor="text1"/>
              </w:rPr>
            </w:pPr>
            <w:r w:rsidRPr="00073BD7">
              <w:rPr>
                <w:b/>
                <w:bCs/>
              </w:rPr>
              <w:t>FFY 2021 Target</w:t>
            </w:r>
          </w:p>
        </w:tc>
        <w:tc>
          <w:tcPr>
            <w:tcW w:w="487" w:type="pct"/>
            <w:shd w:val="clear" w:color="auto" w:fill="auto"/>
            <w:vAlign w:val="bottom"/>
          </w:tcPr>
          <w:p w14:paraId="3D61FBEB" w14:textId="0F56EC6F" w:rsidR="00FA33C9" w:rsidRPr="00073BD7" w:rsidRDefault="00FA33C9" w:rsidP="00FA33C9">
            <w:pPr>
              <w:jc w:val="center"/>
              <w:rPr>
                <w:b/>
                <w:bCs/>
                <w:color w:val="000000" w:themeColor="text1"/>
              </w:rPr>
            </w:pPr>
            <w:r w:rsidRPr="00073BD7">
              <w:rPr>
                <w:b/>
                <w:bCs/>
              </w:rPr>
              <w:t>FFY 2021 Data</w:t>
            </w:r>
          </w:p>
        </w:tc>
        <w:tc>
          <w:tcPr>
            <w:tcW w:w="589" w:type="pct"/>
            <w:shd w:val="clear" w:color="auto" w:fill="auto"/>
            <w:vAlign w:val="bottom"/>
          </w:tcPr>
          <w:p w14:paraId="730A2874" w14:textId="77777777" w:rsidR="00FA33C9" w:rsidRPr="00781112" w:rsidRDefault="00FA33C9" w:rsidP="00FA33C9">
            <w:pPr>
              <w:jc w:val="center"/>
              <w:rPr>
                <w:b/>
                <w:color w:val="000000" w:themeColor="text1"/>
              </w:rPr>
            </w:pPr>
            <w:r w:rsidRPr="00781112">
              <w:rPr>
                <w:b/>
                <w:color w:val="000000" w:themeColor="text1"/>
              </w:rPr>
              <w:t>Status</w:t>
            </w:r>
          </w:p>
        </w:tc>
        <w:tc>
          <w:tcPr>
            <w:tcW w:w="572" w:type="pct"/>
            <w:shd w:val="clear" w:color="auto" w:fill="auto"/>
            <w:vAlign w:val="bottom"/>
          </w:tcPr>
          <w:p w14:paraId="67BEF249" w14:textId="77777777" w:rsidR="00FA33C9" w:rsidRPr="00781112" w:rsidRDefault="00FA33C9" w:rsidP="00FA33C9">
            <w:pPr>
              <w:jc w:val="center"/>
              <w:rPr>
                <w:b/>
                <w:color w:val="000000" w:themeColor="text1"/>
              </w:rPr>
            </w:pPr>
            <w:r w:rsidRPr="00781112">
              <w:rPr>
                <w:b/>
                <w:color w:val="000000" w:themeColor="text1"/>
              </w:rPr>
              <w:t>Slippage</w:t>
            </w:r>
          </w:p>
        </w:tc>
      </w:tr>
      <w:tr w:rsidR="008E4335" w:rsidRPr="00781112" w14:paraId="08D65837" w14:textId="77777777" w:rsidTr="008E4335">
        <w:tc>
          <w:tcPr>
            <w:tcW w:w="323" w:type="pct"/>
            <w:shd w:val="clear" w:color="auto" w:fill="auto"/>
            <w:vAlign w:val="center"/>
          </w:tcPr>
          <w:p w14:paraId="76903C3F" w14:textId="77777777" w:rsidR="008E4335" w:rsidRPr="00781112" w:rsidRDefault="008E4335" w:rsidP="008E4335">
            <w:pPr>
              <w:pStyle w:val="Default"/>
              <w:jc w:val="center"/>
              <w:rPr>
                <w:b/>
                <w:color w:val="000000" w:themeColor="text1"/>
                <w:sz w:val="16"/>
                <w:szCs w:val="16"/>
              </w:rPr>
            </w:pPr>
            <w:r w:rsidRPr="00781112">
              <w:rPr>
                <w:rFonts w:eastAsiaTheme="minorHAnsi"/>
                <w:b/>
                <w:color w:val="000000" w:themeColor="text1"/>
                <w:sz w:val="16"/>
                <w:szCs w:val="16"/>
              </w:rPr>
              <w:t>A</w:t>
            </w:r>
          </w:p>
        </w:tc>
        <w:tc>
          <w:tcPr>
            <w:tcW w:w="550" w:type="pct"/>
            <w:shd w:val="clear" w:color="auto" w:fill="auto"/>
            <w:vAlign w:val="center"/>
          </w:tcPr>
          <w:p w14:paraId="02026CDE" w14:textId="2E1566AE" w:rsidR="008E4335" w:rsidRPr="00781112" w:rsidDel="00DE5045" w:rsidRDefault="008E4335" w:rsidP="008E4335">
            <w:pPr>
              <w:jc w:val="center"/>
              <w:rPr>
                <w:rFonts w:cs="Arial"/>
                <w:color w:val="000000" w:themeColor="text1"/>
                <w:szCs w:val="16"/>
              </w:rPr>
            </w:pPr>
            <w:r w:rsidRPr="00781112">
              <w:rPr>
                <w:rFonts w:cs="Arial"/>
                <w:color w:val="000000" w:themeColor="text1"/>
                <w:szCs w:val="16"/>
              </w:rPr>
              <w:t>Grade 4</w:t>
            </w:r>
          </w:p>
        </w:tc>
        <w:tc>
          <w:tcPr>
            <w:tcW w:w="577" w:type="pct"/>
            <w:shd w:val="clear" w:color="auto" w:fill="auto"/>
            <w:vAlign w:val="center"/>
          </w:tcPr>
          <w:p w14:paraId="16642EB5" w14:textId="08DA7BEC" w:rsidR="008E4335" w:rsidRPr="00781112" w:rsidRDefault="008E4335" w:rsidP="008E4335">
            <w:pPr>
              <w:jc w:val="center"/>
              <w:rPr>
                <w:rFonts w:cs="Arial"/>
                <w:color w:val="000000" w:themeColor="text1"/>
                <w:szCs w:val="16"/>
              </w:rPr>
            </w:pPr>
            <w:r>
              <w:rPr>
                <w:rFonts w:cs="Arial"/>
                <w:color w:val="000000" w:themeColor="text1"/>
                <w:szCs w:val="16"/>
              </w:rPr>
              <w:t>*</w:t>
            </w:r>
            <w:bookmarkStart w:id="25" w:name="_Ref141819355"/>
            <w:r>
              <w:rPr>
                <w:rStyle w:val="FootnoteReference"/>
                <w:rFonts w:cs="Arial"/>
                <w:color w:val="000000" w:themeColor="text1"/>
                <w:szCs w:val="16"/>
              </w:rPr>
              <w:footnoteReference w:id="9"/>
            </w:r>
            <w:bookmarkEnd w:id="25"/>
          </w:p>
        </w:tc>
        <w:tc>
          <w:tcPr>
            <w:tcW w:w="635" w:type="pct"/>
            <w:shd w:val="clear" w:color="auto" w:fill="auto"/>
          </w:tcPr>
          <w:p w14:paraId="1C6085EF" w14:textId="164BDFE4" w:rsidR="008E4335" w:rsidRPr="00781112" w:rsidRDefault="008E4335" w:rsidP="008E4335">
            <w:pPr>
              <w:jc w:val="center"/>
              <w:rPr>
                <w:rFonts w:cs="Arial"/>
                <w:color w:val="000000" w:themeColor="text1"/>
                <w:szCs w:val="16"/>
              </w:rPr>
            </w:pPr>
            <w:r>
              <w:rPr>
                <w:rFonts w:cs="Arial"/>
                <w:color w:val="000000" w:themeColor="text1"/>
                <w:szCs w:val="16"/>
              </w:rPr>
              <w:t>*</w:t>
            </w:r>
            <w:r>
              <w:rPr>
                <w:rFonts w:cs="Arial"/>
                <w:color w:val="000000" w:themeColor="text1"/>
                <w:szCs w:val="16"/>
              </w:rPr>
              <w:fldChar w:fldCharType="begin"/>
            </w:r>
            <w:r>
              <w:rPr>
                <w:rFonts w:cs="Arial"/>
                <w:color w:val="000000" w:themeColor="text1"/>
                <w:szCs w:val="16"/>
              </w:rPr>
              <w:instrText xml:space="preserve"> NOTEREF _Ref141819355 \f \h </w:instrText>
            </w:r>
            <w:r>
              <w:rPr>
                <w:rFonts w:cs="Arial"/>
                <w:color w:val="000000" w:themeColor="text1"/>
                <w:szCs w:val="16"/>
              </w:rPr>
            </w:r>
            <w:r>
              <w:rPr>
                <w:rFonts w:cs="Arial"/>
                <w:color w:val="000000" w:themeColor="text1"/>
                <w:szCs w:val="16"/>
              </w:rPr>
              <w:fldChar w:fldCharType="separate"/>
            </w:r>
            <w:r w:rsidRPr="00DB4E16">
              <w:rPr>
                <w:rStyle w:val="FootnoteReference"/>
              </w:rPr>
              <w:t>8</w:t>
            </w:r>
            <w:r>
              <w:rPr>
                <w:rFonts w:cs="Arial"/>
                <w:color w:val="000000" w:themeColor="text1"/>
                <w:szCs w:val="16"/>
              </w:rPr>
              <w:fldChar w:fldCharType="end"/>
            </w:r>
          </w:p>
        </w:tc>
        <w:tc>
          <w:tcPr>
            <w:tcW w:w="528" w:type="pct"/>
            <w:shd w:val="clear" w:color="auto" w:fill="auto"/>
            <w:vAlign w:val="center"/>
          </w:tcPr>
          <w:p w14:paraId="3DFEF3CC" w14:textId="273D8D28" w:rsidR="008E4335" w:rsidRPr="00781112" w:rsidRDefault="008E4335" w:rsidP="008E4335">
            <w:pPr>
              <w:jc w:val="center"/>
              <w:rPr>
                <w:rFonts w:cs="Arial"/>
                <w:color w:val="000000" w:themeColor="text1"/>
                <w:szCs w:val="16"/>
              </w:rPr>
            </w:pPr>
            <w:r w:rsidRPr="00781112">
              <w:rPr>
                <w:rFonts w:cs="Arial"/>
                <w:color w:val="000000" w:themeColor="text1"/>
                <w:szCs w:val="16"/>
              </w:rPr>
              <w:t>31.43%</w:t>
            </w:r>
          </w:p>
        </w:tc>
        <w:tc>
          <w:tcPr>
            <w:tcW w:w="739" w:type="pct"/>
            <w:shd w:val="clear" w:color="auto" w:fill="auto"/>
            <w:vAlign w:val="center"/>
          </w:tcPr>
          <w:p w14:paraId="78DBA801" w14:textId="0BA3B321" w:rsidR="008E4335" w:rsidRPr="00781112" w:rsidRDefault="008E4335" w:rsidP="008E4335">
            <w:pPr>
              <w:jc w:val="center"/>
              <w:rPr>
                <w:rFonts w:cs="Arial"/>
                <w:color w:val="000000" w:themeColor="text1"/>
                <w:szCs w:val="16"/>
              </w:rPr>
            </w:pPr>
            <w:r w:rsidRPr="00781112">
              <w:rPr>
                <w:rFonts w:cs="Arial"/>
                <w:color w:val="000000" w:themeColor="text1"/>
                <w:szCs w:val="16"/>
              </w:rPr>
              <w:t>31.43%</w:t>
            </w:r>
          </w:p>
        </w:tc>
        <w:tc>
          <w:tcPr>
            <w:tcW w:w="487" w:type="pct"/>
            <w:shd w:val="clear" w:color="auto" w:fill="auto"/>
          </w:tcPr>
          <w:p w14:paraId="1DC938D5" w14:textId="2D1415AF" w:rsidR="008E4335" w:rsidRPr="00781112" w:rsidRDefault="008E4335" w:rsidP="008E4335">
            <w:pPr>
              <w:jc w:val="center"/>
              <w:rPr>
                <w:rFonts w:cs="Arial"/>
                <w:color w:val="000000" w:themeColor="text1"/>
                <w:szCs w:val="16"/>
              </w:rPr>
            </w:pPr>
            <w:r w:rsidRPr="00897610">
              <w:rPr>
                <w:rFonts w:cs="Arial"/>
                <w:color w:val="000000" w:themeColor="text1"/>
                <w:szCs w:val="16"/>
              </w:rPr>
              <w:t>*</w:t>
            </w:r>
            <w:r w:rsidRPr="00897610">
              <w:rPr>
                <w:rFonts w:cs="Arial"/>
                <w:color w:val="000000" w:themeColor="text1"/>
                <w:szCs w:val="16"/>
              </w:rPr>
              <w:fldChar w:fldCharType="begin"/>
            </w:r>
            <w:r w:rsidRPr="00897610">
              <w:rPr>
                <w:rFonts w:cs="Arial"/>
                <w:color w:val="000000" w:themeColor="text1"/>
                <w:szCs w:val="16"/>
              </w:rPr>
              <w:instrText xml:space="preserve"> NOTEREF _Ref141819355 \f \h </w:instrText>
            </w:r>
            <w:r w:rsidRPr="00897610">
              <w:rPr>
                <w:rFonts w:cs="Arial"/>
                <w:color w:val="000000" w:themeColor="text1"/>
                <w:szCs w:val="16"/>
              </w:rPr>
            </w:r>
            <w:r w:rsidRPr="00897610">
              <w:rPr>
                <w:rFonts w:cs="Arial"/>
                <w:color w:val="000000" w:themeColor="text1"/>
                <w:szCs w:val="16"/>
              </w:rPr>
              <w:fldChar w:fldCharType="separate"/>
            </w:r>
            <w:r w:rsidRPr="00897610">
              <w:rPr>
                <w:rStyle w:val="FootnoteReference"/>
              </w:rPr>
              <w:t>8</w:t>
            </w:r>
            <w:r w:rsidRPr="00897610">
              <w:rPr>
                <w:rFonts w:cs="Arial"/>
                <w:color w:val="000000" w:themeColor="text1"/>
                <w:szCs w:val="16"/>
              </w:rPr>
              <w:fldChar w:fldCharType="end"/>
            </w:r>
          </w:p>
        </w:tc>
        <w:tc>
          <w:tcPr>
            <w:tcW w:w="589" w:type="pct"/>
            <w:shd w:val="clear" w:color="auto" w:fill="auto"/>
            <w:vAlign w:val="center"/>
          </w:tcPr>
          <w:p w14:paraId="4B9610A1" w14:textId="71C9791E" w:rsidR="008E4335" w:rsidRPr="00781112" w:rsidRDefault="008E4335" w:rsidP="008E4335">
            <w:pPr>
              <w:jc w:val="center"/>
              <w:rPr>
                <w:rFonts w:cs="Arial"/>
                <w:color w:val="000000" w:themeColor="text1"/>
                <w:szCs w:val="16"/>
              </w:rPr>
            </w:pPr>
            <w:r w:rsidRPr="00781112">
              <w:rPr>
                <w:rFonts w:cs="Arial"/>
                <w:color w:val="000000" w:themeColor="text1"/>
                <w:szCs w:val="16"/>
              </w:rPr>
              <w:t>Met target</w:t>
            </w:r>
          </w:p>
        </w:tc>
        <w:tc>
          <w:tcPr>
            <w:tcW w:w="572" w:type="pct"/>
            <w:shd w:val="clear" w:color="auto" w:fill="auto"/>
            <w:vAlign w:val="center"/>
          </w:tcPr>
          <w:p w14:paraId="5708D4BE" w14:textId="328B6097" w:rsidR="008E4335" w:rsidRPr="00781112" w:rsidRDefault="008E4335" w:rsidP="008E4335">
            <w:pPr>
              <w:jc w:val="center"/>
              <w:rPr>
                <w:rFonts w:cs="Arial"/>
                <w:color w:val="000000" w:themeColor="text1"/>
                <w:szCs w:val="16"/>
              </w:rPr>
            </w:pPr>
            <w:r w:rsidRPr="00781112">
              <w:rPr>
                <w:rFonts w:cs="Arial"/>
                <w:color w:val="000000" w:themeColor="text1"/>
                <w:szCs w:val="16"/>
              </w:rPr>
              <w:t>N/A</w:t>
            </w:r>
          </w:p>
        </w:tc>
      </w:tr>
      <w:tr w:rsidR="008E4335" w:rsidRPr="00781112" w14:paraId="5E0D5724" w14:textId="77777777" w:rsidTr="008E4335">
        <w:tc>
          <w:tcPr>
            <w:tcW w:w="323" w:type="pct"/>
            <w:shd w:val="clear" w:color="auto" w:fill="auto"/>
            <w:vAlign w:val="center"/>
          </w:tcPr>
          <w:p w14:paraId="2202EBA2" w14:textId="77777777" w:rsidR="008E4335" w:rsidRPr="00781112" w:rsidRDefault="008E4335" w:rsidP="008E4335">
            <w:pPr>
              <w:pStyle w:val="Default"/>
              <w:jc w:val="center"/>
              <w:rPr>
                <w:b/>
                <w:color w:val="000000" w:themeColor="text1"/>
                <w:sz w:val="16"/>
                <w:szCs w:val="16"/>
              </w:rPr>
            </w:pPr>
            <w:r w:rsidRPr="00781112">
              <w:rPr>
                <w:b/>
                <w:color w:val="000000" w:themeColor="text1"/>
                <w:sz w:val="16"/>
                <w:szCs w:val="16"/>
              </w:rPr>
              <w:t>B</w:t>
            </w:r>
          </w:p>
        </w:tc>
        <w:tc>
          <w:tcPr>
            <w:tcW w:w="550" w:type="pct"/>
            <w:shd w:val="clear" w:color="auto" w:fill="auto"/>
            <w:vAlign w:val="center"/>
          </w:tcPr>
          <w:p w14:paraId="2BE28CC3" w14:textId="5462148F" w:rsidR="008E4335" w:rsidRPr="00781112" w:rsidDel="00DE5045" w:rsidRDefault="008E4335" w:rsidP="008E4335">
            <w:pPr>
              <w:jc w:val="center"/>
              <w:rPr>
                <w:rFonts w:cs="Arial"/>
                <w:color w:val="000000" w:themeColor="text1"/>
                <w:szCs w:val="16"/>
              </w:rPr>
            </w:pPr>
            <w:r w:rsidRPr="00781112">
              <w:rPr>
                <w:rFonts w:cs="Arial"/>
                <w:color w:val="000000" w:themeColor="text1"/>
                <w:szCs w:val="16"/>
              </w:rPr>
              <w:t>Grade 8</w:t>
            </w:r>
          </w:p>
        </w:tc>
        <w:tc>
          <w:tcPr>
            <w:tcW w:w="577" w:type="pct"/>
            <w:shd w:val="clear" w:color="auto" w:fill="auto"/>
          </w:tcPr>
          <w:p w14:paraId="65165B6C" w14:textId="0E020804" w:rsidR="008E4335" w:rsidRPr="00781112" w:rsidRDefault="008E4335" w:rsidP="008E4335">
            <w:pPr>
              <w:jc w:val="center"/>
              <w:rPr>
                <w:rFonts w:cs="Arial"/>
                <w:color w:val="000000" w:themeColor="text1"/>
                <w:szCs w:val="16"/>
              </w:rPr>
            </w:pPr>
            <w:r w:rsidRPr="00A87F90">
              <w:rPr>
                <w:rFonts w:cs="Arial"/>
                <w:color w:val="000000" w:themeColor="text1"/>
                <w:szCs w:val="16"/>
              </w:rPr>
              <w:t>*</w:t>
            </w:r>
            <w:r w:rsidRPr="00A87F90">
              <w:rPr>
                <w:rFonts w:cs="Arial"/>
                <w:color w:val="000000" w:themeColor="text1"/>
                <w:szCs w:val="16"/>
              </w:rPr>
              <w:fldChar w:fldCharType="begin"/>
            </w:r>
            <w:r w:rsidRPr="00A87F90">
              <w:rPr>
                <w:rFonts w:cs="Arial"/>
                <w:color w:val="000000" w:themeColor="text1"/>
                <w:szCs w:val="16"/>
              </w:rPr>
              <w:instrText xml:space="preserve"> NOTEREF _Ref141819355 \f \h </w:instrText>
            </w:r>
            <w:r w:rsidRPr="00A87F90">
              <w:rPr>
                <w:rFonts w:cs="Arial"/>
                <w:color w:val="000000" w:themeColor="text1"/>
                <w:szCs w:val="16"/>
              </w:rPr>
            </w:r>
            <w:r w:rsidRPr="00A87F90">
              <w:rPr>
                <w:rFonts w:cs="Arial"/>
                <w:color w:val="000000" w:themeColor="text1"/>
                <w:szCs w:val="16"/>
              </w:rPr>
              <w:fldChar w:fldCharType="separate"/>
            </w:r>
            <w:r w:rsidRPr="00A87F90">
              <w:rPr>
                <w:rStyle w:val="FootnoteReference"/>
              </w:rPr>
              <w:t>8</w:t>
            </w:r>
            <w:r w:rsidRPr="00A87F90">
              <w:rPr>
                <w:rFonts w:cs="Arial"/>
                <w:color w:val="000000" w:themeColor="text1"/>
                <w:szCs w:val="16"/>
              </w:rPr>
              <w:fldChar w:fldCharType="end"/>
            </w:r>
          </w:p>
        </w:tc>
        <w:tc>
          <w:tcPr>
            <w:tcW w:w="635" w:type="pct"/>
            <w:shd w:val="clear" w:color="auto" w:fill="auto"/>
          </w:tcPr>
          <w:p w14:paraId="25BE3991" w14:textId="7EFA312E" w:rsidR="008E4335" w:rsidRPr="00781112" w:rsidRDefault="008E4335" w:rsidP="008E4335">
            <w:pPr>
              <w:jc w:val="center"/>
              <w:rPr>
                <w:rFonts w:cs="Arial"/>
                <w:color w:val="000000" w:themeColor="text1"/>
                <w:szCs w:val="16"/>
              </w:rPr>
            </w:pPr>
            <w:r w:rsidRPr="00A87F90">
              <w:rPr>
                <w:rFonts w:cs="Arial"/>
                <w:color w:val="000000" w:themeColor="text1"/>
                <w:szCs w:val="16"/>
              </w:rPr>
              <w:t>*</w:t>
            </w:r>
            <w:r w:rsidRPr="00A87F90">
              <w:rPr>
                <w:rFonts w:cs="Arial"/>
                <w:color w:val="000000" w:themeColor="text1"/>
                <w:szCs w:val="16"/>
              </w:rPr>
              <w:fldChar w:fldCharType="begin"/>
            </w:r>
            <w:r w:rsidRPr="00A87F90">
              <w:rPr>
                <w:rFonts w:cs="Arial"/>
                <w:color w:val="000000" w:themeColor="text1"/>
                <w:szCs w:val="16"/>
              </w:rPr>
              <w:instrText xml:space="preserve"> NOTEREF _Ref141819355 \f \h </w:instrText>
            </w:r>
            <w:r w:rsidRPr="00A87F90">
              <w:rPr>
                <w:rFonts w:cs="Arial"/>
                <w:color w:val="000000" w:themeColor="text1"/>
                <w:szCs w:val="16"/>
              </w:rPr>
            </w:r>
            <w:r w:rsidRPr="00A87F90">
              <w:rPr>
                <w:rFonts w:cs="Arial"/>
                <w:color w:val="000000" w:themeColor="text1"/>
                <w:szCs w:val="16"/>
              </w:rPr>
              <w:fldChar w:fldCharType="separate"/>
            </w:r>
            <w:r w:rsidRPr="00A87F90">
              <w:rPr>
                <w:rStyle w:val="FootnoteReference"/>
              </w:rPr>
              <w:t>8</w:t>
            </w:r>
            <w:r w:rsidRPr="00A87F90">
              <w:rPr>
                <w:rFonts w:cs="Arial"/>
                <w:color w:val="000000" w:themeColor="text1"/>
                <w:szCs w:val="16"/>
              </w:rPr>
              <w:fldChar w:fldCharType="end"/>
            </w:r>
          </w:p>
        </w:tc>
        <w:tc>
          <w:tcPr>
            <w:tcW w:w="528" w:type="pct"/>
            <w:shd w:val="clear" w:color="auto" w:fill="auto"/>
            <w:vAlign w:val="center"/>
          </w:tcPr>
          <w:p w14:paraId="0DB348C5" w14:textId="2F8A4588" w:rsidR="008E4335" w:rsidRPr="00781112" w:rsidRDefault="008E4335" w:rsidP="008E4335">
            <w:pPr>
              <w:jc w:val="center"/>
              <w:rPr>
                <w:rFonts w:cs="Arial"/>
                <w:color w:val="000000" w:themeColor="text1"/>
                <w:szCs w:val="16"/>
              </w:rPr>
            </w:pPr>
            <w:r w:rsidRPr="00781112">
              <w:rPr>
                <w:rFonts w:cs="Arial"/>
                <w:color w:val="000000" w:themeColor="text1"/>
                <w:szCs w:val="16"/>
              </w:rPr>
              <w:t>6.24%</w:t>
            </w:r>
          </w:p>
        </w:tc>
        <w:tc>
          <w:tcPr>
            <w:tcW w:w="739" w:type="pct"/>
            <w:shd w:val="clear" w:color="auto" w:fill="auto"/>
            <w:vAlign w:val="center"/>
          </w:tcPr>
          <w:p w14:paraId="31FB5FEB" w14:textId="4BF20A90" w:rsidR="008E4335" w:rsidRPr="00781112" w:rsidRDefault="008E4335" w:rsidP="008E4335">
            <w:pPr>
              <w:jc w:val="center"/>
              <w:rPr>
                <w:rFonts w:cs="Arial"/>
                <w:color w:val="000000" w:themeColor="text1"/>
                <w:szCs w:val="16"/>
              </w:rPr>
            </w:pPr>
            <w:r w:rsidRPr="00781112">
              <w:rPr>
                <w:rFonts w:cs="Arial"/>
                <w:color w:val="000000" w:themeColor="text1"/>
                <w:szCs w:val="16"/>
              </w:rPr>
              <w:t>6.24%</w:t>
            </w:r>
          </w:p>
        </w:tc>
        <w:tc>
          <w:tcPr>
            <w:tcW w:w="487" w:type="pct"/>
            <w:shd w:val="clear" w:color="auto" w:fill="auto"/>
          </w:tcPr>
          <w:p w14:paraId="139B969C" w14:textId="76909F95" w:rsidR="008E4335" w:rsidRPr="00781112" w:rsidRDefault="008E4335" w:rsidP="008E4335">
            <w:pPr>
              <w:jc w:val="center"/>
              <w:rPr>
                <w:rFonts w:cs="Arial"/>
                <w:color w:val="000000" w:themeColor="text1"/>
                <w:szCs w:val="16"/>
              </w:rPr>
            </w:pPr>
            <w:r w:rsidRPr="00897610">
              <w:rPr>
                <w:rFonts w:cs="Arial"/>
                <w:color w:val="000000" w:themeColor="text1"/>
                <w:szCs w:val="16"/>
              </w:rPr>
              <w:t>*</w:t>
            </w:r>
            <w:r w:rsidRPr="00897610">
              <w:rPr>
                <w:rFonts w:cs="Arial"/>
                <w:color w:val="000000" w:themeColor="text1"/>
                <w:szCs w:val="16"/>
              </w:rPr>
              <w:fldChar w:fldCharType="begin"/>
            </w:r>
            <w:r w:rsidRPr="00897610">
              <w:rPr>
                <w:rFonts w:cs="Arial"/>
                <w:color w:val="000000" w:themeColor="text1"/>
                <w:szCs w:val="16"/>
              </w:rPr>
              <w:instrText xml:space="preserve"> NOTEREF _Ref141819355 \f \h </w:instrText>
            </w:r>
            <w:r w:rsidRPr="00897610">
              <w:rPr>
                <w:rFonts w:cs="Arial"/>
                <w:color w:val="000000" w:themeColor="text1"/>
                <w:szCs w:val="16"/>
              </w:rPr>
            </w:r>
            <w:r w:rsidRPr="00897610">
              <w:rPr>
                <w:rFonts w:cs="Arial"/>
                <w:color w:val="000000" w:themeColor="text1"/>
                <w:szCs w:val="16"/>
              </w:rPr>
              <w:fldChar w:fldCharType="separate"/>
            </w:r>
            <w:r w:rsidRPr="00897610">
              <w:rPr>
                <w:rStyle w:val="FootnoteReference"/>
              </w:rPr>
              <w:t>8</w:t>
            </w:r>
            <w:r w:rsidRPr="00897610">
              <w:rPr>
                <w:rFonts w:cs="Arial"/>
                <w:color w:val="000000" w:themeColor="text1"/>
                <w:szCs w:val="16"/>
              </w:rPr>
              <w:fldChar w:fldCharType="end"/>
            </w:r>
          </w:p>
        </w:tc>
        <w:tc>
          <w:tcPr>
            <w:tcW w:w="589" w:type="pct"/>
            <w:shd w:val="clear" w:color="auto" w:fill="auto"/>
            <w:vAlign w:val="center"/>
          </w:tcPr>
          <w:p w14:paraId="52EDA926" w14:textId="7B797DBA" w:rsidR="008E4335" w:rsidRPr="00781112" w:rsidRDefault="008E4335" w:rsidP="008E4335">
            <w:pPr>
              <w:jc w:val="center"/>
              <w:rPr>
                <w:rFonts w:cs="Arial"/>
                <w:color w:val="000000" w:themeColor="text1"/>
                <w:szCs w:val="16"/>
              </w:rPr>
            </w:pPr>
            <w:r w:rsidRPr="00781112">
              <w:rPr>
                <w:rFonts w:cs="Arial"/>
                <w:color w:val="000000" w:themeColor="text1"/>
                <w:szCs w:val="16"/>
              </w:rPr>
              <w:t>Met target</w:t>
            </w:r>
          </w:p>
        </w:tc>
        <w:tc>
          <w:tcPr>
            <w:tcW w:w="572" w:type="pct"/>
            <w:shd w:val="clear" w:color="auto" w:fill="auto"/>
            <w:vAlign w:val="center"/>
          </w:tcPr>
          <w:p w14:paraId="027F05C7" w14:textId="42C60C06" w:rsidR="008E4335" w:rsidRPr="00781112" w:rsidRDefault="008E4335" w:rsidP="008E4335">
            <w:pPr>
              <w:jc w:val="center"/>
              <w:rPr>
                <w:rFonts w:cs="Arial"/>
                <w:color w:val="000000" w:themeColor="text1"/>
                <w:szCs w:val="16"/>
              </w:rPr>
            </w:pPr>
            <w:r w:rsidRPr="00781112">
              <w:rPr>
                <w:rFonts w:cs="Arial"/>
                <w:color w:val="000000" w:themeColor="text1"/>
                <w:szCs w:val="16"/>
              </w:rPr>
              <w:t>N/A</w:t>
            </w:r>
          </w:p>
        </w:tc>
      </w:tr>
      <w:tr w:rsidR="00A31E8A" w:rsidRPr="00781112" w14:paraId="6F15E001" w14:textId="77777777" w:rsidTr="008E4335">
        <w:tc>
          <w:tcPr>
            <w:tcW w:w="323" w:type="pct"/>
            <w:shd w:val="clear" w:color="auto" w:fill="auto"/>
            <w:vAlign w:val="center"/>
          </w:tcPr>
          <w:p w14:paraId="40D4F498" w14:textId="77777777" w:rsidR="00A31E8A" w:rsidRPr="00781112" w:rsidRDefault="00A31E8A" w:rsidP="00A31E8A">
            <w:pPr>
              <w:pStyle w:val="Default"/>
              <w:jc w:val="center"/>
              <w:rPr>
                <w:rFonts w:eastAsiaTheme="minorHAnsi"/>
                <w:color w:val="000000" w:themeColor="text1"/>
                <w:sz w:val="16"/>
                <w:szCs w:val="16"/>
              </w:rPr>
            </w:pPr>
            <w:r w:rsidRPr="00781112">
              <w:rPr>
                <w:b/>
                <w:color w:val="000000" w:themeColor="text1"/>
                <w:sz w:val="16"/>
                <w:szCs w:val="16"/>
              </w:rPr>
              <w:t>C</w:t>
            </w:r>
          </w:p>
        </w:tc>
        <w:tc>
          <w:tcPr>
            <w:tcW w:w="550" w:type="pct"/>
            <w:shd w:val="clear" w:color="auto" w:fill="auto"/>
            <w:vAlign w:val="center"/>
          </w:tcPr>
          <w:p w14:paraId="200262C5" w14:textId="22AC7908" w:rsidR="00A31E8A" w:rsidRPr="00781112" w:rsidDel="00DE5045" w:rsidRDefault="00A31E8A" w:rsidP="00A31E8A">
            <w:pPr>
              <w:jc w:val="center"/>
              <w:rPr>
                <w:rFonts w:cs="Arial"/>
                <w:color w:val="000000" w:themeColor="text1"/>
                <w:szCs w:val="16"/>
              </w:rPr>
            </w:pPr>
            <w:r w:rsidRPr="00781112">
              <w:rPr>
                <w:rFonts w:cs="Arial"/>
                <w:color w:val="000000" w:themeColor="text1"/>
                <w:szCs w:val="16"/>
              </w:rPr>
              <w:t>Grade HS</w:t>
            </w:r>
          </w:p>
        </w:tc>
        <w:tc>
          <w:tcPr>
            <w:tcW w:w="577" w:type="pct"/>
            <w:shd w:val="clear" w:color="auto" w:fill="auto"/>
            <w:vAlign w:val="center"/>
          </w:tcPr>
          <w:p w14:paraId="44B84702" w14:textId="5A092874" w:rsidR="00A31E8A" w:rsidRPr="00781112" w:rsidRDefault="00A31E8A" w:rsidP="00A31E8A">
            <w:pPr>
              <w:jc w:val="center"/>
              <w:rPr>
                <w:rFonts w:cs="Arial"/>
                <w:color w:val="000000" w:themeColor="text1"/>
                <w:szCs w:val="16"/>
              </w:rPr>
            </w:pPr>
            <w:r w:rsidRPr="00781112">
              <w:rPr>
                <w:rFonts w:cs="Arial"/>
                <w:color w:val="000000" w:themeColor="text1"/>
                <w:szCs w:val="16"/>
              </w:rPr>
              <w:t>76</w:t>
            </w:r>
          </w:p>
        </w:tc>
        <w:tc>
          <w:tcPr>
            <w:tcW w:w="635" w:type="pct"/>
            <w:shd w:val="clear" w:color="auto" w:fill="auto"/>
          </w:tcPr>
          <w:p w14:paraId="6C88DEC2" w14:textId="2C61C34F" w:rsidR="00A31E8A" w:rsidRPr="00781112" w:rsidRDefault="00A31E8A" w:rsidP="00A31E8A">
            <w:pPr>
              <w:jc w:val="center"/>
              <w:rPr>
                <w:rFonts w:cs="Arial"/>
                <w:color w:val="000000" w:themeColor="text1"/>
                <w:szCs w:val="16"/>
              </w:rPr>
            </w:pPr>
            <w:r>
              <w:rPr>
                <w:rFonts w:cs="Arial"/>
                <w:color w:val="000000"/>
                <w:szCs w:val="16"/>
              </w:rPr>
              <w:t>456</w:t>
            </w:r>
          </w:p>
        </w:tc>
        <w:tc>
          <w:tcPr>
            <w:tcW w:w="528" w:type="pct"/>
            <w:shd w:val="clear" w:color="auto" w:fill="auto"/>
            <w:vAlign w:val="center"/>
          </w:tcPr>
          <w:p w14:paraId="59D699CF" w14:textId="460A79FA" w:rsidR="00A31E8A" w:rsidRPr="00781112" w:rsidRDefault="00A31E8A" w:rsidP="00A31E8A">
            <w:pPr>
              <w:jc w:val="center"/>
              <w:rPr>
                <w:rFonts w:cs="Arial"/>
                <w:color w:val="000000" w:themeColor="text1"/>
                <w:szCs w:val="16"/>
              </w:rPr>
            </w:pPr>
            <w:r w:rsidRPr="00781112">
              <w:rPr>
                <w:rFonts w:cs="Arial"/>
                <w:color w:val="000000" w:themeColor="text1"/>
                <w:szCs w:val="16"/>
              </w:rPr>
              <w:t>12.41%</w:t>
            </w:r>
          </w:p>
        </w:tc>
        <w:tc>
          <w:tcPr>
            <w:tcW w:w="739" w:type="pct"/>
            <w:shd w:val="clear" w:color="auto" w:fill="auto"/>
            <w:vAlign w:val="center"/>
          </w:tcPr>
          <w:p w14:paraId="18D7723E" w14:textId="7A443B62" w:rsidR="00A31E8A" w:rsidRPr="00781112" w:rsidRDefault="00A31E8A" w:rsidP="00A31E8A">
            <w:pPr>
              <w:jc w:val="center"/>
              <w:rPr>
                <w:rFonts w:cs="Arial"/>
                <w:color w:val="000000" w:themeColor="text1"/>
                <w:szCs w:val="16"/>
              </w:rPr>
            </w:pPr>
            <w:r w:rsidRPr="00781112">
              <w:rPr>
                <w:rFonts w:cs="Arial"/>
                <w:color w:val="000000" w:themeColor="text1"/>
                <w:szCs w:val="16"/>
              </w:rPr>
              <w:t>12.41%</w:t>
            </w:r>
          </w:p>
        </w:tc>
        <w:tc>
          <w:tcPr>
            <w:tcW w:w="487" w:type="pct"/>
            <w:shd w:val="clear" w:color="auto" w:fill="auto"/>
            <w:vAlign w:val="center"/>
          </w:tcPr>
          <w:p w14:paraId="1C467869" w14:textId="36566B3C" w:rsidR="00A31E8A" w:rsidRPr="00781112" w:rsidRDefault="00A31E8A" w:rsidP="00A31E8A">
            <w:pPr>
              <w:jc w:val="center"/>
              <w:rPr>
                <w:rFonts w:cs="Arial"/>
                <w:color w:val="000000" w:themeColor="text1"/>
                <w:szCs w:val="16"/>
              </w:rPr>
            </w:pPr>
            <w:r w:rsidRPr="00781112">
              <w:rPr>
                <w:rFonts w:cs="Arial"/>
                <w:color w:val="000000" w:themeColor="text1"/>
                <w:szCs w:val="16"/>
              </w:rPr>
              <w:t>16.67%</w:t>
            </w:r>
          </w:p>
        </w:tc>
        <w:tc>
          <w:tcPr>
            <w:tcW w:w="589" w:type="pct"/>
            <w:shd w:val="clear" w:color="auto" w:fill="auto"/>
            <w:vAlign w:val="center"/>
          </w:tcPr>
          <w:p w14:paraId="56861D59" w14:textId="0856E80D" w:rsidR="00A31E8A" w:rsidRPr="00781112" w:rsidRDefault="00A31E8A" w:rsidP="00A31E8A">
            <w:pPr>
              <w:jc w:val="center"/>
              <w:rPr>
                <w:rFonts w:cs="Arial"/>
                <w:color w:val="000000" w:themeColor="text1"/>
                <w:szCs w:val="16"/>
              </w:rPr>
            </w:pPr>
            <w:r w:rsidRPr="00781112">
              <w:rPr>
                <w:rFonts w:cs="Arial"/>
                <w:color w:val="000000" w:themeColor="text1"/>
                <w:szCs w:val="16"/>
              </w:rPr>
              <w:t>Met target</w:t>
            </w:r>
          </w:p>
        </w:tc>
        <w:tc>
          <w:tcPr>
            <w:tcW w:w="572" w:type="pct"/>
            <w:shd w:val="clear" w:color="auto" w:fill="auto"/>
            <w:vAlign w:val="center"/>
          </w:tcPr>
          <w:p w14:paraId="7220CAED" w14:textId="6484F1AC" w:rsidR="00A31E8A" w:rsidRPr="00781112" w:rsidRDefault="00A31E8A" w:rsidP="00A31E8A">
            <w:pPr>
              <w:jc w:val="center"/>
              <w:rPr>
                <w:rFonts w:cs="Arial"/>
                <w:color w:val="000000" w:themeColor="text1"/>
                <w:szCs w:val="16"/>
              </w:rPr>
            </w:pPr>
            <w:r w:rsidRPr="00781112">
              <w:rPr>
                <w:rFonts w:cs="Arial"/>
                <w:color w:val="000000" w:themeColor="text1"/>
                <w:szCs w:val="16"/>
              </w:rPr>
              <w:t>No Slippage</w:t>
            </w:r>
          </w:p>
        </w:tc>
      </w:tr>
    </w:tbl>
    <w:p w14:paraId="5EB0A206" w14:textId="77777777" w:rsidR="00445640" w:rsidRPr="00781112" w:rsidRDefault="00445640" w:rsidP="000C3A20">
      <w:pPr>
        <w:rPr>
          <w:color w:val="000000" w:themeColor="text1"/>
        </w:rPr>
      </w:pPr>
    </w:p>
    <w:p w14:paraId="4F8B3B70" w14:textId="05453045" w:rsidR="000A5A2E" w:rsidRPr="00781112" w:rsidRDefault="000A5A2E" w:rsidP="004369B2">
      <w:pPr>
        <w:rPr>
          <w:color w:val="000000" w:themeColor="text1"/>
        </w:rPr>
      </w:pPr>
      <w:r w:rsidRPr="00781112">
        <w:rPr>
          <w:b/>
          <w:color w:val="000000" w:themeColor="text1"/>
        </w:rPr>
        <w:t>Regulatory Information</w:t>
      </w:r>
    </w:p>
    <w:p w14:paraId="2B741846" w14:textId="30EBAA23" w:rsidR="000A5A2E" w:rsidRPr="00781112" w:rsidRDefault="00A14B5D" w:rsidP="00286BDF">
      <w:pPr>
        <w:rPr>
          <w:rFonts w:cs="Arial"/>
          <w:b/>
          <w:color w:val="000000" w:themeColor="text1"/>
          <w:szCs w:val="16"/>
          <w:shd w:val="clear" w:color="auto" w:fill="FFFFFF"/>
        </w:rPr>
      </w:pPr>
      <w:r w:rsidRPr="00781112">
        <w:rPr>
          <w:rFonts w:cs="Arial"/>
          <w:b/>
          <w:color w:val="000000" w:themeColor="text1"/>
          <w:szCs w:val="16"/>
        </w:rPr>
        <w:t>The SEA, (or, in the case of a district-wide assessment, LEA) must make available to the public, and report to the public with the same frequency and in the same detail as it reports on the assessment of nondisabled children: (1) the number of children with disabilities participating in: (a) regular assessments, and the number of those children who were provided accommodations in order to participate in those assessments; and (b) alternate assessments aligned with alternate achievement standards; and (2) the performance of children with disabilities on regular assessments and on alternate assessments, compared with the achievement of all children, including children with disabilities, on those assessments. [20 U.S.C. 1412 (a)(16)(D); 34 CFR §300.160(f)]</w:t>
      </w:r>
    </w:p>
    <w:p w14:paraId="7C3B3355" w14:textId="77777777" w:rsidR="00241BD0" w:rsidRPr="00781112" w:rsidRDefault="00241BD0" w:rsidP="004369B2">
      <w:pPr>
        <w:rPr>
          <w:color w:val="000000" w:themeColor="text1"/>
        </w:rPr>
      </w:pPr>
    </w:p>
    <w:p w14:paraId="1FD3EE14" w14:textId="6446691C" w:rsidR="000A5A2E" w:rsidRPr="00781112" w:rsidRDefault="000A5A2E" w:rsidP="004369B2">
      <w:pPr>
        <w:rPr>
          <w:color w:val="000000" w:themeColor="text1"/>
        </w:rPr>
      </w:pPr>
      <w:r w:rsidRPr="00781112">
        <w:rPr>
          <w:b/>
          <w:color w:val="000000" w:themeColor="text1"/>
        </w:rPr>
        <w:t>Public Reporting Information</w:t>
      </w:r>
    </w:p>
    <w:p w14:paraId="20613508" w14:textId="77777777" w:rsidR="000A5A2E" w:rsidRPr="00781112" w:rsidRDefault="000A5A2E" w:rsidP="000A5A2E">
      <w:pPr>
        <w:rPr>
          <w:rFonts w:cs="Arial"/>
          <w:b/>
          <w:color w:val="000000" w:themeColor="text1"/>
          <w:szCs w:val="16"/>
        </w:rPr>
      </w:pPr>
      <w:r w:rsidRPr="00781112">
        <w:rPr>
          <w:rFonts w:cs="Arial"/>
          <w:b/>
          <w:color w:val="000000" w:themeColor="text1"/>
          <w:szCs w:val="16"/>
        </w:rPr>
        <w:t xml:space="preserve">Provide links to the page(s) where you provide public reports of assessment results. </w:t>
      </w:r>
    </w:p>
    <w:p w14:paraId="1F0C4C7F" w14:textId="52384A95" w:rsidR="00A869E9" w:rsidRPr="00781112" w:rsidRDefault="00DD3719" w:rsidP="009C613A">
      <w:pPr>
        <w:rPr>
          <w:rFonts w:cs="Arial"/>
          <w:color w:val="000000" w:themeColor="text1"/>
          <w:szCs w:val="16"/>
        </w:rPr>
      </w:pPr>
      <w:r w:rsidRPr="00781112">
        <w:rPr>
          <w:rFonts w:cs="Arial"/>
          <w:color w:val="000000" w:themeColor="text1"/>
          <w:szCs w:val="16"/>
          <w:shd w:val="clear" w:color="auto" w:fill="FFFFFF"/>
        </w:rPr>
        <w:t>The achievement of students with disabilities on Utah's alternate assessment, Dynamic Learning Maps (DLM), for grades 4, 8, and 10 are reported on the USBE Data and Statistics Reports webpage (https://www.schools.utah.gov/data/reports). On the “Assessments” tab under the “Alternate Assessments” header, the most recent school year's data will be linked to an Excel spreadsheet.</w:t>
      </w:r>
      <w:r w:rsidRPr="00781112">
        <w:rPr>
          <w:rFonts w:cs="Arial"/>
          <w:color w:val="000000" w:themeColor="text1"/>
          <w:szCs w:val="16"/>
          <w:shd w:val="clear" w:color="auto" w:fill="FFFFFF"/>
        </w:rPr>
        <w:br/>
        <w:t>• The "Proficiency by Subject Area" tab reports the proficiency of students with disabilities who participated in the alternate assessment, a comparison to the proficiency of students with disabilities who participated in the regular assessment, and a comparison to the proficiency of all students who participated in the regular assessment by subject area.</w:t>
      </w:r>
      <w:r w:rsidRPr="00781112">
        <w:rPr>
          <w:rFonts w:cs="Arial"/>
          <w:color w:val="000000" w:themeColor="text1"/>
          <w:szCs w:val="16"/>
          <w:shd w:val="clear" w:color="auto" w:fill="FFFFFF"/>
        </w:rPr>
        <w:br/>
        <w:t>• The "Proficiency by Grade Level" tab reports the proficiency of students with disabilities who participated in the alternate assessment, a comparison to the proficiency of students with disabilities who participated in the regular assessment, and a comparison to the proficiency of all students who participated in the regular assessment by grade level.</w:t>
      </w:r>
      <w:r w:rsidRPr="00781112">
        <w:rPr>
          <w:rFonts w:cs="Arial"/>
          <w:color w:val="000000" w:themeColor="text1"/>
          <w:szCs w:val="16"/>
          <w:shd w:val="clear" w:color="auto" w:fill="FFFFFF"/>
        </w:rPr>
        <w:br/>
        <w:t>• The “Notes” tab outlines the USBE’s policy for protecting students' personally identifiable information. The policy includes protecting data for groups with fewer than 10 students by reporting it as “n&lt;10.” Additionally, for groups with fewer than 40 students, counts are not shown, and percentages are obscured by providing the range within which the percentage falls (e.g., 43% would display as 40-49%).</w:t>
      </w:r>
    </w:p>
    <w:p w14:paraId="32BCE51B" w14:textId="77777777" w:rsidR="00796DC0" w:rsidRPr="00781112" w:rsidRDefault="00796DC0" w:rsidP="004369B2">
      <w:pPr>
        <w:rPr>
          <w:b/>
          <w:color w:val="000000" w:themeColor="text1"/>
        </w:rPr>
      </w:pPr>
      <w:r w:rsidRPr="00781112">
        <w:rPr>
          <w:b/>
          <w:color w:val="000000" w:themeColor="text1"/>
        </w:rPr>
        <w:t>Provide additional information about this indicator (optional)</w:t>
      </w:r>
    </w:p>
    <w:p w14:paraId="19728EE3" w14:textId="7FE6C853" w:rsidR="00A869E9" w:rsidRPr="00781112" w:rsidRDefault="002B7490" w:rsidP="000E33D0">
      <w:pPr>
        <w:rPr>
          <w:rFonts w:cs="Arial"/>
          <w:color w:val="000000" w:themeColor="text1"/>
          <w:szCs w:val="16"/>
        </w:rPr>
      </w:pPr>
      <w:r w:rsidRPr="00781112">
        <w:rPr>
          <w:rFonts w:cs="Arial"/>
          <w:color w:val="000000" w:themeColor="text1"/>
          <w:szCs w:val="16"/>
          <w:shd w:val="clear" w:color="auto" w:fill="FFFFFF"/>
        </w:rPr>
        <w:t>The prepopulated data for Indicator 3 is incorrect as the data submitted to EDFacts on 12/21/2022 was the prior year’s data. New files with the correct FFY 2021 data were submitted on 01/04/2023. The correct data, submitted on 01/04/2023, and any slippage reasons are outlined in Utah APR FFY 2021 Indicator 3 Correct Data and Slippage Reasons (https://usbe-my.sharepoint.com/:w:/g/personal/emily_nordfelt_schools_utah_gov/ER7TDoqZrR1MmY-rmS-rC1wBiEyWfEaqxYvAG7sXrlIHIA?e=vI8BoE). As discussed with the OSEP State Lead, the linked document was accurate and continues to be accurate.</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 xml:space="preserve">Utah met targets for proficiency on the alternate assessment for reading and math for grades 8 and 10. Utah did not meet </w:t>
      </w:r>
      <w:proofErr w:type="gramStart"/>
      <w:r w:rsidRPr="00781112">
        <w:rPr>
          <w:rFonts w:cs="Arial"/>
          <w:color w:val="000000" w:themeColor="text1"/>
          <w:szCs w:val="16"/>
          <w:shd w:val="clear" w:color="auto" w:fill="FFFFFF"/>
        </w:rPr>
        <w:t>targets</w:t>
      </w:r>
      <w:proofErr w:type="gramEnd"/>
      <w:r w:rsidRPr="00781112">
        <w:rPr>
          <w:rFonts w:cs="Arial"/>
          <w:color w:val="000000" w:themeColor="text1"/>
          <w:szCs w:val="16"/>
          <w:shd w:val="clear" w:color="auto" w:fill="FFFFFF"/>
        </w:rPr>
        <w:t xml:space="preserve"> for grade 4.</w:t>
      </w:r>
    </w:p>
    <w:p w14:paraId="1C326C48" w14:textId="1B3ADE94" w:rsidR="000A2C83" w:rsidRPr="00781112" w:rsidRDefault="00573F6C" w:rsidP="008645AD">
      <w:pPr>
        <w:pStyle w:val="Heading2"/>
      </w:pPr>
      <w:r w:rsidRPr="00781112">
        <w:t>3C</w:t>
      </w:r>
      <w:r w:rsidR="00BB4FD7" w:rsidRPr="00781112">
        <w:t xml:space="preserve"> </w:t>
      </w:r>
      <w:r w:rsidRPr="00781112">
        <w:t xml:space="preserve">- </w:t>
      </w:r>
      <w:r w:rsidR="000A2C83" w:rsidRPr="00781112">
        <w:t>Prior FFY Required Actions</w:t>
      </w:r>
    </w:p>
    <w:p w14:paraId="5570C94B" w14:textId="51EF4ED4" w:rsidR="000A2C83" w:rsidRPr="00781112" w:rsidRDefault="002B7490" w:rsidP="000A2C83">
      <w:pPr>
        <w:rPr>
          <w:rFonts w:cs="Arial"/>
          <w:color w:val="000000" w:themeColor="text1"/>
          <w:szCs w:val="16"/>
        </w:rPr>
      </w:pPr>
      <w:r w:rsidRPr="00781112">
        <w:rPr>
          <w:rFonts w:cs="Arial"/>
          <w:color w:val="000000" w:themeColor="text1"/>
          <w:szCs w:val="16"/>
        </w:rPr>
        <w:t>None</w:t>
      </w:r>
    </w:p>
    <w:p w14:paraId="0EFAA7F7" w14:textId="77777777" w:rsidR="00247959" w:rsidRPr="00781112" w:rsidRDefault="00247959" w:rsidP="000A2C83">
      <w:pPr>
        <w:rPr>
          <w:rFonts w:cs="Arial"/>
          <w:color w:val="000000" w:themeColor="text1"/>
          <w:szCs w:val="16"/>
        </w:rPr>
      </w:pPr>
    </w:p>
    <w:p w14:paraId="1E98E6A2" w14:textId="3C798D76" w:rsidR="00796DC0" w:rsidRPr="00781112" w:rsidRDefault="00573F6C" w:rsidP="008645AD">
      <w:pPr>
        <w:pStyle w:val="Heading2"/>
      </w:pPr>
      <w:r w:rsidRPr="00781112">
        <w:t>3C - OSEP Response</w:t>
      </w:r>
    </w:p>
    <w:p w14:paraId="742F0548" w14:textId="6CBFA0D3" w:rsidR="00A869E9" w:rsidRPr="00781112" w:rsidRDefault="003D7F56" w:rsidP="001F692C">
      <w:pPr>
        <w:rPr>
          <w:rFonts w:cs="Arial"/>
          <w:color w:val="000000" w:themeColor="text1"/>
          <w:szCs w:val="16"/>
          <w:shd w:val="clear" w:color="auto" w:fill="FFFFFF"/>
        </w:rPr>
      </w:pPr>
      <w:r w:rsidRPr="00781112">
        <w:rPr>
          <w:rFonts w:cs="Arial"/>
          <w:color w:val="000000" w:themeColor="text1"/>
          <w:szCs w:val="16"/>
          <w:shd w:val="clear" w:color="auto" w:fill="FFFFFF"/>
        </w:rPr>
        <w:t xml:space="preserve">The assessment data for Indicators 3A, 3B, 3C, and 3D are prefilled using the State-level assessment data submitted as of the final freeze date/ close date for EDFacts files 185, 188, 175, 178. For the SY 2021-22 assessment data, the freeze date/ close date for these files was April 5, 2023. Data submitted by a State after the April 5, </w:t>
      </w:r>
      <w:proofErr w:type="gramStart"/>
      <w:r w:rsidRPr="00781112">
        <w:rPr>
          <w:rFonts w:cs="Arial"/>
          <w:color w:val="000000" w:themeColor="text1"/>
          <w:szCs w:val="16"/>
          <w:shd w:val="clear" w:color="auto" w:fill="FFFFFF"/>
        </w:rPr>
        <w:t>2023</w:t>
      </w:r>
      <w:proofErr w:type="gramEnd"/>
      <w:r w:rsidRPr="00781112">
        <w:rPr>
          <w:rFonts w:cs="Arial"/>
          <w:color w:val="000000" w:themeColor="text1"/>
          <w:szCs w:val="16"/>
          <w:shd w:val="clear" w:color="auto" w:fill="FFFFFF"/>
        </w:rPr>
        <w:t xml:space="preserve"> freeze date is not prefilled into the State's SPP/APR, used in the IDEA Part B Results Matrix, or published in the IDEA Part B Assessment data file and associated products. </w:t>
      </w:r>
    </w:p>
    <w:p w14:paraId="0774F476" w14:textId="1E34BC77" w:rsidR="00796DC0" w:rsidRPr="00781112" w:rsidRDefault="00573F6C" w:rsidP="008645AD">
      <w:pPr>
        <w:pStyle w:val="Heading2"/>
      </w:pPr>
      <w:r w:rsidRPr="00781112">
        <w:t>3C - Required Actions</w:t>
      </w:r>
    </w:p>
    <w:p w14:paraId="5E46A453" w14:textId="5260AC47" w:rsidR="00A869E9" w:rsidRPr="00781112" w:rsidRDefault="00A869E9" w:rsidP="001F692C">
      <w:pPr>
        <w:rPr>
          <w:rFonts w:cs="Arial"/>
          <w:color w:val="000000" w:themeColor="text1"/>
          <w:szCs w:val="16"/>
          <w:shd w:val="clear" w:color="auto" w:fill="FFFFFF"/>
        </w:rPr>
      </w:pPr>
    </w:p>
    <w:p w14:paraId="5933CC1B" w14:textId="40F9F685" w:rsidR="00A63347" w:rsidRPr="00781112" w:rsidRDefault="00A63347">
      <w:pPr>
        <w:spacing w:before="0" w:after="200" w:line="276" w:lineRule="auto"/>
        <w:rPr>
          <w:rFonts w:cs="Arial"/>
          <w:color w:val="000000" w:themeColor="text1"/>
          <w:szCs w:val="16"/>
          <w:shd w:val="clear" w:color="auto" w:fill="FFFFFF"/>
        </w:rPr>
      </w:pPr>
      <w:r w:rsidRPr="00781112">
        <w:rPr>
          <w:rFonts w:cs="Arial"/>
          <w:color w:val="000000" w:themeColor="text1"/>
          <w:szCs w:val="16"/>
          <w:shd w:val="clear" w:color="auto" w:fill="FFFFFF"/>
        </w:rPr>
        <w:br w:type="page"/>
      </w:r>
    </w:p>
    <w:p w14:paraId="04EE5889" w14:textId="73DDCB24" w:rsidR="00764DDE" w:rsidRPr="00781112" w:rsidRDefault="00764DDE" w:rsidP="00764DDE">
      <w:pPr>
        <w:pStyle w:val="Heading1"/>
        <w:rPr>
          <w:color w:val="000000" w:themeColor="text1"/>
          <w:sz w:val="22"/>
        </w:rPr>
      </w:pPr>
      <w:r w:rsidRPr="00781112">
        <w:rPr>
          <w:color w:val="000000" w:themeColor="text1"/>
          <w:sz w:val="22"/>
        </w:rPr>
        <w:lastRenderedPageBreak/>
        <w:t>Indicator 3D: Gap in Proficiency Rates (Grade Level Academic Achievement Standards)</w:t>
      </w:r>
    </w:p>
    <w:p w14:paraId="46C730FF" w14:textId="77777777" w:rsidR="00764DDE" w:rsidRPr="00781112" w:rsidRDefault="00764DDE" w:rsidP="00764DDE">
      <w:pPr>
        <w:rPr>
          <w:color w:val="000000" w:themeColor="text1"/>
          <w:szCs w:val="20"/>
        </w:rPr>
      </w:pPr>
      <w:r w:rsidRPr="00781112">
        <w:rPr>
          <w:b/>
          <w:color w:val="000000" w:themeColor="text1"/>
          <w:sz w:val="20"/>
          <w:szCs w:val="20"/>
        </w:rPr>
        <w:t>Instructions and Measurement</w:t>
      </w:r>
    </w:p>
    <w:p w14:paraId="62AF8D70" w14:textId="77777777" w:rsidR="00764DDE" w:rsidRPr="00781112" w:rsidRDefault="00764DDE" w:rsidP="00764DDE">
      <w:pPr>
        <w:rPr>
          <w:color w:val="000000" w:themeColor="text1"/>
        </w:rPr>
      </w:pPr>
      <w:r w:rsidRPr="00781112">
        <w:rPr>
          <w:b/>
          <w:color w:val="000000" w:themeColor="text1"/>
        </w:rPr>
        <w:t>Monitoring Priority:</w:t>
      </w:r>
      <w:r w:rsidRPr="00781112">
        <w:rPr>
          <w:color w:val="000000" w:themeColor="text1"/>
        </w:rPr>
        <w:t xml:space="preserve"> FAPE in the LRE</w:t>
      </w:r>
    </w:p>
    <w:p w14:paraId="03D1E39F" w14:textId="77777777" w:rsidR="00764DDE" w:rsidRPr="00781112" w:rsidRDefault="00764DDE" w:rsidP="00764DDE">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Participation and performance of children with IEPs on statewide assessments:</w:t>
      </w:r>
    </w:p>
    <w:p w14:paraId="39C0DF3F" w14:textId="77777777" w:rsidR="00876D2A" w:rsidRPr="00781112" w:rsidRDefault="00876D2A" w:rsidP="00876D2A">
      <w:pPr>
        <w:ind w:firstLine="720"/>
        <w:rPr>
          <w:rFonts w:cs="Arial"/>
          <w:color w:val="000000" w:themeColor="text1"/>
          <w:szCs w:val="16"/>
        </w:rPr>
      </w:pPr>
      <w:r w:rsidRPr="00781112">
        <w:rPr>
          <w:rFonts w:cs="Arial"/>
          <w:color w:val="000000" w:themeColor="text1"/>
          <w:szCs w:val="16"/>
        </w:rPr>
        <w:t>A. Participation rate for children with IEPs.</w:t>
      </w:r>
    </w:p>
    <w:p w14:paraId="37414902" w14:textId="77777777" w:rsidR="00876D2A" w:rsidRPr="00781112" w:rsidRDefault="00876D2A" w:rsidP="00876D2A">
      <w:pPr>
        <w:ind w:firstLine="720"/>
        <w:rPr>
          <w:rFonts w:cs="Arial"/>
          <w:color w:val="000000" w:themeColor="text1"/>
          <w:szCs w:val="16"/>
        </w:rPr>
      </w:pPr>
      <w:r w:rsidRPr="00781112">
        <w:rPr>
          <w:rFonts w:cs="Arial"/>
          <w:color w:val="000000" w:themeColor="text1"/>
          <w:szCs w:val="16"/>
        </w:rPr>
        <w:t xml:space="preserve">B. </w:t>
      </w:r>
      <w:r w:rsidRPr="00781112">
        <w:rPr>
          <w:rFonts w:cs="Arial"/>
          <w:szCs w:val="16"/>
        </w:rPr>
        <w:t>Proficiency rate for children with IEPs against grade level academic achievement standards.</w:t>
      </w:r>
    </w:p>
    <w:p w14:paraId="5E9A9263" w14:textId="77777777" w:rsidR="00876D2A" w:rsidRPr="00781112" w:rsidRDefault="00876D2A" w:rsidP="00876D2A">
      <w:pPr>
        <w:ind w:firstLine="720"/>
        <w:rPr>
          <w:rFonts w:cs="Arial"/>
          <w:color w:val="000000" w:themeColor="text1"/>
          <w:szCs w:val="16"/>
        </w:rPr>
      </w:pPr>
      <w:r w:rsidRPr="00781112">
        <w:rPr>
          <w:rFonts w:cs="Arial"/>
          <w:color w:val="000000" w:themeColor="text1"/>
          <w:szCs w:val="16"/>
        </w:rPr>
        <w:t>C. Proficiency rate for children with IEPs against alternate academic achievement standards.</w:t>
      </w:r>
    </w:p>
    <w:p w14:paraId="6AEED6CC" w14:textId="77777777" w:rsidR="00876D2A" w:rsidRPr="00781112" w:rsidRDefault="00876D2A" w:rsidP="00876D2A">
      <w:pPr>
        <w:ind w:firstLine="720"/>
        <w:rPr>
          <w:rFonts w:cs="Arial"/>
          <w:color w:val="000000" w:themeColor="text1"/>
          <w:szCs w:val="16"/>
        </w:rPr>
      </w:pPr>
      <w:r w:rsidRPr="00781112">
        <w:rPr>
          <w:rFonts w:cs="Arial"/>
          <w:color w:val="000000" w:themeColor="text1"/>
          <w:szCs w:val="16"/>
        </w:rPr>
        <w:t>D.</w:t>
      </w:r>
      <w:r w:rsidRPr="00781112">
        <w:rPr>
          <w:rFonts w:cs="Arial"/>
          <w:szCs w:val="16"/>
        </w:rPr>
        <w:t xml:space="preserve"> Gap in proficiency rates for children with IEPs and all students against grade level academic achievement standards.</w:t>
      </w:r>
    </w:p>
    <w:p w14:paraId="67B35375" w14:textId="77777777" w:rsidR="00876D2A" w:rsidRPr="00781112" w:rsidRDefault="00876D2A" w:rsidP="00876D2A">
      <w:pPr>
        <w:rPr>
          <w:rFonts w:cs="Arial"/>
          <w:color w:val="000000" w:themeColor="text1"/>
          <w:szCs w:val="16"/>
        </w:rPr>
      </w:pPr>
      <w:r w:rsidRPr="00781112">
        <w:rPr>
          <w:rFonts w:cs="Arial"/>
          <w:color w:val="000000" w:themeColor="text1"/>
          <w:szCs w:val="16"/>
        </w:rPr>
        <w:t>(20 U.S.C. 1416 (a)(3)(A))</w:t>
      </w:r>
    </w:p>
    <w:p w14:paraId="0BC18EE2" w14:textId="77777777" w:rsidR="00764DDE" w:rsidRPr="00781112" w:rsidRDefault="00764DDE" w:rsidP="00764DDE">
      <w:pPr>
        <w:rPr>
          <w:color w:val="000000" w:themeColor="text1"/>
        </w:rPr>
      </w:pPr>
      <w:r w:rsidRPr="00781112">
        <w:rPr>
          <w:b/>
          <w:color w:val="000000" w:themeColor="text1"/>
        </w:rPr>
        <w:t>Data Source</w:t>
      </w:r>
    </w:p>
    <w:p w14:paraId="3AB8B5B6" w14:textId="77777777" w:rsidR="00876D2A" w:rsidRPr="00781112" w:rsidRDefault="00876D2A" w:rsidP="00876D2A">
      <w:pPr>
        <w:rPr>
          <w:rFonts w:cs="Arial"/>
          <w:szCs w:val="16"/>
        </w:rPr>
      </w:pPr>
      <w:r w:rsidRPr="00781112">
        <w:rPr>
          <w:rFonts w:cs="Arial"/>
          <w:szCs w:val="16"/>
        </w:rPr>
        <w:t>3D. Same data as used for reporting to the Department under Title I of the ESEA, using EDFacts file specifications FS175 and 178.</w:t>
      </w:r>
    </w:p>
    <w:p w14:paraId="7A02CC2C" w14:textId="77777777" w:rsidR="00764DDE" w:rsidRPr="00781112" w:rsidRDefault="00764DDE" w:rsidP="00764DDE">
      <w:pPr>
        <w:rPr>
          <w:color w:val="000000" w:themeColor="text1"/>
        </w:rPr>
      </w:pPr>
      <w:r w:rsidRPr="00781112">
        <w:rPr>
          <w:b/>
          <w:color w:val="000000" w:themeColor="text1"/>
        </w:rPr>
        <w:t>Measurement</w:t>
      </w:r>
    </w:p>
    <w:p w14:paraId="4FEF37F2" w14:textId="476C8C14" w:rsidR="00876D2A" w:rsidRPr="00781112" w:rsidRDefault="00876D2A" w:rsidP="00876D2A">
      <w:pPr>
        <w:rPr>
          <w:rFonts w:cs="Arial"/>
          <w:szCs w:val="16"/>
        </w:rPr>
      </w:pPr>
      <w:r w:rsidRPr="00781112">
        <w:rPr>
          <w:rFonts w:cs="Arial"/>
          <w:szCs w:val="16"/>
        </w:rPr>
        <w:t>D. Proficiency rate gap = [(proficiency rate for children with IEPs scoring at or above proficient against grade level academic achievement standards for the 2021-2022 school year) subtracted from the (proficiency rate for all students scoring at or above proficient against grade level academic achievement standards for the 2021-2022 school year)]. Calculate separately for reading and math. Calculate separately for grades 4, 8, and high school. The proficiency rate includes all children enrolled for a full academic year and those not enrolled for a full academic year.</w:t>
      </w:r>
    </w:p>
    <w:p w14:paraId="69B5F103" w14:textId="77777777" w:rsidR="00764DDE" w:rsidRPr="00781112" w:rsidRDefault="00764DDE" w:rsidP="00764DDE">
      <w:pPr>
        <w:rPr>
          <w:color w:val="000000" w:themeColor="text1"/>
        </w:rPr>
      </w:pPr>
      <w:r w:rsidRPr="00781112">
        <w:rPr>
          <w:b/>
          <w:color w:val="000000" w:themeColor="text1"/>
        </w:rPr>
        <w:t>Instructions</w:t>
      </w:r>
    </w:p>
    <w:p w14:paraId="06ED299B" w14:textId="77777777" w:rsidR="00876D2A" w:rsidRPr="00781112" w:rsidRDefault="00876D2A" w:rsidP="00876D2A">
      <w:pPr>
        <w:pStyle w:val="Subhed"/>
        <w:rPr>
          <w:b w:val="0"/>
          <w:bCs/>
        </w:rPr>
      </w:pPr>
      <w:r w:rsidRPr="00781112">
        <w:rPr>
          <w:b w:val="0"/>
          <w:bCs/>
        </w:rPr>
        <w:t>Describe the results of the calculations and compare the results to the targets.  Provide the actual numbers used in the calculation.</w:t>
      </w:r>
    </w:p>
    <w:p w14:paraId="5361E418" w14:textId="77777777" w:rsidR="00876D2A" w:rsidRPr="00781112" w:rsidRDefault="00876D2A" w:rsidP="00876D2A">
      <w:pPr>
        <w:pStyle w:val="Subhed"/>
        <w:rPr>
          <w:b w:val="0"/>
          <w:bCs/>
        </w:rPr>
      </w:pPr>
      <w:r w:rsidRPr="00781112">
        <w:rPr>
          <w:b w:val="0"/>
          <w:bCs/>
        </w:rPr>
        <w:t xml:space="preserve">Include information regarding where to find public reports of assessment participation and performance results, as required by 34 CFR §300.160(f), </w:t>
      </w:r>
      <w:r w:rsidRPr="00781112">
        <w:rPr>
          <w:b w:val="0"/>
          <w:bCs/>
          <w:i/>
        </w:rPr>
        <w:t>i.e.</w:t>
      </w:r>
      <w:r w:rsidRPr="00781112">
        <w:rPr>
          <w:b w:val="0"/>
          <w:bCs/>
        </w:rPr>
        <w:t>, a link to the Web site where these data are reported.</w:t>
      </w:r>
    </w:p>
    <w:p w14:paraId="6D783CD1" w14:textId="735718BB" w:rsidR="00876D2A" w:rsidRPr="00781112" w:rsidRDefault="00876D2A" w:rsidP="00876D2A">
      <w:pPr>
        <w:pStyle w:val="Subhed"/>
      </w:pPr>
      <w:r w:rsidRPr="00781112">
        <w:rPr>
          <w:b w:val="0"/>
          <w:bCs/>
        </w:rPr>
        <w:t>Indicator 3D: Gap calculations in this SPP/APR must result in the proficiency rate for children with IEPs were proficient against grade level academic achievement standards for the 2021-2022 school year compared to the proficiency rate for all students who were proficient against grade level academic achievement standards for the 2021-2022 school year. Calculate separately for reading/language arts and math in each of the following grades: 4, 8, and high school, including both children enrolled for a full academic year and those not enrolled for a full academic year. Only include children with disabilities who had an IEP at the time of testing.</w:t>
      </w:r>
    </w:p>
    <w:p w14:paraId="272DFFEC" w14:textId="493A26BE" w:rsidR="00764DDE" w:rsidRPr="00781112" w:rsidRDefault="00764DDE" w:rsidP="00764DDE">
      <w:pPr>
        <w:pStyle w:val="Heading2"/>
      </w:pPr>
      <w:r w:rsidRPr="00781112">
        <w:t>3D - Indicator Data</w:t>
      </w:r>
    </w:p>
    <w:p w14:paraId="7CC64996" w14:textId="77777777" w:rsidR="00DD5B7A" w:rsidRPr="00781112" w:rsidRDefault="00DD5B7A" w:rsidP="00DD5B7A"/>
    <w:p w14:paraId="5E01F354" w14:textId="77777777" w:rsidR="00DD5B7A" w:rsidRPr="00781112" w:rsidRDefault="00DD5B7A" w:rsidP="00DD5B7A">
      <w:pPr>
        <w:rPr>
          <w:b/>
          <w:color w:val="000000" w:themeColor="text1"/>
        </w:rPr>
      </w:pPr>
      <w:r w:rsidRPr="00781112">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DHISTDATA"/>
      </w:tblPr>
      <w:tblGrid>
        <w:gridCol w:w="1588"/>
        <w:gridCol w:w="1588"/>
        <w:gridCol w:w="2538"/>
        <w:gridCol w:w="2538"/>
        <w:gridCol w:w="2538"/>
      </w:tblGrid>
      <w:tr w:rsidR="00DD5B7A" w:rsidRPr="00781112" w14:paraId="65AC4D07" w14:textId="77777777" w:rsidTr="009725F4">
        <w:trPr>
          <w:trHeight w:val="368"/>
          <w:tblHeader/>
        </w:trPr>
        <w:tc>
          <w:tcPr>
            <w:tcW w:w="736" w:type="pct"/>
            <w:tcBorders>
              <w:top w:val="single" w:sz="4" w:space="0" w:color="auto"/>
            </w:tcBorders>
            <w:vAlign w:val="center"/>
          </w:tcPr>
          <w:p w14:paraId="0BE0D6D4" w14:textId="77777777" w:rsidR="00DD5B7A" w:rsidRPr="00781112" w:rsidRDefault="00DD5B7A" w:rsidP="00827FF4">
            <w:pPr>
              <w:jc w:val="center"/>
              <w:rPr>
                <w:rFonts w:cs="Arial"/>
                <w:b/>
                <w:color w:val="000000" w:themeColor="text1"/>
                <w:szCs w:val="16"/>
              </w:rPr>
            </w:pPr>
            <w:r w:rsidRPr="00781112">
              <w:rPr>
                <w:rFonts w:cs="Arial"/>
                <w:b/>
                <w:color w:val="000000" w:themeColor="text1"/>
                <w:szCs w:val="16"/>
              </w:rPr>
              <w:t>Subject</w:t>
            </w:r>
          </w:p>
        </w:tc>
        <w:tc>
          <w:tcPr>
            <w:tcW w:w="736" w:type="pct"/>
            <w:tcBorders>
              <w:top w:val="single" w:sz="4" w:space="0" w:color="auto"/>
            </w:tcBorders>
            <w:shd w:val="clear" w:color="auto" w:fill="auto"/>
            <w:vAlign w:val="center"/>
          </w:tcPr>
          <w:p w14:paraId="4B9E396A" w14:textId="77777777" w:rsidR="00DD5B7A" w:rsidRPr="00781112" w:rsidRDefault="00DD5B7A" w:rsidP="00827FF4">
            <w:pPr>
              <w:jc w:val="center"/>
              <w:rPr>
                <w:rFonts w:cs="Arial"/>
                <w:b/>
                <w:color w:val="000000" w:themeColor="text1"/>
                <w:szCs w:val="16"/>
              </w:rPr>
            </w:pPr>
            <w:r w:rsidRPr="00781112">
              <w:rPr>
                <w:rFonts w:cs="Arial"/>
                <w:b/>
                <w:color w:val="000000" w:themeColor="text1"/>
                <w:szCs w:val="16"/>
              </w:rPr>
              <w:t xml:space="preserve">Group </w:t>
            </w:r>
          </w:p>
        </w:tc>
        <w:tc>
          <w:tcPr>
            <w:tcW w:w="1176" w:type="pct"/>
            <w:tcBorders>
              <w:top w:val="single" w:sz="4" w:space="0" w:color="auto"/>
            </w:tcBorders>
            <w:shd w:val="clear" w:color="auto" w:fill="auto"/>
            <w:vAlign w:val="center"/>
          </w:tcPr>
          <w:p w14:paraId="100D6C68" w14:textId="77777777" w:rsidR="00DD5B7A" w:rsidRPr="00781112" w:rsidRDefault="00DD5B7A" w:rsidP="00827FF4">
            <w:pPr>
              <w:jc w:val="center"/>
              <w:rPr>
                <w:rFonts w:cs="Arial"/>
                <w:b/>
                <w:color w:val="000000" w:themeColor="text1"/>
                <w:szCs w:val="16"/>
              </w:rPr>
            </w:pPr>
            <w:r w:rsidRPr="00781112">
              <w:rPr>
                <w:rFonts w:cs="Arial"/>
                <w:b/>
                <w:color w:val="000000" w:themeColor="text1"/>
                <w:szCs w:val="16"/>
              </w:rPr>
              <w:t xml:space="preserve">Group Name </w:t>
            </w:r>
          </w:p>
        </w:tc>
        <w:tc>
          <w:tcPr>
            <w:tcW w:w="1176" w:type="pct"/>
            <w:tcBorders>
              <w:top w:val="single" w:sz="4" w:space="0" w:color="auto"/>
            </w:tcBorders>
            <w:shd w:val="clear" w:color="auto" w:fill="auto"/>
            <w:vAlign w:val="center"/>
          </w:tcPr>
          <w:p w14:paraId="6E047D89" w14:textId="77777777" w:rsidR="00DD5B7A" w:rsidRPr="00781112" w:rsidRDefault="00DD5B7A" w:rsidP="00827FF4">
            <w:pPr>
              <w:jc w:val="center"/>
              <w:rPr>
                <w:rFonts w:cs="Arial"/>
                <w:b/>
                <w:color w:val="000000" w:themeColor="text1"/>
                <w:szCs w:val="16"/>
              </w:rPr>
            </w:pPr>
            <w:r w:rsidRPr="00781112">
              <w:rPr>
                <w:rFonts w:cs="Arial"/>
                <w:b/>
                <w:color w:val="000000" w:themeColor="text1"/>
                <w:szCs w:val="16"/>
              </w:rPr>
              <w:t xml:space="preserve">Baseline Year </w:t>
            </w:r>
          </w:p>
        </w:tc>
        <w:tc>
          <w:tcPr>
            <w:tcW w:w="1176" w:type="pct"/>
            <w:tcBorders>
              <w:top w:val="single" w:sz="4" w:space="0" w:color="auto"/>
            </w:tcBorders>
            <w:vAlign w:val="center"/>
          </w:tcPr>
          <w:p w14:paraId="3D50F3F8" w14:textId="77777777" w:rsidR="00DD5B7A" w:rsidRPr="00781112" w:rsidRDefault="00DD5B7A" w:rsidP="00827FF4">
            <w:pPr>
              <w:jc w:val="center"/>
              <w:rPr>
                <w:rFonts w:cs="Arial"/>
                <w:b/>
                <w:color w:val="000000" w:themeColor="text1"/>
                <w:szCs w:val="16"/>
              </w:rPr>
            </w:pPr>
            <w:r w:rsidRPr="00781112">
              <w:rPr>
                <w:rFonts w:cs="Arial"/>
                <w:b/>
                <w:color w:val="000000" w:themeColor="text1"/>
                <w:szCs w:val="16"/>
              </w:rPr>
              <w:t>Baseline Data</w:t>
            </w:r>
          </w:p>
        </w:tc>
      </w:tr>
      <w:tr w:rsidR="00DD5B7A" w:rsidRPr="00781112" w14:paraId="70B05A32" w14:textId="77777777" w:rsidTr="00360DD6">
        <w:trPr>
          <w:trHeight w:val="368"/>
        </w:trPr>
        <w:tc>
          <w:tcPr>
            <w:tcW w:w="736" w:type="pct"/>
            <w:vAlign w:val="center"/>
          </w:tcPr>
          <w:p w14:paraId="1E1400E1"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00726A78"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406B2FF2" w14:textId="0257EDF0" w:rsidR="00DD5B7A" w:rsidRPr="00781112" w:rsidRDefault="00DD5B7A" w:rsidP="00827FF4">
            <w:pPr>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6B1B3326" w14:textId="475D3617" w:rsidR="00DD5B7A" w:rsidRPr="00781112" w:rsidRDefault="00DD5B7A"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0D86351D" w14:textId="7DD98963" w:rsidR="00DD5B7A" w:rsidRPr="00781112" w:rsidRDefault="00DD5B7A" w:rsidP="00827FF4">
            <w:pPr>
              <w:spacing w:before="0" w:after="0"/>
              <w:jc w:val="center"/>
              <w:rPr>
                <w:color w:val="000000" w:themeColor="text1"/>
              </w:rPr>
            </w:pPr>
            <w:r w:rsidRPr="00781112">
              <w:rPr>
                <w:rFonts w:cs="Arial"/>
                <w:color w:val="000000" w:themeColor="text1"/>
                <w:szCs w:val="16"/>
              </w:rPr>
              <w:t>23.31</w:t>
            </w:r>
          </w:p>
        </w:tc>
      </w:tr>
      <w:tr w:rsidR="00DD5B7A" w:rsidRPr="00781112" w14:paraId="7DB1C775" w14:textId="77777777" w:rsidTr="00360DD6">
        <w:trPr>
          <w:trHeight w:val="368"/>
        </w:trPr>
        <w:tc>
          <w:tcPr>
            <w:tcW w:w="736" w:type="pct"/>
            <w:vAlign w:val="center"/>
          </w:tcPr>
          <w:p w14:paraId="38812700"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4DC20823"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27BEF817" w14:textId="375B6CFE"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644047DF" w14:textId="126BB3C2" w:rsidR="00DD5B7A" w:rsidRPr="00781112" w:rsidRDefault="00DD5B7A"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111214B9" w14:textId="3291E6FA"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35.63</w:t>
            </w:r>
          </w:p>
        </w:tc>
      </w:tr>
      <w:tr w:rsidR="00DD5B7A" w:rsidRPr="00781112" w14:paraId="468C5707" w14:textId="77777777" w:rsidTr="00360DD6">
        <w:trPr>
          <w:trHeight w:val="368"/>
        </w:trPr>
        <w:tc>
          <w:tcPr>
            <w:tcW w:w="736" w:type="pct"/>
            <w:vAlign w:val="center"/>
          </w:tcPr>
          <w:p w14:paraId="283DD3EF"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66F83830"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5B906466" w14:textId="7AB9DEC7" w:rsidR="00DD5B7A" w:rsidRPr="00781112" w:rsidRDefault="00DD5B7A" w:rsidP="00827FF4">
            <w:pPr>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4D688A86" w14:textId="0A70602B" w:rsidR="00DD5B7A" w:rsidRPr="00781112" w:rsidRDefault="00DD5B7A"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3E971EFB" w14:textId="111D0794"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39.47</w:t>
            </w:r>
          </w:p>
        </w:tc>
      </w:tr>
      <w:tr w:rsidR="00DD5B7A" w:rsidRPr="00781112" w14:paraId="40BEF17A" w14:textId="77777777" w:rsidTr="00360DD6">
        <w:trPr>
          <w:trHeight w:val="368"/>
        </w:trPr>
        <w:tc>
          <w:tcPr>
            <w:tcW w:w="736" w:type="pct"/>
            <w:vAlign w:val="center"/>
          </w:tcPr>
          <w:p w14:paraId="10F38B33"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6A2FED54"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4BB0AC7F" w14:textId="3CC5AB81"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53D65D13" w14:textId="770510BC" w:rsidR="00DD5B7A" w:rsidRPr="00781112" w:rsidRDefault="00DD5B7A"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61BD930B" w14:textId="329DAC52"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25.22</w:t>
            </w:r>
          </w:p>
        </w:tc>
      </w:tr>
      <w:tr w:rsidR="00DD5B7A" w:rsidRPr="00781112" w14:paraId="58025947" w14:textId="77777777" w:rsidTr="00360DD6">
        <w:trPr>
          <w:trHeight w:val="368"/>
        </w:trPr>
        <w:tc>
          <w:tcPr>
            <w:tcW w:w="736" w:type="pct"/>
            <w:vAlign w:val="center"/>
          </w:tcPr>
          <w:p w14:paraId="78429F0C"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2EDC855F"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5CF56AA5" w14:textId="0CC49FE5" w:rsidR="00DD5B7A" w:rsidRPr="00781112" w:rsidRDefault="00DD5B7A" w:rsidP="00827FF4">
            <w:pPr>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4E0933AD" w14:textId="4526CD59" w:rsidR="00DD5B7A" w:rsidRPr="00781112" w:rsidRDefault="00DD5B7A"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521057BA" w14:textId="390B5FBA"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30.51</w:t>
            </w:r>
          </w:p>
        </w:tc>
      </w:tr>
      <w:tr w:rsidR="00DD5B7A" w:rsidRPr="00781112" w14:paraId="760D00F1" w14:textId="77777777" w:rsidTr="00360DD6">
        <w:trPr>
          <w:trHeight w:val="368"/>
        </w:trPr>
        <w:tc>
          <w:tcPr>
            <w:tcW w:w="736" w:type="pct"/>
            <w:vAlign w:val="center"/>
          </w:tcPr>
          <w:p w14:paraId="6D27E968"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2F323B36"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351646FB" w14:textId="156B4E70"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32ADE626" w14:textId="141B037F" w:rsidR="00DD5B7A" w:rsidRPr="00781112" w:rsidRDefault="00DD5B7A"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546306E9" w14:textId="2609FDFB"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25.62</w:t>
            </w:r>
          </w:p>
        </w:tc>
      </w:tr>
    </w:tbl>
    <w:p w14:paraId="6BEA17C2" w14:textId="77777777" w:rsidR="00DD5B7A" w:rsidRPr="00781112" w:rsidRDefault="00DD5B7A" w:rsidP="00DD5B7A">
      <w:pPr>
        <w:spacing w:before="0" w:after="200" w:line="276" w:lineRule="auto"/>
        <w:rPr>
          <w:b/>
          <w:color w:val="000000" w:themeColor="text1"/>
        </w:rPr>
      </w:pPr>
    </w:p>
    <w:p w14:paraId="0E9E5136" w14:textId="77777777" w:rsidR="00DD5B7A" w:rsidRPr="00781112" w:rsidRDefault="00DD5B7A" w:rsidP="00DD5B7A">
      <w:pPr>
        <w:rPr>
          <w:b/>
          <w:color w:val="000000" w:themeColor="text1"/>
        </w:rPr>
      </w:pPr>
      <w:r w:rsidRPr="00781112">
        <w:rPr>
          <w:b/>
          <w:color w:val="000000" w:themeColor="text1"/>
        </w:rPr>
        <w:t>Targets</w:t>
      </w:r>
    </w:p>
    <w:tbl>
      <w:tblPr>
        <w:tblW w:w="43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DTARGETS"/>
      </w:tblPr>
      <w:tblGrid>
        <w:gridCol w:w="896"/>
        <w:gridCol w:w="722"/>
        <w:gridCol w:w="1172"/>
        <w:gridCol w:w="1334"/>
        <w:gridCol w:w="1333"/>
        <w:gridCol w:w="1333"/>
        <w:gridCol w:w="1333"/>
        <w:gridCol w:w="1333"/>
      </w:tblGrid>
      <w:tr w:rsidR="00B14519" w:rsidRPr="00781112" w14:paraId="32AE1F59" w14:textId="77777777" w:rsidTr="00451D7E">
        <w:tc>
          <w:tcPr>
            <w:tcW w:w="473" w:type="pct"/>
            <w:tcBorders>
              <w:bottom w:val="single" w:sz="4" w:space="0" w:color="auto"/>
            </w:tcBorders>
            <w:shd w:val="clear" w:color="auto" w:fill="auto"/>
            <w:vAlign w:val="center"/>
          </w:tcPr>
          <w:p w14:paraId="6A9E2F19" w14:textId="77777777" w:rsidR="00B14519" w:rsidRPr="00781112" w:rsidRDefault="00B14519" w:rsidP="00827FF4">
            <w:pPr>
              <w:jc w:val="center"/>
              <w:rPr>
                <w:b/>
                <w:color w:val="000000" w:themeColor="text1"/>
              </w:rPr>
            </w:pPr>
            <w:r w:rsidRPr="00781112">
              <w:rPr>
                <w:b/>
                <w:color w:val="000000" w:themeColor="text1"/>
              </w:rPr>
              <w:t>Subject</w:t>
            </w:r>
          </w:p>
        </w:tc>
        <w:tc>
          <w:tcPr>
            <w:tcW w:w="381" w:type="pct"/>
            <w:tcBorders>
              <w:bottom w:val="single" w:sz="4" w:space="0" w:color="auto"/>
            </w:tcBorders>
            <w:shd w:val="clear" w:color="auto" w:fill="auto"/>
            <w:vAlign w:val="center"/>
          </w:tcPr>
          <w:p w14:paraId="5181D1E9" w14:textId="77777777" w:rsidR="00B14519" w:rsidRPr="00781112" w:rsidRDefault="00B14519" w:rsidP="00827FF4">
            <w:pPr>
              <w:jc w:val="center"/>
              <w:rPr>
                <w:b/>
                <w:color w:val="000000" w:themeColor="text1"/>
              </w:rPr>
            </w:pPr>
            <w:r w:rsidRPr="00781112">
              <w:rPr>
                <w:b/>
                <w:color w:val="000000" w:themeColor="text1"/>
              </w:rPr>
              <w:t>Group</w:t>
            </w:r>
          </w:p>
        </w:tc>
        <w:tc>
          <w:tcPr>
            <w:tcW w:w="619" w:type="pct"/>
            <w:shd w:val="clear" w:color="auto" w:fill="auto"/>
            <w:vAlign w:val="center"/>
          </w:tcPr>
          <w:p w14:paraId="7C5EACD6" w14:textId="77777777" w:rsidR="00B14519" w:rsidRPr="00781112" w:rsidDel="008E7B87" w:rsidRDefault="00B14519" w:rsidP="00827FF4">
            <w:pPr>
              <w:jc w:val="center"/>
              <w:rPr>
                <w:b/>
                <w:color w:val="000000" w:themeColor="text1"/>
              </w:rPr>
            </w:pPr>
            <w:r w:rsidRPr="00781112">
              <w:rPr>
                <w:b/>
                <w:color w:val="000000" w:themeColor="text1"/>
              </w:rPr>
              <w:t>Group Name</w:t>
            </w:r>
          </w:p>
        </w:tc>
        <w:tc>
          <w:tcPr>
            <w:tcW w:w="705" w:type="pct"/>
            <w:shd w:val="clear" w:color="auto" w:fill="auto"/>
            <w:vAlign w:val="center"/>
          </w:tcPr>
          <w:p w14:paraId="57197BBC" w14:textId="77777777" w:rsidR="00B14519" w:rsidRPr="00781112" w:rsidRDefault="00B14519" w:rsidP="00827FF4">
            <w:pPr>
              <w:jc w:val="center"/>
              <w:rPr>
                <w:b/>
                <w:color w:val="000000" w:themeColor="text1"/>
              </w:rPr>
            </w:pPr>
            <w:r w:rsidRPr="00781112">
              <w:rPr>
                <w:b/>
                <w:color w:val="000000" w:themeColor="text1"/>
              </w:rPr>
              <w:t>2021</w:t>
            </w:r>
          </w:p>
        </w:tc>
        <w:tc>
          <w:tcPr>
            <w:tcW w:w="705" w:type="pct"/>
            <w:vAlign w:val="center"/>
          </w:tcPr>
          <w:p w14:paraId="07ACCE04" w14:textId="77777777" w:rsidR="00B14519" w:rsidRPr="00781112" w:rsidRDefault="00B14519" w:rsidP="00827FF4">
            <w:pPr>
              <w:jc w:val="center"/>
              <w:rPr>
                <w:b/>
                <w:color w:val="000000" w:themeColor="text1"/>
              </w:rPr>
            </w:pPr>
            <w:r w:rsidRPr="00781112">
              <w:rPr>
                <w:rFonts w:cs="Arial"/>
                <w:b/>
                <w:color w:val="000000" w:themeColor="text1"/>
                <w:szCs w:val="16"/>
              </w:rPr>
              <w:t>2022</w:t>
            </w:r>
          </w:p>
        </w:tc>
        <w:tc>
          <w:tcPr>
            <w:tcW w:w="705" w:type="pct"/>
            <w:vAlign w:val="center"/>
          </w:tcPr>
          <w:p w14:paraId="0B682674" w14:textId="77777777" w:rsidR="00B14519" w:rsidRPr="00781112" w:rsidRDefault="00B14519" w:rsidP="00827FF4">
            <w:pPr>
              <w:jc w:val="center"/>
              <w:rPr>
                <w:b/>
                <w:color w:val="000000" w:themeColor="text1"/>
              </w:rPr>
            </w:pPr>
            <w:r w:rsidRPr="00781112">
              <w:rPr>
                <w:rFonts w:cs="Arial"/>
                <w:b/>
                <w:color w:val="000000" w:themeColor="text1"/>
                <w:szCs w:val="16"/>
              </w:rPr>
              <w:t>2023</w:t>
            </w:r>
          </w:p>
        </w:tc>
        <w:tc>
          <w:tcPr>
            <w:tcW w:w="705" w:type="pct"/>
            <w:vAlign w:val="center"/>
          </w:tcPr>
          <w:p w14:paraId="3597F00E" w14:textId="77777777" w:rsidR="00B14519" w:rsidRPr="00781112" w:rsidRDefault="00B14519" w:rsidP="00827FF4">
            <w:pPr>
              <w:jc w:val="center"/>
              <w:rPr>
                <w:b/>
                <w:color w:val="000000" w:themeColor="text1"/>
              </w:rPr>
            </w:pPr>
            <w:r w:rsidRPr="00781112">
              <w:rPr>
                <w:rFonts w:cs="Arial"/>
                <w:b/>
                <w:color w:val="000000" w:themeColor="text1"/>
                <w:szCs w:val="16"/>
              </w:rPr>
              <w:t>2024</w:t>
            </w:r>
          </w:p>
        </w:tc>
        <w:tc>
          <w:tcPr>
            <w:tcW w:w="705" w:type="pct"/>
            <w:vAlign w:val="center"/>
          </w:tcPr>
          <w:p w14:paraId="20E1209B" w14:textId="77777777" w:rsidR="00B14519" w:rsidRPr="00781112" w:rsidRDefault="00B14519" w:rsidP="00827FF4">
            <w:pPr>
              <w:jc w:val="center"/>
              <w:rPr>
                <w:b/>
                <w:color w:val="000000" w:themeColor="text1"/>
              </w:rPr>
            </w:pPr>
            <w:r w:rsidRPr="00781112">
              <w:rPr>
                <w:rFonts w:cs="Arial"/>
                <w:b/>
                <w:color w:val="000000" w:themeColor="text1"/>
                <w:szCs w:val="16"/>
              </w:rPr>
              <w:t>2025</w:t>
            </w:r>
          </w:p>
        </w:tc>
      </w:tr>
      <w:tr w:rsidR="00B14519" w:rsidRPr="00781112" w14:paraId="506F660C" w14:textId="77777777" w:rsidTr="00451D7E">
        <w:tc>
          <w:tcPr>
            <w:tcW w:w="473" w:type="pct"/>
            <w:shd w:val="clear" w:color="auto" w:fill="auto"/>
            <w:vAlign w:val="center"/>
          </w:tcPr>
          <w:p w14:paraId="5CF55C17"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Reading</w:t>
            </w:r>
          </w:p>
        </w:tc>
        <w:tc>
          <w:tcPr>
            <w:tcW w:w="381" w:type="pct"/>
            <w:shd w:val="clear" w:color="auto" w:fill="auto"/>
            <w:vAlign w:val="center"/>
          </w:tcPr>
          <w:p w14:paraId="4BDAD87D"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A &lt;=</w:t>
            </w:r>
          </w:p>
        </w:tc>
        <w:tc>
          <w:tcPr>
            <w:tcW w:w="619" w:type="pct"/>
            <w:shd w:val="clear" w:color="auto" w:fill="auto"/>
            <w:vAlign w:val="center"/>
          </w:tcPr>
          <w:p w14:paraId="25B01019" w14:textId="68614C3D" w:rsidR="00B14519" w:rsidRPr="00781112" w:rsidDel="00DB0A73" w:rsidRDefault="00B14519" w:rsidP="00827FF4">
            <w:pPr>
              <w:jc w:val="center"/>
              <w:rPr>
                <w:rFonts w:cs="Arial"/>
                <w:color w:val="000000" w:themeColor="text1"/>
                <w:szCs w:val="16"/>
              </w:rPr>
            </w:pPr>
            <w:r w:rsidRPr="00781112">
              <w:rPr>
                <w:rFonts w:cs="Arial"/>
                <w:color w:val="000000" w:themeColor="text1"/>
                <w:szCs w:val="16"/>
              </w:rPr>
              <w:t>Grade 4</w:t>
            </w:r>
          </w:p>
        </w:tc>
        <w:tc>
          <w:tcPr>
            <w:tcW w:w="705" w:type="pct"/>
            <w:shd w:val="clear" w:color="auto" w:fill="auto"/>
            <w:vAlign w:val="center"/>
          </w:tcPr>
          <w:p w14:paraId="6E665D01" w14:textId="380A2C73" w:rsidR="00B14519" w:rsidRPr="00781112" w:rsidRDefault="00B14519" w:rsidP="00827FF4">
            <w:pPr>
              <w:jc w:val="center"/>
              <w:rPr>
                <w:rFonts w:cs="Arial"/>
                <w:color w:val="000000" w:themeColor="text1"/>
                <w:szCs w:val="16"/>
              </w:rPr>
            </w:pPr>
            <w:r w:rsidRPr="00781112">
              <w:rPr>
                <w:rFonts w:cs="Arial"/>
                <w:color w:val="000000" w:themeColor="text1"/>
                <w:szCs w:val="16"/>
              </w:rPr>
              <w:t>23.31</w:t>
            </w:r>
          </w:p>
        </w:tc>
        <w:tc>
          <w:tcPr>
            <w:tcW w:w="705" w:type="pct"/>
            <w:vAlign w:val="center"/>
          </w:tcPr>
          <w:p w14:paraId="680AEBF8" w14:textId="435AE40D" w:rsidR="00B14519" w:rsidRPr="00781112" w:rsidRDefault="00B14519" w:rsidP="00827FF4">
            <w:pPr>
              <w:jc w:val="center"/>
              <w:rPr>
                <w:rFonts w:cs="Arial"/>
                <w:color w:val="000000" w:themeColor="text1"/>
                <w:szCs w:val="16"/>
              </w:rPr>
            </w:pPr>
            <w:r w:rsidRPr="00781112">
              <w:rPr>
                <w:rFonts w:cs="Arial"/>
                <w:color w:val="000000" w:themeColor="text1"/>
                <w:szCs w:val="16"/>
              </w:rPr>
              <w:t>23.19</w:t>
            </w:r>
            <w:r w:rsidRPr="00781112">
              <w:t xml:space="preserve"> </w:t>
            </w:r>
          </w:p>
        </w:tc>
        <w:tc>
          <w:tcPr>
            <w:tcW w:w="705" w:type="pct"/>
            <w:vAlign w:val="center"/>
          </w:tcPr>
          <w:p w14:paraId="060B65A2" w14:textId="3C5E7042" w:rsidR="00B14519" w:rsidRPr="00781112" w:rsidRDefault="00B14519" w:rsidP="00827FF4">
            <w:pPr>
              <w:jc w:val="center"/>
              <w:rPr>
                <w:rFonts w:cs="Arial"/>
                <w:color w:val="000000" w:themeColor="text1"/>
                <w:szCs w:val="16"/>
              </w:rPr>
            </w:pPr>
            <w:r w:rsidRPr="00781112">
              <w:rPr>
                <w:rFonts w:cs="Arial"/>
                <w:color w:val="000000" w:themeColor="text1"/>
                <w:szCs w:val="16"/>
              </w:rPr>
              <w:t>23.07</w:t>
            </w:r>
          </w:p>
        </w:tc>
        <w:tc>
          <w:tcPr>
            <w:tcW w:w="705" w:type="pct"/>
            <w:vAlign w:val="center"/>
          </w:tcPr>
          <w:p w14:paraId="7E46B7D6" w14:textId="00FC807B" w:rsidR="00B14519" w:rsidRPr="00781112" w:rsidRDefault="00B14519" w:rsidP="00827FF4">
            <w:pPr>
              <w:jc w:val="center"/>
              <w:rPr>
                <w:rFonts w:cs="Arial"/>
                <w:color w:val="000000" w:themeColor="text1"/>
                <w:szCs w:val="16"/>
              </w:rPr>
            </w:pPr>
            <w:r w:rsidRPr="00781112">
              <w:rPr>
                <w:rFonts w:cs="Arial"/>
                <w:color w:val="000000" w:themeColor="text1"/>
                <w:szCs w:val="16"/>
              </w:rPr>
              <w:t>22.84</w:t>
            </w:r>
          </w:p>
        </w:tc>
        <w:tc>
          <w:tcPr>
            <w:tcW w:w="705" w:type="pct"/>
            <w:vAlign w:val="center"/>
          </w:tcPr>
          <w:p w14:paraId="7A079196" w14:textId="4665429A" w:rsidR="00B14519" w:rsidRPr="00781112" w:rsidRDefault="00B14519" w:rsidP="00827FF4">
            <w:pPr>
              <w:jc w:val="center"/>
              <w:rPr>
                <w:rFonts w:cs="Arial"/>
                <w:color w:val="000000" w:themeColor="text1"/>
                <w:szCs w:val="16"/>
              </w:rPr>
            </w:pPr>
            <w:r w:rsidRPr="00781112">
              <w:rPr>
                <w:rFonts w:cs="Arial"/>
                <w:color w:val="000000" w:themeColor="text1"/>
                <w:szCs w:val="16"/>
              </w:rPr>
              <w:t>22.36</w:t>
            </w:r>
          </w:p>
        </w:tc>
      </w:tr>
      <w:tr w:rsidR="00B14519" w:rsidRPr="00781112" w14:paraId="109FA148" w14:textId="77777777" w:rsidTr="00451D7E">
        <w:tc>
          <w:tcPr>
            <w:tcW w:w="473" w:type="pct"/>
            <w:shd w:val="clear" w:color="auto" w:fill="auto"/>
            <w:vAlign w:val="center"/>
          </w:tcPr>
          <w:p w14:paraId="5CAAC2A8"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Reading</w:t>
            </w:r>
          </w:p>
        </w:tc>
        <w:tc>
          <w:tcPr>
            <w:tcW w:w="381" w:type="pct"/>
            <w:shd w:val="clear" w:color="auto" w:fill="auto"/>
            <w:vAlign w:val="center"/>
          </w:tcPr>
          <w:p w14:paraId="1DFAA13E"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B &lt;=</w:t>
            </w:r>
          </w:p>
        </w:tc>
        <w:tc>
          <w:tcPr>
            <w:tcW w:w="619" w:type="pct"/>
            <w:shd w:val="clear" w:color="auto" w:fill="auto"/>
            <w:vAlign w:val="center"/>
          </w:tcPr>
          <w:p w14:paraId="330884D1" w14:textId="3ED7AA15" w:rsidR="00B14519" w:rsidRPr="00781112" w:rsidDel="00DB0A73" w:rsidRDefault="00B14519" w:rsidP="00827FF4">
            <w:pPr>
              <w:jc w:val="center"/>
              <w:rPr>
                <w:rFonts w:cs="Arial"/>
                <w:color w:val="000000" w:themeColor="text1"/>
                <w:szCs w:val="16"/>
              </w:rPr>
            </w:pPr>
            <w:r w:rsidRPr="00781112">
              <w:rPr>
                <w:rFonts w:cs="Arial"/>
                <w:color w:val="000000" w:themeColor="text1"/>
                <w:szCs w:val="16"/>
              </w:rPr>
              <w:t>Grade 8</w:t>
            </w:r>
          </w:p>
        </w:tc>
        <w:tc>
          <w:tcPr>
            <w:tcW w:w="705" w:type="pct"/>
            <w:shd w:val="clear" w:color="auto" w:fill="auto"/>
            <w:vAlign w:val="center"/>
          </w:tcPr>
          <w:p w14:paraId="68DC0FBA" w14:textId="3776550F" w:rsidR="00B14519" w:rsidRPr="00781112" w:rsidRDefault="00B14519" w:rsidP="00827FF4">
            <w:pPr>
              <w:jc w:val="center"/>
              <w:rPr>
                <w:rFonts w:cs="Arial"/>
                <w:color w:val="000000" w:themeColor="text1"/>
                <w:szCs w:val="16"/>
              </w:rPr>
            </w:pPr>
            <w:r w:rsidRPr="00781112">
              <w:rPr>
                <w:rFonts w:cs="Arial"/>
                <w:color w:val="000000" w:themeColor="text1"/>
                <w:szCs w:val="16"/>
              </w:rPr>
              <w:t>35.63</w:t>
            </w:r>
          </w:p>
        </w:tc>
        <w:tc>
          <w:tcPr>
            <w:tcW w:w="705" w:type="pct"/>
            <w:vAlign w:val="center"/>
          </w:tcPr>
          <w:p w14:paraId="5D544F8D" w14:textId="7D5BE3EF" w:rsidR="00B14519" w:rsidRPr="00781112" w:rsidRDefault="00B14519" w:rsidP="00827FF4">
            <w:pPr>
              <w:jc w:val="center"/>
              <w:rPr>
                <w:rFonts w:cs="Arial"/>
                <w:color w:val="000000" w:themeColor="text1"/>
                <w:szCs w:val="16"/>
              </w:rPr>
            </w:pPr>
            <w:r w:rsidRPr="00781112">
              <w:rPr>
                <w:rFonts w:cs="Arial"/>
                <w:color w:val="000000" w:themeColor="text1"/>
                <w:szCs w:val="16"/>
              </w:rPr>
              <w:t>35.51</w:t>
            </w:r>
          </w:p>
        </w:tc>
        <w:tc>
          <w:tcPr>
            <w:tcW w:w="705" w:type="pct"/>
            <w:vAlign w:val="center"/>
          </w:tcPr>
          <w:p w14:paraId="067CAD2B" w14:textId="5DA2AE3C" w:rsidR="00B14519" w:rsidRPr="00781112" w:rsidRDefault="00B14519" w:rsidP="00827FF4">
            <w:pPr>
              <w:jc w:val="center"/>
              <w:rPr>
                <w:rFonts w:cs="Arial"/>
                <w:color w:val="000000" w:themeColor="text1"/>
                <w:szCs w:val="16"/>
              </w:rPr>
            </w:pPr>
            <w:r w:rsidRPr="00781112">
              <w:rPr>
                <w:rFonts w:cs="Arial"/>
                <w:color w:val="000000" w:themeColor="text1"/>
                <w:szCs w:val="16"/>
              </w:rPr>
              <w:t>35.39</w:t>
            </w:r>
          </w:p>
        </w:tc>
        <w:tc>
          <w:tcPr>
            <w:tcW w:w="705" w:type="pct"/>
            <w:vAlign w:val="center"/>
          </w:tcPr>
          <w:p w14:paraId="780BEF08" w14:textId="2245CB58" w:rsidR="00B14519" w:rsidRPr="00781112" w:rsidRDefault="00B14519" w:rsidP="00827FF4">
            <w:pPr>
              <w:jc w:val="center"/>
              <w:rPr>
                <w:rFonts w:cs="Arial"/>
                <w:color w:val="000000" w:themeColor="text1"/>
                <w:szCs w:val="16"/>
              </w:rPr>
            </w:pPr>
            <w:r w:rsidRPr="00781112">
              <w:rPr>
                <w:rFonts w:cs="Arial"/>
                <w:color w:val="000000" w:themeColor="text1"/>
                <w:szCs w:val="16"/>
              </w:rPr>
              <w:t>35.15</w:t>
            </w:r>
          </w:p>
        </w:tc>
        <w:tc>
          <w:tcPr>
            <w:tcW w:w="705" w:type="pct"/>
            <w:vAlign w:val="center"/>
          </w:tcPr>
          <w:p w14:paraId="7CDE10BF" w14:textId="33273B74" w:rsidR="00B14519" w:rsidRPr="00781112" w:rsidRDefault="00B14519" w:rsidP="00827FF4">
            <w:pPr>
              <w:jc w:val="center"/>
              <w:rPr>
                <w:rFonts w:cs="Arial"/>
                <w:color w:val="000000" w:themeColor="text1"/>
                <w:szCs w:val="16"/>
              </w:rPr>
            </w:pPr>
            <w:r w:rsidRPr="00781112">
              <w:rPr>
                <w:rFonts w:cs="Arial"/>
                <w:color w:val="000000" w:themeColor="text1"/>
                <w:szCs w:val="16"/>
              </w:rPr>
              <w:t>34.67</w:t>
            </w:r>
          </w:p>
        </w:tc>
      </w:tr>
      <w:tr w:rsidR="00B14519" w:rsidRPr="00781112" w14:paraId="736D24EA" w14:textId="77777777" w:rsidTr="00451D7E">
        <w:tc>
          <w:tcPr>
            <w:tcW w:w="473" w:type="pct"/>
            <w:shd w:val="clear" w:color="auto" w:fill="auto"/>
            <w:vAlign w:val="center"/>
          </w:tcPr>
          <w:p w14:paraId="56FB00C6"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Reading</w:t>
            </w:r>
          </w:p>
        </w:tc>
        <w:tc>
          <w:tcPr>
            <w:tcW w:w="381" w:type="pct"/>
            <w:shd w:val="clear" w:color="auto" w:fill="auto"/>
            <w:vAlign w:val="center"/>
          </w:tcPr>
          <w:p w14:paraId="76599FEA"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C &lt;=</w:t>
            </w:r>
          </w:p>
        </w:tc>
        <w:tc>
          <w:tcPr>
            <w:tcW w:w="619" w:type="pct"/>
            <w:shd w:val="clear" w:color="auto" w:fill="auto"/>
            <w:vAlign w:val="center"/>
          </w:tcPr>
          <w:p w14:paraId="6758DB1A" w14:textId="51D63552" w:rsidR="00B14519" w:rsidRPr="00781112" w:rsidDel="00DB0A73" w:rsidRDefault="00B14519" w:rsidP="00827FF4">
            <w:pPr>
              <w:jc w:val="center"/>
              <w:rPr>
                <w:rFonts w:cs="Arial"/>
                <w:color w:val="000000" w:themeColor="text1"/>
                <w:szCs w:val="16"/>
              </w:rPr>
            </w:pPr>
            <w:r w:rsidRPr="00781112">
              <w:rPr>
                <w:rFonts w:cs="Arial"/>
                <w:color w:val="000000" w:themeColor="text1"/>
                <w:szCs w:val="16"/>
              </w:rPr>
              <w:t>Grade HS</w:t>
            </w:r>
          </w:p>
        </w:tc>
        <w:tc>
          <w:tcPr>
            <w:tcW w:w="705" w:type="pct"/>
            <w:shd w:val="clear" w:color="auto" w:fill="auto"/>
            <w:vAlign w:val="center"/>
          </w:tcPr>
          <w:p w14:paraId="56DA6177" w14:textId="20AF4748" w:rsidR="00B14519" w:rsidRPr="00781112" w:rsidRDefault="00B14519" w:rsidP="00827FF4">
            <w:pPr>
              <w:jc w:val="center"/>
              <w:rPr>
                <w:rFonts w:cs="Arial"/>
                <w:color w:val="000000" w:themeColor="text1"/>
                <w:szCs w:val="16"/>
              </w:rPr>
            </w:pPr>
            <w:r w:rsidRPr="00781112">
              <w:rPr>
                <w:rFonts w:cs="Arial"/>
                <w:color w:val="000000" w:themeColor="text1"/>
                <w:szCs w:val="16"/>
              </w:rPr>
              <w:t>39.47</w:t>
            </w:r>
          </w:p>
        </w:tc>
        <w:tc>
          <w:tcPr>
            <w:tcW w:w="705" w:type="pct"/>
            <w:vAlign w:val="center"/>
          </w:tcPr>
          <w:p w14:paraId="12D9F716" w14:textId="7A56543C" w:rsidR="00B14519" w:rsidRPr="00781112" w:rsidRDefault="00B14519" w:rsidP="00827FF4">
            <w:pPr>
              <w:jc w:val="center"/>
              <w:rPr>
                <w:rFonts w:cs="Arial"/>
                <w:color w:val="000000" w:themeColor="text1"/>
                <w:szCs w:val="16"/>
              </w:rPr>
            </w:pPr>
            <w:r w:rsidRPr="00781112">
              <w:rPr>
                <w:rFonts w:cs="Arial"/>
                <w:color w:val="000000" w:themeColor="text1"/>
                <w:szCs w:val="16"/>
              </w:rPr>
              <w:t>39.23</w:t>
            </w:r>
          </w:p>
        </w:tc>
        <w:tc>
          <w:tcPr>
            <w:tcW w:w="705" w:type="pct"/>
            <w:vAlign w:val="center"/>
          </w:tcPr>
          <w:p w14:paraId="4EE8CD33" w14:textId="2A4DD9F9" w:rsidR="00B14519" w:rsidRPr="00781112" w:rsidRDefault="00B14519" w:rsidP="00827FF4">
            <w:pPr>
              <w:jc w:val="center"/>
              <w:rPr>
                <w:rFonts w:cs="Arial"/>
                <w:color w:val="000000" w:themeColor="text1"/>
                <w:szCs w:val="16"/>
              </w:rPr>
            </w:pPr>
            <w:r w:rsidRPr="00781112">
              <w:rPr>
                <w:rFonts w:cs="Arial"/>
                <w:color w:val="000000" w:themeColor="text1"/>
                <w:szCs w:val="16"/>
              </w:rPr>
              <w:t>38.99</w:t>
            </w:r>
          </w:p>
        </w:tc>
        <w:tc>
          <w:tcPr>
            <w:tcW w:w="705" w:type="pct"/>
            <w:vAlign w:val="center"/>
          </w:tcPr>
          <w:p w14:paraId="5414FEEF" w14:textId="05CDB931" w:rsidR="00B14519" w:rsidRPr="00781112" w:rsidRDefault="00B14519" w:rsidP="00827FF4">
            <w:pPr>
              <w:jc w:val="center"/>
              <w:rPr>
                <w:rFonts w:cs="Arial"/>
                <w:color w:val="000000" w:themeColor="text1"/>
                <w:szCs w:val="16"/>
              </w:rPr>
            </w:pPr>
            <w:r w:rsidRPr="00781112">
              <w:rPr>
                <w:rFonts w:cs="Arial"/>
                <w:color w:val="000000" w:themeColor="text1"/>
                <w:szCs w:val="16"/>
              </w:rPr>
              <w:t>38.51</w:t>
            </w:r>
          </w:p>
        </w:tc>
        <w:tc>
          <w:tcPr>
            <w:tcW w:w="705" w:type="pct"/>
            <w:vAlign w:val="center"/>
          </w:tcPr>
          <w:p w14:paraId="4484F5C2" w14:textId="609E66AA" w:rsidR="00B14519" w:rsidRPr="00781112" w:rsidRDefault="00B14519" w:rsidP="00827FF4">
            <w:pPr>
              <w:jc w:val="center"/>
              <w:rPr>
                <w:rFonts w:cs="Arial"/>
                <w:color w:val="000000" w:themeColor="text1"/>
                <w:szCs w:val="16"/>
              </w:rPr>
            </w:pPr>
            <w:r w:rsidRPr="00781112">
              <w:rPr>
                <w:rFonts w:cs="Arial"/>
                <w:color w:val="000000" w:themeColor="text1"/>
                <w:szCs w:val="16"/>
              </w:rPr>
              <w:t>37.55</w:t>
            </w:r>
          </w:p>
        </w:tc>
      </w:tr>
      <w:tr w:rsidR="00B14519" w:rsidRPr="00781112" w14:paraId="311AB0DD" w14:textId="77777777" w:rsidTr="00451D7E">
        <w:tc>
          <w:tcPr>
            <w:tcW w:w="473" w:type="pct"/>
            <w:shd w:val="clear" w:color="auto" w:fill="auto"/>
            <w:vAlign w:val="center"/>
          </w:tcPr>
          <w:p w14:paraId="3D2E0CB6"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Math</w:t>
            </w:r>
          </w:p>
        </w:tc>
        <w:tc>
          <w:tcPr>
            <w:tcW w:w="381" w:type="pct"/>
            <w:shd w:val="clear" w:color="auto" w:fill="auto"/>
            <w:vAlign w:val="center"/>
          </w:tcPr>
          <w:p w14:paraId="2AAA6495"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A &lt;=</w:t>
            </w:r>
          </w:p>
        </w:tc>
        <w:tc>
          <w:tcPr>
            <w:tcW w:w="619" w:type="pct"/>
            <w:shd w:val="clear" w:color="auto" w:fill="auto"/>
            <w:vAlign w:val="center"/>
          </w:tcPr>
          <w:p w14:paraId="65E16006" w14:textId="0FBAD82F" w:rsidR="00B14519" w:rsidRPr="00781112" w:rsidDel="00DB0A73" w:rsidRDefault="00B14519" w:rsidP="00827FF4">
            <w:pPr>
              <w:jc w:val="center"/>
              <w:rPr>
                <w:rFonts w:cs="Arial"/>
                <w:color w:val="000000" w:themeColor="text1"/>
                <w:szCs w:val="16"/>
              </w:rPr>
            </w:pPr>
            <w:r w:rsidRPr="00781112">
              <w:rPr>
                <w:rFonts w:cs="Arial"/>
                <w:color w:val="000000" w:themeColor="text1"/>
                <w:szCs w:val="16"/>
              </w:rPr>
              <w:t>Grade 4</w:t>
            </w:r>
          </w:p>
        </w:tc>
        <w:tc>
          <w:tcPr>
            <w:tcW w:w="705" w:type="pct"/>
            <w:shd w:val="clear" w:color="auto" w:fill="auto"/>
            <w:vAlign w:val="center"/>
          </w:tcPr>
          <w:p w14:paraId="122DB35A" w14:textId="50E48575" w:rsidR="00B14519" w:rsidRPr="00781112" w:rsidRDefault="00B14519" w:rsidP="00827FF4">
            <w:pPr>
              <w:jc w:val="center"/>
              <w:rPr>
                <w:rFonts w:cs="Arial"/>
                <w:color w:val="000000" w:themeColor="text1"/>
                <w:szCs w:val="16"/>
              </w:rPr>
            </w:pPr>
            <w:r w:rsidRPr="00781112">
              <w:rPr>
                <w:rFonts w:cs="Arial"/>
                <w:color w:val="000000" w:themeColor="text1"/>
                <w:szCs w:val="16"/>
              </w:rPr>
              <w:t>25.22</w:t>
            </w:r>
          </w:p>
        </w:tc>
        <w:tc>
          <w:tcPr>
            <w:tcW w:w="705" w:type="pct"/>
            <w:vAlign w:val="center"/>
          </w:tcPr>
          <w:p w14:paraId="7E46501E" w14:textId="6CB1A41D" w:rsidR="00B14519" w:rsidRPr="00781112" w:rsidRDefault="00B14519" w:rsidP="00827FF4">
            <w:pPr>
              <w:jc w:val="center"/>
              <w:rPr>
                <w:rFonts w:cs="Arial"/>
                <w:color w:val="000000" w:themeColor="text1"/>
                <w:szCs w:val="16"/>
              </w:rPr>
            </w:pPr>
            <w:r w:rsidRPr="00781112">
              <w:rPr>
                <w:rFonts w:cs="Arial"/>
                <w:color w:val="000000" w:themeColor="text1"/>
                <w:szCs w:val="16"/>
              </w:rPr>
              <w:t>25.10</w:t>
            </w:r>
          </w:p>
        </w:tc>
        <w:tc>
          <w:tcPr>
            <w:tcW w:w="705" w:type="pct"/>
            <w:vAlign w:val="center"/>
          </w:tcPr>
          <w:p w14:paraId="6A7C9997" w14:textId="58A4736A" w:rsidR="00B14519" w:rsidRPr="00781112" w:rsidRDefault="00B14519" w:rsidP="00827FF4">
            <w:pPr>
              <w:jc w:val="center"/>
              <w:rPr>
                <w:rFonts w:cs="Arial"/>
                <w:color w:val="000000" w:themeColor="text1"/>
                <w:szCs w:val="16"/>
              </w:rPr>
            </w:pPr>
            <w:r w:rsidRPr="00781112">
              <w:rPr>
                <w:rFonts w:cs="Arial"/>
                <w:color w:val="000000" w:themeColor="text1"/>
                <w:szCs w:val="16"/>
              </w:rPr>
              <w:t>24.98</w:t>
            </w:r>
          </w:p>
        </w:tc>
        <w:tc>
          <w:tcPr>
            <w:tcW w:w="705" w:type="pct"/>
            <w:vAlign w:val="center"/>
          </w:tcPr>
          <w:p w14:paraId="491D1816" w14:textId="09E4A313" w:rsidR="00B14519" w:rsidRPr="00781112" w:rsidRDefault="00B14519" w:rsidP="00827FF4">
            <w:pPr>
              <w:jc w:val="center"/>
              <w:rPr>
                <w:rFonts w:cs="Arial"/>
                <w:color w:val="000000" w:themeColor="text1"/>
                <w:szCs w:val="16"/>
              </w:rPr>
            </w:pPr>
            <w:r w:rsidRPr="00781112">
              <w:rPr>
                <w:rFonts w:cs="Arial"/>
                <w:color w:val="000000" w:themeColor="text1"/>
                <w:szCs w:val="16"/>
              </w:rPr>
              <w:t>24.74</w:t>
            </w:r>
          </w:p>
        </w:tc>
        <w:tc>
          <w:tcPr>
            <w:tcW w:w="705" w:type="pct"/>
            <w:vAlign w:val="center"/>
          </w:tcPr>
          <w:p w14:paraId="7C31E2D9" w14:textId="6B280022" w:rsidR="00B14519" w:rsidRPr="00781112" w:rsidRDefault="00B14519" w:rsidP="00827FF4">
            <w:pPr>
              <w:jc w:val="center"/>
              <w:rPr>
                <w:rFonts w:cs="Arial"/>
                <w:color w:val="000000" w:themeColor="text1"/>
                <w:szCs w:val="16"/>
              </w:rPr>
            </w:pPr>
            <w:r w:rsidRPr="00781112">
              <w:rPr>
                <w:rFonts w:cs="Arial"/>
                <w:color w:val="000000" w:themeColor="text1"/>
                <w:szCs w:val="16"/>
              </w:rPr>
              <w:t>24.25</w:t>
            </w:r>
          </w:p>
        </w:tc>
      </w:tr>
      <w:tr w:rsidR="00B14519" w:rsidRPr="00781112" w14:paraId="1F14A6A0" w14:textId="77777777" w:rsidTr="00451D7E">
        <w:tc>
          <w:tcPr>
            <w:tcW w:w="473" w:type="pct"/>
            <w:shd w:val="clear" w:color="auto" w:fill="auto"/>
            <w:vAlign w:val="center"/>
          </w:tcPr>
          <w:p w14:paraId="67FFD637"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Math</w:t>
            </w:r>
          </w:p>
        </w:tc>
        <w:tc>
          <w:tcPr>
            <w:tcW w:w="381" w:type="pct"/>
            <w:shd w:val="clear" w:color="auto" w:fill="auto"/>
            <w:vAlign w:val="center"/>
          </w:tcPr>
          <w:p w14:paraId="5CC9E434"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B &lt;=</w:t>
            </w:r>
          </w:p>
        </w:tc>
        <w:tc>
          <w:tcPr>
            <w:tcW w:w="619" w:type="pct"/>
            <w:shd w:val="clear" w:color="auto" w:fill="auto"/>
            <w:vAlign w:val="center"/>
          </w:tcPr>
          <w:p w14:paraId="48449221" w14:textId="1DE29BDC" w:rsidR="00B14519" w:rsidRPr="00781112" w:rsidDel="00DB0A73" w:rsidRDefault="00B14519" w:rsidP="00827FF4">
            <w:pPr>
              <w:jc w:val="center"/>
              <w:rPr>
                <w:rFonts w:cs="Arial"/>
                <w:color w:val="000000" w:themeColor="text1"/>
                <w:szCs w:val="16"/>
              </w:rPr>
            </w:pPr>
            <w:r w:rsidRPr="00781112">
              <w:rPr>
                <w:rFonts w:cs="Arial"/>
                <w:color w:val="000000" w:themeColor="text1"/>
                <w:szCs w:val="16"/>
              </w:rPr>
              <w:t>Grade 8</w:t>
            </w:r>
          </w:p>
        </w:tc>
        <w:tc>
          <w:tcPr>
            <w:tcW w:w="705" w:type="pct"/>
            <w:shd w:val="clear" w:color="auto" w:fill="auto"/>
            <w:vAlign w:val="center"/>
          </w:tcPr>
          <w:p w14:paraId="09A6E3C5" w14:textId="2E8BFD65" w:rsidR="00B14519" w:rsidRPr="00781112" w:rsidRDefault="00B14519" w:rsidP="00827FF4">
            <w:pPr>
              <w:jc w:val="center"/>
              <w:rPr>
                <w:rFonts w:cs="Arial"/>
                <w:color w:val="000000" w:themeColor="text1"/>
                <w:szCs w:val="16"/>
              </w:rPr>
            </w:pPr>
            <w:r w:rsidRPr="00781112">
              <w:rPr>
                <w:rFonts w:cs="Arial"/>
                <w:color w:val="000000" w:themeColor="text1"/>
                <w:szCs w:val="16"/>
              </w:rPr>
              <w:t>30.51</w:t>
            </w:r>
          </w:p>
        </w:tc>
        <w:tc>
          <w:tcPr>
            <w:tcW w:w="705" w:type="pct"/>
            <w:vAlign w:val="center"/>
          </w:tcPr>
          <w:p w14:paraId="627C9FA2" w14:textId="428379CE" w:rsidR="00B14519" w:rsidRPr="00781112" w:rsidRDefault="00B14519" w:rsidP="00827FF4">
            <w:pPr>
              <w:jc w:val="center"/>
              <w:rPr>
                <w:rFonts w:cs="Arial"/>
                <w:color w:val="000000" w:themeColor="text1"/>
                <w:szCs w:val="16"/>
              </w:rPr>
            </w:pPr>
            <w:r w:rsidRPr="00781112">
              <w:rPr>
                <w:rFonts w:cs="Arial"/>
                <w:color w:val="000000" w:themeColor="text1"/>
                <w:szCs w:val="16"/>
              </w:rPr>
              <w:t>30.43</w:t>
            </w:r>
          </w:p>
        </w:tc>
        <w:tc>
          <w:tcPr>
            <w:tcW w:w="705" w:type="pct"/>
            <w:vAlign w:val="center"/>
          </w:tcPr>
          <w:p w14:paraId="6204E3FD" w14:textId="081B5532" w:rsidR="00B14519" w:rsidRPr="00781112" w:rsidRDefault="00B14519" w:rsidP="00827FF4">
            <w:pPr>
              <w:jc w:val="center"/>
              <w:rPr>
                <w:rFonts w:cs="Arial"/>
                <w:color w:val="000000" w:themeColor="text1"/>
                <w:szCs w:val="16"/>
              </w:rPr>
            </w:pPr>
            <w:r w:rsidRPr="00781112">
              <w:rPr>
                <w:rFonts w:cs="Arial"/>
                <w:color w:val="000000" w:themeColor="text1"/>
                <w:szCs w:val="16"/>
              </w:rPr>
              <w:t>30.35</w:t>
            </w:r>
          </w:p>
        </w:tc>
        <w:tc>
          <w:tcPr>
            <w:tcW w:w="705" w:type="pct"/>
            <w:vAlign w:val="center"/>
          </w:tcPr>
          <w:p w14:paraId="70AB4E74" w14:textId="67486BA0" w:rsidR="00B14519" w:rsidRPr="00781112" w:rsidRDefault="00B14519" w:rsidP="00827FF4">
            <w:pPr>
              <w:jc w:val="center"/>
              <w:rPr>
                <w:rFonts w:cs="Arial"/>
                <w:color w:val="000000" w:themeColor="text1"/>
                <w:szCs w:val="16"/>
              </w:rPr>
            </w:pPr>
            <w:r w:rsidRPr="00781112">
              <w:rPr>
                <w:rFonts w:cs="Arial"/>
                <w:color w:val="000000" w:themeColor="text1"/>
                <w:szCs w:val="16"/>
              </w:rPr>
              <w:t>30.19</w:t>
            </w:r>
          </w:p>
        </w:tc>
        <w:tc>
          <w:tcPr>
            <w:tcW w:w="705" w:type="pct"/>
            <w:vAlign w:val="center"/>
          </w:tcPr>
          <w:p w14:paraId="76EDA768" w14:textId="58627E7B" w:rsidR="00B14519" w:rsidRPr="00781112" w:rsidRDefault="00B14519" w:rsidP="00827FF4">
            <w:pPr>
              <w:jc w:val="center"/>
              <w:rPr>
                <w:rFonts w:cs="Arial"/>
                <w:color w:val="000000" w:themeColor="text1"/>
                <w:szCs w:val="16"/>
              </w:rPr>
            </w:pPr>
            <w:r w:rsidRPr="00781112">
              <w:rPr>
                <w:rFonts w:cs="Arial"/>
                <w:color w:val="000000" w:themeColor="text1"/>
                <w:szCs w:val="16"/>
              </w:rPr>
              <w:t>29.86</w:t>
            </w:r>
          </w:p>
        </w:tc>
      </w:tr>
      <w:tr w:rsidR="00B14519" w:rsidRPr="00781112" w14:paraId="60CD7006" w14:textId="77777777" w:rsidTr="00451D7E">
        <w:tc>
          <w:tcPr>
            <w:tcW w:w="473" w:type="pct"/>
            <w:shd w:val="clear" w:color="auto" w:fill="auto"/>
            <w:vAlign w:val="center"/>
          </w:tcPr>
          <w:p w14:paraId="76491141"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Math</w:t>
            </w:r>
          </w:p>
        </w:tc>
        <w:tc>
          <w:tcPr>
            <w:tcW w:w="381" w:type="pct"/>
            <w:shd w:val="clear" w:color="auto" w:fill="auto"/>
            <w:vAlign w:val="center"/>
          </w:tcPr>
          <w:p w14:paraId="6C27CF3D"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C &lt;=</w:t>
            </w:r>
          </w:p>
        </w:tc>
        <w:tc>
          <w:tcPr>
            <w:tcW w:w="619" w:type="pct"/>
            <w:shd w:val="clear" w:color="auto" w:fill="auto"/>
            <w:vAlign w:val="center"/>
          </w:tcPr>
          <w:p w14:paraId="4E465544" w14:textId="4F893AB5" w:rsidR="00B14519" w:rsidRPr="00781112" w:rsidDel="00DB0A73" w:rsidRDefault="00B14519" w:rsidP="00827FF4">
            <w:pPr>
              <w:jc w:val="center"/>
              <w:rPr>
                <w:rFonts w:cs="Arial"/>
                <w:color w:val="000000" w:themeColor="text1"/>
                <w:szCs w:val="16"/>
              </w:rPr>
            </w:pPr>
            <w:r w:rsidRPr="00781112">
              <w:rPr>
                <w:rFonts w:cs="Arial"/>
                <w:color w:val="000000" w:themeColor="text1"/>
                <w:szCs w:val="16"/>
              </w:rPr>
              <w:t>Grade HS</w:t>
            </w:r>
          </w:p>
        </w:tc>
        <w:tc>
          <w:tcPr>
            <w:tcW w:w="705" w:type="pct"/>
            <w:shd w:val="clear" w:color="auto" w:fill="auto"/>
            <w:vAlign w:val="center"/>
          </w:tcPr>
          <w:p w14:paraId="7B41E026" w14:textId="6E6F2C10" w:rsidR="00B14519" w:rsidRPr="00781112" w:rsidRDefault="00B14519" w:rsidP="00827FF4">
            <w:pPr>
              <w:jc w:val="center"/>
              <w:rPr>
                <w:rFonts w:cs="Arial"/>
                <w:color w:val="000000" w:themeColor="text1"/>
                <w:szCs w:val="16"/>
              </w:rPr>
            </w:pPr>
            <w:r w:rsidRPr="00781112">
              <w:rPr>
                <w:rFonts w:cs="Arial"/>
                <w:color w:val="000000" w:themeColor="text1"/>
                <w:szCs w:val="16"/>
              </w:rPr>
              <w:t>25.62</w:t>
            </w:r>
          </w:p>
        </w:tc>
        <w:tc>
          <w:tcPr>
            <w:tcW w:w="705" w:type="pct"/>
            <w:vAlign w:val="center"/>
          </w:tcPr>
          <w:p w14:paraId="294118D4" w14:textId="54195603" w:rsidR="00B14519" w:rsidRPr="00781112" w:rsidRDefault="00B14519" w:rsidP="00827FF4">
            <w:pPr>
              <w:jc w:val="center"/>
              <w:rPr>
                <w:rFonts w:cs="Arial"/>
                <w:color w:val="000000" w:themeColor="text1"/>
                <w:szCs w:val="16"/>
              </w:rPr>
            </w:pPr>
            <w:r w:rsidRPr="00781112">
              <w:rPr>
                <w:rFonts w:cs="Arial"/>
                <w:color w:val="000000" w:themeColor="text1"/>
                <w:szCs w:val="16"/>
              </w:rPr>
              <w:t>25.52</w:t>
            </w:r>
          </w:p>
        </w:tc>
        <w:tc>
          <w:tcPr>
            <w:tcW w:w="705" w:type="pct"/>
            <w:vAlign w:val="center"/>
          </w:tcPr>
          <w:p w14:paraId="41623CC8" w14:textId="4F75F535" w:rsidR="00B14519" w:rsidRPr="00781112" w:rsidRDefault="00B14519" w:rsidP="00827FF4">
            <w:pPr>
              <w:jc w:val="center"/>
              <w:rPr>
                <w:rFonts w:cs="Arial"/>
                <w:color w:val="000000" w:themeColor="text1"/>
                <w:szCs w:val="16"/>
              </w:rPr>
            </w:pPr>
            <w:r w:rsidRPr="00781112">
              <w:rPr>
                <w:rFonts w:cs="Arial"/>
                <w:color w:val="000000" w:themeColor="text1"/>
                <w:szCs w:val="16"/>
              </w:rPr>
              <w:t>25.42</w:t>
            </w:r>
          </w:p>
        </w:tc>
        <w:tc>
          <w:tcPr>
            <w:tcW w:w="705" w:type="pct"/>
            <w:vAlign w:val="center"/>
          </w:tcPr>
          <w:p w14:paraId="70C28E3C" w14:textId="4F91601C" w:rsidR="00B14519" w:rsidRPr="00781112" w:rsidRDefault="00B14519" w:rsidP="00827FF4">
            <w:pPr>
              <w:jc w:val="center"/>
              <w:rPr>
                <w:rFonts w:cs="Arial"/>
                <w:color w:val="000000" w:themeColor="text1"/>
                <w:szCs w:val="16"/>
              </w:rPr>
            </w:pPr>
            <w:r w:rsidRPr="00781112">
              <w:rPr>
                <w:rFonts w:cs="Arial"/>
                <w:color w:val="000000" w:themeColor="text1"/>
                <w:szCs w:val="16"/>
              </w:rPr>
              <w:t>25.23</w:t>
            </w:r>
          </w:p>
        </w:tc>
        <w:tc>
          <w:tcPr>
            <w:tcW w:w="705" w:type="pct"/>
            <w:vAlign w:val="center"/>
          </w:tcPr>
          <w:p w14:paraId="72D77BDF" w14:textId="662A73D4" w:rsidR="00B14519" w:rsidRPr="00781112" w:rsidRDefault="00B14519" w:rsidP="00827FF4">
            <w:pPr>
              <w:jc w:val="center"/>
              <w:rPr>
                <w:rFonts w:cs="Arial"/>
                <w:color w:val="000000" w:themeColor="text1"/>
                <w:szCs w:val="16"/>
              </w:rPr>
            </w:pPr>
            <w:r w:rsidRPr="00781112">
              <w:rPr>
                <w:rFonts w:cs="Arial"/>
                <w:color w:val="000000" w:themeColor="text1"/>
                <w:szCs w:val="16"/>
              </w:rPr>
              <w:t>24.83</w:t>
            </w:r>
          </w:p>
        </w:tc>
      </w:tr>
    </w:tbl>
    <w:p w14:paraId="05E796DD" w14:textId="77777777" w:rsidR="00DD5B7A" w:rsidRPr="00781112" w:rsidRDefault="00DD5B7A" w:rsidP="00DD5B7A">
      <w:pPr>
        <w:rPr>
          <w:b/>
          <w:color w:val="000000" w:themeColor="text1"/>
        </w:rPr>
      </w:pPr>
    </w:p>
    <w:p w14:paraId="209349EB" w14:textId="77777777" w:rsidR="00DD5B7A" w:rsidRPr="00781112" w:rsidRDefault="00DD5B7A" w:rsidP="00DD5B7A">
      <w:pPr>
        <w:rPr>
          <w:b/>
          <w:color w:val="000000" w:themeColor="text1"/>
        </w:rPr>
      </w:pPr>
      <w:r w:rsidRPr="00781112">
        <w:rPr>
          <w:b/>
          <w:color w:val="000000" w:themeColor="text1"/>
        </w:rPr>
        <w:t xml:space="preserve">Targets: Description of Stakeholder Input </w:t>
      </w:r>
    </w:p>
    <w:p w14:paraId="6369E081" w14:textId="77777777" w:rsidR="00DD5B7A" w:rsidRPr="00781112" w:rsidRDefault="00DD5B7A" w:rsidP="00DD5B7A">
      <w:pPr>
        <w:rPr>
          <w:rFonts w:cs="Arial"/>
          <w:color w:val="000000" w:themeColor="text1"/>
          <w:szCs w:val="16"/>
        </w:rPr>
      </w:pPr>
      <w:r w:rsidRPr="00781112">
        <w:rPr>
          <w:rFonts w:cs="Arial"/>
          <w:color w:val="000000" w:themeColor="text1"/>
          <w:szCs w:val="16"/>
        </w:rPr>
        <w:t>The USBE SES values stakeholder engagement and input and solicits ongoing feedback and review. Stakeholders consistently provide input through collaborative meetings, public comment, written communication, survey data, data analysis, and informal conversations. To share data and information and collect feedback on areas such as SPP/APR targets, the USBE SES employs meetings, newsletters, emails, surveys, and social media with stakeholder groups:</w:t>
      </w:r>
      <w:r w:rsidRPr="00781112">
        <w:rPr>
          <w:rFonts w:cs="Arial"/>
          <w:color w:val="000000" w:themeColor="text1"/>
          <w:szCs w:val="16"/>
        </w:rPr>
        <w:br/>
        <w:t>• LEA Special Education Directors</w:t>
      </w:r>
      <w:r w:rsidRPr="00781112">
        <w:rPr>
          <w:rFonts w:cs="Arial"/>
          <w:color w:val="000000" w:themeColor="text1"/>
          <w:szCs w:val="16"/>
        </w:rPr>
        <w:br/>
        <w:t>• Utah Special Education Advisory Panel (USEAP)</w:t>
      </w:r>
      <w:r w:rsidRPr="00781112">
        <w:rPr>
          <w:rFonts w:cs="Arial"/>
          <w:color w:val="000000" w:themeColor="text1"/>
          <w:szCs w:val="16"/>
        </w:rPr>
        <w:br/>
        <w:t>• USBE Committees</w:t>
      </w:r>
      <w:r w:rsidRPr="00781112">
        <w:rPr>
          <w:rFonts w:cs="Arial"/>
          <w:color w:val="000000" w:themeColor="text1"/>
          <w:szCs w:val="16"/>
        </w:rPr>
        <w:br/>
      </w:r>
      <w:r w:rsidRPr="00781112">
        <w:rPr>
          <w:rFonts w:cs="Arial"/>
          <w:color w:val="000000" w:themeColor="text1"/>
          <w:szCs w:val="16"/>
        </w:rPr>
        <w:lastRenderedPageBreak/>
        <w:t>• Utah Legislative Committees</w:t>
      </w:r>
      <w:r w:rsidRPr="00781112">
        <w:rPr>
          <w:rFonts w:cs="Arial"/>
          <w:color w:val="000000" w:themeColor="text1"/>
          <w:szCs w:val="16"/>
        </w:rPr>
        <w:br/>
        <w:t>• Utah Parent Center (UPC)</w:t>
      </w:r>
      <w:r w:rsidRPr="00781112">
        <w:rPr>
          <w:rFonts w:cs="Arial"/>
          <w:color w:val="000000" w:themeColor="text1"/>
          <w:szCs w:val="16"/>
        </w:rPr>
        <w:br/>
        <w:t>• LEA Curriculum and Assessment Directors</w:t>
      </w:r>
      <w:r w:rsidRPr="00781112">
        <w:rPr>
          <w:rFonts w:cs="Arial"/>
          <w:color w:val="000000" w:themeColor="text1"/>
          <w:szCs w:val="16"/>
        </w:rPr>
        <w:br/>
        <w:t>• LEA Preschool Coordinators</w:t>
      </w:r>
      <w:r w:rsidRPr="00781112">
        <w:rPr>
          <w:rFonts w:cs="Arial"/>
          <w:color w:val="000000" w:themeColor="text1"/>
          <w:szCs w:val="16"/>
        </w:rPr>
        <w:br/>
        <w:t>• LEA Administrators</w:t>
      </w:r>
      <w:r w:rsidRPr="00781112">
        <w:rPr>
          <w:rFonts w:cs="Arial"/>
          <w:color w:val="000000" w:themeColor="text1"/>
          <w:szCs w:val="16"/>
        </w:rPr>
        <w:br/>
        <w:t>•Utah Institutes of Higher Education (IHEs)</w:t>
      </w:r>
      <w:r w:rsidRPr="00781112">
        <w:rPr>
          <w:rFonts w:cs="Arial"/>
          <w:color w:val="000000" w:themeColor="text1"/>
          <w:szCs w:val="16"/>
        </w:rPr>
        <w:br/>
        <w:t>• Baby Watch/Early Intervention (Utah’s Part C agency)</w:t>
      </w:r>
      <w:r w:rsidRPr="00781112">
        <w:rPr>
          <w:rFonts w:cs="Arial"/>
          <w:color w:val="000000" w:themeColor="text1"/>
          <w:szCs w:val="16"/>
        </w:rPr>
        <w:br/>
        <w:t>• Agencies and non-profit organizations that provide services to SWD</w:t>
      </w:r>
      <w:r w:rsidRPr="00781112">
        <w:rPr>
          <w:rFonts w:cs="Arial"/>
          <w:color w:val="000000" w:themeColor="text1"/>
          <w:szCs w:val="16"/>
        </w:rPr>
        <w:br/>
        <w:t>• Utah Educators</w:t>
      </w:r>
      <w:r w:rsidRPr="00781112">
        <w:rPr>
          <w:rFonts w:cs="Arial"/>
          <w:color w:val="000000" w:themeColor="text1"/>
          <w:szCs w:val="16"/>
        </w:rPr>
        <w:br/>
        <w:t>• Advocacy groups throughout the State</w:t>
      </w:r>
      <w:r w:rsidRPr="00781112">
        <w:rPr>
          <w:rFonts w:cs="Arial"/>
          <w:color w:val="000000" w:themeColor="text1"/>
          <w:szCs w:val="16"/>
        </w:rPr>
        <w:br/>
        <w:t>During FFY 2021, no changes were made to the SPP/APR targets. The USBE SES reviewed the progress of the implementation of the Theory of Action for the SSIP and SPP/APR data with USEAM, USEAP, and the Coordinating Council for People with Disabilities (CCPD) (which includes all state agencies that serve individuals with disabilities and all nonprofit organizations that receive any state funding and/or grants).</w:t>
      </w:r>
      <w:r w:rsidRPr="00781112">
        <w:rPr>
          <w:rFonts w:cs="Arial"/>
          <w:color w:val="000000" w:themeColor="text1"/>
          <w:szCs w:val="16"/>
        </w:rPr>
        <w:br/>
        <w:t>The APR summit was held virtually on July 30, 2021. Over 100 participants attended from the stakeholder groups and those with individual interests. Participants reviewed data and projections for the State in 2025–2026. Participants were provided with an overview of the advantages and disadvantages of predictive models as well as an overview of the mindset for target-setting. Participants were asked to select the end targets (2025–2026) for indicators. The USBE SES would then calculate intervening targets between FFY 2020 and FFY 2025 whereby there would be no increase in the target the first year, followed by small increases, then large increases near the end. This is to allow enough time for LEAs to implement initiatives and change practices to realistically meet targets along their way to the rigorous end targets. After this overview, participants determined challenging and achievable end targets. The USBE SES calculated intervening targets and shared these intervening targets with the participants and additional stakeholders to get final approval for all the targets.</w:t>
      </w:r>
      <w:r w:rsidRPr="00781112">
        <w:rPr>
          <w:rFonts w:cs="Arial"/>
          <w:color w:val="000000" w:themeColor="text1"/>
          <w:szCs w:val="16"/>
        </w:rPr>
        <w:br/>
        <w:t>A survey was sent out and 101 individuals participated. Most participants identified as white females in suburban parts of Utah. American Indian/Native Alaskan, Hispanic/Latino, and individuals who identified as multiracial also participated. As a result of this additional feedback, the USBE SES revised Indicator 5 targets to maintain rigor and develop reasonable targets manageable by the LEAs. Targets for all indicators were developed after review of historical indicator and trend data, recommendations from the USBE statistician, the impact of COVID-19, APR summit and APR survey review. All targets were subsequently reviewed and adopted by USBE staff, USEAP, and LEAs. OSEP approved SPP/APR targets in the FFY 2020 SPP/APR.</w:t>
      </w:r>
      <w:r w:rsidRPr="00781112">
        <w:rPr>
          <w:rFonts w:cs="Arial"/>
          <w:color w:val="000000" w:themeColor="text1"/>
          <w:szCs w:val="16"/>
        </w:rPr>
        <w:br/>
        <w:t>During FFY 2021, the SPP/APR and SSIP were discussed regularly with LEA special education directors, USEAP, UPC, the state Parent Teacher Association (PTA), and other parent groups focused on inclusionary practices in Utah schools. Regular meetings are held with all these groups typically on a quarterly basis. Emails, phone calls, and in-person meetings provide for informal opportunities to gain insight and adjust.</w:t>
      </w:r>
      <w:r w:rsidRPr="00781112">
        <w:rPr>
          <w:rFonts w:cs="Arial"/>
          <w:color w:val="000000" w:themeColor="text1"/>
          <w:szCs w:val="16"/>
        </w:rPr>
        <w:br/>
        <w:t>The UPC works closely with USBE to increase the capacity of diverse groups of parents. Meetings at UPC are held in Spanish as the second highest language in the State. Refugee populations are connected through UPC staff assigned to specific LEAs with large populations of refugees.</w:t>
      </w:r>
      <w:r w:rsidRPr="00781112">
        <w:rPr>
          <w:rFonts w:cs="Arial"/>
          <w:color w:val="000000" w:themeColor="text1"/>
          <w:szCs w:val="16"/>
        </w:rPr>
        <w:br/>
        <w:t>The USBE family engagement specialist seeks to increase capacity through cross collaboration with other parent and family engagement programs provided in LEAs that we will continue to target.</w:t>
      </w:r>
      <w:r w:rsidRPr="00781112">
        <w:rPr>
          <w:rFonts w:cs="Arial"/>
          <w:color w:val="000000" w:themeColor="text1"/>
          <w:szCs w:val="16"/>
        </w:rPr>
        <w:br/>
        <w:t>INDICATOR 1</w:t>
      </w:r>
      <w:r w:rsidRPr="00781112">
        <w:rPr>
          <w:rFonts w:cs="Arial"/>
          <w:color w:val="000000" w:themeColor="text1"/>
          <w:szCs w:val="16"/>
        </w:rPr>
        <w:br/>
        <w:t>Data from 2018 was determined to be an appropriate baseline. With a baseline of 67.90%, targets will increase with consideration for COVID-19 impacts.</w:t>
      </w:r>
      <w:r w:rsidRPr="00781112">
        <w:rPr>
          <w:rFonts w:cs="Arial"/>
          <w:color w:val="000000" w:themeColor="text1"/>
          <w:szCs w:val="16"/>
        </w:rPr>
        <w:br/>
        <w:t>INDICATOR 2</w:t>
      </w:r>
      <w:r w:rsidRPr="00781112">
        <w:rPr>
          <w:rFonts w:cs="Arial"/>
          <w:color w:val="000000" w:themeColor="text1"/>
          <w:szCs w:val="16"/>
        </w:rPr>
        <w:br/>
        <w:t>Data from 2018 was determined to be an appropriate baseline. With a baseline of 25.81%, targets will decrease with consideration for COVID-19 impacts.</w:t>
      </w:r>
      <w:r w:rsidRPr="00781112">
        <w:rPr>
          <w:rFonts w:cs="Arial"/>
          <w:color w:val="000000" w:themeColor="text1"/>
          <w:szCs w:val="16"/>
        </w:rPr>
        <w:br/>
        <w:t>INDICATOR 3A</w:t>
      </w:r>
      <w:r w:rsidRPr="00781112">
        <w:rPr>
          <w:rFonts w:cs="Arial"/>
          <w:color w:val="000000" w:themeColor="text1"/>
          <w:szCs w:val="16"/>
        </w:rPr>
        <w:br/>
        <w:t>This target is set by OSEP. Stakeholders discussed ways to improve participation.</w:t>
      </w:r>
      <w:r w:rsidRPr="00781112">
        <w:rPr>
          <w:rFonts w:cs="Arial"/>
          <w:color w:val="000000" w:themeColor="text1"/>
          <w:szCs w:val="16"/>
        </w:rPr>
        <w:br/>
        <w:t>INDICATORS 3B, C, D</w:t>
      </w:r>
      <w:r w:rsidRPr="00781112">
        <w:rPr>
          <w:rFonts w:cs="Arial"/>
          <w:color w:val="000000" w:themeColor="text1"/>
          <w:szCs w:val="16"/>
        </w:rPr>
        <w:br/>
        <w:t>Participants looked at the average mean from the previous four years of data in conjunction with the linear trend and forecasting. This process allowed participants to analyze the best statistical guess of where Utah’s data would most likely be in six years while also seeing the forecasting of possible error over time for predicting far into the future.</w:t>
      </w:r>
      <w:r w:rsidRPr="00781112">
        <w:rPr>
          <w:rFonts w:cs="Arial"/>
          <w:color w:val="000000" w:themeColor="text1"/>
          <w:szCs w:val="16"/>
        </w:rPr>
        <w:br/>
        <w:t>INDICATOR 5</w:t>
      </w:r>
      <w:r w:rsidRPr="00781112">
        <w:rPr>
          <w:rFonts w:cs="Arial"/>
          <w:color w:val="000000" w:themeColor="text1"/>
          <w:szCs w:val="16"/>
        </w:rPr>
        <w:br/>
        <w:t>During FFY 2020, the Indicator 5 baseline was reset. In FFY 2021, all targets were met. A comprehensive approach was taken to provide informative learning sessions to support special education directors who are accountable for reviewing Indicator 5 outcome data. Recognizing the need to differentiate support, the USBE SES offered individual LEA data analysis and problem-solving sessions.</w:t>
      </w:r>
      <w:r w:rsidRPr="00781112">
        <w:rPr>
          <w:rFonts w:cs="Arial"/>
          <w:color w:val="000000" w:themeColor="text1"/>
          <w:szCs w:val="16"/>
        </w:rPr>
        <w:br/>
        <w:t>INDICATOR 6</w:t>
      </w:r>
      <w:r w:rsidRPr="00781112">
        <w:rPr>
          <w:rFonts w:cs="Arial"/>
          <w:color w:val="000000" w:themeColor="text1"/>
          <w:szCs w:val="16"/>
        </w:rPr>
        <w:br/>
        <w:t>Data from 2018 was determined to be an appropriate baseline. With baselines of (A) 46.86%, (B) 32.67%, (C) 0.25%, targets will gradually increase and decrease with consideration for COVID-19 impacts.</w:t>
      </w:r>
      <w:r w:rsidRPr="00781112">
        <w:rPr>
          <w:rFonts w:cs="Arial"/>
          <w:color w:val="000000" w:themeColor="text1"/>
          <w:szCs w:val="16"/>
        </w:rPr>
        <w:br/>
        <w:t>INDICATOR 7</w:t>
      </w:r>
      <w:r w:rsidRPr="00781112">
        <w:rPr>
          <w:rFonts w:cs="Arial"/>
          <w:color w:val="000000" w:themeColor="text1"/>
          <w:szCs w:val="16"/>
        </w:rPr>
        <w:br/>
        <w:t>Data from 2018 was determined to be an appropriate baseline. The USBE predicts outcomes for this indicator are still being largely impacted by COVID-19, and targets are currently set below the baseline. With baselines of (A1) 88.86%, (A2) 58.94%, (B1) 88.41%, (B2) 50.48%, (C1) 89.86%, (C2) 70.52%, targets will increase with consideration for COVID-19 impacts.</w:t>
      </w:r>
      <w:r w:rsidRPr="00781112">
        <w:rPr>
          <w:rFonts w:cs="Arial"/>
          <w:color w:val="000000" w:themeColor="text1"/>
          <w:szCs w:val="16"/>
        </w:rPr>
        <w:br/>
        <w:t>INDICATOR 8</w:t>
      </w:r>
      <w:r w:rsidRPr="00781112">
        <w:rPr>
          <w:rFonts w:cs="Arial"/>
          <w:color w:val="000000" w:themeColor="text1"/>
          <w:szCs w:val="16"/>
        </w:rPr>
        <w:br/>
        <w:t>Data from 2018 was determined to be an appropriate baseline. With a baseline of 78.38%, targets will gradually increase with consideration for COVID-19 impacts.</w:t>
      </w:r>
      <w:r w:rsidRPr="00781112">
        <w:rPr>
          <w:rFonts w:cs="Arial"/>
          <w:color w:val="000000" w:themeColor="text1"/>
          <w:szCs w:val="16"/>
        </w:rPr>
        <w:br/>
        <w:t>INDICATORS 4, 9, 10</w:t>
      </w:r>
      <w:r w:rsidRPr="00781112">
        <w:rPr>
          <w:rFonts w:cs="Arial"/>
          <w:color w:val="000000" w:themeColor="text1"/>
          <w:szCs w:val="16"/>
        </w:rPr>
        <w:br/>
        <w:t>During the APR Summit, stakeholders reviewed current data trends and ways to improve outcomes. Although targets cannot be changed, stakeholder input has been instrumental in meeting targets for these indicators. The calculations and data collection process for these indicators has been updated to improve outcomes for SWD. Stakeholder input has been utilized to determine processes, PL, and support provided to bridge the gap between current performance and targets.</w:t>
      </w:r>
      <w:r w:rsidRPr="00781112">
        <w:rPr>
          <w:rFonts w:cs="Arial"/>
          <w:color w:val="000000" w:themeColor="text1"/>
          <w:szCs w:val="16"/>
        </w:rPr>
        <w:br/>
        <w:t>INDICATORS 11, 12</w:t>
      </w:r>
      <w:r w:rsidRPr="00781112">
        <w:rPr>
          <w:rFonts w:cs="Arial"/>
          <w:color w:val="000000" w:themeColor="text1"/>
          <w:szCs w:val="16"/>
        </w:rPr>
        <w:br/>
        <w:t>During the APR Summit, stakeholders reviewed current data trends and ways to improve outcomes. Although targets cannot be changed, stakeholder input has been instrumental in meeting targets for these indicators. Input has been utilized to determine PL and support provided to bridge the gap between current performance and targets.</w:t>
      </w:r>
      <w:r w:rsidRPr="00781112">
        <w:rPr>
          <w:rFonts w:cs="Arial"/>
          <w:color w:val="000000" w:themeColor="text1"/>
          <w:szCs w:val="16"/>
        </w:rPr>
        <w:br/>
        <w:t>INDICATOR 13</w:t>
      </w:r>
      <w:r w:rsidRPr="00781112">
        <w:rPr>
          <w:rFonts w:cs="Arial"/>
          <w:color w:val="000000" w:themeColor="text1"/>
          <w:szCs w:val="16"/>
        </w:rPr>
        <w:br/>
        <w:t>The USBE SES recognizes this is an area requiring improvement. During the APR Summit, stakeholders reviewed current data trends and ways to improve outcomes. Although targets cannot be changed, stakeholder input has been instrumental in the progression toward meeting the target.</w:t>
      </w:r>
      <w:r w:rsidRPr="00781112">
        <w:rPr>
          <w:rFonts w:cs="Arial"/>
          <w:color w:val="000000" w:themeColor="text1"/>
          <w:szCs w:val="16"/>
        </w:rPr>
        <w:br/>
        <w:t>INDICATOR 14</w:t>
      </w:r>
      <w:r w:rsidRPr="00781112">
        <w:rPr>
          <w:rFonts w:cs="Arial"/>
          <w:color w:val="000000" w:themeColor="text1"/>
          <w:szCs w:val="16"/>
        </w:rPr>
        <w:br/>
        <w:t>Data from 2018 was determined to be an appropriate baseline. The USBE predicts outcomes for this indicator are still being largely impacted by COVID-19, and targets are currently set below the baseline. With baselines of (A) 19.62%, (B) 67.60%, (C) 84.37%, targets will increase with consideration for COVID-19 impacts.</w:t>
      </w:r>
      <w:r w:rsidRPr="00781112">
        <w:rPr>
          <w:rFonts w:cs="Arial"/>
          <w:color w:val="000000" w:themeColor="text1"/>
          <w:szCs w:val="16"/>
        </w:rPr>
        <w:br/>
        <w:t xml:space="preserve">INDICATOR 15 </w:t>
      </w:r>
      <w:r w:rsidRPr="00781112">
        <w:rPr>
          <w:rFonts w:cs="Arial"/>
          <w:color w:val="000000" w:themeColor="text1"/>
          <w:szCs w:val="16"/>
        </w:rPr>
        <w:br/>
        <w:t>The USBE continues to experience relatively low levels of due process hearing requests and resolution meetings and is not required to set a target.</w:t>
      </w:r>
      <w:r w:rsidRPr="00781112">
        <w:rPr>
          <w:rFonts w:cs="Arial"/>
          <w:color w:val="000000" w:themeColor="text1"/>
          <w:szCs w:val="16"/>
        </w:rPr>
        <w:br/>
      </w:r>
      <w:r w:rsidRPr="00781112">
        <w:rPr>
          <w:rFonts w:cs="Arial"/>
          <w:color w:val="000000" w:themeColor="text1"/>
          <w:szCs w:val="16"/>
        </w:rPr>
        <w:lastRenderedPageBreak/>
        <w:t xml:space="preserve">INDICATOR 16 </w:t>
      </w:r>
      <w:r w:rsidRPr="00781112">
        <w:rPr>
          <w:rFonts w:cs="Arial"/>
          <w:color w:val="000000" w:themeColor="text1"/>
          <w:szCs w:val="16"/>
        </w:rPr>
        <w:br/>
        <w:t>The USBE continues to experience relatively low levels of dispute resolution requests, including mediation. Targets have been set based on the low level of mediation requests.</w:t>
      </w:r>
    </w:p>
    <w:p w14:paraId="1A8E431E" w14:textId="45368C9A" w:rsidR="00DD5B7A" w:rsidRPr="00781112" w:rsidRDefault="00DD5B7A" w:rsidP="00DD5B7A">
      <w:pPr>
        <w:rPr>
          <w:rFonts w:cs="Arial"/>
          <w:color w:val="000000" w:themeColor="text1"/>
          <w:szCs w:val="16"/>
        </w:rPr>
      </w:pPr>
    </w:p>
    <w:p w14:paraId="5EB19DE7" w14:textId="77777777" w:rsidR="00DD5B7A" w:rsidRPr="00781112" w:rsidRDefault="00DD5B7A" w:rsidP="00DD5B7A">
      <w:pPr>
        <w:spacing w:before="0" w:after="200" w:line="276" w:lineRule="auto"/>
        <w:rPr>
          <w:b/>
          <w:color w:val="000000" w:themeColor="text1"/>
        </w:rPr>
      </w:pPr>
    </w:p>
    <w:p w14:paraId="5F03961C" w14:textId="6F5CB644" w:rsidR="00DD5B7A" w:rsidRPr="00781112" w:rsidRDefault="00FA33C9" w:rsidP="00DD5B7A">
      <w:pPr>
        <w:rPr>
          <w:b/>
          <w:color w:val="000000" w:themeColor="text1"/>
        </w:rPr>
      </w:pPr>
      <w:r>
        <w:rPr>
          <w:b/>
          <w:color w:val="000000" w:themeColor="text1"/>
        </w:rPr>
        <w:t>FFY 2021 Data Disaggregation from EDFacts</w:t>
      </w:r>
    </w:p>
    <w:p w14:paraId="27A29F4B" w14:textId="77777777" w:rsidR="00DD5B7A" w:rsidRPr="00781112" w:rsidRDefault="00DD5B7A" w:rsidP="00DD5B7A">
      <w:pPr>
        <w:rPr>
          <w:rFonts w:cs="Arial"/>
          <w:b/>
          <w:color w:val="000000" w:themeColor="text1"/>
          <w:szCs w:val="16"/>
        </w:rPr>
      </w:pPr>
      <w:r w:rsidRPr="00781112">
        <w:rPr>
          <w:rFonts w:cs="Arial"/>
          <w:b/>
          <w:color w:val="000000" w:themeColor="text1"/>
          <w:szCs w:val="16"/>
        </w:rPr>
        <w:t xml:space="preserve">Data Source:  </w:t>
      </w:r>
    </w:p>
    <w:p w14:paraId="24C5C209" w14:textId="7C8C8769" w:rsidR="00DD5B7A" w:rsidRPr="00781112" w:rsidRDefault="00DD5B7A" w:rsidP="00DD5B7A">
      <w:pPr>
        <w:rPr>
          <w:rFonts w:cs="Arial"/>
          <w:color w:val="000000" w:themeColor="text1"/>
          <w:szCs w:val="16"/>
        </w:rPr>
      </w:pPr>
      <w:r w:rsidRPr="00781112">
        <w:rPr>
          <w:rFonts w:cs="Arial"/>
          <w:color w:val="000000" w:themeColor="text1"/>
          <w:szCs w:val="16"/>
        </w:rPr>
        <w:t>SY 2021-22 Assessment Data Groups - Reading (EDFacts file spec FS178; Data Group: 584)</w:t>
      </w:r>
    </w:p>
    <w:p w14:paraId="51B1992D" w14:textId="77777777" w:rsidR="00DD5B7A" w:rsidRPr="00781112" w:rsidRDefault="00DD5B7A" w:rsidP="00DD5B7A">
      <w:pPr>
        <w:rPr>
          <w:rFonts w:cs="Arial"/>
          <w:b/>
          <w:color w:val="000000" w:themeColor="text1"/>
          <w:szCs w:val="16"/>
        </w:rPr>
      </w:pPr>
      <w:r w:rsidRPr="00781112">
        <w:rPr>
          <w:rFonts w:cs="Arial"/>
          <w:b/>
          <w:color w:val="000000" w:themeColor="text1"/>
          <w:szCs w:val="16"/>
        </w:rPr>
        <w:t xml:space="preserve">Date: </w:t>
      </w:r>
    </w:p>
    <w:p w14:paraId="254E3F3F" w14:textId="7BE38E1B" w:rsidR="00DD5B7A" w:rsidRPr="00781112" w:rsidRDefault="00DD5B7A" w:rsidP="00DD5B7A">
      <w:pPr>
        <w:rPr>
          <w:rFonts w:cs="Arial"/>
          <w:color w:val="000000" w:themeColor="text1"/>
          <w:szCs w:val="16"/>
        </w:rPr>
      </w:pPr>
      <w:r w:rsidRPr="00781112">
        <w:rPr>
          <w:rFonts w:cs="Arial"/>
          <w:color w:val="000000" w:themeColor="text1"/>
          <w:szCs w:val="16"/>
        </w:rPr>
        <w:t>04/05/2023</w:t>
      </w:r>
    </w:p>
    <w:p w14:paraId="45DD1CF1" w14:textId="21DE530C" w:rsidR="00DD5B7A" w:rsidRPr="00781112" w:rsidRDefault="00DD5B7A" w:rsidP="00DD5B7A">
      <w:pPr>
        <w:rPr>
          <w:b/>
          <w:color w:val="000000" w:themeColor="text1"/>
        </w:rPr>
      </w:pPr>
      <w:r w:rsidRPr="00781112">
        <w:rPr>
          <w:b/>
          <w:color w:val="000000" w:themeColor="text1"/>
        </w:rPr>
        <w:t>Reading Assessment Proficiency Data by Grade</w:t>
      </w:r>
    </w:p>
    <w:tbl>
      <w:tblPr>
        <w:tblStyle w:val="TableGrid"/>
        <w:tblW w:w="5000" w:type="pct"/>
        <w:tblLayout w:type="fixed"/>
        <w:tblLook w:val="04A0" w:firstRow="1" w:lastRow="0" w:firstColumn="1" w:lastColumn="0" w:noHBand="0" w:noVBand="1"/>
        <w:tblCaption w:val="B03DSSPARTDATABYGRDRLA"/>
      </w:tblPr>
      <w:tblGrid>
        <w:gridCol w:w="3775"/>
        <w:gridCol w:w="2337"/>
        <w:gridCol w:w="2339"/>
        <w:gridCol w:w="2339"/>
      </w:tblGrid>
      <w:tr w:rsidR="00847776" w:rsidRPr="00781112" w14:paraId="6DA55728" w14:textId="77777777" w:rsidTr="00E95FBF">
        <w:tc>
          <w:tcPr>
            <w:tcW w:w="1749" w:type="pct"/>
            <w:shd w:val="clear" w:color="auto" w:fill="auto"/>
          </w:tcPr>
          <w:p w14:paraId="4EAC2736" w14:textId="6924CA80" w:rsidR="00DD5B7A" w:rsidRPr="00781112" w:rsidRDefault="00835EAD" w:rsidP="00827FF4">
            <w:pPr>
              <w:jc w:val="center"/>
              <w:rPr>
                <w:rFonts w:cs="Arial"/>
                <w:b/>
                <w:bCs/>
                <w:color w:val="000000" w:themeColor="text1"/>
                <w:szCs w:val="16"/>
              </w:rPr>
            </w:pPr>
            <w:r w:rsidRPr="00781112">
              <w:rPr>
                <w:rFonts w:cs="Arial"/>
                <w:b/>
                <w:bCs/>
                <w:color w:val="000000" w:themeColor="text1"/>
                <w:szCs w:val="16"/>
              </w:rPr>
              <w:t>Group</w:t>
            </w:r>
          </w:p>
        </w:tc>
        <w:tc>
          <w:tcPr>
            <w:tcW w:w="1083" w:type="pct"/>
            <w:shd w:val="clear" w:color="auto" w:fill="auto"/>
            <w:vAlign w:val="center"/>
          </w:tcPr>
          <w:p w14:paraId="3D691E68" w14:textId="255E6CDB"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4</w:t>
            </w:r>
          </w:p>
        </w:tc>
        <w:tc>
          <w:tcPr>
            <w:tcW w:w="1084" w:type="pct"/>
            <w:shd w:val="clear" w:color="auto" w:fill="auto"/>
            <w:vAlign w:val="center"/>
          </w:tcPr>
          <w:p w14:paraId="04C042D1" w14:textId="5F31110D"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8</w:t>
            </w:r>
          </w:p>
        </w:tc>
        <w:tc>
          <w:tcPr>
            <w:tcW w:w="1084" w:type="pct"/>
            <w:shd w:val="clear" w:color="auto" w:fill="auto"/>
            <w:vAlign w:val="center"/>
          </w:tcPr>
          <w:p w14:paraId="5ED006E5" w14:textId="47B87CAA"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HS</w:t>
            </w:r>
          </w:p>
        </w:tc>
      </w:tr>
      <w:tr w:rsidR="002D3EE6" w:rsidRPr="00781112" w14:paraId="37D772D8" w14:textId="77777777" w:rsidTr="00E95FBF">
        <w:tc>
          <w:tcPr>
            <w:tcW w:w="1749" w:type="pct"/>
            <w:shd w:val="clear" w:color="auto" w:fill="auto"/>
          </w:tcPr>
          <w:p w14:paraId="7B0D7CCF" w14:textId="33D6DF72" w:rsidR="002D3EE6" w:rsidRPr="00781112" w:rsidRDefault="002D3EE6" w:rsidP="002D3EE6">
            <w:pPr>
              <w:rPr>
                <w:rFonts w:cs="Arial"/>
                <w:color w:val="000000" w:themeColor="text1"/>
                <w:szCs w:val="16"/>
              </w:rPr>
            </w:pPr>
            <w:r w:rsidRPr="00781112">
              <w:rPr>
                <w:rFonts w:cs="Arial"/>
                <w:color w:val="000000" w:themeColor="text1"/>
                <w:szCs w:val="16"/>
              </w:rPr>
              <w:t>a. All Students who received a valid score and a proficiency was assigned for the regular assessment</w:t>
            </w:r>
          </w:p>
        </w:tc>
        <w:tc>
          <w:tcPr>
            <w:tcW w:w="1083" w:type="pct"/>
            <w:shd w:val="clear" w:color="auto" w:fill="auto"/>
            <w:vAlign w:val="center"/>
          </w:tcPr>
          <w:p w14:paraId="4F7A04F6" w14:textId="19D267DA" w:rsidR="002D3EE6" w:rsidRPr="00781112" w:rsidRDefault="002D3EE6" w:rsidP="002D3EE6">
            <w:pPr>
              <w:jc w:val="center"/>
              <w:rPr>
                <w:rFonts w:cs="Arial"/>
                <w:color w:val="000000" w:themeColor="text1"/>
                <w:szCs w:val="16"/>
              </w:rPr>
            </w:pPr>
          </w:p>
        </w:tc>
        <w:tc>
          <w:tcPr>
            <w:tcW w:w="1084" w:type="pct"/>
            <w:shd w:val="clear" w:color="auto" w:fill="auto"/>
            <w:vAlign w:val="center"/>
          </w:tcPr>
          <w:p w14:paraId="171D43A3" w14:textId="2BAB5EF8" w:rsidR="002D3EE6" w:rsidRPr="00781112" w:rsidRDefault="002D3EE6" w:rsidP="002D3EE6">
            <w:pPr>
              <w:jc w:val="center"/>
              <w:rPr>
                <w:rFonts w:cs="Arial"/>
                <w:color w:val="000000" w:themeColor="text1"/>
                <w:szCs w:val="16"/>
              </w:rPr>
            </w:pPr>
          </w:p>
        </w:tc>
        <w:tc>
          <w:tcPr>
            <w:tcW w:w="1084" w:type="pct"/>
            <w:shd w:val="clear" w:color="auto" w:fill="auto"/>
            <w:vAlign w:val="center"/>
          </w:tcPr>
          <w:p w14:paraId="58B877C4" w14:textId="55D5291F" w:rsidR="002D3EE6" w:rsidRPr="00781112" w:rsidRDefault="002D3EE6" w:rsidP="002D3EE6">
            <w:pPr>
              <w:jc w:val="center"/>
              <w:rPr>
                <w:rFonts w:cs="Arial"/>
                <w:color w:val="000000" w:themeColor="text1"/>
                <w:szCs w:val="16"/>
              </w:rPr>
            </w:pPr>
            <w:r w:rsidRPr="00781112">
              <w:rPr>
                <w:rFonts w:cs="Arial"/>
                <w:color w:val="000000" w:themeColor="text1"/>
                <w:szCs w:val="16"/>
              </w:rPr>
              <w:t>45,712</w:t>
            </w:r>
          </w:p>
        </w:tc>
      </w:tr>
      <w:tr w:rsidR="002D3EE6" w:rsidRPr="00781112" w14:paraId="6D2048AF" w14:textId="77777777" w:rsidTr="008E4335">
        <w:tc>
          <w:tcPr>
            <w:tcW w:w="1749" w:type="pct"/>
            <w:shd w:val="clear" w:color="auto" w:fill="auto"/>
          </w:tcPr>
          <w:p w14:paraId="5F5D9DBC" w14:textId="3AB6D57C" w:rsidR="002D3EE6" w:rsidRPr="00781112" w:rsidRDefault="002D3EE6" w:rsidP="002D3EE6">
            <w:pPr>
              <w:rPr>
                <w:rFonts w:cs="Arial"/>
                <w:color w:val="000000" w:themeColor="text1"/>
                <w:szCs w:val="16"/>
              </w:rPr>
            </w:pPr>
            <w:r w:rsidRPr="00781112">
              <w:rPr>
                <w:rFonts w:cs="Arial"/>
                <w:color w:val="000000" w:themeColor="text1"/>
                <w:szCs w:val="16"/>
              </w:rPr>
              <w:t xml:space="preserve">b. Children with IEPs who received a valid score and a proficiency was assigned </w:t>
            </w:r>
            <w:r w:rsidRPr="00781112">
              <w:rPr>
                <w:rFonts w:cs="Arial"/>
                <w:szCs w:val="16"/>
                <w:shd w:val="clear" w:color="auto" w:fill="FFFFFF"/>
              </w:rPr>
              <w:t>for the regular assessment</w:t>
            </w:r>
          </w:p>
        </w:tc>
        <w:tc>
          <w:tcPr>
            <w:tcW w:w="1083" w:type="pct"/>
            <w:shd w:val="clear" w:color="auto" w:fill="auto"/>
            <w:vAlign w:val="center"/>
          </w:tcPr>
          <w:p w14:paraId="25792A43" w14:textId="2B606A4A" w:rsidR="002D3EE6" w:rsidRPr="00781112" w:rsidRDefault="008E4335" w:rsidP="008E4335">
            <w:pPr>
              <w:jc w:val="center"/>
              <w:rPr>
                <w:rFonts w:cs="Arial"/>
                <w:color w:val="000000" w:themeColor="text1"/>
                <w:szCs w:val="16"/>
              </w:rPr>
            </w:pPr>
            <w:r>
              <w:rPr>
                <w:rFonts w:cs="Arial"/>
                <w:color w:val="000000" w:themeColor="text1"/>
                <w:szCs w:val="16"/>
              </w:rPr>
              <w:t>*</w:t>
            </w:r>
            <w:bookmarkStart w:id="26" w:name="_Ref141819472"/>
            <w:r>
              <w:rPr>
                <w:rStyle w:val="FootnoteReference"/>
                <w:rFonts w:cs="Arial"/>
                <w:color w:val="000000" w:themeColor="text1"/>
                <w:szCs w:val="16"/>
              </w:rPr>
              <w:footnoteReference w:id="10"/>
            </w:r>
            <w:bookmarkEnd w:id="26"/>
          </w:p>
        </w:tc>
        <w:tc>
          <w:tcPr>
            <w:tcW w:w="1084" w:type="pct"/>
            <w:shd w:val="clear" w:color="auto" w:fill="auto"/>
            <w:vAlign w:val="center"/>
          </w:tcPr>
          <w:p w14:paraId="34571492" w14:textId="51C478C3" w:rsidR="002D3EE6" w:rsidRPr="00781112" w:rsidRDefault="008E4335" w:rsidP="008E4335">
            <w:pPr>
              <w:jc w:val="center"/>
              <w:rPr>
                <w:rFonts w:cs="Arial"/>
                <w:color w:val="000000" w:themeColor="text1"/>
                <w:szCs w:val="16"/>
              </w:rPr>
            </w:pPr>
            <w:r>
              <w:rPr>
                <w:rFonts w:cs="Arial"/>
                <w:color w:val="000000" w:themeColor="text1"/>
                <w:szCs w:val="16"/>
              </w:rPr>
              <w:t>*</w:t>
            </w:r>
            <w:r>
              <w:rPr>
                <w:rFonts w:cs="Arial"/>
                <w:color w:val="000000" w:themeColor="text1"/>
                <w:szCs w:val="16"/>
              </w:rPr>
              <w:fldChar w:fldCharType="begin"/>
            </w:r>
            <w:r>
              <w:rPr>
                <w:rFonts w:cs="Arial"/>
                <w:color w:val="000000" w:themeColor="text1"/>
                <w:szCs w:val="16"/>
              </w:rPr>
              <w:instrText xml:space="preserve"> NOTEREF _Ref141819472 \f \h  \* MERGEFORMAT </w:instrText>
            </w:r>
            <w:r>
              <w:rPr>
                <w:rFonts w:cs="Arial"/>
                <w:color w:val="000000" w:themeColor="text1"/>
                <w:szCs w:val="16"/>
              </w:rPr>
            </w:r>
            <w:r>
              <w:rPr>
                <w:rFonts w:cs="Arial"/>
                <w:color w:val="000000" w:themeColor="text1"/>
                <w:szCs w:val="16"/>
              </w:rPr>
              <w:fldChar w:fldCharType="separate"/>
            </w:r>
            <w:r w:rsidRPr="008E4335">
              <w:rPr>
                <w:rStyle w:val="FootnoteReference"/>
              </w:rPr>
              <w:t>9</w:t>
            </w:r>
            <w:r>
              <w:rPr>
                <w:rFonts w:cs="Arial"/>
                <w:color w:val="000000" w:themeColor="text1"/>
                <w:szCs w:val="16"/>
              </w:rPr>
              <w:fldChar w:fldCharType="end"/>
            </w:r>
          </w:p>
        </w:tc>
        <w:tc>
          <w:tcPr>
            <w:tcW w:w="1084" w:type="pct"/>
            <w:shd w:val="clear" w:color="auto" w:fill="auto"/>
            <w:vAlign w:val="center"/>
          </w:tcPr>
          <w:p w14:paraId="0BBD02C7" w14:textId="42EBBF14" w:rsidR="002D3EE6" w:rsidRPr="00781112" w:rsidRDefault="002D3EE6" w:rsidP="002D3EE6">
            <w:pPr>
              <w:jc w:val="center"/>
              <w:rPr>
                <w:rFonts w:cs="Arial"/>
                <w:color w:val="000000" w:themeColor="text1"/>
                <w:szCs w:val="16"/>
              </w:rPr>
            </w:pPr>
            <w:r w:rsidRPr="00781112">
              <w:rPr>
                <w:rFonts w:cs="Arial"/>
                <w:color w:val="000000" w:themeColor="text1"/>
                <w:szCs w:val="16"/>
              </w:rPr>
              <w:t>4,120</w:t>
            </w:r>
          </w:p>
        </w:tc>
      </w:tr>
      <w:tr w:rsidR="002D3EE6" w:rsidRPr="00781112" w14:paraId="62D84F5E" w14:textId="77777777" w:rsidTr="008E4335">
        <w:tc>
          <w:tcPr>
            <w:tcW w:w="1749" w:type="pct"/>
            <w:shd w:val="clear" w:color="auto" w:fill="auto"/>
          </w:tcPr>
          <w:p w14:paraId="51DEDF27" w14:textId="69ADBF80" w:rsidR="002D3EE6" w:rsidRPr="00181070" w:rsidRDefault="002D3EE6" w:rsidP="002D3EE6">
            <w:pPr>
              <w:rPr>
                <w:rFonts w:cs="Arial"/>
                <w:color w:val="000000" w:themeColor="text1"/>
                <w:szCs w:val="16"/>
              </w:rPr>
            </w:pPr>
            <w:r w:rsidRPr="0075451F">
              <w:rPr>
                <w:rFonts w:cs="Arial"/>
                <w:szCs w:val="16"/>
                <w:shd w:val="clear" w:color="auto" w:fill="FFFFFF"/>
              </w:rPr>
              <w:t>c. All students in regular assessment with no accommodations scored at or above proficient against grade level</w:t>
            </w:r>
          </w:p>
        </w:tc>
        <w:tc>
          <w:tcPr>
            <w:tcW w:w="1083" w:type="pct"/>
            <w:shd w:val="clear" w:color="auto" w:fill="auto"/>
            <w:vAlign w:val="center"/>
          </w:tcPr>
          <w:p w14:paraId="6E23C4D0" w14:textId="690E483E" w:rsidR="002D3EE6" w:rsidRPr="00781112" w:rsidRDefault="002D3EE6" w:rsidP="008E4335">
            <w:pPr>
              <w:jc w:val="center"/>
              <w:rPr>
                <w:rFonts w:cs="Arial"/>
                <w:color w:val="000000" w:themeColor="text1"/>
                <w:szCs w:val="16"/>
              </w:rPr>
            </w:pPr>
          </w:p>
        </w:tc>
        <w:tc>
          <w:tcPr>
            <w:tcW w:w="1084" w:type="pct"/>
            <w:shd w:val="clear" w:color="auto" w:fill="auto"/>
            <w:vAlign w:val="center"/>
          </w:tcPr>
          <w:p w14:paraId="6D42641C" w14:textId="63F65487" w:rsidR="002D3EE6" w:rsidRPr="00781112" w:rsidRDefault="002D3EE6" w:rsidP="008E4335">
            <w:pPr>
              <w:jc w:val="center"/>
              <w:rPr>
                <w:rFonts w:cs="Arial"/>
                <w:color w:val="000000" w:themeColor="text1"/>
                <w:szCs w:val="16"/>
              </w:rPr>
            </w:pPr>
          </w:p>
        </w:tc>
        <w:tc>
          <w:tcPr>
            <w:tcW w:w="1084" w:type="pct"/>
            <w:shd w:val="clear" w:color="auto" w:fill="auto"/>
            <w:vAlign w:val="center"/>
          </w:tcPr>
          <w:p w14:paraId="27076C73" w14:textId="7C15AF5B" w:rsidR="002D3EE6" w:rsidRPr="00781112" w:rsidRDefault="002D3EE6" w:rsidP="002D3EE6">
            <w:pPr>
              <w:jc w:val="center"/>
              <w:rPr>
                <w:rFonts w:cs="Arial"/>
                <w:color w:val="000000" w:themeColor="text1"/>
                <w:szCs w:val="16"/>
              </w:rPr>
            </w:pPr>
            <w:r w:rsidRPr="00781112">
              <w:rPr>
                <w:rFonts w:cs="Arial"/>
                <w:color w:val="000000" w:themeColor="text1"/>
                <w:szCs w:val="16"/>
              </w:rPr>
              <w:t>18,163</w:t>
            </w:r>
          </w:p>
        </w:tc>
      </w:tr>
      <w:tr w:rsidR="002D3EE6" w:rsidRPr="00781112" w14:paraId="058A4E65" w14:textId="77777777" w:rsidTr="008E4335">
        <w:tc>
          <w:tcPr>
            <w:tcW w:w="1749" w:type="pct"/>
            <w:shd w:val="clear" w:color="auto" w:fill="auto"/>
          </w:tcPr>
          <w:p w14:paraId="439EF49E" w14:textId="1EC71838" w:rsidR="002D3EE6" w:rsidRPr="00181070" w:rsidRDefault="002D3EE6" w:rsidP="002D3EE6">
            <w:pPr>
              <w:rPr>
                <w:rFonts w:cs="Arial"/>
                <w:color w:val="000000" w:themeColor="text1"/>
                <w:szCs w:val="16"/>
              </w:rPr>
            </w:pPr>
            <w:r w:rsidRPr="0075451F">
              <w:rPr>
                <w:rFonts w:cs="Arial"/>
                <w:szCs w:val="16"/>
                <w:shd w:val="clear" w:color="auto" w:fill="FFFFFF"/>
              </w:rPr>
              <w:t>d. All students in regular assessment with accommodations scored at or above proficient against grade level</w:t>
            </w:r>
          </w:p>
        </w:tc>
        <w:tc>
          <w:tcPr>
            <w:tcW w:w="1083" w:type="pct"/>
            <w:shd w:val="clear" w:color="auto" w:fill="auto"/>
            <w:vAlign w:val="center"/>
          </w:tcPr>
          <w:p w14:paraId="441B205F" w14:textId="66F540F9" w:rsidR="002D3EE6" w:rsidRPr="00781112" w:rsidRDefault="002D3EE6" w:rsidP="008E4335">
            <w:pPr>
              <w:jc w:val="center"/>
              <w:rPr>
                <w:rFonts w:cs="Arial"/>
                <w:color w:val="000000" w:themeColor="text1"/>
                <w:szCs w:val="16"/>
              </w:rPr>
            </w:pPr>
          </w:p>
        </w:tc>
        <w:tc>
          <w:tcPr>
            <w:tcW w:w="1084" w:type="pct"/>
            <w:shd w:val="clear" w:color="auto" w:fill="auto"/>
            <w:vAlign w:val="center"/>
          </w:tcPr>
          <w:p w14:paraId="5FB5C795" w14:textId="69CA87AA" w:rsidR="002D3EE6" w:rsidRPr="00781112" w:rsidRDefault="002D3EE6" w:rsidP="008E4335">
            <w:pPr>
              <w:jc w:val="center"/>
              <w:rPr>
                <w:rFonts w:cs="Arial"/>
                <w:color w:val="000000" w:themeColor="text1"/>
                <w:szCs w:val="16"/>
              </w:rPr>
            </w:pPr>
          </w:p>
        </w:tc>
        <w:tc>
          <w:tcPr>
            <w:tcW w:w="1084" w:type="pct"/>
            <w:shd w:val="clear" w:color="auto" w:fill="auto"/>
            <w:vAlign w:val="center"/>
          </w:tcPr>
          <w:p w14:paraId="5BB68E9F" w14:textId="19C38497" w:rsidR="002D3EE6" w:rsidRPr="00781112" w:rsidRDefault="002D3EE6" w:rsidP="002D3EE6">
            <w:pPr>
              <w:jc w:val="center"/>
              <w:rPr>
                <w:rFonts w:cs="Arial"/>
                <w:color w:val="000000" w:themeColor="text1"/>
                <w:szCs w:val="16"/>
              </w:rPr>
            </w:pPr>
            <w:r w:rsidRPr="00781112">
              <w:rPr>
                <w:rFonts w:cs="Arial"/>
                <w:color w:val="000000" w:themeColor="text1"/>
                <w:szCs w:val="16"/>
              </w:rPr>
              <w:t>89</w:t>
            </w:r>
          </w:p>
        </w:tc>
      </w:tr>
      <w:tr w:rsidR="008E4335" w:rsidRPr="00781112" w14:paraId="1AC72B75" w14:textId="77777777" w:rsidTr="008E4335">
        <w:tc>
          <w:tcPr>
            <w:tcW w:w="1749" w:type="pct"/>
            <w:shd w:val="clear" w:color="auto" w:fill="auto"/>
          </w:tcPr>
          <w:p w14:paraId="0A914ADA" w14:textId="357C6FCD" w:rsidR="008E4335" w:rsidRPr="00781112" w:rsidRDefault="008E4335" w:rsidP="008E4335">
            <w:pPr>
              <w:rPr>
                <w:rFonts w:cs="Arial"/>
                <w:color w:val="000000" w:themeColor="text1"/>
                <w:szCs w:val="16"/>
              </w:rPr>
            </w:pPr>
            <w:r w:rsidRPr="00781112">
              <w:rPr>
                <w:rFonts w:cs="Arial"/>
                <w:szCs w:val="16"/>
                <w:shd w:val="clear" w:color="auto" w:fill="FFFFFF"/>
              </w:rPr>
              <w:t>e. Children with IEPs in regular assessment with no accommodations scored at or above proficient against grade level</w:t>
            </w:r>
          </w:p>
        </w:tc>
        <w:tc>
          <w:tcPr>
            <w:tcW w:w="1083" w:type="pct"/>
            <w:shd w:val="clear" w:color="auto" w:fill="auto"/>
            <w:vAlign w:val="center"/>
          </w:tcPr>
          <w:p w14:paraId="02F1489E" w14:textId="6877BB24" w:rsidR="008E4335" w:rsidRPr="00781112" w:rsidRDefault="008E4335" w:rsidP="008E4335">
            <w:pPr>
              <w:jc w:val="center"/>
              <w:rPr>
                <w:rFonts w:cs="Arial"/>
                <w:color w:val="000000" w:themeColor="text1"/>
                <w:szCs w:val="16"/>
              </w:rPr>
            </w:pPr>
            <w:r w:rsidRPr="006B1F72">
              <w:rPr>
                <w:rFonts w:cs="Arial"/>
                <w:color w:val="000000" w:themeColor="text1"/>
                <w:szCs w:val="16"/>
              </w:rPr>
              <w:t>*</w:t>
            </w:r>
            <w:r w:rsidRPr="006B1F72">
              <w:rPr>
                <w:rFonts w:cs="Arial"/>
                <w:color w:val="000000" w:themeColor="text1"/>
                <w:szCs w:val="16"/>
              </w:rPr>
              <w:fldChar w:fldCharType="begin"/>
            </w:r>
            <w:r w:rsidRPr="006B1F72">
              <w:rPr>
                <w:rFonts w:cs="Arial"/>
                <w:color w:val="000000" w:themeColor="text1"/>
                <w:szCs w:val="16"/>
              </w:rPr>
              <w:instrText xml:space="preserve"> NOTEREF _Ref141819472 \f \h </w:instrText>
            </w:r>
            <w:r>
              <w:rPr>
                <w:rFonts w:cs="Arial"/>
                <w:color w:val="000000" w:themeColor="text1"/>
                <w:szCs w:val="16"/>
              </w:rPr>
              <w:instrText xml:space="preserve"> \* MERGEFORMAT </w:instrText>
            </w:r>
            <w:r w:rsidRPr="006B1F72">
              <w:rPr>
                <w:rFonts w:cs="Arial"/>
                <w:color w:val="000000" w:themeColor="text1"/>
                <w:szCs w:val="16"/>
              </w:rPr>
            </w:r>
            <w:r w:rsidRPr="006B1F72">
              <w:rPr>
                <w:rFonts w:cs="Arial"/>
                <w:color w:val="000000" w:themeColor="text1"/>
                <w:szCs w:val="16"/>
              </w:rPr>
              <w:fldChar w:fldCharType="separate"/>
            </w:r>
            <w:r w:rsidRPr="006B1F72">
              <w:rPr>
                <w:rStyle w:val="FootnoteReference"/>
              </w:rPr>
              <w:t>9</w:t>
            </w:r>
            <w:r w:rsidRPr="006B1F72">
              <w:rPr>
                <w:rFonts w:cs="Arial"/>
                <w:color w:val="000000" w:themeColor="text1"/>
                <w:szCs w:val="16"/>
              </w:rPr>
              <w:fldChar w:fldCharType="end"/>
            </w:r>
          </w:p>
        </w:tc>
        <w:tc>
          <w:tcPr>
            <w:tcW w:w="1084" w:type="pct"/>
            <w:shd w:val="clear" w:color="auto" w:fill="auto"/>
            <w:vAlign w:val="center"/>
          </w:tcPr>
          <w:p w14:paraId="7D7B8A72" w14:textId="54535435" w:rsidR="008E4335" w:rsidRPr="00781112" w:rsidRDefault="008E4335" w:rsidP="008E4335">
            <w:pPr>
              <w:jc w:val="center"/>
              <w:rPr>
                <w:rFonts w:cs="Arial"/>
                <w:color w:val="000000" w:themeColor="text1"/>
                <w:szCs w:val="16"/>
              </w:rPr>
            </w:pPr>
            <w:r w:rsidRPr="006B1F72">
              <w:rPr>
                <w:rFonts w:cs="Arial"/>
                <w:color w:val="000000" w:themeColor="text1"/>
                <w:szCs w:val="16"/>
              </w:rPr>
              <w:t>*</w:t>
            </w:r>
            <w:r w:rsidRPr="006B1F72">
              <w:rPr>
                <w:rFonts w:cs="Arial"/>
                <w:color w:val="000000" w:themeColor="text1"/>
                <w:szCs w:val="16"/>
              </w:rPr>
              <w:fldChar w:fldCharType="begin"/>
            </w:r>
            <w:r w:rsidRPr="006B1F72">
              <w:rPr>
                <w:rFonts w:cs="Arial"/>
                <w:color w:val="000000" w:themeColor="text1"/>
                <w:szCs w:val="16"/>
              </w:rPr>
              <w:instrText xml:space="preserve"> NOTEREF _Ref141819472 \f \h </w:instrText>
            </w:r>
            <w:r>
              <w:rPr>
                <w:rFonts w:cs="Arial"/>
                <w:color w:val="000000" w:themeColor="text1"/>
                <w:szCs w:val="16"/>
              </w:rPr>
              <w:instrText xml:space="preserve"> \* MERGEFORMAT </w:instrText>
            </w:r>
            <w:r w:rsidRPr="006B1F72">
              <w:rPr>
                <w:rFonts w:cs="Arial"/>
                <w:color w:val="000000" w:themeColor="text1"/>
                <w:szCs w:val="16"/>
              </w:rPr>
            </w:r>
            <w:r w:rsidRPr="006B1F72">
              <w:rPr>
                <w:rFonts w:cs="Arial"/>
                <w:color w:val="000000" w:themeColor="text1"/>
                <w:szCs w:val="16"/>
              </w:rPr>
              <w:fldChar w:fldCharType="separate"/>
            </w:r>
            <w:r w:rsidRPr="006B1F72">
              <w:rPr>
                <w:rStyle w:val="FootnoteReference"/>
              </w:rPr>
              <w:t>9</w:t>
            </w:r>
            <w:r w:rsidRPr="006B1F72">
              <w:rPr>
                <w:rFonts w:cs="Arial"/>
                <w:color w:val="000000" w:themeColor="text1"/>
                <w:szCs w:val="16"/>
              </w:rPr>
              <w:fldChar w:fldCharType="end"/>
            </w:r>
          </w:p>
        </w:tc>
        <w:tc>
          <w:tcPr>
            <w:tcW w:w="1084" w:type="pct"/>
            <w:shd w:val="clear" w:color="auto" w:fill="auto"/>
            <w:vAlign w:val="center"/>
          </w:tcPr>
          <w:p w14:paraId="077B2856" w14:textId="4059237F" w:rsidR="008E4335" w:rsidRPr="00781112" w:rsidRDefault="008E4335" w:rsidP="008E4335">
            <w:pPr>
              <w:jc w:val="center"/>
              <w:rPr>
                <w:rFonts w:cs="Arial"/>
                <w:color w:val="000000" w:themeColor="text1"/>
                <w:szCs w:val="16"/>
              </w:rPr>
            </w:pPr>
            <w:r w:rsidRPr="00781112">
              <w:rPr>
                <w:rFonts w:cs="Arial"/>
                <w:color w:val="000000" w:themeColor="text1"/>
                <w:szCs w:val="16"/>
              </w:rPr>
              <w:t>211</w:t>
            </w:r>
          </w:p>
        </w:tc>
      </w:tr>
      <w:tr w:rsidR="008E4335" w:rsidRPr="00781112" w14:paraId="0F3AF372" w14:textId="77777777" w:rsidTr="008E4335">
        <w:tc>
          <w:tcPr>
            <w:tcW w:w="1749" w:type="pct"/>
            <w:shd w:val="clear" w:color="auto" w:fill="auto"/>
          </w:tcPr>
          <w:p w14:paraId="65DAF487" w14:textId="01D9D6A1" w:rsidR="008E4335" w:rsidRPr="00781112" w:rsidRDefault="008E4335" w:rsidP="008E4335">
            <w:pPr>
              <w:rPr>
                <w:rFonts w:cs="Arial"/>
                <w:color w:val="000000" w:themeColor="text1"/>
                <w:szCs w:val="16"/>
              </w:rPr>
            </w:pPr>
            <w:r w:rsidRPr="00781112">
              <w:rPr>
                <w:rFonts w:cs="Arial"/>
                <w:szCs w:val="16"/>
                <w:shd w:val="clear" w:color="auto" w:fill="FFFFFF"/>
              </w:rPr>
              <w:t>f. Children with IEPs in regular assessment with accommodations scored at or above proficient against grade level</w:t>
            </w:r>
          </w:p>
        </w:tc>
        <w:tc>
          <w:tcPr>
            <w:tcW w:w="1083" w:type="pct"/>
            <w:shd w:val="clear" w:color="auto" w:fill="auto"/>
            <w:vAlign w:val="center"/>
          </w:tcPr>
          <w:p w14:paraId="1BE3D4C2" w14:textId="1BD24B6D" w:rsidR="008E4335" w:rsidRPr="00781112" w:rsidRDefault="008E4335" w:rsidP="008E4335">
            <w:pPr>
              <w:jc w:val="center"/>
              <w:rPr>
                <w:rFonts w:cs="Arial"/>
                <w:color w:val="000000" w:themeColor="text1"/>
                <w:szCs w:val="16"/>
              </w:rPr>
            </w:pPr>
            <w:r w:rsidRPr="006B1F72">
              <w:rPr>
                <w:rFonts w:cs="Arial"/>
                <w:color w:val="000000" w:themeColor="text1"/>
                <w:szCs w:val="16"/>
              </w:rPr>
              <w:t>*</w:t>
            </w:r>
            <w:r w:rsidRPr="006B1F72">
              <w:rPr>
                <w:rFonts w:cs="Arial"/>
                <w:color w:val="000000" w:themeColor="text1"/>
                <w:szCs w:val="16"/>
              </w:rPr>
              <w:fldChar w:fldCharType="begin"/>
            </w:r>
            <w:r w:rsidRPr="006B1F72">
              <w:rPr>
                <w:rFonts w:cs="Arial"/>
                <w:color w:val="000000" w:themeColor="text1"/>
                <w:szCs w:val="16"/>
              </w:rPr>
              <w:instrText xml:space="preserve"> NOTEREF _Ref141819472 \f \h </w:instrText>
            </w:r>
            <w:r>
              <w:rPr>
                <w:rFonts w:cs="Arial"/>
                <w:color w:val="000000" w:themeColor="text1"/>
                <w:szCs w:val="16"/>
              </w:rPr>
              <w:instrText xml:space="preserve"> \* MERGEFORMAT </w:instrText>
            </w:r>
            <w:r w:rsidRPr="006B1F72">
              <w:rPr>
                <w:rFonts w:cs="Arial"/>
                <w:color w:val="000000" w:themeColor="text1"/>
                <w:szCs w:val="16"/>
              </w:rPr>
            </w:r>
            <w:r w:rsidRPr="006B1F72">
              <w:rPr>
                <w:rFonts w:cs="Arial"/>
                <w:color w:val="000000" w:themeColor="text1"/>
                <w:szCs w:val="16"/>
              </w:rPr>
              <w:fldChar w:fldCharType="separate"/>
            </w:r>
            <w:r w:rsidRPr="006B1F72">
              <w:rPr>
                <w:rStyle w:val="FootnoteReference"/>
              </w:rPr>
              <w:t>9</w:t>
            </w:r>
            <w:r w:rsidRPr="006B1F72">
              <w:rPr>
                <w:rFonts w:cs="Arial"/>
                <w:color w:val="000000" w:themeColor="text1"/>
                <w:szCs w:val="16"/>
              </w:rPr>
              <w:fldChar w:fldCharType="end"/>
            </w:r>
          </w:p>
        </w:tc>
        <w:tc>
          <w:tcPr>
            <w:tcW w:w="1084" w:type="pct"/>
            <w:shd w:val="clear" w:color="auto" w:fill="auto"/>
            <w:vAlign w:val="center"/>
          </w:tcPr>
          <w:p w14:paraId="0E65D7AB" w14:textId="6DA443BA" w:rsidR="008E4335" w:rsidRPr="00781112" w:rsidRDefault="008E4335" w:rsidP="008E4335">
            <w:pPr>
              <w:jc w:val="center"/>
              <w:rPr>
                <w:rFonts w:cs="Arial"/>
                <w:color w:val="000000" w:themeColor="text1"/>
                <w:szCs w:val="16"/>
              </w:rPr>
            </w:pPr>
            <w:r w:rsidRPr="006B1F72">
              <w:rPr>
                <w:rFonts w:cs="Arial"/>
                <w:color w:val="000000" w:themeColor="text1"/>
                <w:szCs w:val="16"/>
              </w:rPr>
              <w:t>*</w:t>
            </w:r>
            <w:r w:rsidRPr="006B1F72">
              <w:rPr>
                <w:rFonts w:cs="Arial"/>
                <w:color w:val="000000" w:themeColor="text1"/>
                <w:szCs w:val="16"/>
              </w:rPr>
              <w:fldChar w:fldCharType="begin"/>
            </w:r>
            <w:r w:rsidRPr="006B1F72">
              <w:rPr>
                <w:rFonts w:cs="Arial"/>
                <w:color w:val="000000" w:themeColor="text1"/>
                <w:szCs w:val="16"/>
              </w:rPr>
              <w:instrText xml:space="preserve"> NOTEREF _Ref141819472 \f \h </w:instrText>
            </w:r>
            <w:r>
              <w:rPr>
                <w:rFonts w:cs="Arial"/>
                <w:color w:val="000000" w:themeColor="text1"/>
                <w:szCs w:val="16"/>
              </w:rPr>
              <w:instrText xml:space="preserve"> \* MERGEFORMAT </w:instrText>
            </w:r>
            <w:r w:rsidRPr="006B1F72">
              <w:rPr>
                <w:rFonts w:cs="Arial"/>
                <w:color w:val="000000" w:themeColor="text1"/>
                <w:szCs w:val="16"/>
              </w:rPr>
            </w:r>
            <w:r w:rsidRPr="006B1F72">
              <w:rPr>
                <w:rFonts w:cs="Arial"/>
                <w:color w:val="000000" w:themeColor="text1"/>
                <w:szCs w:val="16"/>
              </w:rPr>
              <w:fldChar w:fldCharType="separate"/>
            </w:r>
            <w:r w:rsidRPr="006B1F72">
              <w:rPr>
                <w:rStyle w:val="FootnoteReference"/>
              </w:rPr>
              <w:t>9</w:t>
            </w:r>
            <w:r w:rsidRPr="006B1F72">
              <w:rPr>
                <w:rFonts w:cs="Arial"/>
                <w:color w:val="000000" w:themeColor="text1"/>
                <w:szCs w:val="16"/>
              </w:rPr>
              <w:fldChar w:fldCharType="end"/>
            </w:r>
          </w:p>
        </w:tc>
        <w:tc>
          <w:tcPr>
            <w:tcW w:w="1084" w:type="pct"/>
            <w:shd w:val="clear" w:color="auto" w:fill="auto"/>
            <w:vAlign w:val="center"/>
          </w:tcPr>
          <w:p w14:paraId="740F6FA5" w14:textId="70059958" w:rsidR="008E4335" w:rsidRPr="00781112" w:rsidRDefault="008E4335" w:rsidP="008E4335">
            <w:pPr>
              <w:jc w:val="center"/>
              <w:rPr>
                <w:rFonts w:cs="Arial"/>
                <w:color w:val="000000" w:themeColor="text1"/>
                <w:szCs w:val="16"/>
              </w:rPr>
            </w:pPr>
            <w:r w:rsidRPr="00781112">
              <w:rPr>
                <w:rFonts w:cs="Arial"/>
                <w:color w:val="000000" w:themeColor="text1"/>
                <w:szCs w:val="16"/>
              </w:rPr>
              <w:t>49</w:t>
            </w:r>
          </w:p>
        </w:tc>
      </w:tr>
    </w:tbl>
    <w:p w14:paraId="639A2278" w14:textId="77777777" w:rsidR="00DD5B7A" w:rsidRPr="00781112" w:rsidRDefault="00DD5B7A" w:rsidP="00DD5B7A">
      <w:pPr>
        <w:rPr>
          <w:b/>
          <w:color w:val="000000" w:themeColor="text1"/>
        </w:rPr>
      </w:pPr>
    </w:p>
    <w:p w14:paraId="2B294F6E" w14:textId="77777777" w:rsidR="00DD5B7A" w:rsidRPr="00781112" w:rsidRDefault="00DD5B7A" w:rsidP="00DD5B7A">
      <w:pPr>
        <w:rPr>
          <w:rFonts w:cs="Arial"/>
          <w:b/>
          <w:color w:val="000000" w:themeColor="text1"/>
          <w:szCs w:val="16"/>
        </w:rPr>
      </w:pPr>
      <w:r w:rsidRPr="00781112">
        <w:rPr>
          <w:rFonts w:cs="Arial"/>
          <w:b/>
          <w:color w:val="000000" w:themeColor="text1"/>
          <w:szCs w:val="16"/>
        </w:rPr>
        <w:t xml:space="preserve">Data Source: </w:t>
      </w:r>
    </w:p>
    <w:p w14:paraId="6AD8EFC6" w14:textId="22529744" w:rsidR="00DD5B7A" w:rsidRPr="00781112" w:rsidRDefault="00DD5B7A" w:rsidP="00DD5B7A">
      <w:pPr>
        <w:rPr>
          <w:rFonts w:cs="Arial"/>
          <w:color w:val="000000" w:themeColor="text1"/>
          <w:szCs w:val="16"/>
        </w:rPr>
      </w:pPr>
      <w:r w:rsidRPr="00781112">
        <w:rPr>
          <w:rFonts w:cs="Arial"/>
          <w:color w:val="000000" w:themeColor="text1"/>
          <w:szCs w:val="16"/>
        </w:rPr>
        <w:t>SY 2021-22 Assessment Data Groups - Math (EDFacts file spec FS175; Data Group: 583)</w:t>
      </w:r>
    </w:p>
    <w:p w14:paraId="1F735D57" w14:textId="77777777" w:rsidR="00DD5B7A" w:rsidRPr="00781112" w:rsidRDefault="00DD5B7A" w:rsidP="00DD5B7A">
      <w:pPr>
        <w:rPr>
          <w:rFonts w:cs="Arial"/>
          <w:b/>
          <w:color w:val="000000" w:themeColor="text1"/>
          <w:szCs w:val="16"/>
        </w:rPr>
      </w:pPr>
      <w:r w:rsidRPr="00781112">
        <w:rPr>
          <w:rFonts w:cs="Arial"/>
          <w:b/>
          <w:color w:val="000000" w:themeColor="text1"/>
          <w:szCs w:val="16"/>
        </w:rPr>
        <w:t xml:space="preserve">Date: </w:t>
      </w:r>
    </w:p>
    <w:p w14:paraId="27D0A75A" w14:textId="6D901961" w:rsidR="00DD5B7A" w:rsidRPr="00781112" w:rsidRDefault="00DD5B7A" w:rsidP="00DD5B7A">
      <w:pPr>
        <w:rPr>
          <w:rFonts w:cs="Arial"/>
          <w:color w:val="000000" w:themeColor="text1"/>
          <w:szCs w:val="16"/>
        </w:rPr>
      </w:pPr>
      <w:r w:rsidRPr="00781112">
        <w:rPr>
          <w:rFonts w:cs="Arial"/>
          <w:color w:val="000000" w:themeColor="text1"/>
          <w:szCs w:val="16"/>
        </w:rPr>
        <w:t>04/05/2023</w:t>
      </w:r>
    </w:p>
    <w:p w14:paraId="0AB0EBE2" w14:textId="23F7C8D8" w:rsidR="00DD5B7A" w:rsidRPr="00781112" w:rsidRDefault="00DD5B7A" w:rsidP="00DD5B7A">
      <w:pPr>
        <w:rPr>
          <w:b/>
          <w:color w:val="000000" w:themeColor="text1"/>
        </w:rPr>
      </w:pPr>
      <w:r w:rsidRPr="00781112">
        <w:rPr>
          <w:b/>
          <w:color w:val="000000" w:themeColor="text1"/>
        </w:rPr>
        <w:t>Math Assessment Proficiency Data by Grade</w:t>
      </w:r>
    </w:p>
    <w:tbl>
      <w:tblPr>
        <w:tblStyle w:val="TableGrid"/>
        <w:tblW w:w="5000" w:type="pct"/>
        <w:tblLayout w:type="fixed"/>
        <w:tblLook w:val="04A0" w:firstRow="1" w:lastRow="0" w:firstColumn="1" w:lastColumn="0" w:noHBand="0" w:noVBand="1"/>
        <w:tblCaption w:val="B03DSSPARTDATABYGRDMATH"/>
      </w:tblPr>
      <w:tblGrid>
        <w:gridCol w:w="3775"/>
        <w:gridCol w:w="2338"/>
        <w:gridCol w:w="2338"/>
        <w:gridCol w:w="2339"/>
      </w:tblGrid>
      <w:tr w:rsidR="00DD5B7A" w:rsidRPr="00781112" w14:paraId="590774E0" w14:textId="77777777" w:rsidTr="00E95FBF">
        <w:tc>
          <w:tcPr>
            <w:tcW w:w="1749" w:type="pct"/>
            <w:shd w:val="clear" w:color="auto" w:fill="auto"/>
          </w:tcPr>
          <w:p w14:paraId="4055FBD1" w14:textId="73E0C6E7" w:rsidR="00DD5B7A" w:rsidRPr="00781112" w:rsidRDefault="00835EAD" w:rsidP="00827FF4">
            <w:pPr>
              <w:jc w:val="center"/>
              <w:rPr>
                <w:rFonts w:cs="Arial"/>
                <w:b/>
                <w:bCs/>
                <w:color w:val="000000" w:themeColor="text1"/>
                <w:szCs w:val="16"/>
              </w:rPr>
            </w:pPr>
            <w:r w:rsidRPr="00781112">
              <w:rPr>
                <w:rFonts w:cs="Arial"/>
                <w:b/>
                <w:bCs/>
                <w:color w:val="000000" w:themeColor="text1"/>
                <w:szCs w:val="16"/>
              </w:rPr>
              <w:t>Group</w:t>
            </w:r>
          </w:p>
        </w:tc>
        <w:tc>
          <w:tcPr>
            <w:tcW w:w="1083" w:type="pct"/>
            <w:shd w:val="clear" w:color="auto" w:fill="auto"/>
            <w:vAlign w:val="center"/>
          </w:tcPr>
          <w:p w14:paraId="3DAA5C0A" w14:textId="35B1C50B"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4</w:t>
            </w:r>
          </w:p>
        </w:tc>
        <w:tc>
          <w:tcPr>
            <w:tcW w:w="1083" w:type="pct"/>
            <w:shd w:val="clear" w:color="auto" w:fill="auto"/>
            <w:vAlign w:val="center"/>
          </w:tcPr>
          <w:p w14:paraId="4B99C0AD" w14:textId="75D46FFE"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8</w:t>
            </w:r>
          </w:p>
        </w:tc>
        <w:tc>
          <w:tcPr>
            <w:tcW w:w="1084" w:type="pct"/>
            <w:shd w:val="clear" w:color="auto" w:fill="auto"/>
            <w:vAlign w:val="center"/>
          </w:tcPr>
          <w:p w14:paraId="64818CE7" w14:textId="3A3D62EA"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HS</w:t>
            </w:r>
          </w:p>
        </w:tc>
      </w:tr>
      <w:tr w:rsidR="0039534D" w:rsidRPr="00781112" w14:paraId="5B127C40" w14:textId="77777777" w:rsidTr="00E95FBF">
        <w:tc>
          <w:tcPr>
            <w:tcW w:w="1749" w:type="pct"/>
            <w:shd w:val="clear" w:color="auto" w:fill="auto"/>
          </w:tcPr>
          <w:p w14:paraId="0E1B91FD" w14:textId="7C7FA98F" w:rsidR="0039534D" w:rsidRPr="00781112" w:rsidRDefault="0039534D" w:rsidP="0039534D">
            <w:pPr>
              <w:rPr>
                <w:rFonts w:cs="Arial"/>
                <w:color w:val="000000" w:themeColor="text1"/>
                <w:szCs w:val="16"/>
              </w:rPr>
            </w:pPr>
            <w:r w:rsidRPr="00781112">
              <w:rPr>
                <w:rFonts w:cs="Arial"/>
                <w:color w:val="000000" w:themeColor="text1"/>
                <w:szCs w:val="16"/>
              </w:rPr>
              <w:t>a. All Students who received a valid score and a proficiency was assigned for the regular assessment</w:t>
            </w:r>
          </w:p>
        </w:tc>
        <w:tc>
          <w:tcPr>
            <w:tcW w:w="1083" w:type="pct"/>
            <w:shd w:val="clear" w:color="auto" w:fill="auto"/>
            <w:vAlign w:val="center"/>
          </w:tcPr>
          <w:p w14:paraId="52BC5DDE" w14:textId="144A7826" w:rsidR="0039534D" w:rsidRPr="00781112" w:rsidRDefault="0039534D" w:rsidP="0039534D">
            <w:pPr>
              <w:jc w:val="center"/>
              <w:rPr>
                <w:rFonts w:cs="Arial"/>
                <w:color w:val="000000" w:themeColor="text1"/>
                <w:szCs w:val="16"/>
              </w:rPr>
            </w:pPr>
          </w:p>
        </w:tc>
        <w:tc>
          <w:tcPr>
            <w:tcW w:w="1083" w:type="pct"/>
            <w:shd w:val="clear" w:color="auto" w:fill="auto"/>
            <w:vAlign w:val="center"/>
          </w:tcPr>
          <w:p w14:paraId="1F69E804" w14:textId="1CF42368" w:rsidR="0039534D" w:rsidRPr="00781112" w:rsidRDefault="0039534D" w:rsidP="0039534D">
            <w:pPr>
              <w:jc w:val="center"/>
              <w:rPr>
                <w:rFonts w:cs="Arial"/>
                <w:color w:val="000000" w:themeColor="text1"/>
                <w:szCs w:val="16"/>
              </w:rPr>
            </w:pPr>
          </w:p>
        </w:tc>
        <w:tc>
          <w:tcPr>
            <w:tcW w:w="1084" w:type="pct"/>
            <w:shd w:val="clear" w:color="auto" w:fill="auto"/>
            <w:vAlign w:val="center"/>
          </w:tcPr>
          <w:p w14:paraId="3CF6972D" w14:textId="425CE03D" w:rsidR="0039534D" w:rsidRPr="00781112" w:rsidRDefault="0039534D" w:rsidP="0039534D">
            <w:pPr>
              <w:jc w:val="center"/>
              <w:rPr>
                <w:rFonts w:cs="Arial"/>
                <w:color w:val="000000" w:themeColor="text1"/>
                <w:szCs w:val="16"/>
              </w:rPr>
            </w:pPr>
            <w:r w:rsidRPr="00781112">
              <w:rPr>
                <w:rFonts w:cs="Arial"/>
                <w:color w:val="000000" w:themeColor="text1"/>
                <w:szCs w:val="16"/>
              </w:rPr>
              <w:t>45,735</w:t>
            </w:r>
          </w:p>
        </w:tc>
      </w:tr>
      <w:tr w:rsidR="008E4335" w:rsidRPr="00781112" w14:paraId="498D2BC6" w14:textId="77777777" w:rsidTr="008E4335">
        <w:tc>
          <w:tcPr>
            <w:tcW w:w="1749" w:type="pct"/>
            <w:shd w:val="clear" w:color="auto" w:fill="auto"/>
          </w:tcPr>
          <w:p w14:paraId="6F359A75" w14:textId="3CC63A02" w:rsidR="008E4335" w:rsidRPr="00781112" w:rsidRDefault="008E4335" w:rsidP="008E4335">
            <w:pPr>
              <w:rPr>
                <w:rFonts w:cs="Arial"/>
                <w:color w:val="000000" w:themeColor="text1"/>
                <w:szCs w:val="16"/>
              </w:rPr>
            </w:pPr>
            <w:r w:rsidRPr="00781112">
              <w:rPr>
                <w:rFonts w:cs="Arial"/>
                <w:color w:val="000000" w:themeColor="text1"/>
                <w:szCs w:val="16"/>
              </w:rPr>
              <w:t xml:space="preserve">b. Children with IEPs who received a valid score and a proficiency was assigned </w:t>
            </w:r>
            <w:r w:rsidRPr="00781112">
              <w:rPr>
                <w:rFonts w:cs="Arial"/>
                <w:szCs w:val="16"/>
                <w:shd w:val="clear" w:color="auto" w:fill="FFFFFF"/>
              </w:rPr>
              <w:t>for the regular assessment</w:t>
            </w:r>
          </w:p>
        </w:tc>
        <w:tc>
          <w:tcPr>
            <w:tcW w:w="1083" w:type="pct"/>
            <w:shd w:val="clear" w:color="auto" w:fill="auto"/>
            <w:vAlign w:val="center"/>
          </w:tcPr>
          <w:p w14:paraId="76737A54" w14:textId="51C71A13" w:rsidR="008E4335" w:rsidRPr="00781112" w:rsidRDefault="008E4335" w:rsidP="008E4335">
            <w:pPr>
              <w:jc w:val="center"/>
              <w:rPr>
                <w:rFonts w:cs="Arial"/>
                <w:color w:val="000000" w:themeColor="text1"/>
                <w:szCs w:val="16"/>
              </w:rPr>
            </w:pPr>
            <w:r w:rsidRPr="004827BB">
              <w:rPr>
                <w:rFonts w:cs="Arial"/>
                <w:color w:val="000000" w:themeColor="text1"/>
                <w:szCs w:val="16"/>
              </w:rPr>
              <w:t>*</w:t>
            </w:r>
            <w:r w:rsidRPr="004827BB">
              <w:rPr>
                <w:rFonts w:cs="Arial"/>
                <w:color w:val="000000" w:themeColor="text1"/>
                <w:szCs w:val="16"/>
              </w:rPr>
              <w:fldChar w:fldCharType="begin"/>
            </w:r>
            <w:r w:rsidRPr="004827BB">
              <w:rPr>
                <w:rFonts w:cs="Arial"/>
                <w:color w:val="000000" w:themeColor="text1"/>
                <w:szCs w:val="16"/>
              </w:rPr>
              <w:instrText xml:space="preserve"> NOTEREF _Ref141819472 \f \h </w:instrText>
            </w:r>
            <w:r>
              <w:rPr>
                <w:rFonts w:cs="Arial"/>
                <w:color w:val="000000" w:themeColor="text1"/>
                <w:szCs w:val="16"/>
              </w:rPr>
              <w:instrText xml:space="preserve"> \* MERGEFORMAT </w:instrText>
            </w:r>
            <w:r w:rsidRPr="004827BB">
              <w:rPr>
                <w:rFonts w:cs="Arial"/>
                <w:color w:val="000000" w:themeColor="text1"/>
                <w:szCs w:val="16"/>
              </w:rPr>
            </w:r>
            <w:r w:rsidRPr="004827BB">
              <w:rPr>
                <w:rFonts w:cs="Arial"/>
                <w:color w:val="000000" w:themeColor="text1"/>
                <w:szCs w:val="16"/>
              </w:rPr>
              <w:fldChar w:fldCharType="separate"/>
            </w:r>
            <w:r w:rsidRPr="004827BB">
              <w:rPr>
                <w:rStyle w:val="FootnoteReference"/>
              </w:rPr>
              <w:t>9</w:t>
            </w:r>
            <w:r w:rsidRPr="004827BB">
              <w:rPr>
                <w:rFonts w:cs="Arial"/>
                <w:color w:val="000000" w:themeColor="text1"/>
                <w:szCs w:val="16"/>
              </w:rPr>
              <w:fldChar w:fldCharType="end"/>
            </w:r>
          </w:p>
        </w:tc>
        <w:tc>
          <w:tcPr>
            <w:tcW w:w="1083" w:type="pct"/>
            <w:shd w:val="clear" w:color="auto" w:fill="auto"/>
            <w:vAlign w:val="center"/>
          </w:tcPr>
          <w:p w14:paraId="4728E439" w14:textId="0FE1FFD0" w:rsidR="008E4335" w:rsidRPr="00781112" w:rsidRDefault="008E4335" w:rsidP="008E4335">
            <w:pPr>
              <w:jc w:val="center"/>
              <w:rPr>
                <w:rFonts w:cs="Arial"/>
                <w:color w:val="000000" w:themeColor="text1"/>
                <w:szCs w:val="16"/>
              </w:rPr>
            </w:pPr>
            <w:r w:rsidRPr="004827BB">
              <w:rPr>
                <w:rFonts w:cs="Arial"/>
                <w:color w:val="000000" w:themeColor="text1"/>
                <w:szCs w:val="16"/>
              </w:rPr>
              <w:t>*</w:t>
            </w:r>
            <w:r w:rsidRPr="004827BB">
              <w:rPr>
                <w:rFonts w:cs="Arial"/>
                <w:color w:val="000000" w:themeColor="text1"/>
                <w:szCs w:val="16"/>
              </w:rPr>
              <w:fldChar w:fldCharType="begin"/>
            </w:r>
            <w:r w:rsidRPr="004827BB">
              <w:rPr>
                <w:rFonts w:cs="Arial"/>
                <w:color w:val="000000" w:themeColor="text1"/>
                <w:szCs w:val="16"/>
              </w:rPr>
              <w:instrText xml:space="preserve"> NOTEREF _Ref141819472 \f \h </w:instrText>
            </w:r>
            <w:r>
              <w:rPr>
                <w:rFonts w:cs="Arial"/>
                <w:color w:val="000000" w:themeColor="text1"/>
                <w:szCs w:val="16"/>
              </w:rPr>
              <w:instrText xml:space="preserve"> \* MERGEFORMAT </w:instrText>
            </w:r>
            <w:r w:rsidRPr="004827BB">
              <w:rPr>
                <w:rFonts w:cs="Arial"/>
                <w:color w:val="000000" w:themeColor="text1"/>
                <w:szCs w:val="16"/>
              </w:rPr>
            </w:r>
            <w:r w:rsidRPr="004827BB">
              <w:rPr>
                <w:rFonts w:cs="Arial"/>
                <w:color w:val="000000" w:themeColor="text1"/>
                <w:szCs w:val="16"/>
              </w:rPr>
              <w:fldChar w:fldCharType="separate"/>
            </w:r>
            <w:r w:rsidRPr="004827BB">
              <w:rPr>
                <w:rStyle w:val="FootnoteReference"/>
              </w:rPr>
              <w:t>9</w:t>
            </w:r>
            <w:r w:rsidRPr="004827BB">
              <w:rPr>
                <w:rFonts w:cs="Arial"/>
                <w:color w:val="000000" w:themeColor="text1"/>
                <w:szCs w:val="16"/>
              </w:rPr>
              <w:fldChar w:fldCharType="end"/>
            </w:r>
          </w:p>
        </w:tc>
        <w:tc>
          <w:tcPr>
            <w:tcW w:w="1084" w:type="pct"/>
            <w:shd w:val="clear" w:color="auto" w:fill="auto"/>
            <w:vAlign w:val="center"/>
          </w:tcPr>
          <w:p w14:paraId="06C8345B" w14:textId="39D5A618" w:rsidR="008E4335" w:rsidRPr="00781112" w:rsidRDefault="008E4335" w:rsidP="008E4335">
            <w:pPr>
              <w:jc w:val="center"/>
              <w:rPr>
                <w:rFonts w:cs="Arial"/>
                <w:color w:val="000000" w:themeColor="text1"/>
                <w:szCs w:val="16"/>
              </w:rPr>
            </w:pPr>
            <w:r w:rsidRPr="00781112">
              <w:rPr>
                <w:rFonts w:cs="Arial"/>
                <w:color w:val="000000" w:themeColor="text1"/>
                <w:szCs w:val="16"/>
              </w:rPr>
              <w:t>3,793</w:t>
            </w:r>
          </w:p>
        </w:tc>
      </w:tr>
      <w:tr w:rsidR="0039534D" w:rsidRPr="00781112" w14:paraId="3DF51785" w14:textId="77777777" w:rsidTr="008E4335">
        <w:tc>
          <w:tcPr>
            <w:tcW w:w="1749" w:type="pct"/>
            <w:shd w:val="clear" w:color="auto" w:fill="auto"/>
          </w:tcPr>
          <w:p w14:paraId="4795E661" w14:textId="39A6BCFA" w:rsidR="0039534D" w:rsidRPr="00781112" w:rsidRDefault="0039534D" w:rsidP="0039534D">
            <w:pPr>
              <w:rPr>
                <w:rFonts w:cs="Arial"/>
                <w:color w:val="000000" w:themeColor="text1"/>
                <w:szCs w:val="16"/>
              </w:rPr>
            </w:pPr>
            <w:r w:rsidRPr="0075451F">
              <w:rPr>
                <w:rFonts w:cs="Arial"/>
                <w:szCs w:val="16"/>
                <w:shd w:val="clear" w:color="auto" w:fill="FFFFFF"/>
              </w:rPr>
              <w:t>c. All students in regular assessment with no accommodations scored at or above proficient against grade level</w:t>
            </w:r>
          </w:p>
        </w:tc>
        <w:tc>
          <w:tcPr>
            <w:tcW w:w="1083" w:type="pct"/>
            <w:shd w:val="clear" w:color="auto" w:fill="auto"/>
            <w:vAlign w:val="center"/>
          </w:tcPr>
          <w:p w14:paraId="5CB3E7A3" w14:textId="5EDF24EC" w:rsidR="0039534D" w:rsidRPr="00781112" w:rsidRDefault="0039534D" w:rsidP="008E4335">
            <w:pPr>
              <w:jc w:val="center"/>
              <w:rPr>
                <w:rFonts w:cs="Arial"/>
                <w:color w:val="000000" w:themeColor="text1"/>
                <w:szCs w:val="16"/>
              </w:rPr>
            </w:pPr>
          </w:p>
        </w:tc>
        <w:tc>
          <w:tcPr>
            <w:tcW w:w="1083" w:type="pct"/>
            <w:shd w:val="clear" w:color="auto" w:fill="auto"/>
            <w:vAlign w:val="center"/>
          </w:tcPr>
          <w:p w14:paraId="7CCA2E3B" w14:textId="3CD9DE15" w:rsidR="0039534D" w:rsidRPr="00781112" w:rsidRDefault="0039534D" w:rsidP="008E4335">
            <w:pPr>
              <w:jc w:val="center"/>
              <w:rPr>
                <w:rFonts w:cs="Arial"/>
                <w:color w:val="000000" w:themeColor="text1"/>
                <w:szCs w:val="16"/>
              </w:rPr>
            </w:pPr>
          </w:p>
        </w:tc>
        <w:tc>
          <w:tcPr>
            <w:tcW w:w="1084" w:type="pct"/>
            <w:shd w:val="clear" w:color="auto" w:fill="auto"/>
            <w:vAlign w:val="center"/>
          </w:tcPr>
          <w:p w14:paraId="735C7B5A" w14:textId="1C3B3FE1" w:rsidR="0039534D" w:rsidRPr="00781112" w:rsidRDefault="0039534D" w:rsidP="0039534D">
            <w:pPr>
              <w:jc w:val="center"/>
              <w:rPr>
                <w:rFonts w:cs="Arial"/>
                <w:color w:val="000000" w:themeColor="text1"/>
                <w:szCs w:val="16"/>
              </w:rPr>
            </w:pPr>
            <w:r w:rsidRPr="00781112">
              <w:rPr>
                <w:rFonts w:cs="Arial"/>
                <w:color w:val="000000" w:themeColor="text1"/>
                <w:szCs w:val="16"/>
              </w:rPr>
              <w:t>17,282</w:t>
            </w:r>
          </w:p>
        </w:tc>
      </w:tr>
      <w:tr w:rsidR="0039534D" w:rsidRPr="00781112" w14:paraId="07844546" w14:textId="77777777" w:rsidTr="008E4335">
        <w:tc>
          <w:tcPr>
            <w:tcW w:w="1749" w:type="pct"/>
            <w:shd w:val="clear" w:color="auto" w:fill="auto"/>
          </w:tcPr>
          <w:p w14:paraId="47D524EB" w14:textId="56F8E4CC" w:rsidR="0039534D" w:rsidRPr="00781112" w:rsidRDefault="0039534D" w:rsidP="0039534D">
            <w:pPr>
              <w:rPr>
                <w:rFonts w:cs="Arial"/>
                <w:color w:val="000000" w:themeColor="text1"/>
                <w:szCs w:val="16"/>
              </w:rPr>
            </w:pPr>
            <w:r w:rsidRPr="0075451F">
              <w:rPr>
                <w:rFonts w:cs="Arial"/>
                <w:szCs w:val="16"/>
                <w:shd w:val="clear" w:color="auto" w:fill="FFFFFF"/>
              </w:rPr>
              <w:t>d. All students in regular assessment with accommodations scored at or above proficient against grade level</w:t>
            </w:r>
          </w:p>
        </w:tc>
        <w:tc>
          <w:tcPr>
            <w:tcW w:w="1083" w:type="pct"/>
            <w:shd w:val="clear" w:color="auto" w:fill="auto"/>
            <w:vAlign w:val="center"/>
          </w:tcPr>
          <w:p w14:paraId="56F62AFB" w14:textId="4BC3B8A6" w:rsidR="0039534D" w:rsidRPr="00781112" w:rsidRDefault="0039534D" w:rsidP="008E4335">
            <w:pPr>
              <w:jc w:val="center"/>
              <w:rPr>
                <w:rFonts w:cs="Arial"/>
                <w:color w:val="000000" w:themeColor="text1"/>
                <w:szCs w:val="16"/>
              </w:rPr>
            </w:pPr>
          </w:p>
        </w:tc>
        <w:tc>
          <w:tcPr>
            <w:tcW w:w="1083" w:type="pct"/>
            <w:shd w:val="clear" w:color="auto" w:fill="auto"/>
            <w:vAlign w:val="center"/>
          </w:tcPr>
          <w:p w14:paraId="3CDBB055" w14:textId="52A1C13C" w:rsidR="0039534D" w:rsidRPr="00781112" w:rsidRDefault="0039534D" w:rsidP="008E4335">
            <w:pPr>
              <w:jc w:val="center"/>
              <w:rPr>
                <w:rFonts w:cs="Arial"/>
                <w:color w:val="000000" w:themeColor="text1"/>
                <w:szCs w:val="16"/>
              </w:rPr>
            </w:pPr>
          </w:p>
        </w:tc>
        <w:tc>
          <w:tcPr>
            <w:tcW w:w="1084" w:type="pct"/>
            <w:shd w:val="clear" w:color="auto" w:fill="auto"/>
            <w:vAlign w:val="center"/>
          </w:tcPr>
          <w:p w14:paraId="53087BDA" w14:textId="7F6FB55C" w:rsidR="0039534D" w:rsidRPr="00781112" w:rsidRDefault="0039534D" w:rsidP="0039534D">
            <w:pPr>
              <w:jc w:val="center"/>
              <w:rPr>
                <w:rFonts w:cs="Arial"/>
                <w:color w:val="000000" w:themeColor="text1"/>
                <w:szCs w:val="16"/>
              </w:rPr>
            </w:pPr>
            <w:r w:rsidRPr="00781112">
              <w:rPr>
                <w:rFonts w:cs="Arial"/>
                <w:color w:val="000000" w:themeColor="text1"/>
                <w:szCs w:val="16"/>
              </w:rPr>
              <w:t>61</w:t>
            </w:r>
          </w:p>
        </w:tc>
      </w:tr>
      <w:tr w:rsidR="008E4335" w:rsidRPr="00781112" w14:paraId="0A3B43B6" w14:textId="77777777" w:rsidTr="008E4335">
        <w:tc>
          <w:tcPr>
            <w:tcW w:w="1749" w:type="pct"/>
            <w:shd w:val="clear" w:color="auto" w:fill="auto"/>
          </w:tcPr>
          <w:p w14:paraId="78623131" w14:textId="1D0B9916" w:rsidR="008E4335" w:rsidRPr="00781112" w:rsidRDefault="008E4335" w:rsidP="008E4335">
            <w:pPr>
              <w:rPr>
                <w:rFonts w:cs="Arial"/>
                <w:color w:val="000000" w:themeColor="text1"/>
                <w:szCs w:val="16"/>
              </w:rPr>
            </w:pPr>
            <w:r w:rsidRPr="00781112">
              <w:rPr>
                <w:rFonts w:cs="Arial"/>
                <w:szCs w:val="16"/>
                <w:shd w:val="clear" w:color="auto" w:fill="FFFFFF"/>
              </w:rPr>
              <w:t>e. Children with IEPs in regular assessment with no accommodations scored at or above proficient against grade level</w:t>
            </w:r>
          </w:p>
        </w:tc>
        <w:tc>
          <w:tcPr>
            <w:tcW w:w="1083" w:type="pct"/>
            <w:shd w:val="clear" w:color="auto" w:fill="auto"/>
            <w:vAlign w:val="center"/>
          </w:tcPr>
          <w:p w14:paraId="6A062FCA" w14:textId="6C1F7A05" w:rsidR="008E4335" w:rsidRPr="00781112" w:rsidRDefault="008E4335" w:rsidP="008E4335">
            <w:pPr>
              <w:jc w:val="center"/>
              <w:rPr>
                <w:rFonts w:cs="Arial"/>
                <w:color w:val="000000" w:themeColor="text1"/>
                <w:szCs w:val="16"/>
              </w:rPr>
            </w:pPr>
            <w:r w:rsidRPr="00411060">
              <w:rPr>
                <w:rFonts w:cs="Arial"/>
                <w:color w:val="000000" w:themeColor="text1"/>
                <w:szCs w:val="16"/>
              </w:rPr>
              <w:t>*</w:t>
            </w:r>
            <w:r w:rsidRPr="00411060">
              <w:rPr>
                <w:rFonts w:cs="Arial"/>
                <w:color w:val="000000" w:themeColor="text1"/>
                <w:szCs w:val="16"/>
              </w:rPr>
              <w:fldChar w:fldCharType="begin"/>
            </w:r>
            <w:r w:rsidRPr="00411060">
              <w:rPr>
                <w:rFonts w:cs="Arial"/>
                <w:color w:val="000000" w:themeColor="text1"/>
                <w:szCs w:val="16"/>
              </w:rPr>
              <w:instrText xml:space="preserve"> NOTEREF _Ref141819472 \f \h </w:instrText>
            </w:r>
            <w:r>
              <w:rPr>
                <w:rFonts w:cs="Arial"/>
                <w:color w:val="000000" w:themeColor="text1"/>
                <w:szCs w:val="16"/>
              </w:rPr>
              <w:instrText xml:space="preserve"> \* MERGEFORMAT </w:instrText>
            </w:r>
            <w:r w:rsidRPr="00411060">
              <w:rPr>
                <w:rFonts w:cs="Arial"/>
                <w:color w:val="000000" w:themeColor="text1"/>
                <w:szCs w:val="16"/>
              </w:rPr>
            </w:r>
            <w:r w:rsidRPr="00411060">
              <w:rPr>
                <w:rFonts w:cs="Arial"/>
                <w:color w:val="000000" w:themeColor="text1"/>
                <w:szCs w:val="16"/>
              </w:rPr>
              <w:fldChar w:fldCharType="separate"/>
            </w:r>
            <w:r w:rsidRPr="00411060">
              <w:rPr>
                <w:rStyle w:val="FootnoteReference"/>
              </w:rPr>
              <w:t>9</w:t>
            </w:r>
            <w:r w:rsidRPr="00411060">
              <w:rPr>
                <w:rFonts w:cs="Arial"/>
                <w:color w:val="000000" w:themeColor="text1"/>
                <w:szCs w:val="16"/>
              </w:rPr>
              <w:fldChar w:fldCharType="end"/>
            </w:r>
          </w:p>
        </w:tc>
        <w:tc>
          <w:tcPr>
            <w:tcW w:w="1083" w:type="pct"/>
            <w:shd w:val="clear" w:color="auto" w:fill="auto"/>
            <w:vAlign w:val="center"/>
          </w:tcPr>
          <w:p w14:paraId="0A64567E" w14:textId="0E98F925" w:rsidR="008E4335" w:rsidRPr="00781112" w:rsidRDefault="008E4335" w:rsidP="008E4335">
            <w:pPr>
              <w:jc w:val="center"/>
              <w:rPr>
                <w:rFonts w:cs="Arial"/>
                <w:color w:val="000000" w:themeColor="text1"/>
                <w:szCs w:val="16"/>
              </w:rPr>
            </w:pPr>
            <w:r w:rsidRPr="00411060">
              <w:rPr>
                <w:rFonts w:cs="Arial"/>
                <w:color w:val="000000" w:themeColor="text1"/>
                <w:szCs w:val="16"/>
              </w:rPr>
              <w:t>*</w:t>
            </w:r>
            <w:r w:rsidRPr="00411060">
              <w:rPr>
                <w:rFonts w:cs="Arial"/>
                <w:color w:val="000000" w:themeColor="text1"/>
                <w:szCs w:val="16"/>
              </w:rPr>
              <w:fldChar w:fldCharType="begin"/>
            </w:r>
            <w:r w:rsidRPr="00411060">
              <w:rPr>
                <w:rFonts w:cs="Arial"/>
                <w:color w:val="000000" w:themeColor="text1"/>
                <w:szCs w:val="16"/>
              </w:rPr>
              <w:instrText xml:space="preserve"> NOTEREF _Ref141819472 \f \h </w:instrText>
            </w:r>
            <w:r>
              <w:rPr>
                <w:rFonts w:cs="Arial"/>
                <w:color w:val="000000" w:themeColor="text1"/>
                <w:szCs w:val="16"/>
              </w:rPr>
              <w:instrText xml:space="preserve"> \* MERGEFORMAT </w:instrText>
            </w:r>
            <w:r w:rsidRPr="00411060">
              <w:rPr>
                <w:rFonts w:cs="Arial"/>
                <w:color w:val="000000" w:themeColor="text1"/>
                <w:szCs w:val="16"/>
              </w:rPr>
            </w:r>
            <w:r w:rsidRPr="00411060">
              <w:rPr>
                <w:rFonts w:cs="Arial"/>
                <w:color w:val="000000" w:themeColor="text1"/>
                <w:szCs w:val="16"/>
              </w:rPr>
              <w:fldChar w:fldCharType="separate"/>
            </w:r>
            <w:r w:rsidRPr="00411060">
              <w:rPr>
                <w:rStyle w:val="FootnoteReference"/>
              </w:rPr>
              <w:t>9</w:t>
            </w:r>
            <w:r w:rsidRPr="00411060">
              <w:rPr>
                <w:rFonts w:cs="Arial"/>
                <w:color w:val="000000" w:themeColor="text1"/>
                <w:szCs w:val="16"/>
              </w:rPr>
              <w:fldChar w:fldCharType="end"/>
            </w:r>
          </w:p>
        </w:tc>
        <w:tc>
          <w:tcPr>
            <w:tcW w:w="1084" w:type="pct"/>
            <w:shd w:val="clear" w:color="auto" w:fill="auto"/>
            <w:vAlign w:val="center"/>
          </w:tcPr>
          <w:p w14:paraId="4656C7C9" w14:textId="098CB46F" w:rsidR="008E4335" w:rsidRPr="00781112" w:rsidRDefault="008E4335" w:rsidP="008E4335">
            <w:pPr>
              <w:jc w:val="center"/>
              <w:rPr>
                <w:rFonts w:cs="Arial"/>
                <w:color w:val="000000" w:themeColor="text1"/>
                <w:szCs w:val="16"/>
              </w:rPr>
            </w:pPr>
            <w:r w:rsidRPr="00781112">
              <w:rPr>
                <w:rFonts w:cs="Arial"/>
                <w:color w:val="000000" w:themeColor="text1"/>
                <w:szCs w:val="16"/>
              </w:rPr>
              <w:t>182</w:t>
            </w:r>
          </w:p>
        </w:tc>
      </w:tr>
      <w:tr w:rsidR="008E4335" w:rsidRPr="00781112" w14:paraId="7854C881" w14:textId="77777777" w:rsidTr="008E4335">
        <w:tc>
          <w:tcPr>
            <w:tcW w:w="1749" w:type="pct"/>
            <w:shd w:val="clear" w:color="auto" w:fill="auto"/>
          </w:tcPr>
          <w:p w14:paraId="11893D61" w14:textId="60FC961E" w:rsidR="008E4335" w:rsidRPr="00781112" w:rsidRDefault="008E4335" w:rsidP="008E4335">
            <w:pPr>
              <w:rPr>
                <w:rFonts w:cs="Arial"/>
                <w:color w:val="000000" w:themeColor="text1"/>
                <w:szCs w:val="16"/>
              </w:rPr>
            </w:pPr>
            <w:r w:rsidRPr="00781112">
              <w:rPr>
                <w:rFonts w:cs="Arial"/>
                <w:szCs w:val="16"/>
                <w:shd w:val="clear" w:color="auto" w:fill="FFFFFF"/>
              </w:rPr>
              <w:t>f. Children with IEPs in regular assessment with accommodations scored at or above proficient against grade level</w:t>
            </w:r>
          </w:p>
        </w:tc>
        <w:tc>
          <w:tcPr>
            <w:tcW w:w="1083" w:type="pct"/>
            <w:shd w:val="clear" w:color="auto" w:fill="auto"/>
            <w:vAlign w:val="center"/>
          </w:tcPr>
          <w:p w14:paraId="59046EB4" w14:textId="1D9AC680" w:rsidR="008E4335" w:rsidRPr="00781112" w:rsidRDefault="008E4335" w:rsidP="008E4335">
            <w:pPr>
              <w:jc w:val="center"/>
              <w:rPr>
                <w:rFonts w:cs="Arial"/>
                <w:color w:val="000000" w:themeColor="text1"/>
                <w:szCs w:val="16"/>
              </w:rPr>
            </w:pPr>
            <w:r w:rsidRPr="00411060">
              <w:rPr>
                <w:rFonts w:cs="Arial"/>
                <w:color w:val="000000" w:themeColor="text1"/>
                <w:szCs w:val="16"/>
              </w:rPr>
              <w:t>*</w:t>
            </w:r>
            <w:r w:rsidRPr="00411060">
              <w:rPr>
                <w:rFonts w:cs="Arial"/>
                <w:color w:val="000000" w:themeColor="text1"/>
                <w:szCs w:val="16"/>
              </w:rPr>
              <w:fldChar w:fldCharType="begin"/>
            </w:r>
            <w:r w:rsidRPr="00411060">
              <w:rPr>
                <w:rFonts w:cs="Arial"/>
                <w:color w:val="000000" w:themeColor="text1"/>
                <w:szCs w:val="16"/>
              </w:rPr>
              <w:instrText xml:space="preserve"> NOTEREF _Ref141819472 \f \h </w:instrText>
            </w:r>
            <w:r>
              <w:rPr>
                <w:rFonts w:cs="Arial"/>
                <w:color w:val="000000" w:themeColor="text1"/>
                <w:szCs w:val="16"/>
              </w:rPr>
              <w:instrText xml:space="preserve"> \* MERGEFORMAT </w:instrText>
            </w:r>
            <w:r w:rsidRPr="00411060">
              <w:rPr>
                <w:rFonts w:cs="Arial"/>
                <w:color w:val="000000" w:themeColor="text1"/>
                <w:szCs w:val="16"/>
              </w:rPr>
            </w:r>
            <w:r w:rsidRPr="00411060">
              <w:rPr>
                <w:rFonts w:cs="Arial"/>
                <w:color w:val="000000" w:themeColor="text1"/>
                <w:szCs w:val="16"/>
              </w:rPr>
              <w:fldChar w:fldCharType="separate"/>
            </w:r>
            <w:r w:rsidRPr="00411060">
              <w:rPr>
                <w:rStyle w:val="FootnoteReference"/>
              </w:rPr>
              <w:t>9</w:t>
            </w:r>
            <w:r w:rsidRPr="00411060">
              <w:rPr>
                <w:rFonts w:cs="Arial"/>
                <w:color w:val="000000" w:themeColor="text1"/>
                <w:szCs w:val="16"/>
              </w:rPr>
              <w:fldChar w:fldCharType="end"/>
            </w:r>
          </w:p>
        </w:tc>
        <w:tc>
          <w:tcPr>
            <w:tcW w:w="1083" w:type="pct"/>
            <w:shd w:val="clear" w:color="auto" w:fill="auto"/>
            <w:vAlign w:val="center"/>
          </w:tcPr>
          <w:p w14:paraId="1A17DFA3" w14:textId="55BDEFF8" w:rsidR="008E4335" w:rsidRPr="00781112" w:rsidRDefault="008E4335" w:rsidP="008E4335">
            <w:pPr>
              <w:jc w:val="center"/>
              <w:rPr>
                <w:rFonts w:cs="Arial"/>
                <w:color w:val="000000" w:themeColor="text1"/>
                <w:szCs w:val="16"/>
              </w:rPr>
            </w:pPr>
            <w:r w:rsidRPr="00411060">
              <w:rPr>
                <w:rFonts w:cs="Arial"/>
                <w:color w:val="000000" w:themeColor="text1"/>
                <w:szCs w:val="16"/>
              </w:rPr>
              <w:t>*</w:t>
            </w:r>
            <w:r w:rsidRPr="00411060">
              <w:rPr>
                <w:rFonts w:cs="Arial"/>
                <w:color w:val="000000" w:themeColor="text1"/>
                <w:szCs w:val="16"/>
              </w:rPr>
              <w:fldChar w:fldCharType="begin"/>
            </w:r>
            <w:r w:rsidRPr="00411060">
              <w:rPr>
                <w:rFonts w:cs="Arial"/>
                <w:color w:val="000000" w:themeColor="text1"/>
                <w:szCs w:val="16"/>
              </w:rPr>
              <w:instrText xml:space="preserve"> NOTEREF _Ref141819472 \f \h </w:instrText>
            </w:r>
            <w:r>
              <w:rPr>
                <w:rFonts w:cs="Arial"/>
                <w:color w:val="000000" w:themeColor="text1"/>
                <w:szCs w:val="16"/>
              </w:rPr>
              <w:instrText xml:space="preserve"> \* MERGEFORMAT </w:instrText>
            </w:r>
            <w:r w:rsidRPr="00411060">
              <w:rPr>
                <w:rFonts w:cs="Arial"/>
                <w:color w:val="000000" w:themeColor="text1"/>
                <w:szCs w:val="16"/>
              </w:rPr>
            </w:r>
            <w:r w:rsidRPr="00411060">
              <w:rPr>
                <w:rFonts w:cs="Arial"/>
                <w:color w:val="000000" w:themeColor="text1"/>
                <w:szCs w:val="16"/>
              </w:rPr>
              <w:fldChar w:fldCharType="separate"/>
            </w:r>
            <w:r w:rsidRPr="00411060">
              <w:rPr>
                <w:rStyle w:val="FootnoteReference"/>
              </w:rPr>
              <w:t>9</w:t>
            </w:r>
            <w:r w:rsidRPr="00411060">
              <w:rPr>
                <w:rFonts w:cs="Arial"/>
                <w:color w:val="000000" w:themeColor="text1"/>
                <w:szCs w:val="16"/>
              </w:rPr>
              <w:fldChar w:fldCharType="end"/>
            </w:r>
          </w:p>
        </w:tc>
        <w:tc>
          <w:tcPr>
            <w:tcW w:w="1084" w:type="pct"/>
            <w:shd w:val="clear" w:color="auto" w:fill="auto"/>
            <w:vAlign w:val="center"/>
          </w:tcPr>
          <w:p w14:paraId="20EB2770" w14:textId="2709C0DA" w:rsidR="008E4335" w:rsidRPr="00781112" w:rsidRDefault="008E4335" w:rsidP="008E4335">
            <w:pPr>
              <w:jc w:val="center"/>
              <w:rPr>
                <w:rFonts w:cs="Arial"/>
                <w:color w:val="000000" w:themeColor="text1"/>
                <w:szCs w:val="16"/>
              </w:rPr>
            </w:pPr>
            <w:r w:rsidRPr="00781112">
              <w:rPr>
                <w:rFonts w:cs="Arial"/>
                <w:color w:val="000000" w:themeColor="text1"/>
                <w:szCs w:val="16"/>
              </w:rPr>
              <w:t>33</w:t>
            </w:r>
          </w:p>
        </w:tc>
      </w:tr>
    </w:tbl>
    <w:p w14:paraId="1EA160DB" w14:textId="77777777" w:rsidR="00DD5B7A" w:rsidRPr="00781112" w:rsidRDefault="00DD5B7A" w:rsidP="00DD5B7A">
      <w:pPr>
        <w:rPr>
          <w:color w:val="000000" w:themeColor="text1"/>
        </w:rPr>
      </w:pPr>
    </w:p>
    <w:p w14:paraId="4761097A" w14:textId="77777777" w:rsidR="008E4335" w:rsidRDefault="008E4335">
      <w:pPr>
        <w:spacing w:before="0" w:after="200" w:line="276" w:lineRule="auto"/>
        <w:rPr>
          <w:b/>
          <w:color w:val="000000" w:themeColor="text1"/>
        </w:rPr>
      </w:pPr>
      <w:r>
        <w:rPr>
          <w:b/>
          <w:color w:val="000000" w:themeColor="text1"/>
        </w:rPr>
        <w:br w:type="page"/>
      </w:r>
    </w:p>
    <w:p w14:paraId="300D6CD4" w14:textId="72ABE444" w:rsidR="00DD5B7A" w:rsidRPr="00781112" w:rsidRDefault="0047313F" w:rsidP="00DD5B7A">
      <w:pPr>
        <w:rPr>
          <w:b/>
          <w:color w:val="000000" w:themeColor="text1"/>
        </w:rPr>
      </w:pPr>
      <w:r>
        <w:rPr>
          <w:b/>
          <w:color w:val="000000" w:themeColor="text1"/>
        </w:rPr>
        <w:lastRenderedPageBreak/>
        <w:t>FFY 2021 SPP/APR Data: Reading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DFFYAPRDATARLA"/>
      </w:tblPr>
      <w:tblGrid>
        <w:gridCol w:w="715"/>
        <w:gridCol w:w="995"/>
        <w:gridCol w:w="1752"/>
        <w:gridCol w:w="1752"/>
        <w:gridCol w:w="1114"/>
        <w:gridCol w:w="1116"/>
        <w:gridCol w:w="1116"/>
        <w:gridCol w:w="1116"/>
        <w:gridCol w:w="1114"/>
      </w:tblGrid>
      <w:tr w:rsidR="00FA33C9" w:rsidRPr="00781112" w14:paraId="2F7F1DE8" w14:textId="77777777" w:rsidTr="00360DD6">
        <w:trPr>
          <w:tblHeader/>
        </w:trPr>
        <w:tc>
          <w:tcPr>
            <w:tcW w:w="331" w:type="pct"/>
            <w:shd w:val="clear" w:color="auto" w:fill="auto"/>
            <w:vAlign w:val="bottom"/>
          </w:tcPr>
          <w:p w14:paraId="0E14CE7F" w14:textId="77777777" w:rsidR="00FA33C9" w:rsidRPr="00781112" w:rsidRDefault="00FA33C9" w:rsidP="00FA33C9">
            <w:pPr>
              <w:jc w:val="center"/>
              <w:rPr>
                <w:b/>
                <w:color w:val="000000" w:themeColor="text1"/>
              </w:rPr>
            </w:pPr>
            <w:r w:rsidRPr="00781112">
              <w:rPr>
                <w:b/>
                <w:color w:val="000000" w:themeColor="text1"/>
              </w:rPr>
              <w:t>Group</w:t>
            </w:r>
          </w:p>
        </w:tc>
        <w:tc>
          <w:tcPr>
            <w:tcW w:w="461" w:type="pct"/>
            <w:shd w:val="clear" w:color="auto" w:fill="auto"/>
            <w:vAlign w:val="bottom"/>
          </w:tcPr>
          <w:p w14:paraId="4F428A92" w14:textId="77777777" w:rsidR="00FA33C9" w:rsidRPr="00781112" w:rsidRDefault="00FA33C9" w:rsidP="00FA33C9">
            <w:pPr>
              <w:jc w:val="center"/>
              <w:rPr>
                <w:b/>
                <w:color w:val="000000" w:themeColor="text1"/>
              </w:rPr>
            </w:pPr>
            <w:r w:rsidRPr="00781112">
              <w:rPr>
                <w:b/>
                <w:color w:val="000000" w:themeColor="text1"/>
              </w:rPr>
              <w:t>Group Name</w:t>
            </w:r>
          </w:p>
        </w:tc>
        <w:tc>
          <w:tcPr>
            <w:tcW w:w="812" w:type="pct"/>
            <w:shd w:val="clear" w:color="auto" w:fill="auto"/>
          </w:tcPr>
          <w:p w14:paraId="46CAD1DD" w14:textId="7A73217C" w:rsidR="00FA33C9" w:rsidRPr="00781112" w:rsidRDefault="00FA33C9" w:rsidP="00FA33C9">
            <w:pPr>
              <w:jc w:val="center"/>
              <w:rPr>
                <w:b/>
                <w:bCs/>
                <w:color w:val="000000" w:themeColor="text1"/>
              </w:rPr>
            </w:pPr>
            <w:r w:rsidRPr="00781112">
              <w:rPr>
                <w:b/>
                <w:bCs/>
              </w:rPr>
              <w:t xml:space="preserve">Proficiency rate for children with IEPs scoring at or above proficient against grade level academic achievement standards </w:t>
            </w:r>
          </w:p>
        </w:tc>
        <w:tc>
          <w:tcPr>
            <w:tcW w:w="812" w:type="pct"/>
            <w:shd w:val="clear" w:color="auto" w:fill="auto"/>
          </w:tcPr>
          <w:p w14:paraId="6DE1E86B" w14:textId="68DF8E07" w:rsidR="00FA33C9" w:rsidRPr="00781112" w:rsidRDefault="00FA33C9" w:rsidP="00FA33C9">
            <w:pPr>
              <w:jc w:val="center"/>
              <w:rPr>
                <w:b/>
                <w:bCs/>
                <w:color w:val="000000" w:themeColor="text1"/>
              </w:rPr>
            </w:pPr>
            <w:r w:rsidRPr="00781112">
              <w:rPr>
                <w:b/>
                <w:bCs/>
              </w:rPr>
              <w:t xml:space="preserve">Proficiency rate for all students scoring at or above proficient against grade level academic achievement standards </w:t>
            </w:r>
          </w:p>
        </w:tc>
        <w:tc>
          <w:tcPr>
            <w:tcW w:w="516" w:type="pct"/>
            <w:shd w:val="clear" w:color="auto" w:fill="auto"/>
            <w:vAlign w:val="bottom"/>
          </w:tcPr>
          <w:p w14:paraId="0E9E489C" w14:textId="0E46FEA8" w:rsidR="00FA33C9" w:rsidRPr="00073BD7" w:rsidRDefault="00FA33C9" w:rsidP="00FA33C9">
            <w:pPr>
              <w:jc w:val="center"/>
              <w:rPr>
                <w:b/>
                <w:bCs/>
                <w:color w:val="000000" w:themeColor="text1"/>
              </w:rPr>
            </w:pPr>
            <w:r w:rsidRPr="00073BD7">
              <w:rPr>
                <w:b/>
                <w:bCs/>
              </w:rPr>
              <w:t>FFY 2020 Data</w:t>
            </w:r>
          </w:p>
        </w:tc>
        <w:tc>
          <w:tcPr>
            <w:tcW w:w="517" w:type="pct"/>
            <w:shd w:val="clear" w:color="auto" w:fill="auto"/>
            <w:vAlign w:val="bottom"/>
          </w:tcPr>
          <w:p w14:paraId="69544656" w14:textId="54A418A5" w:rsidR="00FA33C9" w:rsidRPr="00073BD7" w:rsidRDefault="00FA33C9" w:rsidP="00FA33C9">
            <w:pPr>
              <w:jc w:val="center"/>
              <w:rPr>
                <w:b/>
                <w:bCs/>
                <w:color w:val="000000" w:themeColor="text1"/>
              </w:rPr>
            </w:pPr>
            <w:r w:rsidRPr="00073BD7">
              <w:rPr>
                <w:b/>
                <w:bCs/>
              </w:rPr>
              <w:t>FFY 2021 Target</w:t>
            </w:r>
          </w:p>
        </w:tc>
        <w:tc>
          <w:tcPr>
            <w:tcW w:w="517" w:type="pct"/>
            <w:shd w:val="clear" w:color="auto" w:fill="auto"/>
            <w:vAlign w:val="bottom"/>
          </w:tcPr>
          <w:p w14:paraId="611B3DE3" w14:textId="365252D3" w:rsidR="00FA33C9" w:rsidRPr="00073BD7" w:rsidRDefault="00FA33C9" w:rsidP="00FA33C9">
            <w:pPr>
              <w:jc w:val="center"/>
              <w:rPr>
                <w:b/>
                <w:bCs/>
                <w:color w:val="000000" w:themeColor="text1"/>
              </w:rPr>
            </w:pPr>
            <w:r w:rsidRPr="00073BD7">
              <w:rPr>
                <w:b/>
                <w:bCs/>
              </w:rPr>
              <w:t>FFY 2021 Data</w:t>
            </w:r>
          </w:p>
        </w:tc>
        <w:tc>
          <w:tcPr>
            <w:tcW w:w="517" w:type="pct"/>
            <w:shd w:val="clear" w:color="auto" w:fill="auto"/>
            <w:vAlign w:val="bottom"/>
          </w:tcPr>
          <w:p w14:paraId="6D2215D6" w14:textId="77777777" w:rsidR="00FA33C9" w:rsidRPr="00781112" w:rsidRDefault="00FA33C9" w:rsidP="00FA33C9">
            <w:pPr>
              <w:jc w:val="center"/>
              <w:rPr>
                <w:b/>
                <w:color w:val="000000" w:themeColor="text1"/>
              </w:rPr>
            </w:pPr>
            <w:r w:rsidRPr="00781112">
              <w:rPr>
                <w:b/>
                <w:color w:val="000000" w:themeColor="text1"/>
              </w:rPr>
              <w:t>Status</w:t>
            </w:r>
          </w:p>
        </w:tc>
        <w:tc>
          <w:tcPr>
            <w:tcW w:w="516" w:type="pct"/>
            <w:shd w:val="clear" w:color="auto" w:fill="auto"/>
            <w:vAlign w:val="bottom"/>
          </w:tcPr>
          <w:p w14:paraId="4FACB3EB" w14:textId="77777777" w:rsidR="00FA33C9" w:rsidRPr="00781112" w:rsidRDefault="00FA33C9" w:rsidP="00FA33C9">
            <w:pPr>
              <w:jc w:val="center"/>
              <w:rPr>
                <w:b/>
                <w:color w:val="000000" w:themeColor="text1"/>
              </w:rPr>
            </w:pPr>
            <w:r w:rsidRPr="00781112">
              <w:rPr>
                <w:b/>
                <w:color w:val="000000" w:themeColor="text1"/>
              </w:rPr>
              <w:t>Slippage</w:t>
            </w:r>
          </w:p>
        </w:tc>
      </w:tr>
      <w:tr w:rsidR="00E22739" w:rsidRPr="00781112" w14:paraId="190DF2EB" w14:textId="77777777" w:rsidTr="008E4335">
        <w:tc>
          <w:tcPr>
            <w:tcW w:w="331" w:type="pct"/>
            <w:shd w:val="clear" w:color="auto" w:fill="auto"/>
            <w:vAlign w:val="center"/>
          </w:tcPr>
          <w:p w14:paraId="3AAB1776" w14:textId="77777777" w:rsidR="00E22739" w:rsidRPr="00781112" w:rsidRDefault="00E22739" w:rsidP="00E22739">
            <w:pPr>
              <w:pStyle w:val="Default"/>
              <w:jc w:val="center"/>
              <w:rPr>
                <w:rFonts w:eastAsiaTheme="minorHAnsi"/>
                <w:color w:val="000000" w:themeColor="text1"/>
                <w:sz w:val="16"/>
                <w:szCs w:val="16"/>
              </w:rPr>
            </w:pPr>
            <w:r w:rsidRPr="00781112">
              <w:rPr>
                <w:b/>
                <w:color w:val="000000" w:themeColor="text1"/>
                <w:sz w:val="16"/>
                <w:szCs w:val="16"/>
              </w:rPr>
              <w:t>A</w:t>
            </w:r>
          </w:p>
        </w:tc>
        <w:tc>
          <w:tcPr>
            <w:tcW w:w="461" w:type="pct"/>
            <w:shd w:val="clear" w:color="auto" w:fill="auto"/>
            <w:vAlign w:val="center"/>
          </w:tcPr>
          <w:p w14:paraId="50AFDCF6" w14:textId="41D78AC3" w:rsidR="00E22739" w:rsidRPr="00781112" w:rsidDel="00DE5045" w:rsidRDefault="00E22739" w:rsidP="00E22739">
            <w:pPr>
              <w:jc w:val="center"/>
              <w:rPr>
                <w:rFonts w:cs="Arial"/>
                <w:color w:val="000000" w:themeColor="text1"/>
                <w:szCs w:val="16"/>
              </w:rPr>
            </w:pPr>
            <w:r w:rsidRPr="00781112">
              <w:rPr>
                <w:rFonts w:cs="Arial"/>
                <w:color w:val="000000" w:themeColor="text1"/>
                <w:szCs w:val="16"/>
              </w:rPr>
              <w:t>Grade 4</w:t>
            </w:r>
          </w:p>
        </w:tc>
        <w:tc>
          <w:tcPr>
            <w:tcW w:w="812" w:type="pct"/>
            <w:shd w:val="clear" w:color="auto" w:fill="auto"/>
            <w:vAlign w:val="center"/>
          </w:tcPr>
          <w:p w14:paraId="05BCB412" w14:textId="797FEA5B" w:rsidR="00E22739" w:rsidRPr="00781112" w:rsidRDefault="008E4335" w:rsidP="008E4335">
            <w:pPr>
              <w:jc w:val="center"/>
              <w:rPr>
                <w:rFonts w:cs="Arial"/>
                <w:color w:val="000000" w:themeColor="text1"/>
                <w:szCs w:val="16"/>
              </w:rPr>
            </w:pPr>
            <w:r>
              <w:rPr>
                <w:rFonts w:cs="Arial"/>
                <w:color w:val="000000" w:themeColor="text1"/>
                <w:szCs w:val="16"/>
              </w:rPr>
              <w:t>*</w:t>
            </w:r>
            <w:bookmarkStart w:id="27" w:name="_Ref141819578"/>
            <w:r>
              <w:rPr>
                <w:rStyle w:val="FootnoteReference"/>
                <w:rFonts w:cs="Arial"/>
                <w:color w:val="000000" w:themeColor="text1"/>
                <w:szCs w:val="16"/>
              </w:rPr>
              <w:footnoteReference w:id="11"/>
            </w:r>
            <w:bookmarkEnd w:id="27"/>
          </w:p>
        </w:tc>
        <w:tc>
          <w:tcPr>
            <w:tcW w:w="812" w:type="pct"/>
            <w:shd w:val="clear" w:color="auto" w:fill="auto"/>
            <w:vAlign w:val="center"/>
          </w:tcPr>
          <w:p w14:paraId="3354BCD4" w14:textId="29CE9162" w:rsidR="00E22739" w:rsidRPr="00781112" w:rsidRDefault="00E22739" w:rsidP="008E4335">
            <w:pPr>
              <w:jc w:val="center"/>
              <w:rPr>
                <w:rFonts w:cs="Arial"/>
                <w:color w:val="000000" w:themeColor="text1"/>
                <w:szCs w:val="16"/>
              </w:rPr>
            </w:pPr>
          </w:p>
        </w:tc>
        <w:tc>
          <w:tcPr>
            <w:tcW w:w="516" w:type="pct"/>
            <w:shd w:val="clear" w:color="auto" w:fill="auto"/>
            <w:vAlign w:val="center"/>
          </w:tcPr>
          <w:p w14:paraId="54DCE3E3" w14:textId="767528A8" w:rsidR="00E22739" w:rsidRPr="00781112" w:rsidRDefault="00E22739" w:rsidP="008E4335">
            <w:pPr>
              <w:jc w:val="center"/>
              <w:rPr>
                <w:rFonts w:cs="Arial"/>
                <w:color w:val="000000" w:themeColor="text1"/>
                <w:szCs w:val="16"/>
              </w:rPr>
            </w:pPr>
            <w:r w:rsidRPr="00781112">
              <w:rPr>
                <w:rFonts w:cs="Arial"/>
                <w:color w:val="000000" w:themeColor="text1"/>
                <w:szCs w:val="16"/>
              </w:rPr>
              <w:t>23.31</w:t>
            </w:r>
          </w:p>
        </w:tc>
        <w:tc>
          <w:tcPr>
            <w:tcW w:w="517" w:type="pct"/>
            <w:shd w:val="clear" w:color="auto" w:fill="auto"/>
            <w:vAlign w:val="center"/>
          </w:tcPr>
          <w:p w14:paraId="391F5142" w14:textId="770A7FE0" w:rsidR="00E22739" w:rsidRPr="00781112" w:rsidRDefault="00E22739" w:rsidP="008E4335">
            <w:pPr>
              <w:jc w:val="center"/>
              <w:rPr>
                <w:rFonts w:cs="Arial"/>
                <w:color w:val="000000" w:themeColor="text1"/>
                <w:szCs w:val="16"/>
              </w:rPr>
            </w:pPr>
            <w:r w:rsidRPr="00781112">
              <w:rPr>
                <w:rFonts w:cs="Arial"/>
                <w:color w:val="000000" w:themeColor="text1"/>
                <w:szCs w:val="16"/>
              </w:rPr>
              <w:t>23.31</w:t>
            </w:r>
          </w:p>
        </w:tc>
        <w:tc>
          <w:tcPr>
            <w:tcW w:w="517" w:type="pct"/>
            <w:shd w:val="clear" w:color="auto" w:fill="auto"/>
            <w:vAlign w:val="center"/>
          </w:tcPr>
          <w:p w14:paraId="017D29FF" w14:textId="3FEDA4BD" w:rsidR="00E22739" w:rsidRPr="00781112" w:rsidRDefault="008E4335" w:rsidP="008E4335">
            <w:pPr>
              <w:jc w:val="center"/>
              <w:rPr>
                <w:rFonts w:cs="Arial"/>
                <w:color w:val="000000" w:themeColor="text1"/>
                <w:szCs w:val="16"/>
              </w:rPr>
            </w:pPr>
            <w:r>
              <w:rPr>
                <w:rFonts w:cs="Arial"/>
                <w:color w:val="000000" w:themeColor="text1"/>
                <w:szCs w:val="16"/>
              </w:rPr>
              <w:t>*</w:t>
            </w:r>
            <w:r>
              <w:rPr>
                <w:rFonts w:cs="Arial"/>
                <w:color w:val="000000" w:themeColor="text1"/>
                <w:szCs w:val="16"/>
              </w:rPr>
              <w:fldChar w:fldCharType="begin"/>
            </w:r>
            <w:r>
              <w:rPr>
                <w:rFonts w:cs="Arial"/>
                <w:color w:val="000000" w:themeColor="text1"/>
                <w:szCs w:val="16"/>
              </w:rPr>
              <w:instrText xml:space="preserve"> NOTEREF _Ref141819578 \f \h  \* MERGEFORMAT </w:instrText>
            </w:r>
            <w:r>
              <w:rPr>
                <w:rFonts w:cs="Arial"/>
                <w:color w:val="000000" w:themeColor="text1"/>
                <w:szCs w:val="16"/>
              </w:rPr>
            </w:r>
            <w:r>
              <w:rPr>
                <w:rFonts w:cs="Arial"/>
                <w:color w:val="000000" w:themeColor="text1"/>
                <w:szCs w:val="16"/>
              </w:rPr>
              <w:fldChar w:fldCharType="separate"/>
            </w:r>
            <w:r w:rsidRPr="008E4335">
              <w:rPr>
                <w:rStyle w:val="FootnoteReference"/>
              </w:rPr>
              <w:t>10</w:t>
            </w:r>
            <w:r>
              <w:rPr>
                <w:rFonts w:cs="Arial"/>
                <w:color w:val="000000" w:themeColor="text1"/>
                <w:szCs w:val="16"/>
              </w:rPr>
              <w:fldChar w:fldCharType="end"/>
            </w:r>
          </w:p>
        </w:tc>
        <w:tc>
          <w:tcPr>
            <w:tcW w:w="517" w:type="pct"/>
            <w:shd w:val="clear" w:color="auto" w:fill="auto"/>
            <w:vAlign w:val="center"/>
          </w:tcPr>
          <w:p w14:paraId="39C0C705" w14:textId="1211FD2B" w:rsidR="00E22739" w:rsidRPr="00781112" w:rsidRDefault="00E22739" w:rsidP="008E4335">
            <w:pPr>
              <w:jc w:val="center"/>
              <w:rPr>
                <w:rFonts w:cs="Arial"/>
                <w:color w:val="000000" w:themeColor="text1"/>
                <w:szCs w:val="16"/>
              </w:rPr>
            </w:pPr>
            <w:r w:rsidRPr="00781112">
              <w:rPr>
                <w:rFonts w:cs="Arial"/>
                <w:color w:val="000000" w:themeColor="text1"/>
                <w:szCs w:val="16"/>
              </w:rPr>
              <w:t>Did not meet target</w:t>
            </w:r>
          </w:p>
        </w:tc>
        <w:tc>
          <w:tcPr>
            <w:tcW w:w="516" w:type="pct"/>
            <w:shd w:val="clear" w:color="auto" w:fill="auto"/>
            <w:vAlign w:val="center"/>
          </w:tcPr>
          <w:p w14:paraId="339FEB2D" w14:textId="0223F580" w:rsidR="00E22739" w:rsidRPr="00781112" w:rsidRDefault="00E22739" w:rsidP="008E4335">
            <w:pPr>
              <w:jc w:val="center"/>
              <w:rPr>
                <w:rFonts w:cs="Arial"/>
                <w:color w:val="000000" w:themeColor="text1"/>
                <w:szCs w:val="16"/>
              </w:rPr>
            </w:pPr>
            <w:r w:rsidRPr="00781112">
              <w:rPr>
                <w:rFonts w:cs="Arial"/>
                <w:color w:val="000000" w:themeColor="text1"/>
                <w:szCs w:val="16"/>
              </w:rPr>
              <w:t>N/A</w:t>
            </w:r>
          </w:p>
        </w:tc>
      </w:tr>
      <w:tr w:rsidR="00E22739" w:rsidRPr="00781112" w14:paraId="4FDDF1FC" w14:textId="77777777" w:rsidTr="008E4335">
        <w:tc>
          <w:tcPr>
            <w:tcW w:w="331" w:type="pct"/>
            <w:shd w:val="clear" w:color="auto" w:fill="auto"/>
            <w:vAlign w:val="center"/>
          </w:tcPr>
          <w:p w14:paraId="472CE57B" w14:textId="77777777" w:rsidR="00E22739" w:rsidRPr="00781112" w:rsidRDefault="00E22739" w:rsidP="00E22739">
            <w:pPr>
              <w:pStyle w:val="Default"/>
              <w:jc w:val="center"/>
              <w:rPr>
                <w:rFonts w:eastAsiaTheme="minorHAnsi"/>
                <w:color w:val="000000" w:themeColor="text1"/>
                <w:sz w:val="16"/>
                <w:szCs w:val="16"/>
              </w:rPr>
            </w:pPr>
            <w:r w:rsidRPr="00781112">
              <w:rPr>
                <w:b/>
                <w:color w:val="000000" w:themeColor="text1"/>
                <w:sz w:val="16"/>
                <w:szCs w:val="16"/>
              </w:rPr>
              <w:t>B</w:t>
            </w:r>
          </w:p>
        </w:tc>
        <w:tc>
          <w:tcPr>
            <w:tcW w:w="461" w:type="pct"/>
            <w:shd w:val="clear" w:color="auto" w:fill="auto"/>
            <w:vAlign w:val="center"/>
          </w:tcPr>
          <w:p w14:paraId="206C7DCC" w14:textId="37A252FA" w:rsidR="00E22739" w:rsidRPr="00781112" w:rsidDel="00DE5045" w:rsidRDefault="00E22739" w:rsidP="00E22739">
            <w:pPr>
              <w:jc w:val="center"/>
              <w:rPr>
                <w:rFonts w:cs="Arial"/>
                <w:color w:val="000000" w:themeColor="text1"/>
                <w:szCs w:val="16"/>
              </w:rPr>
            </w:pPr>
            <w:r w:rsidRPr="00781112">
              <w:rPr>
                <w:rFonts w:cs="Arial"/>
                <w:color w:val="000000" w:themeColor="text1"/>
                <w:szCs w:val="16"/>
              </w:rPr>
              <w:t>Grade 8</w:t>
            </w:r>
          </w:p>
        </w:tc>
        <w:tc>
          <w:tcPr>
            <w:tcW w:w="812" w:type="pct"/>
            <w:shd w:val="clear" w:color="auto" w:fill="auto"/>
            <w:vAlign w:val="center"/>
          </w:tcPr>
          <w:p w14:paraId="7D22B3FA" w14:textId="50352DDC" w:rsidR="00E22739" w:rsidRPr="00781112" w:rsidRDefault="008E4335" w:rsidP="008E4335">
            <w:pPr>
              <w:jc w:val="center"/>
              <w:rPr>
                <w:rFonts w:cs="Arial"/>
                <w:color w:val="000000" w:themeColor="text1"/>
                <w:szCs w:val="16"/>
              </w:rPr>
            </w:pPr>
            <w:r>
              <w:rPr>
                <w:rFonts w:cs="Arial"/>
                <w:color w:val="000000" w:themeColor="text1"/>
                <w:szCs w:val="16"/>
              </w:rPr>
              <w:t>*</w:t>
            </w:r>
            <w:r>
              <w:rPr>
                <w:rFonts w:cs="Arial"/>
                <w:color w:val="000000" w:themeColor="text1"/>
                <w:szCs w:val="16"/>
              </w:rPr>
              <w:fldChar w:fldCharType="begin"/>
            </w:r>
            <w:r>
              <w:rPr>
                <w:rFonts w:cs="Arial"/>
                <w:color w:val="000000" w:themeColor="text1"/>
                <w:szCs w:val="16"/>
              </w:rPr>
              <w:instrText xml:space="preserve"> NOTEREF _Ref141819578 \f \h  \* MERGEFORMAT </w:instrText>
            </w:r>
            <w:r>
              <w:rPr>
                <w:rFonts w:cs="Arial"/>
                <w:color w:val="000000" w:themeColor="text1"/>
                <w:szCs w:val="16"/>
              </w:rPr>
            </w:r>
            <w:r>
              <w:rPr>
                <w:rFonts w:cs="Arial"/>
                <w:color w:val="000000" w:themeColor="text1"/>
                <w:szCs w:val="16"/>
              </w:rPr>
              <w:fldChar w:fldCharType="separate"/>
            </w:r>
            <w:r w:rsidRPr="008E4335">
              <w:rPr>
                <w:rStyle w:val="FootnoteReference"/>
              </w:rPr>
              <w:t>10</w:t>
            </w:r>
            <w:r>
              <w:rPr>
                <w:rFonts w:cs="Arial"/>
                <w:color w:val="000000" w:themeColor="text1"/>
                <w:szCs w:val="16"/>
              </w:rPr>
              <w:fldChar w:fldCharType="end"/>
            </w:r>
          </w:p>
        </w:tc>
        <w:tc>
          <w:tcPr>
            <w:tcW w:w="812" w:type="pct"/>
            <w:shd w:val="clear" w:color="auto" w:fill="auto"/>
            <w:vAlign w:val="center"/>
          </w:tcPr>
          <w:p w14:paraId="375F78DA" w14:textId="0FC6397A" w:rsidR="00E22739" w:rsidRPr="00781112" w:rsidRDefault="00E22739" w:rsidP="008E4335">
            <w:pPr>
              <w:jc w:val="center"/>
              <w:rPr>
                <w:rFonts w:cs="Arial"/>
                <w:color w:val="000000" w:themeColor="text1"/>
                <w:szCs w:val="16"/>
              </w:rPr>
            </w:pPr>
          </w:p>
        </w:tc>
        <w:tc>
          <w:tcPr>
            <w:tcW w:w="516" w:type="pct"/>
            <w:shd w:val="clear" w:color="auto" w:fill="auto"/>
            <w:vAlign w:val="center"/>
          </w:tcPr>
          <w:p w14:paraId="64AC26EC" w14:textId="4F9A3CF6" w:rsidR="00E22739" w:rsidRPr="00781112" w:rsidRDefault="00E22739" w:rsidP="008E4335">
            <w:pPr>
              <w:jc w:val="center"/>
              <w:rPr>
                <w:rFonts w:cs="Arial"/>
                <w:color w:val="000000" w:themeColor="text1"/>
                <w:szCs w:val="16"/>
              </w:rPr>
            </w:pPr>
            <w:r w:rsidRPr="00781112">
              <w:rPr>
                <w:rFonts w:cs="Arial"/>
                <w:color w:val="000000" w:themeColor="text1"/>
                <w:szCs w:val="16"/>
              </w:rPr>
              <w:t>35.63</w:t>
            </w:r>
          </w:p>
        </w:tc>
        <w:tc>
          <w:tcPr>
            <w:tcW w:w="517" w:type="pct"/>
            <w:shd w:val="clear" w:color="auto" w:fill="auto"/>
            <w:vAlign w:val="center"/>
          </w:tcPr>
          <w:p w14:paraId="3B5E22DF" w14:textId="033CD131" w:rsidR="00E22739" w:rsidRPr="00781112" w:rsidRDefault="00E22739" w:rsidP="008E4335">
            <w:pPr>
              <w:jc w:val="center"/>
              <w:rPr>
                <w:rFonts w:cs="Arial"/>
                <w:color w:val="000000" w:themeColor="text1"/>
                <w:szCs w:val="16"/>
              </w:rPr>
            </w:pPr>
            <w:r w:rsidRPr="00781112">
              <w:rPr>
                <w:rFonts w:cs="Arial"/>
                <w:color w:val="000000" w:themeColor="text1"/>
                <w:szCs w:val="16"/>
              </w:rPr>
              <w:t>35.63</w:t>
            </w:r>
          </w:p>
        </w:tc>
        <w:tc>
          <w:tcPr>
            <w:tcW w:w="517" w:type="pct"/>
            <w:shd w:val="clear" w:color="auto" w:fill="auto"/>
            <w:vAlign w:val="center"/>
          </w:tcPr>
          <w:p w14:paraId="256C9782" w14:textId="232D3FBE" w:rsidR="00E22739" w:rsidRPr="00781112" w:rsidRDefault="008E4335" w:rsidP="008E4335">
            <w:pPr>
              <w:jc w:val="center"/>
              <w:rPr>
                <w:rFonts w:cs="Arial"/>
                <w:color w:val="000000" w:themeColor="text1"/>
                <w:szCs w:val="16"/>
              </w:rPr>
            </w:pPr>
            <w:r>
              <w:rPr>
                <w:rFonts w:cs="Arial"/>
                <w:color w:val="000000" w:themeColor="text1"/>
                <w:szCs w:val="16"/>
              </w:rPr>
              <w:t>*</w:t>
            </w:r>
            <w:r>
              <w:rPr>
                <w:rFonts w:cs="Arial"/>
                <w:color w:val="000000" w:themeColor="text1"/>
                <w:szCs w:val="16"/>
              </w:rPr>
              <w:fldChar w:fldCharType="begin"/>
            </w:r>
            <w:r>
              <w:rPr>
                <w:rFonts w:cs="Arial"/>
                <w:color w:val="000000" w:themeColor="text1"/>
                <w:szCs w:val="16"/>
              </w:rPr>
              <w:instrText xml:space="preserve"> NOTEREF _Ref141819578 \f \h  \* MERGEFORMAT </w:instrText>
            </w:r>
            <w:r>
              <w:rPr>
                <w:rFonts w:cs="Arial"/>
                <w:color w:val="000000" w:themeColor="text1"/>
                <w:szCs w:val="16"/>
              </w:rPr>
            </w:r>
            <w:r>
              <w:rPr>
                <w:rFonts w:cs="Arial"/>
                <w:color w:val="000000" w:themeColor="text1"/>
                <w:szCs w:val="16"/>
              </w:rPr>
              <w:fldChar w:fldCharType="separate"/>
            </w:r>
            <w:r w:rsidRPr="008E4335">
              <w:rPr>
                <w:rStyle w:val="FootnoteReference"/>
              </w:rPr>
              <w:t>10</w:t>
            </w:r>
            <w:r>
              <w:rPr>
                <w:rFonts w:cs="Arial"/>
                <w:color w:val="000000" w:themeColor="text1"/>
                <w:szCs w:val="16"/>
              </w:rPr>
              <w:fldChar w:fldCharType="end"/>
            </w:r>
          </w:p>
        </w:tc>
        <w:tc>
          <w:tcPr>
            <w:tcW w:w="517" w:type="pct"/>
            <w:shd w:val="clear" w:color="auto" w:fill="auto"/>
            <w:vAlign w:val="center"/>
          </w:tcPr>
          <w:p w14:paraId="51FD2F8A" w14:textId="67567519" w:rsidR="00E22739" w:rsidRPr="00781112" w:rsidRDefault="00E22739" w:rsidP="008E4335">
            <w:pPr>
              <w:jc w:val="center"/>
              <w:rPr>
                <w:rFonts w:cs="Arial"/>
                <w:color w:val="000000" w:themeColor="text1"/>
                <w:szCs w:val="16"/>
              </w:rPr>
            </w:pPr>
            <w:r w:rsidRPr="00781112">
              <w:rPr>
                <w:rFonts w:cs="Arial"/>
                <w:color w:val="000000" w:themeColor="text1"/>
                <w:szCs w:val="16"/>
              </w:rPr>
              <w:t>Did not meet target</w:t>
            </w:r>
          </w:p>
        </w:tc>
        <w:tc>
          <w:tcPr>
            <w:tcW w:w="516" w:type="pct"/>
            <w:shd w:val="clear" w:color="auto" w:fill="auto"/>
            <w:vAlign w:val="center"/>
          </w:tcPr>
          <w:p w14:paraId="7915AEC0" w14:textId="2BE183B0" w:rsidR="00E22739" w:rsidRPr="00781112" w:rsidRDefault="00E22739" w:rsidP="008E4335">
            <w:pPr>
              <w:jc w:val="center"/>
              <w:rPr>
                <w:rFonts w:cs="Arial"/>
                <w:color w:val="000000" w:themeColor="text1"/>
                <w:szCs w:val="16"/>
              </w:rPr>
            </w:pPr>
            <w:r w:rsidRPr="00781112">
              <w:rPr>
                <w:rFonts w:cs="Arial"/>
                <w:color w:val="000000" w:themeColor="text1"/>
                <w:szCs w:val="16"/>
              </w:rPr>
              <w:t>N/A</w:t>
            </w:r>
          </w:p>
        </w:tc>
      </w:tr>
      <w:tr w:rsidR="00E22739" w:rsidRPr="00781112" w14:paraId="4A60F932" w14:textId="77777777" w:rsidTr="00360DD6">
        <w:tc>
          <w:tcPr>
            <w:tcW w:w="331" w:type="pct"/>
            <w:shd w:val="clear" w:color="auto" w:fill="auto"/>
            <w:vAlign w:val="center"/>
          </w:tcPr>
          <w:p w14:paraId="109942AA" w14:textId="77777777" w:rsidR="00E22739" w:rsidRPr="00781112" w:rsidRDefault="00E22739" w:rsidP="00E22739">
            <w:pPr>
              <w:pStyle w:val="Default"/>
              <w:jc w:val="center"/>
              <w:rPr>
                <w:rFonts w:eastAsiaTheme="minorHAnsi"/>
                <w:color w:val="000000" w:themeColor="text1"/>
                <w:sz w:val="16"/>
                <w:szCs w:val="16"/>
              </w:rPr>
            </w:pPr>
            <w:r w:rsidRPr="00781112">
              <w:rPr>
                <w:b/>
                <w:color w:val="000000" w:themeColor="text1"/>
                <w:sz w:val="16"/>
                <w:szCs w:val="16"/>
              </w:rPr>
              <w:t>C</w:t>
            </w:r>
          </w:p>
        </w:tc>
        <w:tc>
          <w:tcPr>
            <w:tcW w:w="461" w:type="pct"/>
            <w:shd w:val="clear" w:color="auto" w:fill="auto"/>
            <w:vAlign w:val="center"/>
          </w:tcPr>
          <w:p w14:paraId="629F3FBC" w14:textId="78934061" w:rsidR="00E22739" w:rsidRPr="00781112" w:rsidDel="00DE5045" w:rsidRDefault="00E22739" w:rsidP="00E22739">
            <w:pPr>
              <w:jc w:val="center"/>
              <w:rPr>
                <w:rFonts w:cs="Arial"/>
                <w:color w:val="000000" w:themeColor="text1"/>
                <w:szCs w:val="16"/>
              </w:rPr>
            </w:pPr>
            <w:r w:rsidRPr="00781112">
              <w:rPr>
                <w:rFonts w:cs="Arial"/>
                <w:color w:val="000000" w:themeColor="text1"/>
                <w:szCs w:val="16"/>
              </w:rPr>
              <w:t>Grade HS</w:t>
            </w:r>
          </w:p>
        </w:tc>
        <w:tc>
          <w:tcPr>
            <w:tcW w:w="812" w:type="pct"/>
            <w:shd w:val="clear" w:color="auto" w:fill="auto"/>
          </w:tcPr>
          <w:p w14:paraId="125CF02F" w14:textId="284CB419" w:rsidR="00E22739" w:rsidRPr="00781112" w:rsidRDefault="00E22739" w:rsidP="008E4335">
            <w:pPr>
              <w:jc w:val="center"/>
              <w:rPr>
                <w:rFonts w:cs="Arial"/>
                <w:color w:val="000000" w:themeColor="text1"/>
                <w:szCs w:val="16"/>
              </w:rPr>
            </w:pPr>
            <w:r w:rsidRPr="00781112">
              <w:rPr>
                <w:rFonts w:cs="Arial"/>
                <w:color w:val="000000"/>
                <w:szCs w:val="16"/>
              </w:rPr>
              <w:t>6.31%</w:t>
            </w:r>
          </w:p>
        </w:tc>
        <w:tc>
          <w:tcPr>
            <w:tcW w:w="812" w:type="pct"/>
            <w:shd w:val="clear" w:color="auto" w:fill="auto"/>
            <w:vAlign w:val="center"/>
          </w:tcPr>
          <w:p w14:paraId="1276E93C" w14:textId="75BFB41B" w:rsidR="00E22739" w:rsidRPr="00781112" w:rsidRDefault="00E22739" w:rsidP="008E4335">
            <w:pPr>
              <w:jc w:val="center"/>
              <w:rPr>
                <w:rFonts w:cs="Arial"/>
                <w:color w:val="000000" w:themeColor="text1"/>
                <w:szCs w:val="16"/>
              </w:rPr>
            </w:pPr>
            <w:r w:rsidRPr="00781112">
              <w:rPr>
                <w:rFonts w:cs="Arial"/>
                <w:color w:val="000000" w:themeColor="text1"/>
                <w:szCs w:val="16"/>
              </w:rPr>
              <w:t>39.93%</w:t>
            </w:r>
          </w:p>
        </w:tc>
        <w:tc>
          <w:tcPr>
            <w:tcW w:w="516" w:type="pct"/>
            <w:shd w:val="clear" w:color="auto" w:fill="auto"/>
            <w:vAlign w:val="center"/>
          </w:tcPr>
          <w:p w14:paraId="76DE5213" w14:textId="3C97B5A2" w:rsidR="00E22739" w:rsidRPr="00781112" w:rsidRDefault="00E22739" w:rsidP="008E4335">
            <w:pPr>
              <w:jc w:val="center"/>
              <w:rPr>
                <w:rFonts w:cs="Arial"/>
                <w:color w:val="000000" w:themeColor="text1"/>
                <w:szCs w:val="16"/>
              </w:rPr>
            </w:pPr>
            <w:r w:rsidRPr="00781112">
              <w:rPr>
                <w:rFonts w:cs="Arial"/>
                <w:color w:val="000000" w:themeColor="text1"/>
                <w:szCs w:val="16"/>
              </w:rPr>
              <w:t>39.47</w:t>
            </w:r>
          </w:p>
        </w:tc>
        <w:tc>
          <w:tcPr>
            <w:tcW w:w="517" w:type="pct"/>
            <w:shd w:val="clear" w:color="auto" w:fill="auto"/>
            <w:vAlign w:val="center"/>
          </w:tcPr>
          <w:p w14:paraId="49FF9458" w14:textId="166D5425" w:rsidR="00E22739" w:rsidRPr="00781112" w:rsidRDefault="00E22739" w:rsidP="008E4335">
            <w:pPr>
              <w:jc w:val="center"/>
              <w:rPr>
                <w:rFonts w:cs="Arial"/>
                <w:color w:val="000000" w:themeColor="text1"/>
                <w:szCs w:val="16"/>
              </w:rPr>
            </w:pPr>
            <w:r w:rsidRPr="00781112">
              <w:rPr>
                <w:rFonts w:cs="Arial"/>
                <w:color w:val="000000" w:themeColor="text1"/>
                <w:szCs w:val="16"/>
              </w:rPr>
              <w:t>39.47</w:t>
            </w:r>
          </w:p>
        </w:tc>
        <w:tc>
          <w:tcPr>
            <w:tcW w:w="517" w:type="pct"/>
            <w:shd w:val="clear" w:color="auto" w:fill="auto"/>
            <w:vAlign w:val="center"/>
          </w:tcPr>
          <w:p w14:paraId="6CEACE1B" w14:textId="242A6B31" w:rsidR="00E22739" w:rsidRPr="00781112" w:rsidRDefault="00E22739" w:rsidP="008E4335">
            <w:pPr>
              <w:jc w:val="center"/>
              <w:rPr>
                <w:rFonts w:cs="Arial"/>
                <w:color w:val="000000" w:themeColor="text1"/>
                <w:szCs w:val="16"/>
              </w:rPr>
            </w:pPr>
            <w:r w:rsidRPr="00781112">
              <w:rPr>
                <w:rFonts w:cs="Arial"/>
                <w:color w:val="000000" w:themeColor="text1"/>
                <w:szCs w:val="16"/>
              </w:rPr>
              <w:t>33.62</w:t>
            </w:r>
          </w:p>
        </w:tc>
        <w:tc>
          <w:tcPr>
            <w:tcW w:w="517" w:type="pct"/>
            <w:shd w:val="clear" w:color="auto" w:fill="auto"/>
            <w:vAlign w:val="center"/>
          </w:tcPr>
          <w:p w14:paraId="06F1CF5C" w14:textId="7AA9C548" w:rsidR="00E22739" w:rsidRPr="00781112" w:rsidRDefault="00E22739" w:rsidP="008E4335">
            <w:pPr>
              <w:jc w:val="center"/>
              <w:rPr>
                <w:rFonts w:cs="Arial"/>
                <w:color w:val="000000" w:themeColor="text1"/>
                <w:szCs w:val="16"/>
              </w:rPr>
            </w:pPr>
            <w:r w:rsidRPr="00781112">
              <w:rPr>
                <w:rFonts w:cs="Arial"/>
                <w:color w:val="000000" w:themeColor="text1"/>
                <w:szCs w:val="16"/>
              </w:rPr>
              <w:t>Met target</w:t>
            </w:r>
          </w:p>
        </w:tc>
        <w:tc>
          <w:tcPr>
            <w:tcW w:w="516" w:type="pct"/>
            <w:shd w:val="clear" w:color="auto" w:fill="auto"/>
            <w:vAlign w:val="center"/>
          </w:tcPr>
          <w:p w14:paraId="05AC9F1E" w14:textId="1D3DD5BD" w:rsidR="00E22739" w:rsidRPr="00781112" w:rsidRDefault="00E22739" w:rsidP="008E4335">
            <w:pPr>
              <w:jc w:val="center"/>
              <w:rPr>
                <w:rFonts w:cs="Arial"/>
                <w:color w:val="000000" w:themeColor="text1"/>
                <w:szCs w:val="16"/>
              </w:rPr>
            </w:pPr>
            <w:r w:rsidRPr="00781112">
              <w:rPr>
                <w:rFonts w:cs="Arial"/>
                <w:color w:val="000000" w:themeColor="text1"/>
                <w:szCs w:val="16"/>
              </w:rPr>
              <w:t>No Slippage</w:t>
            </w:r>
          </w:p>
        </w:tc>
      </w:tr>
    </w:tbl>
    <w:p w14:paraId="006E999D" w14:textId="77777777" w:rsidR="00DD5B7A" w:rsidRPr="00781112" w:rsidRDefault="00DD5B7A" w:rsidP="00DD5B7A">
      <w:pPr>
        <w:spacing w:before="0" w:after="200" w:line="276" w:lineRule="auto"/>
        <w:rPr>
          <w:b/>
          <w:color w:val="000000" w:themeColor="text1"/>
        </w:rPr>
      </w:pPr>
    </w:p>
    <w:p w14:paraId="2E07CCBD" w14:textId="0F403D2D" w:rsidR="00DD5B7A" w:rsidRPr="00781112" w:rsidRDefault="0047313F" w:rsidP="00DD5B7A">
      <w:pPr>
        <w:rPr>
          <w:b/>
          <w:color w:val="000000" w:themeColor="text1"/>
        </w:rPr>
      </w:pPr>
      <w:r>
        <w:rPr>
          <w:b/>
          <w:color w:val="000000" w:themeColor="text1"/>
        </w:rPr>
        <w:t>FFY 2021 SPP/APR Data: Math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DFFYAPDATAMTH"/>
      </w:tblPr>
      <w:tblGrid>
        <w:gridCol w:w="715"/>
        <w:gridCol w:w="995"/>
        <w:gridCol w:w="1800"/>
        <w:gridCol w:w="1800"/>
        <w:gridCol w:w="1096"/>
        <w:gridCol w:w="1096"/>
        <w:gridCol w:w="1096"/>
        <w:gridCol w:w="1096"/>
        <w:gridCol w:w="1096"/>
      </w:tblGrid>
      <w:tr w:rsidR="00FA33C9" w:rsidRPr="00781112" w14:paraId="6355AB57" w14:textId="77777777" w:rsidTr="001B7E95">
        <w:trPr>
          <w:tblHeader/>
        </w:trPr>
        <w:tc>
          <w:tcPr>
            <w:tcW w:w="331" w:type="pct"/>
            <w:shd w:val="clear" w:color="auto" w:fill="auto"/>
            <w:vAlign w:val="bottom"/>
          </w:tcPr>
          <w:p w14:paraId="7C464B0B" w14:textId="77777777" w:rsidR="00FA33C9" w:rsidRPr="00781112" w:rsidRDefault="00FA33C9" w:rsidP="00FA33C9">
            <w:pPr>
              <w:jc w:val="center"/>
              <w:rPr>
                <w:b/>
                <w:color w:val="000000" w:themeColor="text1"/>
              </w:rPr>
            </w:pPr>
            <w:r w:rsidRPr="00781112">
              <w:rPr>
                <w:b/>
                <w:color w:val="000000" w:themeColor="text1"/>
              </w:rPr>
              <w:t>Group</w:t>
            </w:r>
          </w:p>
        </w:tc>
        <w:tc>
          <w:tcPr>
            <w:tcW w:w="461" w:type="pct"/>
            <w:shd w:val="clear" w:color="auto" w:fill="auto"/>
            <w:vAlign w:val="bottom"/>
          </w:tcPr>
          <w:p w14:paraId="2FB9EF47" w14:textId="77777777" w:rsidR="00FA33C9" w:rsidRPr="00781112" w:rsidRDefault="00FA33C9" w:rsidP="00FA33C9">
            <w:pPr>
              <w:jc w:val="center"/>
              <w:rPr>
                <w:b/>
                <w:color w:val="000000" w:themeColor="text1"/>
              </w:rPr>
            </w:pPr>
            <w:r w:rsidRPr="00781112">
              <w:rPr>
                <w:b/>
                <w:color w:val="000000" w:themeColor="text1"/>
              </w:rPr>
              <w:t>Group Name</w:t>
            </w:r>
          </w:p>
        </w:tc>
        <w:tc>
          <w:tcPr>
            <w:tcW w:w="834" w:type="pct"/>
            <w:shd w:val="clear" w:color="auto" w:fill="auto"/>
            <w:vAlign w:val="bottom"/>
          </w:tcPr>
          <w:p w14:paraId="0B1D45D9" w14:textId="51C28093" w:rsidR="00FA33C9" w:rsidRPr="00781112" w:rsidRDefault="00FA33C9" w:rsidP="00FA33C9">
            <w:pPr>
              <w:jc w:val="center"/>
              <w:rPr>
                <w:b/>
                <w:bCs/>
                <w:color w:val="000000" w:themeColor="text1"/>
              </w:rPr>
            </w:pPr>
            <w:r w:rsidRPr="00781112">
              <w:rPr>
                <w:b/>
                <w:bCs/>
              </w:rPr>
              <w:t xml:space="preserve">Proficiency rate for children with IEPs scoring at or above proficient against grade level academic achievement standards </w:t>
            </w:r>
          </w:p>
        </w:tc>
        <w:tc>
          <w:tcPr>
            <w:tcW w:w="834" w:type="pct"/>
            <w:shd w:val="clear" w:color="auto" w:fill="auto"/>
            <w:vAlign w:val="bottom"/>
          </w:tcPr>
          <w:p w14:paraId="7D0D3B25" w14:textId="708C001A" w:rsidR="00FA33C9" w:rsidRPr="00781112" w:rsidRDefault="00FA33C9" w:rsidP="00FA33C9">
            <w:pPr>
              <w:jc w:val="center"/>
              <w:rPr>
                <w:b/>
                <w:bCs/>
                <w:color w:val="000000" w:themeColor="text1"/>
              </w:rPr>
            </w:pPr>
            <w:r w:rsidRPr="00781112">
              <w:rPr>
                <w:b/>
                <w:bCs/>
              </w:rPr>
              <w:t xml:space="preserve">Proficiency rate for all students scoring at or above proficient against grade level academic achievement standards </w:t>
            </w:r>
          </w:p>
        </w:tc>
        <w:tc>
          <w:tcPr>
            <w:tcW w:w="508" w:type="pct"/>
            <w:shd w:val="clear" w:color="auto" w:fill="auto"/>
            <w:vAlign w:val="bottom"/>
          </w:tcPr>
          <w:p w14:paraId="7FA2E5CF" w14:textId="2E7796A1" w:rsidR="00FA33C9" w:rsidRPr="00073BD7" w:rsidRDefault="00FA33C9" w:rsidP="00FA33C9">
            <w:pPr>
              <w:jc w:val="center"/>
              <w:rPr>
                <w:b/>
                <w:bCs/>
                <w:color w:val="000000" w:themeColor="text1"/>
              </w:rPr>
            </w:pPr>
            <w:r w:rsidRPr="00073BD7">
              <w:rPr>
                <w:b/>
                <w:bCs/>
              </w:rPr>
              <w:t>FFY 2020 Data</w:t>
            </w:r>
          </w:p>
        </w:tc>
        <w:tc>
          <w:tcPr>
            <w:tcW w:w="508" w:type="pct"/>
            <w:shd w:val="clear" w:color="auto" w:fill="auto"/>
            <w:vAlign w:val="bottom"/>
          </w:tcPr>
          <w:p w14:paraId="275741A5" w14:textId="3CDA6991" w:rsidR="00FA33C9" w:rsidRPr="00073BD7" w:rsidRDefault="00FA33C9" w:rsidP="00FA33C9">
            <w:pPr>
              <w:jc w:val="center"/>
              <w:rPr>
                <w:b/>
                <w:bCs/>
                <w:color w:val="000000" w:themeColor="text1"/>
              </w:rPr>
            </w:pPr>
            <w:r w:rsidRPr="00073BD7">
              <w:rPr>
                <w:b/>
                <w:bCs/>
              </w:rPr>
              <w:t>FFY 2021 Target</w:t>
            </w:r>
          </w:p>
        </w:tc>
        <w:tc>
          <w:tcPr>
            <w:tcW w:w="508" w:type="pct"/>
            <w:shd w:val="clear" w:color="auto" w:fill="auto"/>
            <w:vAlign w:val="bottom"/>
          </w:tcPr>
          <w:p w14:paraId="597E0BC4" w14:textId="2210B9AB" w:rsidR="00FA33C9" w:rsidRPr="00073BD7" w:rsidRDefault="00FA33C9" w:rsidP="00FA33C9">
            <w:pPr>
              <w:jc w:val="center"/>
              <w:rPr>
                <w:b/>
                <w:bCs/>
                <w:color w:val="000000" w:themeColor="text1"/>
              </w:rPr>
            </w:pPr>
            <w:r w:rsidRPr="00073BD7">
              <w:rPr>
                <w:b/>
                <w:bCs/>
              </w:rPr>
              <w:t>FFY 2021 Data</w:t>
            </w:r>
          </w:p>
        </w:tc>
        <w:tc>
          <w:tcPr>
            <w:tcW w:w="508" w:type="pct"/>
            <w:shd w:val="clear" w:color="auto" w:fill="auto"/>
            <w:vAlign w:val="bottom"/>
          </w:tcPr>
          <w:p w14:paraId="53963A37" w14:textId="77777777" w:rsidR="00FA33C9" w:rsidRPr="00781112" w:rsidRDefault="00FA33C9" w:rsidP="00FA33C9">
            <w:pPr>
              <w:jc w:val="center"/>
              <w:rPr>
                <w:b/>
                <w:color w:val="000000" w:themeColor="text1"/>
              </w:rPr>
            </w:pPr>
            <w:r w:rsidRPr="00781112">
              <w:rPr>
                <w:b/>
                <w:color w:val="000000" w:themeColor="text1"/>
              </w:rPr>
              <w:t>Status</w:t>
            </w:r>
          </w:p>
        </w:tc>
        <w:tc>
          <w:tcPr>
            <w:tcW w:w="508" w:type="pct"/>
            <w:shd w:val="clear" w:color="auto" w:fill="auto"/>
            <w:vAlign w:val="bottom"/>
          </w:tcPr>
          <w:p w14:paraId="45442BEB" w14:textId="77777777" w:rsidR="00FA33C9" w:rsidRPr="00781112" w:rsidRDefault="00FA33C9" w:rsidP="00FA33C9">
            <w:pPr>
              <w:jc w:val="center"/>
              <w:rPr>
                <w:b/>
                <w:color w:val="000000" w:themeColor="text1"/>
              </w:rPr>
            </w:pPr>
            <w:r w:rsidRPr="00781112">
              <w:rPr>
                <w:b/>
                <w:color w:val="000000" w:themeColor="text1"/>
              </w:rPr>
              <w:t>Slippage</w:t>
            </w:r>
          </w:p>
        </w:tc>
      </w:tr>
      <w:tr w:rsidR="00C95D2E" w:rsidRPr="00781112" w14:paraId="37123996" w14:textId="77777777" w:rsidTr="008E4335">
        <w:tc>
          <w:tcPr>
            <w:tcW w:w="331" w:type="pct"/>
            <w:shd w:val="clear" w:color="auto" w:fill="auto"/>
            <w:vAlign w:val="center"/>
          </w:tcPr>
          <w:p w14:paraId="689B01B1" w14:textId="77777777" w:rsidR="002A19C8" w:rsidRPr="00781112" w:rsidRDefault="002A19C8" w:rsidP="002A19C8">
            <w:pPr>
              <w:pStyle w:val="Default"/>
              <w:jc w:val="center"/>
              <w:rPr>
                <w:rFonts w:eastAsiaTheme="minorHAnsi"/>
                <w:color w:val="000000" w:themeColor="text1"/>
                <w:sz w:val="16"/>
                <w:szCs w:val="16"/>
              </w:rPr>
            </w:pPr>
            <w:r w:rsidRPr="00781112">
              <w:rPr>
                <w:b/>
                <w:color w:val="000000" w:themeColor="text1"/>
                <w:sz w:val="16"/>
                <w:szCs w:val="16"/>
              </w:rPr>
              <w:t>A</w:t>
            </w:r>
          </w:p>
        </w:tc>
        <w:tc>
          <w:tcPr>
            <w:tcW w:w="461" w:type="pct"/>
            <w:shd w:val="clear" w:color="auto" w:fill="auto"/>
            <w:vAlign w:val="center"/>
          </w:tcPr>
          <w:p w14:paraId="1D9CE262" w14:textId="508A4023" w:rsidR="002A19C8" w:rsidRPr="00781112" w:rsidDel="00DE5045" w:rsidRDefault="002A19C8" w:rsidP="002A19C8">
            <w:pPr>
              <w:jc w:val="center"/>
              <w:rPr>
                <w:rFonts w:cs="Arial"/>
                <w:color w:val="000000" w:themeColor="text1"/>
                <w:szCs w:val="16"/>
              </w:rPr>
            </w:pPr>
            <w:r w:rsidRPr="00781112">
              <w:rPr>
                <w:rFonts w:cs="Arial"/>
                <w:color w:val="000000" w:themeColor="text1"/>
                <w:szCs w:val="16"/>
              </w:rPr>
              <w:t>Grade 4</w:t>
            </w:r>
          </w:p>
        </w:tc>
        <w:tc>
          <w:tcPr>
            <w:tcW w:w="834" w:type="pct"/>
            <w:shd w:val="clear" w:color="auto" w:fill="auto"/>
            <w:vAlign w:val="center"/>
          </w:tcPr>
          <w:p w14:paraId="26A57F7A" w14:textId="19F3284E" w:rsidR="002A19C8" w:rsidRPr="00781112" w:rsidRDefault="008E4335" w:rsidP="008E4335">
            <w:pPr>
              <w:jc w:val="center"/>
              <w:rPr>
                <w:rFonts w:cs="Arial"/>
                <w:color w:val="000000" w:themeColor="text1"/>
                <w:szCs w:val="16"/>
              </w:rPr>
            </w:pPr>
            <w:r>
              <w:rPr>
                <w:rFonts w:cs="Arial"/>
                <w:color w:val="000000" w:themeColor="text1"/>
                <w:szCs w:val="16"/>
              </w:rPr>
              <w:t>*</w:t>
            </w:r>
            <w:r>
              <w:rPr>
                <w:rFonts w:cs="Arial"/>
                <w:color w:val="000000" w:themeColor="text1"/>
                <w:szCs w:val="16"/>
              </w:rPr>
              <w:fldChar w:fldCharType="begin"/>
            </w:r>
            <w:r>
              <w:rPr>
                <w:rFonts w:cs="Arial"/>
                <w:color w:val="000000" w:themeColor="text1"/>
                <w:szCs w:val="16"/>
              </w:rPr>
              <w:instrText xml:space="preserve"> NOTEREF _Ref141819578 \f \h  \* MERGEFORMAT </w:instrText>
            </w:r>
            <w:r>
              <w:rPr>
                <w:rFonts w:cs="Arial"/>
                <w:color w:val="000000" w:themeColor="text1"/>
                <w:szCs w:val="16"/>
              </w:rPr>
            </w:r>
            <w:r>
              <w:rPr>
                <w:rFonts w:cs="Arial"/>
                <w:color w:val="000000" w:themeColor="text1"/>
                <w:szCs w:val="16"/>
              </w:rPr>
              <w:fldChar w:fldCharType="separate"/>
            </w:r>
            <w:r w:rsidRPr="008E4335">
              <w:rPr>
                <w:rStyle w:val="FootnoteReference"/>
              </w:rPr>
              <w:t>10</w:t>
            </w:r>
            <w:r>
              <w:rPr>
                <w:rFonts w:cs="Arial"/>
                <w:color w:val="000000" w:themeColor="text1"/>
                <w:szCs w:val="16"/>
              </w:rPr>
              <w:fldChar w:fldCharType="end"/>
            </w:r>
          </w:p>
        </w:tc>
        <w:tc>
          <w:tcPr>
            <w:tcW w:w="834" w:type="pct"/>
            <w:shd w:val="clear" w:color="auto" w:fill="auto"/>
            <w:vAlign w:val="center"/>
          </w:tcPr>
          <w:p w14:paraId="361835CD" w14:textId="59029D06" w:rsidR="002A19C8" w:rsidRPr="00781112" w:rsidRDefault="002A19C8" w:rsidP="008E4335">
            <w:pPr>
              <w:jc w:val="center"/>
              <w:rPr>
                <w:rFonts w:cs="Arial"/>
                <w:color w:val="000000" w:themeColor="text1"/>
                <w:szCs w:val="16"/>
              </w:rPr>
            </w:pPr>
          </w:p>
        </w:tc>
        <w:tc>
          <w:tcPr>
            <w:tcW w:w="508" w:type="pct"/>
            <w:shd w:val="clear" w:color="auto" w:fill="auto"/>
            <w:vAlign w:val="center"/>
          </w:tcPr>
          <w:p w14:paraId="59D4C214" w14:textId="5AA8261A" w:rsidR="002A19C8" w:rsidRPr="00781112" w:rsidRDefault="002A19C8" w:rsidP="008E4335">
            <w:pPr>
              <w:jc w:val="center"/>
              <w:rPr>
                <w:rFonts w:cs="Arial"/>
                <w:color w:val="000000" w:themeColor="text1"/>
                <w:szCs w:val="16"/>
              </w:rPr>
            </w:pPr>
            <w:r w:rsidRPr="00781112">
              <w:rPr>
                <w:rFonts w:cs="Arial"/>
                <w:color w:val="000000" w:themeColor="text1"/>
                <w:szCs w:val="16"/>
              </w:rPr>
              <w:t>25.22</w:t>
            </w:r>
          </w:p>
        </w:tc>
        <w:tc>
          <w:tcPr>
            <w:tcW w:w="508" w:type="pct"/>
            <w:shd w:val="clear" w:color="auto" w:fill="auto"/>
            <w:vAlign w:val="center"/>
          </w:tcPr>
          <w:p w14:paraId="5226537A" w14:textId="04AA78B1" w:rsidR="002A19C8" w:rsidRPr="00781112" w:rsidRDefault="002A19C8" w:rsidP="008E4335">
            <w:pPr>
              <w:jc w:val="center"/>
              <w:rPr>
                <w:rFonts w:cs="Arial"/>
                <w:color w:val="000000" w:themeColor="text1"/>
                <w:szCs w:val="16"/>
              </w:rPr>
            </w:pPr>
            <w:r w:rsidRPr="00781112">
              <w:rPr>
                <w:rFonts w:cs="Arial"/>
                <w:color w:val="000000" w:themeColor="text1"/>
                <w:szCs w:val="16"/>
              </w:rPr>
              <w:t>25.22</w:t>
            </w:r>
          </w:p>
        </w:tc>
        <w:tc>
          <w:tcPr>
            <w:tcW w:w="508" w:type="pct"/>
            <w:shd w:val="clear" w:color="auto" w:fill="auto"/>
            <w:vAlign w:val="center"/>
          </w:tcPr>
          <w:p w14:paraId="235D63D6" w14:textId="46343C37" w:rsidR="002A19C8" w:rsidRPr="00781112" w:rsidRDefault="008E4335" w:rsidP="008E4335">
            <w:pPr>
              <w:jc w:val="center"/>
              <w:rPr>
                <w:rFonts w:cs="Arial"/>
                <w:color w:val="000000" w:themeColor="text1"/>
                <w:szCs w:val="16"/>
              </w:rPr>
            </w:pPr>
            <w:r>
              <w:rPr>
                <w:rFonts w:cs="Arial"/>
                <w:color w:val="000000" w:themeColor="text1"/>
                <w:szCs w:val="16"/>
              </w:rPr>
              <w:t>*</w:t>
            </w:r>
            <w:r>
              <w:rPr>
                <w:rFonts w:cs="Arial"/>
                <w:color w:val="000000" w:themeColor="text1"/>
                <w:szCs w:val="16"/>
              </w:rPr>
              <w:fldChar w:fldCharType="begin"/>
            </w:r>
            <w:r>
              <w:rPr>
                <w:rFonts w:cs="Arial"/>
                <w:color w:val="000000" w:themeColor="text1"/>
                <w:szCs w:val="16"/>
              </w:rPr>
              <w:instrText xml:space="preserve"> NOTEREF _Ref141819578 \f \h  \* MERGEFORMAT </w:instrText>
            </w:r>
            <w:r>
              <w:rPr>
                <w:rFonts w:cs="Arial"/>
                <w:color w:val="000000" w:themeColor="text1"/>
                <w:szCs w:val="16"/>
              </w:rPr>
            </w:r>
            <w:r>
              <w:rPr>
                <w:rFonts w:cs="Arial"/>
                <w:color w:val="000000" w:themeColor="text1"/>
                <w:szCs w:val="16"/>
              </w:rPr>
              <w:fldChar w:fldCharType="separate"/>
            </w:r>
            <w:r w:rsidRPr="008E4335">
              <w:rPr>
                <w:rStyle w:val="FootnoteReference"/>
              </w:rPr>
              <w:t>10</w:t>
            </w:r>
            <w:r>
              <w:rPr>
                <w:rFonts w:cs="Arial"/>
                <w:color w:val="000000" w:themeColor="text1"/>
                <w:szCs w:val="16"/>
              </w:rPr>
              <w:fldChar w:fldCharType="end"/>
            </w:r>
          </w:p>
        </w:tc>
        <w:tc>
          <w:tcPr>
            <w:tcW w:w="508" w:type="pct"/>
            <w:shd w:val="clear" w:color="auto" w:fill="auto"/>
            <w:vAlign w:val="center"/>
          </w:tcPr>
          <w:p w14:paraId="50CBCD87" w14:textId="7E9D9F0C" w:rsidR="002A19C8" w:rsidRPr="00781112" w:rsidRDefault="002A19C8" w:rsidP="002A19C8">
            <w:pPr>
              <w:jc w:val="center"/>
              <w:rPr>
                <w:rFonts w:cs="Arial"/>
                <w:color w:val="000000" w:themeColor="text1"/>
                <w:szCs w:val="16"/>
              </w:rPr>
            </w:pPr>
            <w:r w:rsidRPr="00781112">
              <w:rPr>
                <w:rFonts w:cs="Arial"/>
                <w:color w:val="000000" w:themeColor="text1"/>
                <w:szCs w:val="16"/>
              </w:rPr>
              <w:t>Met target</w:t>
            </w:r>
          </w:p>
        </w:tc>
        <w:tc>
          <w:tcPr>
            <w:tcW w:w="508" w:type="pct"/>
            <w:shd w:val="clear" w:color="auto" w:fill="auto"/>
            <w:vAlign w:val="center"/>
          </w:tcPr>
          <w:p w14:paraId="35988424" w14:textId="54CE90DF" w:rsidR="002A19C8" w:rsidRPr="00781112" w:rsidRDefault="002A19C8" w:rsidP="002A19C8">
            <w:pPr>
              <w:jc w:val="center"/>
              <w:rPr>
                <w:rFonts w:cs="Arial"/>
                <w:color w:val="000000" w:themeColor="text1"/>
                <w:szCs w:val="16"/>
              </w:rPr>
            </w:pPr>
            <w:r w:rsidRPr="00781112">
              <w:rPr>
                <w:rFonts w:cs="Arial"/>
                <w:color w:val="000000" w:themeColor="text1"/>
                <w:szCs w:val="16"/>
              </w:rPr>
              <w:t>N/A</w:t>
            </w:r>
          </w:p>
        </w:tc>
      </w:tr>
      <w:tr w:rsidR="00C95D2E" w:rsidRPr="00781112" w14:paraId="0DE5EFED" w14:textId="77777777" w:rsidTr="008E4335">
        <w:tc>
          <w:tcPr>
            <w:tcW w:w="331" w:type="pct"/>
            <w:shd w:val="clear" w:color="auto" w:fill="auto"/>
            <w:vAlign w:val="center"/>
          </w:tcPr>
          <w:p w14:paraId="51380788" w14:textId="77777777" w:rsidR="002A19C8" w:rsidRPr="00781112" w:rsidRDefault="002A19C8" w:rsidP="002A19C8">
            <w:pPr>
              <w:pStyle w:val="Default"/>
              <w:jc w:val="center"/>
              <w:rPr>
                <w:rFonts w:eastAsiaTheme="minorHAnsi"/>
                <w:color w:val="000000" w:themeColor="text1"/>
                <w:sz w:val="16"/>
                <w:szCs w:val="16"/>
              </w:rPr>
            </w:pPr>
            <w:r w:rsidRPr="00781112">
              <w:rPr>
                <w:b/>
                <w:color w:val="000000" w:themeColor="text1"/>
                <w:sz w:val="16"/>
                <w:szCs w:val="16"/>
              </w:rPr>
              <w:t>B</w:t>
            </w:r>
          </w:p>
        </w:tc>
        <w:tc>
          <w:tcPr>
            <w:tcW w:w="461" w:type="pct"/>
            <w:shd w:val="clear" w:color="auto" w:fill="auto"/>
            <w:vAlign w:val="center"/>
          </w:tcPr>
          <w:p w14:paraId="6D85D6A7" w14:textId="5558F45F" w:rsidR="002A19C8" w:rsidRPr="00781112" w:rsidDel="00DE5045" w:rsidRDefault="002A19C8" w:rsidP="002A19C8">
            <w:pPr>
              <w:jc w:val="center"/>
              <w:rPr>
                <w:rFonts w:cs="Arial"/>
                <w:color w:val="000000" w:themeColor="text1"/>
                <w:szCs w:val="16"/>
              </w:rPr>
            </w:pPr>
            <w:r w:rsidRPr="00781112">
              <w:rPr>
                <w:rFonts w:cs="Arial"/>
                <w:color w:val="000000" w:themeColor="text1"/>
                <w:szCs w:val="16"/>
              </w:rPr>
              <w:t>Grade 8</w:t>
            </w:r>
          </w:p>
        </w:tc>
        <w:tc>
          <w:tcPr>
            <w:tcW w:w="834" w:type="pct"/>
            <w:shd w:val="clear" w:color="auto" w:fill="auto"/>
            <w:vAlign w:val="center"/>
          </w:tcPr>
          <w:p w14:paraId="4288B43D" w14:textId="5CF6ED55" w:rsidR="002A19C8" w:rsidRPr="00781112" w:rsidRDefault="008E4335" w:rsidP="008E4335">
            <w:pPr>
              <w:jc w:val="center"/>
              <w:rPr>
                <w:rFonts w:cs="Arial"/>
                <w:color w:val="000000" w:themeColor="text1"/>
                <w:szCs w:val="16"/>
              </w:rPr>
            </w:pPr>
            <w:r>
              <w:rPr>
                <w:rFonts w:cs="Arial"/>
                <w:color w:val="000000" w:themeColor="text1"/>
                <w:szCs w:val="16"/>
              </w:rPr>
              <w:t>*</w:t>
            </w:r>
            <w:r>
              <w:rPr>
                <w:rFonts w:cs="Arial"/>
                <w:color w:val="000000" w:themeColor="text1"/>
                <w:szCs w:val="16"/>
              </w:rPr>
              <w:fldChar w:fldCharType="begin"/>
            </w:r>
            <w:r>
              <w:rPr>
                <w:rFonts w:cs="Arial"/>
                <w:color w:val="000000" w:themeColor="text1"/>
                <w:szCs w:val="16"/>
              </w:rPr>
              <w:instrText xml:space="preserve"> NOTEREF _Ref141819578 \f \h  \* MERGEFORMAT </w:instrText>
            </w:r>
            <w:r>
              <w:rPr>
                <w:rFonts w:cs="Arial"/>
                <w:color w:val="000000" w:themeColor="text1"/>
                <w:szCs w:val="16"/>
              </w:rPr>
            </w:r>
            <w:r>
              <w:rPr>
                <w:rFonts w:cs="Arial"/>
                <w:color w:val="000000" w:themeColor="text1"/>
                <w:szCs w:val="16"/>
              </w:rPr>
              <w:fldChar w:fldCharType="separate"/>
            </w:r>
            <w:r w:rsidRPr="008E4335">
              <w:rPr>
                <w:rStyle w:val="FootnoteReference"/>
              </w:rPr>
              <w:t>10</w:t>
            </w:r>
            <w:r>
              <w:rPr>
                <w:rFonts w:cs="Arial"/>
                <w:color w:val="000000" w:themeColor="text1"/>
                <w:szCs w:val="16"/>
              </w:rPr>
              <w:fldChar w:fldCharType="end"/>
            </w:r>
          </w:p>
        </w:tc>
        <w:tc>
          <w:tcPr>
            <w:tcW w:w="834" w:type="pct"/>
            <w:shd w:val="clear" w:color="auto" w:fill="auto"/>
            <w:vAlign w:val="center"/>
          </w:tcPr>
          <w:p w14:paraId="11774D79" w14:textId="6519EED1" w:rsidR="002A19C8" w:rsidRPr="00781112" w:rsidRDefault="002A19C8" w:rsidP="008E4335">
            <w:pPr>
              <w:jc w:val="center"/>
              <w:rPr>
                <w:rFonts w:cs="Arial"/>
                <w:color w:val="000000" w:themeColor="text1"/>
                <w:szCs w:val="16"/>
              </w:rPr>
            </w:pPr>
          </w:p>
        </w:tc>
        <w:tc>
          <w:tcPr>
            <w:tcW w:w="508" w:type="pct"/>
            <w:shd w:val="clear" w:color="auto" w:fill="auto"/>
            <w:vAlign w:val="center"/>
          </w:tcPr>
          <w:p w14:paraId="28E3CF1C" w14:textId="69751C29" w:rsidR="002A19C8" w:rsidRPr="00781112" w:rsidRDefault="002A19C8" w:rsidP="008E4335">
            <w:pPr>
              <w:jc w:val="center"/>
              <w:rPr>
                <w:rFonts w:cs="Arial"/>
                <w:color w:val="000000" w:themeColor="text1"/>
                <w:szCs w:val="16"/>
              </w:rPr>
            </w:pPr>
            <w:r w:rsidRPr="00781112">
              <w:rPr>
                <w:rFonts w:cs="Arial"/>
                <w:color w:val="000000" w:themeColor="text1"/>
                <w:szCs w:val="16"/>
              </w:rPr>
              <w:t>30.51</w:t>
            </w:r>
          </w:p>
        </w:tc>
        <w:tc>
          <w:tcPr>
            <w:tcW w:w="508" w:type="pct"/>
            <w:shd w:val="clear" w:color="auto" w:fill="auto"/>
            <w:vAlign w:val="center"/>
          </w:tcPr>
          <w:p w14:paraId="468D28D5" w14:textId="3BD9025E" w:rsidR="002A19C8" w:rsidRPr="00781112" w:rsidRDefault="002A19C8" w:rsidP="008E4335">
            <w:pPr>
              <w:jc w:val="center"/>
              <w:rPr>
                <w:rFonts w:cs="Arial"/>
                <w:color w:val="000000" w:themeColor="text1"/>
                <w:szCs w:val="16"/>
              </w:rPr>
            </w:pPr>
            <w:r w:rsidRPr="00781112">
              <w:rPr>
                <w:rFonts w:cs="Arial"/>
                <w:color w:val="000000" w:themeColor="text1"/>
                <w:szCs w:val="16"/>
              </w:rPr>
              <w:t>30.51</w:t>
            </w:r>
          </w:p>
        </w:tc>
        <w:tc>
          <w:tcPr>
            <w:tcW w:w="508" w:type="pct"/>
            <w:shd w:val="clear" w:color="auto" w:fill="auto"/>
            <w:vAlign w:val="center"/>
          </w:tcPr>
          <w:p w14:paraId="30644E0B" w14:textId="07FBD08A" w:rsidR="002A19C8" w:rsidRPr="00781112" w:rsidRDefault="008E4335" w:rsidP="008E4335">
            <w:pPr>
              <w:jc w:val="center"/>
              <w:rPr>
                <w:rFonts w:cs="Arial"/>
                <w:color w:val="000000" w:themeColor="text1"/>
                <w:szCs w:val="16"/>
              </w:rPr>
            </w:pPr>
            <w:r>
              <w:rPr>
                <w:rFonts w:cs="Arial"/>
                <w:color w:val="000000" w:themeColor="text1"/>
                <w:szCs w:val="16"/>
              </w:rPr>
              <w:t>*</w:t>
            </w:r>
            <w:r>
              <w:rPr>
                <w:rFonts w:cs="Arial"/>
                <w:color w:val="000000" w:themeColor="text1"/>
                <w:szCs w:val="16"/>
              </w:rPr>
              <w:fldChar w:fldCharType="begin"/>
            </w:r>
            <w:r>
              <w:rPr>
                <w:rFonts w:cs="Arial"/>
                <w:color w:val="000000" w:themeColor="text1"/>
                <w:szCs w:val="16"/>
              </w:rPr>
              <w:instrText xml:space="preserve"> NOTEREF _Ref141819578 \f \h  \* MERGEFORMAT </w:instrText>
            </w:r>
            <w:r>
              <w:rPr>
                <w:rFonts w:cs="Arial"/>
                <w:color w:val="000000" w:themeColor="text1"/>
                <w:szCs w:val="16"/>
              </w:rPr>
            </w:r>
            <w:r>
              <w:rPr>
                <w:rFonts w:cs="Arial"/>
                <w:color w:val="000000" w:themeColor="text1"/>
                <w:szCs w:val="16"/>
              </w:rPr>
              <w:fldChar w:fldCharType="separate"/>
            </w:r>
            <w:r w:rsidRPr="008E4335">
              <w:rPr>
                <w:rStyle w:val="FootnoteReference"/>
              </w:rPr>
              <w:t>10</w:t>
            </w:r>
            <w:r>
              <w:rPr>
                <w:rFonts w:cs="Arial"/>
                <w:color w:val="000000" w:themeColor="text1"/>
                <w:szCs w:val="16"/>
              </w:rPr>
              <w:fldChar w:fldCharType="end"/>
            </w:r>
          </w:p>
        </w:tc>
        <w:tc>
          <w:tcPr>
            <w:tcW w:w="508" w:type="pct"/>
            <w:shd w:val="clear" w:color="auto" w:fill="auto"/>
            <w:vAlign w:val="center"/>
          </w:tcPr>
          <w:p w14:paraId="1312CD99" w14:textId="5541B25D" w:rsidR="002A19C8" w:rsidRPr="00781112" w:rsidRDefault="002A19C8" w:rsidP="002A19C8">
            <w:pPr>
              <w:jc w:val="center"/>
              <w:rPr>
                <w:rFonts w:cs="Arial"/>
                <w:color w:val="000000" w:themeColor="text1"/>
                <w:szCs w:val="16"/>
              </w:rPr>
            </w:pPr>
            <w:r w:rsidRPr="00781112">
              <w:rPr>
                <w:rFonts w:cs="Arial"/>
                <w:color w:val="000000" w:themeColor="text1"/>
                <w:szCs w:val="16"/>
              </w:rPr>
              <w:t>Did not meet target</w:t>
            </w:r>
          </w:p>
        </w:tc>
        <w:tc>
          <w:tcPr>
            <w:tcW w:w="508" w:type="pct"/>
            <w:shd w:val="clear" w:color="auto" w:fill="auto"/>
            <w:vAlign w:val="center"/>
          </w:tcPr>
          <w:p w14:paraId="536612A4" w14:textId="60F48CB2" w:rsidR="002A19C8" w:rsidRPr="00781112" w:rsidRDefault="002A19C8" w:rsidP="002A19C8">
            <w:pPr>
              <w:jc w:val="center"/>
              <w:rPr>
                <w:rFonts w:cs="Arial"/>
                <w:color w:val="000000" w:themeColor="text1"/>
                <w:szCs w:val="16"/>
              </w:rPr>
            </w:pPr>
            <w:r w:rsidRPr="00781112">
              <w:rPr>
                <w:rFonts w:cs="Arial"/>
                <w:color w:val="000000" w:themeColor="text1"/>
                <w:szCs w:val="16"/>
              </w:rPr>
              <w:t>N/A</w:t>
            </w:r>
          </w:p>
        </w:tc>
      </w:tr>
      <w:tr w:rsidR="00C95D2E" w:rsidRPr="00781112" w14:paraId="36AFD504" w14:textId="77777777" w:rsidTr="001B7E95">
        <w:tc>
          <w:tcPr>
            <w:tcW w:w="331" w:type="pct"/>
            <w:shd w:val="clear" w:color="auto" w:fill="auto"/>
            <w:vAlign w:val="center"/>
          </w:tcPr>
          <w:p w14:paraId="4932227A" w14:textId="77777777" w:rsidR="002A19C8" w:rsidRPr="00781112" w:rsidRDefault="002A19C8" w:rsidP="002A19C8">
            <w:pPr>
              <w:pStyle w:val="Default"/>
              <w:jc w:val="center"/>
              <w:rPr>
                <w:rFonts w:eastAsiaTheme="minorHAnsi"/>
                <w:color w:val="000000" w:themeColor="text1"/>
                <w:sz w:val="16"/>
                <w:szCs w:val="16"/>
              </w:rPr>
            </w:pPr>
            <w:r w:rsidRPr="00781112">
              <w:rPr>
                <w:b/>
                <w:color w:val="000000" w:themeColor="text1"/>
                <w:sz w:val="16"/>
                <w:szCs w:val="16"/>
              </w:rPr>
              <w:t>C</w:t>
            </w:r>
          </w:p>
        </w:tc>
        <w:tc>
          <w:tcPr>
            <w:tcW w:w="461" w:type="pct"/>
            <w:shd w:val="clear" w:color="auto" w:fill="auto"/>
            <w:vAlign w:val="center"/>
          </w:tcPr>
          <w:p w14:paraId="236171D2" w14:textId="335C29F0" w:rsidR="002A19C8" w:rsidRPr="00781112" w:rsidDel="00DE5045" w:rsidRDefault="002A19C8" w:rsidP="002A19C8">
            <w:pPr>
              <w:jc w:val="center"/>
              <w:rPr>
                <w:rFonts w:cs="Arial"/>
                <w:color w:val="000000" w:themeColor="text1"/>
                <w:szCs w:val="16"/>
              </w:rPr>
            </w:pPr>
            <w:r w:rsidRPr="00781112">
              <w:rPr>
                <w:rFonts w:cs="Arial"/>
                <w:color w:val="000000" w:themeColor="text1"/>
                <w:szCs w:val="16"/>
              </w:rPr>
              <w:t>Grade HS</w:t>
            </w:r>
          </w:p>
        </w:tc>
        <w:tc>
          <w:tcPr>
            <w:tcW w:w="834" w:type="pct"/>
            <w:shd w:val="clear" w:color="auto" w:fill="auto"/>
            <w:vAlign w:val="center"/>
          </w:tcPr>
          <w:p w14:paraId="6C585469" w14:textId="27CFD453" w:rsidR="002A19C8" w:rsidRPr="00781112" w:rsidRDefault="002A19C8" w:rsidP="002A19C8">
            <w:pPr>
              <w:jc w:val="center"/>
              <w:rPr>
                <w:rFonts w:cs="Arial"/>
                <w:color w:val="000000" w:themeColor="text1"/>
                <w:szCs w:val="16"/>
              </w:rPr>
            </w:pPr>
            <w:r w:rsidRPr="00781112">
              <w:rPr>
                <w:rFonts w:cs="Arial"/>
                <w:color w:val="000000"/>
                <w:szCs w:val="16"/>
              </w:rPr>
              <w:t>5.67%</w:t>
            </w:r>
          </w:p>
        </w:tc>
        <w:tc>
          <w:tcPr>
            <w:tcW w:w="834" w:type="pct"/>
            <w:shd w:val="clear" w:color="auto" w:fill="auto"/>
            <w:vAlign w:val="center"/>
          </w:tcPr>
          <w:p w14:paraId="13AB3928" w14:textId="234CBFA8" w:rsidR="002A19C8" w:rsidRPr="00781112" w:rsidRDefault="002A19C8" w:rsidP="002A19C8">
            <w:pPr>
              <w:jc w:val="center"/>
              <w:rPr>
                <w:rFonts w:cs="Arial"/>
                <w:color w:val="000000" w:themeColor="text1"/>
                <w:szCs w:val="16"/>
              </w:rPr>
            </w:pPr>
            <w:r w:rsidRPr="00781112">
              <w:rPr>
                <w:rFonts w:cs="Arial"/>
                <w:color w:val="000000" w:themeColor="text1"/>
                <w:szCs w:val="16"/>
              </w:rPr>
              <w:t>37.92%</w:t>
            </w:r>
          </w:p>
        </w:tc>
        <w:tc>
          <w:tcPr>
            <w:tcW w:w="508" w:type="pct"/>
            <w:shd w:val="clear" w:color="auto" w:fill="auto"/>
            <w:vAlign w:val="center"/>
          </w:tcPr>
          <w:p w14:paraId="2ABC747F" w14:textId="158D9570" w:rsidR="002A19C8" w:rsidRPr="00781112" w:rsidRDefault="002A19C8" w:rsidP="002A19C8">
            <w:pPr>
              <w:jc w:val="center"/>
              <w:rPr>
                <w:rFonts w:cs="Arial"/>
                <w:color w:val="000000" w:themeColor="text1"/>
                <w:szCs w:val="16"/>
              </w:rPr>
            </w:pPr>
            <w:r w:rsidRPr="00781112">
              <w:rPr>
                <w:rFonts w:cs="Arial"/>
                <w:color w:val="000000" w:themeColor="text1"/>
                <w:szCs w:val="16"/>
              </w:rPr>
              <w:t>25.62</w:t>
            </w:r>
          </w:p>
        </w:tc>
        <w:tc>
          <w:tcPr>
            <w:tcW w:w="508" w:type="pct"/>
            <w:shd w:val="clear" w:color="auto" w:fill="auto"/>
            <w:vAlign w:val="center"/>
          </w:tcPr>
          <w:p w14:paraId="1ACDF21F" w14:textId="6248B4E9" w:rsidR="002A19C8" w:rsidRPr="00781112" w:rsidRDefault="002A19C8" w:rsidP="002A19C8">
            <w:pPr>
              <w:jc w:val="center"/>
              <w:rPr>
                <w:rFonts w:cs="Arial"/>
                <w:color w:val="000000" w:themeColor="text1"/>
                <w:szCs w:val="16"/>
              </w:rPr>
            </w:pPr>
            <w:r w:rsidRPr="00781112">
              <w:rPr>
                <w:rFonts w:cs="Arial"/>
                <w:color w:val="000000" w:themeColor="text1"/>
                <w:szCs w:val="16"/>
              </w:rPr>
              <w:t>25.62</w:t>
            </w:r>
          </w:p>
        </w:tc>
        <w:tc>
          <w:tcPr>
            <w:tcW w:w="508" w:type="pct"/>
            <w:shd w:val="clear" w:color="auto" w:fill="auto"/>
            <w:vAlign w:val="center"/>
          </w:tcPr>
          <w:p w14:paraId="69CE5BC3" w14:textId="39D166D6" w:rsidR="002A19C8" w:rsidRPr="00781112" w:rsidRDefault="002A19C8" w:rsidP="002A19C8">
            <w:pPr>
              <w:jc w:val="center"/>
              <w:rPr>
                <w:rFonts w:cs="Arial"/>
                <w:color w:val="000000" w:themeColor="text1"/>
                <w:szCs w:val="16"/>
              </w:rPr>
            </w:pPr>
            <w:r w:rsidRPr="00781112">
              <w:rPr>
                <w:rFonts w:cs="Arial"/>
                <w:color w:val="000000" w:themeColor="text1"/>
                <w:szCs w:val="16"/>
              </w:rPr>
              <w:t>32.25</w:t>
            </w:r>
          </w:p>
        </w:tc>
        <w:tc>
          <w:tcPr>
            <w:tcW w:w="508" w:type="pct"/>
            <w:shd w:val="clear" w:color="auto" w:fill="auto"/>
            <w:vAlign w:val="center"/>
          </w:tcPr>
          <w:p w14:paraId="2CA33323" w14:textId="59FD6DC7" w:rsidR="002A19C8" w:rsidRPr="00781112" w:rsidRDefault="002A19C8" w:rsidP="002A19C8">
            <w:pPr>
              <w:jc w:val="center"/>
              <w:rPr>
                <w:rFonts w:cs="Arial"/>
                <w:color w:val="000000" w:themeColor="text1"/>
                <w:szCs w:val="16"/>
              </w:rPr>
            </w:pPr>
            <w:r w:rsidRPr="00781112">
              <w:rPr>
                <w:rFonts w:cs="Arial"/>
                <w:color w:val="000000" w:themeColor="text1"/>
                <w:szCs w:val="16"/>
              </w:rPr>
              <w:t>Did not meet target</w:t>
            </w:r>
          </w:p>
        </w:tc>
        <w:tc>
          <w:tcPr>
            <w:tcW w:w="508" w:type="pct"/>
            <w:shd w:val="clear" w:color="auto" w:fill="auto"/>
            <w:vAlign w:val="center"/>
          </w:tcPr>
          <w:p w14:paraId="0BEDA3C1" w14:textId="6A01F324" w:rsidR="002A19C8" w:rsidRPr="00781112" w:rsidRDefault="002A19C8" w:rsidP="002A19C8">
            <w:pPr>
              <w:jc w:val="center"/>
              <w:rPr>
                <w:rFonts w:cs="Arial"/>
                <w:color w:val="000000" w:themeColor="text1"/>
                <w:szCs w:val="16"/>
              </w:rPr>
            </w:pPr>
            <w:r w:rsidRPr="00781112">
              <w:rPr>
                <w:rFonts w:cs="Arial"/>
                <w:color w:val="000000" w:themeColor="text1"/>
                <w:szCs w:val="16"/>
              </w:rPr>
              <w:t>Slippage</w:t>
            </w:r>
          </w:p>
        </w:tc>
      </w:tr>
    </w:tbl>
    <w:p w14:paraId="48590530" w14:textId="77777777" w:rsidR="00DD5B7A" w:rsidRPr="00781112" w:rsidRDefault="00DD5B7A" w:rsidP="00DD5B7A">
      <w:pPr>
        <w:rPr>
          <w:b/>
          <w:color w:val="000000" w:themeColor="text1"/>
        </w:rPr>
      </w:pPr>
      <w:r w:rsidRPr="00781112">
        <w:rPr>
          <w:b/>
          <w:color w:val="000000" w:themeColor="text1"/>
        </w:rPr>
        <w:t>Provide reasons for slippage for Group C, if applicable</w:t>
      </w:r>
    </w:p>
    <w:p w14:paraId="1A28E80B" w14:textId="44144509" w:rsidR="00DD5B7A" w:rsidRPr="00781112" w:rsidRDefault="00DD5B7A" w:rsidP="00DD5B7A">
      <w:pPr>
        <w:rPr>
          <w:rFonts w:cs="Arial"/>
          <w:color w:val="000000" w:themeColor="text1"/>
          <w:szCs w:val="16"/>
        </w:rPr>
      </w:pPr>
    </w:p>
    <w:p w14:paraId="67B1DC74" w14:textId="77777777" w:rsidR="00DD5B7A" w:rsidRPr="00781112" w:rsidRDefault="00DD5B7A" w:rsidP="00DD5B7A">
      <w:pPr>
        <w:spacing w:before="0" w:after="200" w:line="276" w:lineRule="auto"/>
        <w:rPr>
          <w:b/>
          <w:color w:val="000000" w:themeColor="text1"/>
        </w:rPr>
      </w:pPr>
    </w:p>
    <w:p w14:paraId="2FF851DB" w14:textId="77777777" w:rsidR="00DD5B7A" w:rsidRPr="00781112" w:rsidRDefault="00DD5B7A" w:rsidP="00DD5B7A">
      <w:pPr>
        <w:rPr>
          <w:b/>
          <w:color w:val="000000" w:themeColor="text1"/>
        </w:rPr>
      </w:pPr>
      <w:r w:rsidRPr="00781112">
        <w:rPr>
          <w:b/>
          <w:color w:val="000000" w:themeColor="text1"/>
        </w:rPr>
        <w:t>Provide additional information about this indicator (optional)</w:t>
      </w:r>
    </w:p>
    <w:p w14:paraId="646908D0" w14:textId="2EB40E98" w:rsidR="00DD5B7A" w:rsidRPr="00781112" w:rsidRDefault="00DD5B7A" w:rsidP="00DD5B7A">
      <w:pPr>
        <w:rPr>
          <w:rFonts w:cs="Arial"/>
          <w:color w:val="000000" w:themeColor="text1"/>
          <w:szCs w:val="16"/>
        </w:rPr>
      </w:pPr>
      <w:r w:rsidRPr="00781112">
        <w:rPr>
          <w:rFonts w:cs="Arial"/>
          <w:color w:val="000000" w:themeColor="text1"/>
          <w:szCs w:val="16"/>
        </w:rPr>
        <w:t>The prepopulated data for Indicator 3 is incorrect as the data submitted to EDFacts on 12/21/2022 was the prior year’s data. New files with the correct FFY 2021 data were submitted on 01/04/2023. The correct data, submitted on 01/04/2023, and any slippage reasons are outlined in Utah APR FFY 2021 Indicator 3 Correct Data and Slippage Reasons (https://usbe-my.sharepoint.com/:w:/g/personal/emily_nordfelt_schools_utah_gov/ER7TDoqZrR1MmY-rmS-rC1wBiEyWfEaqxYvAG7sXrlIHIA?e=vI8BoE). As discussed with the OSEP State Lead, the linked document was accurate and continues to be accurate.</w:t>
      </w:r>
      <w:r w:rsidRPr="00781112">
        <w:rPr>
          <w:rFonts w:cs="Arial"/>
          <w:color w:val="000000" w:themeColor="text1"/>
          <w:szCs w:val="16"/>
        </w:rPr>
        <w:br/>
      </w:r>
      <w:r w:rsidRPr="00781112">
        <w:rPr>
          <w:rFonts w:cs="Arial"/>
          <w:color w:val="000000" w:themeColor="text1"/>
          <w:szCs w:val="16"/>
        </w:rPr>
        <w:br/>
        <w:t>Utah met gap targets for reading for grades 8 and 10, as well as math for grade 10. Utah did not meet targets for reading for grade 4, or for math for grades 4 and 8, though Utah did increase proficiency for students with disabilities in these areas in FFY 2021. However, all students' proficiency increased which made it challenging for Utah to meet all targets and not have slippage in gap.</w:t>
      </w:r>
    </w:p>
    <w:p w14:paraId="2ABFD82D" w14:textId="77777777" w:rsidR="00764DDE" w:rsidRPr="00781112" w:rsidRDefault="00764DDE" w:rsidP="00764DDE">
      <w:pPr>
        <w:spacing w:before="0" w:after="200" w:line="276" w:lineRule="auto"/>
        <w:rPr>
          <w:color w:val="000000" w:themeColor="text1"/>
          <w:szCs w:val="16"/>
        </w:rPr>
      </w:pPr>
    </w:p>
    <w:p w14:paraId="1CD50F37" w14:textId="6334E2E5" w:rsidR="00764DDE" w:rsidRPr="00781112" w:rsidRDefault="00764DDE" w:rsidP="00764DDE">
      <w:pPr>
        <w:pStyle w:val="Heading2"/>
      </w:pPr>
      <w:r w:rsidRPr="00781112">
        <w:t>3D - Prior FFY Required Actions</w:t>
      </w:r>
    </w:p>
    <w:p w14:paraId="34B574CB" w14:textId="14B02F6F" w:rsidR="00764DDE" w:rsidRPr="00781112" w:rsidRDefault="00764DDE" w:rsidP="00764DDE">
      <w:pPr>
        <w:rPr>
          <w:rFonts w:cs="Arial"/>
          <w:color w:val="000000" w:themeColor="text1"/>
          <w:szCs w:val="16"/>
        </w:rPr>
      </w:pPr>
      <w:r w:rsidRPr="00781112">
        <w:rPr>
          <w:rFonts w:cs="Arial"/>
          <w:color w:val="000000" w:themeColor="text1"/>
          <w:szCs w:val="16"/>
        </w:rPr>
        <w:t>None</w:t>
      </w:r>
    </w:p>
    <w:p w14:paraId="02AADAEE" w14:textId="09BE2C66" w:rsidR="00764DDE" w:rsidRPr="00781112" w:rsidRDefault="00764DDE" w:rsidP="00764DDE">
      <w:pPr>
        <w:pStyle w:val="Heading2"/>
      </w:pPr>
      <w:r w:rsidRPr="00781112">
        <w:t>3D - OSEP Response</w:t>
      </w:r>
    </w:p>
    <w:p w14:paraId="6F9D8957" w14:textId="2AADB119" w:rsidR="00764DDE" w:rsidRPr="00781112" w:rsidRDefault="00764DDE" w:rsidP="00764DDE">
      <w:pPr>
        <w:rPr>
          <w:rFonts w:cs="Arial"/>
          <w:color w:val="000000" w:themeColor="text1"/>
          <w:szCs w:val="16"/>
        </w:rPr>
      </w:pPr>
      <w:r w:rsidRPr="00781112">
        <w:rPr>
          <w:rFonts w:cs="Arial"/>
          <w:color w:val="000000" w:themeColor="text1"/>
          <w:szCs w:val="16"/>
          <w:shd w:val="clear" w:color="auto" w:fill="FFFFFF"/>
        </w:rPr>
        <w:t xml:space="preserve">The assessment data for Indicators 3A, 3B, 3C, and 3D are prefilled using the State-level assessment data submitted as of the final freeze date/ close date for EDFacts files 185, 188, 175, 178. For the SY 2021-22 assessment data, the freeze date/ close date for these files was April 5, 2023. Data submitted by a State after the April 5, </w:t>
      </w:r>
      <w:proofErr w:type="gramStart"/>
      <w:r w:rsidRPr="00781112">
        <w:rPr>
          <w:rFonts w:cs="Arial"/>
          <w:color w:val="000000" w:themeColor="text1"/>
          <w:szCs w:val="16"/>
          <w:shd w:val="clear" w:color="auto" w:fill="FFFFFF"/>
        </w:rPr>
        <w:t>2023</w:t>
      </w:r>
      <w:proofErr w:type="gramEnd"/>
      <w:r w:rsidRPr="00781112">
        <w:rPr>
          <w:rFonts w:cs="Arial"/>
          <w:color w:val="000000" w:themeColor="text1"/>
          <w:szCs w:val="16"/>
          <w:shd w:val="clear" w:color="auto" w:fill="FFFFFF"/>
        </w:rPr>
        <w:t xml:space="preserve"> freeze date is not prefilled into the State's SPP/APR, used in the IDEA Part B Results Matrix, or published in the IDEA Part B Assessment data file and associated products. </w:t>
      </w:r>
    </w:p>
    <w:p w14:paraId="09AAC73F" w14:textId="7E96F305" w:rsidR="00764DDE" w:rsidRPr="00781112" w:rsidRDefault="00764DDE" w:rsidP="00764DDE">
      <w:pPr>
        <w:pStyle w:val="Heading2"/>
      </w:pPr>
      <w:r w:rsidRPr="00781112">
        <w:t>3D - Required Actions</w:t>
      </w:r>
    </w:p>
    <w:p w14:paraId="77AA7102" w14:textId="5725FBB6" w:rsidR="00764DDE" w:rsidRPr="00781112" w:rsidRDefault="00764DDE" w:rsidP="00764DDE">
      <w:pPr>
        <w:rPr>
          <w:rFonts w:cs="Arial"/>
          <w:color w:val="000000" w:themeColor="text1"/>
          <w:szCs w:val="16"/>
        </w:rPr>
      </w:pPr>
    </w:p>
    <w:p w14:paraId="72857535" w14:textId="77777777" w:rsidR="00764DDE" w:rsidRPr="00781112" w:rsidRDefault="00764DDE">
      <w:pPr>
        <w:spacing w:before="0" w:after="200" w:line="276" w:lineRule="auto"/>
        <w:rPr>
          <w:rFonts w:eastAsiaTheme="majorEastAsia" w:cstheme="majorBidi"/>
          <w:b/>
          <w:bCs/>
          <w:color w:val="000000" w:themeColor="text1"/>
          <w:sz w:val="22"/>
          <w:szCs w:val="28"/>
        </w:rPr>
      </w:pPr>
      <w:r w:rsidRPr="00781112">
        <w:rPr>
          <w:color w:val="000000" w:themeColor="text1"/>
          <w:sz w:val="22"/>
        </w:rPr>
        <w:br w:type="page"/>
      </w:r>
    </w:p>
    <w:p w14:paraId="1E2B07DD" w14:textId="7F0EB6BD" w:rsidR="00D03701" w:rsidRPr="00781112" w:rsidRDefault="00D03701" w:rsidP="000444E2">
      <w:pPr>
        <w:pStyle w:val="Heading1"/>
        <w:rPr>
          <w:color w:val="000000" w:themeColor="text1"/>
          <w:sz w:val="22"/>
        </w:rPr>
      </w:pPr>
      <w:r w:rsidRPr="00781112">
        <w:rPr>
          <w:color w:val="000000" w:themeColor="text1"/>
          <w:sz w:val="22"/>
        </w:rPr>
        <w:lastRenderedPageBreak/>
        <w:t>Indicator 4A: Suspension/Expulsion</w:t>
      </w:r>
      <w:bookmarkEnd w:id="21"/>
      <w:bookmarkEnd w:id="22"/>
    </w:p>
    <w:p w14:paraId="6B24B370" w14:textId="77777777" w:rsidR="006E5AE4" w:rsidRPr="00781112" w:rsidRDefault="006E5AE4" w:rsidP="00A018D4">
      <w:pPr>
        <w:rPr>
          <w:color w:val="000000" w:themeColor="text1"/>
          <w:szCs w:val="20"/>
        </w:rPr>
      </w:pPr>
      <w:bookmarkStart w:id="28" w:name="_Toc384383331"/>
      <w:bookmarkStart w:id="29" w:name="_Toc392159283"/>
      <w:r w:rsidRPr="00781112">
        <w:rPr>
          <w:b/>
          <w:color w:val="000000" w:themeColor="text1"/>
          <w:sz w:val="20"/>
          <w:szCs w:val="20"/>
        </w:rPr>
        <w:t xml:space="preserve">Instructions and Measurement </w:t>
      </w:r>
    </w:p>
    <w:p w14:paraId="73D979E8" w14:textId="6D1D1338" w:rsidR="00DD1D55" w:rsidRPr="00781112" w:rsidRDefault="00DD1D55"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1281AA40" w14:textId="5BDAB0D4" w:rsidR="000A5A2E" w:rsidRPr="00781112" w:rsidRDefault="00DD1D55" w:rsidP="00286BDF">
      <w:pPr>
        <w:rPr>
          <w:rFonts w:cs="Arial"/>
          <w:color w:val="000000" w:themeColor="text1"/>
          <w:szCs w:val="16"/>
        </w:rPr>
      </w:pPr>
      <w:r w:rsidRPr="00781112">
        <w:rPr>
          <w:rFonts w:cs="Arial"/>
          <w:b/>
          <w:color w:val="000000" w:themeColor="text1"/>
          <w:szCs w:val="16"/>
        </w:rPr>
        <w:t>Results Indicator:</w:t>
      </w:r>
      <w:r w:rsidR="00286BDF" w:rsidRPr="00781112">
        <w:rPr>
          <w:rFonts w:cs="Arial"/>
          <w:color w:val="000000" w:themeColor="text1"/>
          <w:szCs w:val="16"/>
        </w:rPr>
        <w:t xml:space="preserve"> </w:t>
      </w:r>
      <w:r w:rsidR="000A5A2E" w:rsidRPr="00781112">
        <w:rPr>
          <w:rFonts w:cs="Arial"/>
          <w:color w:val="000000" w:themeColor="text1"/>
          <w:szCs w:val="16"/>
        </w:rPr>
        <w:t>Rates of suspension and expulsion:</w:t>
      </w:r>
    </w:p>
    <w:p w14:paraId="075F6BB9" w14:textId="62CB55C8" w:rsidR="000A5A2E" w:rsidRPr="00781112" w:rsidRDefault="001D5BAF" w:rsidP="006A01BD">
      <w:pPr>
        <w:ind w:left="720"/>
        <w:rPr>
          <w:color w:val="000000" w:themeColor="text1"/>
        </w:rPr>
      </w:pPr>
      <w:r w:rsidRPr="00781112">
        <w:rPr>
          <w:rFonts w:cs="Arial"/>
          <w:color w:val="000000" w:themeColor="text1"/>
          <w:szCs w:val="16"/>
        </w:rPr>
        <w:t xml:space="preserve">A. Percent of </w:t>
      </w:r>
      <w:r w:rsidR="00752D76" w:rsidRPr="00781112">
        <w:rPr>
          <w:rFonts w:cs="Arial"/>
          <w:szCs w:val="16"/>
        </w:rPr>
        <w:t>local educational agencies (LEA)</w:t>
      </w:r>
      <w:r w:rsidRPr="00781112">
        <w:rPr>
          <w:rFonts w:cs="Arial"/>
          <w:color w:val="000000" w:themeColor="text1"/>
          <w:szCs w:val="16"/>
        </w:rPr>
        <w:t xml:space="preserve"> that have a significant discrepancy</w:t>
      </w:r>
      <w:r w:rsidR="00F46CC4" w:rsidRPr="00781112">
        <w:rPr>
          <w:rFonts w:cs="Arial"/>
          <w:szCs w:val="16"/>
        </w:rPr>
        <w:t>, as defined by the State,</w:t>
      </w:r>
      <w:r w:rsidRPr="00781112">
        <w:rPr>
          <w:rFonts w:cs="Arial"/>
          <w:color w:val="000000" w:themeColor="text1"/>
          <w:szCs w:val="16"/>
        </w:rPr>
        <w:t xml:space="preserve"> in the rate of suspensions and expulsions of greater than 10 days in a school </w:t>
      </w:r>
      <w:r w:rsidR="00DD1D55" w:rsidRPr="00781112">
        <w:rPr>
          <w:color w:val="000000" w:themeColor="text1"/>
        </w:rPr>
        <w:t>year for children with IEPs</w:t>
      </w:r>
      <w:r w:rsidR="00E97863" w:rsidRPr="00781112">
        <w:rPr>
          <w:color w:val="000000" w:themeColor="text1"/>
        </w:rPr>
        <w:t>; and</w:t>
      </w:r>
    </w:p>
    <w:p w14:paraId="269BA1CE" w14:textId="0C66D8C5" w:rsidR="00E97863" w:rsidRPr="002529C8" w:rsidRDefault="00BA66ED" w:rsidP="002529C8">
      <w:pPr>
        <w:ind w:left="720"/>
        <w:rPr>
          <w:rFonts w:cs="Arial"/>
          <w:szCs w:val="16"/>
        </w:rPr>
      </w:pPr>
      <w:r w:rsidRPr="00781112">
        <w:rPr>
          <w:rFonts w:cs="Arial"/>
          <w:color w:val="000000" w:themeColor="text1"/>
          <w:szCs w:val="16"/>
        </w:rPr>
        <w:t xml:space="preserve">B. </w:t>
      </w:r>
      <w:r w:rsidR="00E97863" w:rsidRPr="00856B0E">
        <w:rPr>
          <w:rFonts w:cs="Arial"/>
          <w:szCs w:val="16"/>
        </w:rPr>
        <w:t>Percent of LEAs that have:</w:t>
      </w:r>
      <w:r w:rsidR="00E97863" w:rsidRPr="00781112">
        <w:rPr>
          <w:rFonts w:cs="Arial"/>
          <w:szCs w:val="16"/>
        </w:rPr>
        <w:t xml:space="preserve"> (a) a significant discrepancy, as defined by the State, by race or ethnicity, in the rate of suspensions and</w:t>
      </w:r>
      <w:r w:rsidR="002529C8">
        <w:rPr>
          <w:rFonts w:cs="Arial"/>
          <w:szCs w:val="16"/>
        </w:rPr>
        <w:t xml:space="preserve"> </w:t>
      </w:r>
      <w:r w:rsidR="00E97863" w:rsidRPr="002529C8">
        <w:rPr>
          <w:rFonts w:cs="Arial"/>
          <w:szCs w:val="16"/>
        </w:rPr>
        <w:t>expulsions of greater than 10 days in a school year for</w:t>
      </w:r>
      <w:r w:rsidR="002529C8">
        <w:rPr>
          <w:rFonts w:cs="Arial"/>
          <w:szCs w:val="16"/>
        </w:rPr>
        <w:t xml:space="preserve"> </w:t>
      </w:r>
      <w:r w:rsidR="00E97863" w:rsidRPr="002529C8">
        <w:rPr>
          <w:rFonts w:cs="Arial"/>
          <w:szCs w:val="16"/>
        </w:rPr>
        <w:t>children with IEPs; and (b) policies, procedures or practices that contribute to the significant discrepancy, as defined by the State, and do not comply with requirements relating to the development</w:t>
      </w:r>
      <w:r w:rsidR="002529C8">
        <w:rPr>
          <w:rFonts w:cs="Arial"/>
          <w:szCs w:val="16"/>
        </w:rPr>
        <w:t xml:space="preserve"> </w:t>
      </w:r>
      <w:r w:rsidR="00E97863" w:rsidRPr="002529C8">
        <w:rPr>
          <w:rFonts w:cs="Arial"/>
          <w:szCs w:val="16"/>
        </w:rPr>
        <w:t>and implementation of IEPs, the use of positive behavioral interventions and supports, and procedural safeguards.</w:t>
      </w:r>
    </w:p>
    <w:p w14:paraId="104900D3" w14:textId="4D6824EB" w:rsidR="0011074D" w:rsidRPr="00781112" w:rsidRDefault="0011074D" w:rsidP="0011074D">
      <w:pPr>
        <w:rPr>
          <w:rFonts w:cs="Arial"/>
          <w:color w:val="000000" w:themeColor="text1"/>
          <w:szCs w:val="16"/>
        </w:rPr>
      </w:pPr>
      <w:r w:rsidRPr="00781112">
        <w:rPr>
          <w:rFonts w:cs="Arial"/>
          <w:color w:val="000000" w:themeColor="text1"/>
          <w:szCs w:val="16"/>
        </w:rPr>
        <w:t>(20 U.S.C. 1416(a)(3)(A); 1412(a)(22))</w:t>
      </w:r>
    </w:p>
    <w:p w14:paraId="09801465" w14:textId="77777777" w:rsidR="000A5A2E" w:rsidRPr="00781112" w:rsidRDefault="000A5A2E" w:rsidP="004369B2">
      <w:pPr>
        <w:rPr>
          <w:color w:val="000000" w:themeColor="text1"/>
        </w:rPr>
      </w:pPr>
      <w:r w:rsidRPr="00781112">
        <w:rPr>
          <w:b/>
          <w:color w:val="000000" w:themeColor="text1"/>
        </w:rPr>
        <w:t>Data Source</w:t>
      </w:r>
    </w:p>
    <w:p w14:paraId="06368193" w14:textId="2006ADF5" w:rsidR="000A5A2E" w:rsidRPr="00781112" w:rsidRDefault="000A5A2E" w:rsidP="00286BDF">
      <w:pPr>
        <w:rPr>
          <w:rFonts w:cs="Arial"/>
          <w:color w:val="000000" w:themeColor="text1"/>
          <w:szCs w:val="16"/>
        </w:rPr>
      </w:pPr>
      <w:r w:rsidRPr="00781112">
        <w:rPr>
          <w:rFonts w:cs="Arial"/>
          <w:color w:val="000000" w:themeColor="text1"/>
          <w:szCs w:val="16"/>
        </w:rPr>
        <w:t xml:space="preserve">State </w:t>
      </w:r>
      <w:r w:rsidRPr="00781112">
        <w:rPr>
          <w:rFonts w:cs="Arial"/>
          <w:color w:val="000000" w:themeColor="text1"/>
          <w:szCs w:val="16"/>
          <w:shd w:val="clear" w:color="auto" w:fill="FFFFFF"/>
        </w:rPr>
        <w:t>discipline data, including State’s analysis of State’s Discipline data collected under IDEA Section 618, where applicable. Discrepancy can be computed by either comparing the rates of suspensions and expulsions for children with IEPs to rates for nondisabled children within the LEA or by comparing the rates of suspensions and expulsions for children with IEPs among LEAs within the State.</w:t>
      </w:r>
    </w:p>
    <w:p w14:paraId="74159870" w14:textId="77777777" w:rsidR="000A5A2E" w:rsidRPr="00781112" w:rsidRDefault="000A5A2E" w:rsidP="004369B2">
      <w:pPr>
        <w:rPr>
          <w:color w:val="000000" w:themeColor="text1"/>
        </w:rPr>
      </w:pPr>
      <w:r w:rsidRPr="00781112">
        <w:rPr>
          <w:b/>
          <w:color w:val="000000" w:themeColor="text1"/>
        </w:rPr>
        <w:t>Measurement</w:t>
      </w:r>
    </w:p>
    <w:p w14:paraId="5CD903C0" w14:textId="4C799C0D" w:rsidR="000A5A2E" w:rsidRPr="00781112" w:rsidRDefault="000A5A2E" w:rsidP="00286BDF">
      <w:pPr>
        <w:rPr>
          <w:rFonts w:cs="Arial"/>
          <w:color w:val="000000" w:themeColor="text1"/>
          <w:szCs w:val="16"/>
        </w:rPr>
      </w:pPr>
      <w:r w:rsidRPr="00781112">
        <w:rPr>
          <w:rFonts w:cs="Arial"/>
          <w:color w:val="000000" w:themeColor="text1"/>
          <w:szCs w:val="16"/>
        </w:rPr>
        <w:t xml:space="preserve">Percent </w:t>
      </w:r>
      <w:r w:rsidRPr="00781112">
        <w:rPr>
          <w:rFonts w:cs="Arial"/>
          <w:color w:val="000000" w:themeColor="text1"/>
          <w:szCs w:val="16"/>
          <w:shd w:val="clear" w:color="auto" w:fill="FFFFFF"/>
        </w:rPr>
        <w:t xml:space="preserve">= </w:t>
      </w:r>
      <w:r w:rsidR="009B02BC" w:rsidRPr="00781112">
        <w:rPr>
          <w:rFonts w:cs="Arial"/>
          <w:color w:val="000000" w:themeColor="text1"/>
          <w:szCs w:val="16"/>
          <w:shd w:val="clear" w:color="auto" w:fill="FFFFFF"/>
        </w:rPr>
        <w:t>[</w:t>
      </w:r>
      <w:r w:rsidRPr="00781112">
        <w:rPr>
          <w:rFonts w:cs="Arial"/>
          <w:color w:val="000000" w:themeColor="text1"/>
          <w:szCs w:val="16"/>
          <w:shd w:val="clear" w:color="auto" w:fill="FFFFFF"/>
        </w:rPr>
        <w:t xml:space="preserve">(# of </w:t>
      </w:r>
      <w:r w:rsidR="00315E88" w:rsidRPr="00781112">
        <w:rPr>
          <w:rFonts w:cs="Arial"/>
          <w:color w:val="000000" w:themeColor="text1"/>
          <w:szCs w:val="16"/>
          <w:shd w:val="clear" w:color="auto" w:fill="FFFFFF"/>
        </w:rPr>
        <w:t xml:space="preserve">LEAs </w:t>
      </w:r>
      <w:r w:rsidRPr="00781112">
        <w:rPr>
          <w:rFonts w:cs="Arial"/>
          <w:color w:val="000000" w:themeColor="text1"/>
          <w:szCs w:val="16"/>
          <w:shd w:val="clear" w:color="auto" w:fill="FFFFFF"/>
        </w:rPr>
        <w:t>that meet the State-established n</w:t>
      </w:r>
      <w:r w:rsidR="0087130D" w:rsidRPr="00781112">
        <w:rPr>
          <w:rFonts w:cs="Arial"/>
          <w:color w:val="000000" w:themeColor="text1"/>
          <w:szCs w:val="16"/>
          <w:shd w:val="clear" w:color="auto" w:fill="FFFFFF"/>
        </w:rPr>
        <w:t xml:space="preserve"> </w:t>
      </w:r>
      <w:r w:rsidR="0087130D" w:rsidRPr="00781112">
        <w:rPr>
          <w:rFonts w:cs="Arial"/>
          <w:szCs w:val="16"/>
          <w:shd w:val="clear" w:color="auto" w:fill="FFFFFF"/>
        </w:rPr>
        <w:t>and/or cell</w:t>
      </w:r>
      <w:r w:rsidRPr="00781112">
        <w:rPr>
          <w:rFonts w:cs="Arial"/>
          <w:color w:val="000000" w:themeColor="text1"/>
          <w:szCs w:val="16"/>
          <w:shd w:val="clear" w:color="auto" w:fill="FFFFFF"/>
        </w:rPr>
        <w:t xml:space="preserve"> size (if applicable) that have a significant discrepancy</w:t>
      </w:r>
      <w:r w:rsidR="00770816" w:rsidRPr="00781112">
        <w:rPr>
          <w:rFonts w:cs="Arial"/>
          <w:color w:val="000000" w:themeColor="text1"/>
          <w:szCs w:val="16"/>
          <w:shd w:val="clear" w:color="auto" w:fill="FFFFFF"/>
        </w:rPr>
        <w:t xml:space="preserve">, </w:t>
      </w:r>
      <w:r w:rsidR="00770816" w:rsidRPr="00781112">
        <w:rPr>
          <w:rFonts w:cs="Arial"/>
          <w:szCs w:val="16"/>
          <w:shd w:val="clear" w:color="auto" w:fill="FFFFFF"/>
        </w:rPr>
        <w:t>as defined by the State,</w:t>
      </w:r>
      <w:r w:rsidRPr="00781112">
        <w:rPr>
          <w:rFonts w:cs="Arial"/>
          <w:color w:val="000000" w:themeColor="text1"/>
          <w:szCs w:val="16"/>
          <w:shd w:val="clear" w:color="auto" w:fill="FFFFFF"/>
        </w:rPr>
        <w:t xml:space="preserve"> in the rates of suspensions and expulsions for </w:t>
      </w:r>
      <w:r w:rsidR="001F6583" w:rsidRPr="00781112">
        <w:rPr>
          <w:rFonts w:cs="Arial"/>
          <w:color w:val="000000" w:themeColor="text1"/>
          <w:szCs w:val="16"/>
          <w:shd w:val="clear" w:color="auto" w:fill="FFFFFF"/>
        </w:rPr>
        <w:t xml:space="preserve">more </w:t>
      </w:r>
      <w:r w:rsidRPr="00781112">
        <w:rPr>
          <w:rFonts w:cs="Arial"/>
          <w:color w:val="000000" w:themeColor="text1"/>
          <w:szCs w:val="16"/>
          <w:shd w:val="clear" w:color="auto" w:fill="FFFFFF"/>
        </w:rPr>
        <w:t xml:space="preserve">than 10 days </w:t>
      </w:r>
      <w:r w:rsidR="001F6583" w:rsidRPr="00781112">
        <w:rPr>
          <w:rFonts w:cs="Arial"/>
          <w:color w:val="000000" w:themeColor="text1"/>
          <w:szCs w:val="16"/>
          <w:shd w:val="clear" w:color="auto" w:fill="FFFFFF"/>
        </w:rPr>
        <w:t xml:space="preserve">during </w:t>
      </w:r>
      <w:r w:rsidR="00041274" w:rsidRPr="00781112">
        <w:rPr>
          <w:rFonts w:cs="Arial"/>
          <w:color w:val="000000" w:themeColor="text1"/>
          <w:szCs w:val="16"/>
          <w:shd w:val="clear" w:color="auto" w:fill="FFFFFF"/>
        </w:rPr>
        <w:t xml:space="preserve">the </w:t>
      </w:r>
      <w:r w:rsidRPr="00781112">
        <w:rPr>
          <w:rFonts w:cs="Arial"/>
          <w:color w:val="000000" w:themeColor="text1"/>
          <w:szCs w:val="16"/>
          <w:shd w:val="clear" w:color="auto" w:fill="FFFFFF"/>
        </w:rPr>
        <w:t xml:space="preserve">school year of children with IEPs) divided by the (# of </w:t>
      </w:r>
      <w:r w:rsidR="00041274" w:rsidRPr="00781112">
        <w:rPr>
          <w:rFonts w:cs="Arial"/>
          <w:color w:val="000000" w:themeColor="text1"/>
          <w:szCs w:val="16"/>
          <w:shd w:val="clear" w:color="auto" w:fill="FFFFFF"/>
        </w:rPr>
        <w:t xml:space="preserve">LEAs </w:t>
      </w:r>
      <w:r w:rsidRPr="00781112">
        <w:rPr>
          <w:rFonts w:cs="Arial"/>
          <w:color w:val="000000" w:themeColor="text1"/>
          <w:szCs w:val="16"/>
          <w:shd w:val="clear" w:color="auto" w:fill="FFFFFF"/>
        </w:rPr>
        <w:t>in the State that meet the State-established n</w:t>
      </w:r>
      <w:r w:rsidR="00041274" w:rsidRPr="00781112">
        <w:rPr>
          <w:rFonts w:cs="Arial"/>
          <w:color w:val="000000" w:themeColor="text1"/>
          <w:szCs w:val="16"/>
          <w:shd w:val="clear" w:color="auto" w:fill="FFFFFF"/>
        </w:rPr>
        <w:t xml:space="preserve"> and</w:t>
      </w:r>
      <w:r w:rsidR="00742DCB" w:rsidRPr="00781112">
        <w:rPr>
          <w:rFonts w:cs="Arial"/>
          <w:color w:val="000000" w:themeColor="text1"/>
          <w:szCs w:val="16"/>
          <w:shd w:val="clear" w:color="auto" w:fill="FFFFFF"/>
        </w:rPr>
        <w:t>/or cell</w:t>
      </w:r>
      <w:r w:rsidRPr="00781112">
        <w:rPr>
          <w:rFonts w:cs="Arial"/>
          <w:color w:val="000000" w:themeColor="text1"/>
          <w:szCs w:val="16"/>
          <w:shd w:val="clear" w:color="auto" w:fill="FFFFFF"/>
        </w:rPr>
        <w:t xml:space="preserve"> size (if applicable))</w:t>
      </w:r>
      <w:r w:rsidR="009B02BC" w:rsidRPr="00781112">
        <w:rPr>
          <w:rFonts w:cs="Arial"/>
          <w:color w:val="000000" w:themeColor="text1"/>
          <w:szCs w:val="16"/>
          <w:shd w:val="clear" w:color="auto" w:fill="FFFFFF"/>
        </w:rPr>
        <w:t>]</w:t>
      </w:r>
      <w:r w:rsidRPr="00781112">
        <w:rPr>
          <w:rFonts w:cs="Arial"/>
          <w:color w:val="000000" w:themeColor="text1"/>
          <w:szCs w:val="16"/>
          <w:shd w:val="clear" w:color="auto" w:fill="FFFFFF"/>
        </w:rPr>
        <w:t xml:space="preserve"> times 100.</w:t>
      </w:r>
    </w:p>
    <w:p w14:paraId="4D7272B6" w14:textId="2A0B0F5F" w:rsidR="00636061" w:rsidRPr="00781112" w:rsidRDefault="00636061" w:rsidP="00286BDF">
      <w:pPr>
        <w:rPr>
          <w:rFonts w:cs="Arial"/>
          <w:color w:val="000000" w:themeColor="text1"/>
          <w:szCs w:val="16"/>
        </w:rPr>
      </w:pPr>
      <w:r w:rsidRPr="00781112">
        <w:rPr>
          <w:rFonts w:cs="Arial"/>
          <w:color w:val="000000" w:themeColor="text1"/>
          <w:szCs w:val="16"/>
          <w:shd w:val="clear" w:color="auto" w:fill="FFFFFF"/>
        </w:rPr>
        <w:t>Include State’s definition of “significant discrepancy.”</w:t>
      </w:r>
    </w:p>
    <w:p w14:paraId="0C71C487" w14:textId="316E6449" w:rsidR="000A5A2E" w:rsidRPr="00781112" w:rsidRDefault="000A5A2E" w:rsidP="004369B2">
      <w:pPr>
        <w:rPr>
          <w:color w:val="000000" w:themeColor="text1"/>
        </w:rPr>
      </w:pPr>
      <w:r w:rsidRPr="00781112">
        <w:rPr>
          <w:b/>
          <w:color w:val="000000" w:themeColor="text1"/>
        </w:rPr>
        <w:t>Instructions</w:t>
      </w:r>
    </w:p>
    <w:p w14:paraId="20DD9B9C" w14:textId="57AEB24A" w:rsidR="000A5A2E" w:rsidRPr="00781112" w:rsidRDefault="00636061" w:rsidP="00BB7BC9">
      <w:pPr>
        <w:rPr>
          <w:rFonts w:cs="Arial"/>
          <w:color w:val="000000" w:themeColor="text1"/>
          <w:szCs w:val="16"/>
        </w:rPr>
      </w:pPr>
      <w:r w:rsidRPr="00781112">
        <w:rPr>
          <w:rFonts w:cs="Arial"/>
          <w:color w:val="000000" w:themeColor="text1"/>
          <w:szCs w:val="16"/>
        </w:rPr>
        <w:t xml:space="preserve">If the State has established a minimum n and/or cell size requirement, the State may only include, in both the numerator and the denominator, LEAs that met that State-established n and/or cell size. If the State used a minimum n and/or cell size requirement, report the number of LEAs excluded from the calculation </w:t>
      </w:r>
      <w:proofErr w:type="gramStart"/>
      <w:r w:rsidRPr="00781112">
        <w:rPr>
          <w:rFonts w:cs="Arial"/>
          <w:color w:val="000000" w:themeColor="text1"/>
          <w:szCs w:val="16"/>
        </w:rPr>
        <w:t>as a result of</w:t>
      </w:r>
      <w:proofErr w:type="gramEnd"/>
      <w:r w:rsidRPr="00781112">
        <w:rPr>
          <w:rFonts w:cs="Arial"/>
          <w:color w:val="000000" w:themeColor="text1"/>
          <w:szCs w:val="16"/>
        </w:rPr>
        <w:t xml:space="preserve"> this requirement.</w:t>
      </w:r>
    </w:p>
    <w:p w14:paraId="3AD8FD7E" w14:textId="47F57D4C" w:rsidR="00636061" w:rsidRPr="00781112" w:rsidRDefault="00A14B5D" w:rsidP="00BB7BC9">
      <w:pPr>
        <w:rPr>
          <w:rFonts w:cs="Arial"/>
          <w:color w:val="000000" w:themeColor="text1"/>
          <w:szCs w:val="16"/>
        </w:rPr>
      </w:pPr>
      <w:r w:rsidRPr="00781112">
        <w:rPr>
          <w:rFonts w:cs="Arial"/>
          <w:color w:val="000000" w:themeColor="text1"/>
          <w:szCs w:val="16"/>
        </w:rPr>
        <w:t>Describe the results of the State’s examination of the data for the year before the reporting year (e.g., for the FFY 2021 SPP/APR, use data from 2020-2021), including data disaggregated by race and ethnicity to determine if significant discrepancies</w:t>
      </w:r>
      <w:r w:rsidR="001E6FDD" w:rsidRPr="00781112">
        <w:rPr>
          <w:rFonts w:cs="Arial"/>
          <w:szCs w:val="16"/>
        </w:rPr>
        <w:t xml:space="preserve">, as defined by the State, </w:t>
      </w:r>
      <w:r w:rsidRPr="00781112">
        <w:rPr>
          <w:rFonts w:cs="Arial"/>
          <w:color w:val="000000" w:themeColor="text1"/>
          <w:szCs w:val="16"/>
        </w:rPr>
        <w:t xml:space="preserve">are occurring in the rates of long-term suspensions and expulsions </w:t>
      </w:r>
      <w:r w:rsidR="00E14CF0" w:rsidRPr="00781112">
        <w:rPr>
          <w:rFonts w:cs="Arial"/>
          <w:szCs w:val="16"/>
        </w:rPr>
        <w:t xml:space="preserve">(more than 10 days during the school year) </w:t>
      </w:r>
      <w:r w:rsidRPr="00781112">
        <w:rPr>
          <w:rFonts w:cs="Arial"/>
          <w:color w:val="000000" w:themeColor="text1"/>
          <w:szCs w:val="16"/>
        </w:rPr>
        <w:t>of children with IEPs, as required at 20 U.S.C. 1412(a)(22). The State’s examination must include one of the following comparisons:</w:t>
      </w:r>
    </w:p>
    <w:p w14:paraId="4D5D1D9E" w14:textId="3C303A84" w:rsidR="00636061" w:rsidRPr="00781112" w:rsidRDefault="006279F2" w:rsidP="006A01BD">
      <w:pPr>
        <w:ind w:firstLine="720"/>
        <w:rPr>
          <w:rFonts w:cs="Arial"/>
          <w:color w:val="000000" w:themeColor="text1"/>
          <w:szCs w:val="16"/>
        </w:rPr>
      </w:pPr>
      <w:r w:rsidRPr="00781112">
        <w:rPr>
          <w:rFonts w:cs="Arial"/>
          <w:color w:val="000000" w:themeColor="text1"/>
          <w:szCs w:val="16"/>
        </w:rPr>
        <w:t>--The rates of suspensions and expulsions for children with IEPs among LEAs within the State; or</w:t>
      </w:r>
    </w:p>
    <w:p w14:paraId="671599A1" w14:textId="71D1B673" w:rsidR="00636061" w:rsidRPr="00781112" w:rsidRDefault="006279F2" w:rsidP="006A01BD">
      <w:pPr>
        <w:ind w:firstLine="720"/>
        <w:rPr>
          <w:rFonts w:cs="Arial"/>
          <w:color w:val="000000" w:themeColor="text1"/>
          <w:szCs w:val="16"/>
        </w:rPr>
      </w:pPr>
      <w:r w:rsidRPr="00781112">
        <w:rPr>
          <w:rFonts w:cs="Arial"/>
          <w:color w:val="000000" w:themeColor="text1"/>
          <w:szCs w:val="16"/>
        </w:rPr>
        <w:t>--The rates of suspensions and expulsions for children with IEPs to nondisabled children within the LEAs</w:t>
      </w:r>
    </w:p>
    <w:p w14:paraId="64CB6014" w14:textId="58F4D965" w:rsidR="00636061" w:rsidRPr="00781112" w:rsidRDefault="00636061" w:rsidP="00BB7BC9">
      <w:pPr>
        <w:rPr>
          <w:rFonts w:cs="Arial"/>
          <w:color w:val="000000" w:themeColor="text1"/>
          <w:szCs w:val="16"/>
        </w:rPr>
      </w:pPr>
      <w:r w:rsidRPr="00781112">
        <w:rPr>
          <w:rFonts w:cs="Arial"/>
          <w:color w:val="000000" w:themeColor="text1"/>
          <w:szCs w:val="16"/>
        </w:rPr>
        <w:t>In the description, specify which method the State used to determine possible discrepancies and explain what constitutes those discrepancies.</w:t>
      </w:r>
    </w:p>
    <w:p w14:paraId="222C5D4B" w14:textId="269C53BA" w:rsidR="004F019B" w:rsidRPr="00781112" w:rsidRDefault="004F019B" w:rsidP="004F019B">
      <w:pPr>
        <w:rPr>
          <w:rFonts w:cs="Arial"/>
          <w:szCs w:val="16"/>
        </w:rPr>
      </w:pPr>
      <w:r w:rsidRPr="00781112">
        <w:rPr>
          <w:rFonts w:cs="Arial"/>
          <w:szCs w:val="16"/>
        </w:rPr>
        <w:t xml:space="preserve">Because the measurement table requires that the data examined for this indicator are lag year data, States should examine the 618 data that was submitted by LEAs that were in operation during the school year before the reporting year. For example, if a State has 100 LEAs operating in the 2020-2021 school year, those 100 LEAs would have reported 618 data in 2021-2022 on the number of children suspended/expelled. If the State then opens 15 new LEAs in 2021-2022, suspension/expulsion data from those 15 new LEAs would not be in the 2020-2021 618 data set, and therefore, those 15 new LEAs should not be included in the denominator of the calculation. States must use the number of LEAs from the year before the reporting year in </w:t>
      </w:r>
      <w:proofErr w:type="gramStart"/>
      <w:r w:rsidRPr="00781112">
        <w:rPr>
          <w:rFonts w:cs="Arial"/>
          <w:szCs w:val="16"/>
        </w:rPr>
        <w:t>its</w:t>
      </w:r>
      <w:proofErr w:type="gramEnd"/>
      <w:r w:rsidRPr="00781112">
        <w:rPr>
          <w:rFonts w:cs="Arial"/>
          <w:szCs w:val="16"/>
        </w:rPr>
        <w:t xml:space="preserve"> calculation for this indicator. For the FFY 2021 SPP/APR submission, States must use the number of LEAs reported in 2020-2021 (which can be found in the FFY 2020 SPP/APR introduction).</w:t>
      </w:r>
    </w:p>
    <w:p w14:paraId="2CD8E267" w14:textId="0424A1C2" w:rsidR="00636061" w:rsidRPr="00781112" w:rsidRDefault="00636061" w:rsidP="00BB7BC9">
      <w:pPr>
        <w:rPr>
          <w:rFonts w:cs="Arial"/>
          <w:color w:val="000000" w:themeColor="text1"/>
          <w:szCs w:val="16"/>
        </w:rPr>
      </w:pPr>
      <w:r w:rsidRPr="00781112">
        <w:rPr>
          <w:rFonts w:cs="Arial"/>
          <w:color w:val="000000" w:themeColor="text1"/>
          <w:szCs w:val="16"/>
        </w:rPr>
        <w:t>Indicator 4A: Provide the actual numbers used in the calculation (based upon districts that met the minimum n and/or cell size requirement, if applicable). If significant discrepancies occurred, describe how the State educational agency reviewed and, if appropriate, revised (or required the affected local educational agency to revise) its policies, procedures, and practices relating to the development and implementation of IEPs, the use of positive behavioral interventions and supports, and procedural safeguards, to ensure that such policies, procedures, and practices comply with applicable requirements.</w:t>
      </w:r>
    </w:p>
    <w:p w14:paraId="03BDAB2D" w14:textId="067F0139" w:rsidR="00636061" w:rsidRPr="00781112" w:rsidRDefault="00636061" w:rsidP="00BB7BC9">
      <w:pPr>
        <w:rPr>
          <w:rFonts w:cs="Arial"/>
          <w:color w:val="000000" w:themeColor="text1"/>
          <w:szCs w:val="16"/>
        </w:rPr>
      </w:pPr>
      <w:r w:rsidRPr="00781112">
        <w:rPr>
          <w:rFonts w:cs="Arial"/>
          <w:color w:val="000000" w:themeColor="text1"/>
          <w:szCs w:val="16"/>
        </w:rPr>
        <w:t>Provide detailed information about the timely correction of noncompliance as noted in OSEP’s response for the previous SPP/APR. If discrepancies occurred and the LEA with discrepancies had policies, procedures or practices that contributed to the significant discrepancy,</w:t>
      </w:r>
      <w:r w:rsidR="00ED1949" w:rsidRPr="00781112">
        <w:rPr>
          <w:rFonts w:cs="Arial"/>
          <w:szCs w:val="16"/>
        </w:rPr>
        <w:t xml:space="preserve"> as defined by the State,</w:t>
      </w:r>
      <w:r w:rsidRPr="00781112">
        <w:rPr>
          <w:rFonts w:cs="Arial"/>
          <w:color w:val="000000" w:themeColor="text1"/>
          <w:szCs w:val="16"/>
        </w:rPr>
        <w:t xml:space="preserve"> and that do not comply with requirements relating to the development and implementation of IEPs, the use of positive behavioral interventions and supports, and procedural safeguards, describe how the State ensured that such policies, procedures, and practices were revised to comply with applicable requirements consistent with (OSEP) Memorandum 09-02, dated October 17, 2008.</w:t>
      </w:r>
    </w:p>
    <w:p w14:paraId="6D645554" w14:textId="0206229C" w:rsidR="00636061" w:rsidRPr="00781112" w:rsidRDefault="00636061" w:rsidP="00BB7BC9">
      <w:pPr>
        <w:rPr>
          <w:rFonts w:cs="Arial"/>
          <w:color w:val="000000" w:themeColor="text1"/>
          <w:szCs w:val="16"/>
        </w:rPr>
      </w:pPr>
      <w:r w:rsidRPr="00781112">
        <w:rPr>
          <w:rFonts w:cs="Arial"/>
          <w:color w:val="000000" w:themeColor="text1"/>
          <w:szCs w:val="16"/>
        </w:rPr>
        <w:t>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406A7CC3" w14:textId="5644C489" w:rsidR="00636061" w:rsidRPr="00781112" w:rsidRDefault="00A14B5D" w:rsidP="00BB7BC9">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p w14:paraId="216100ED" w14:textId="6483EA1E" w:rsidR="006E5AE4" w:rsidRPr="00781112" w:rsidRDefault="00697434" w:rsidP="008645AD">
      <w:pPr>
        <w:pStyle w:val="Heading2"/>
      </w:pPr>
      <w:bookmarkStart w:id="30" w:name="_Toc384383332"/>
      <w:bookmarkStart w:id="31" w:name="_Toc392159284"/>
      <w:bookmarkEnd w:id="28"/>
      <w:bookmarkEnd w:id="29"/>
      <w:r w:rsidRPr="00781112">
        <w:t>4A</w:t>
      </w:r>
      <w:r w:rsidR="00DA3C7A" w:rsidRPr="00781112">
        <w:t xml:space="preserve"> </w:t>
      </w:r>
      <w:r w:rsidRPr="00781112">
        <w:t xml:space="preserve">- </w:t>
      </w:r>
      <w:r w:rsidR="006E5AE4" w:rsidRPr="00781112">
        <w:t>Indicator Data</w:t>
      </w:r>
    </w:p>
    <w:p w14:paraId="4E76A356" w14:textId="4BD9398E" w:rsidR="00EC46E4" w:rsidRPr="00781112" w:rsidRDefault="00EC46E4" w:rsidP="004369B2">
      <w:pPr>
        <w:rPr>
          <w:b/>
          <w:color w:val="000000" w:themeColor="text1"/>
        </w:rPr>
      </w:pPr>
      <w:r w:rsidRPr="00781112">
        <w:rPr>
          <w:b/>
          <w:color w:val="000000" w:themeColor="text1"/>
        </w:rPr>
        <w:t>Historical Data</w:t>
      </w:r>
    </w:p>
    <w:tbl>
      <w:tblPr>
        <w:tblStyle w:val="TableGrid"/>
        <w:tblW w:w="0" w:type="auto"/>
        <w:tblLook w:val="04A0" w:firstRow="1" w:lastRow="0" w:firstColumn="1" w:lastColumn="0" w:noHBand="0" w:noVBand="1"/>
        <w:tblCaption w:val="B04ABASELINEDATA"/>
      </w:tblPr>
      <w:tblGrid>
        <w:gridCol w:w="2562"/>
        <w:gridCol w:w="2563"/>
      </w:tblGrid>
      <w:tr w:rsidR="002B6965" w:rsidRPr="00781112" w14:paraId="5B1BF1C8" w14:textId="77777777" w:rsidTr="002B6965">
        <w:trPr>
          <w:trHeight w:val="311"/>
          <w:tblHeader/>
        </w:trPr>
        <w:tc>
          <w:tcPr>
            <w:tcW w:w="2562" w:type="dxa"/>
          </w:tcPr>
          <w:p w14:paraId="3EC58E83" w14:textId="77777777" w:rsidR="002B6965" w:rsidRPr="00781112" w:rsidRDefault="002B6965" w:rsidP="002B6965">
            <w:pPr>
              <w:jc w:val="center"/>
              <w:rPr>
                <w:b/>
                <w:color w:val="000000" w:themeColor="text1"/>
              </w:rPr>
            </w:pPr>
            <w:r w:rsidRPr="00781112">
              <w:rPr>
                <w:rFonts w:cs="Arial"/>
                <w:b/>
                <w:color w:val="000000" w:themeColor="text1"/>
                <w:szCs w:val="16"/>
              </w:rPr>
              <w:t>Baseline Year</w:t>
            </w:r>
          </w:p>
        </w:tc>
        <w:tc>
          <w:tcPr>
            <w:tcW w:w="2563" w:type="dxa"/>
          </w:tcPr>
          <w:p w14:paraId="3BF90404" w14:textId="77777777" w:rsidR="002B6965" w:rsidRPr="00781112" w:rsidRDefault="002B6965" w:rsidP="002B6965">
            <w:pPr>
              <w:jc w:val="center"/>
              <w:rPr>
                <w:b/>
                <w:color w:val="000000" w:themeColor="text1"/>
              </w:rPr>
            </w:pPr>
            <w:r w:rsidRPr="00781112">
              <w:rPr>
                <w:b/>
                <w:color w:val="000000" w:themeColor="text1"/>
              </w:rPr>
              <w:t>Baseline Data</w:t>
            </w:r>
          </w:p>
        </w:tc>
      </w:tr>
      <w:tr w:rsidR="002B6965" w:rsidRPr="00781112" w14:paraId="5EF83473" w14:textId="77777777" w:rsidTr="002B6965">
        <w:trPr>
          <w:trHeight w:val="311"/>
        </w:trPr>
        <w:tc>
          <w:tcPr>
            <w:tcW w:w="2562" w:type="dxa"/>
            <w:vAlign w:val="center"/>
          </w:tcPr>
          <w:p w14:paraId="5A1767D0" w14:textId="7AC9A457" w:rsidR="002B6965" w:rsidRPr="00781112" w:rsidRDefault="002B6965" w:rsidP="002B6965">
            <w:pPr>
              <w:jc w:val="center"/>
              <w:rPr>
                <w:b/>
                <w:color w:val="000000" w:themeColor="text1"/>
              </w:rPr>
            </w:pPr>
            <w:r w:rsidRPr="00781112">
              <w:rPr>
                <w:rFonts w:cs="Arial"/>
                <w:color w:val="000000" w:themeColor="text1"/>
                <w:szCs w:val="16"/>
              </w:rPr>
              <w:t>2021</w:t>
            </w:r>
          </w:p>
        </w:tc>
        <w:tc>
          <w:tcPr>
            <w:tcW w:w="2563" w:type="dxa"/>
            <w:vAlign w:val="center"/>
          </w:tcPr>
          <w:p w14:paraId="4EF66E74" w14:textId="7A5DFEFF" w:rsidR="002B6965" w:rsidRPr="00781112" w:rsidRDefault="002B6965" w:rsidP="002B6965">
            <w:pPr>
              <w:jc w:val="center"/>
              <w:rPr>
                <w:b/>
                <w:color w:val="000000" w:themeColor="text1"/>
              </w:rPr>
            </w:pPr>
            <w:r w:rsidRPr="00781112">
              <w:rPr>
                <w:rFonts w:cs="Arial"/>
                <w:color w:val="000000" w:themeColor="text1"/>
                <w:szCs w:val="16"/>
              </w:rPr>
              <w:t>18.18%</w:t>
            </w:r>
          </w:p>
        </w:tc>
      </w:tr>
    </w:tbl>
    <w:p w14:paraId="6781E363" w14:textId="556D76E5" w:rsidR="002B6965" w:rsidRPr="00781112" w:rsidRDefault="002E111A" w:rsidP="004369B2">
      <w:pPr>
        <w:rPr>
          <w:color w:val="000000" w:themeColor="text1"/>
        </w:rPr>
      </w:pP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4AHISTDATA"/>
      </w:tblPr>
      <w:tblGrid>
        <w:gridCol w:w="1798"/>
        <w:gridCol w:w="1798"/>
        <w:gridCol w:w="1798"/>
        <w:gridCol w:w="1798"/>
        <w:gridCol w:w="1798"/>
        <w:gridCol w:w="1800"/>
      </w:tblGrid>
      <w:tr w:rsidR="005C29F8" w:rsidRPr="00781112" w14:paraId="2DAF49AB" w14:textId="32F9B748" w:rsidTr="00E95FBF">
        <w:trPr>
          <w:trHeight w:val="350"/>
        </w:trPr>
        <w:tc>
          <w:tcPr>
            <w:tcW w:w="833" w:type="pct"/>
            <w:tcBorders>
              <w:bottom w:val="single" w:sz="4" w:space="0" w:color="auto"/>
            </w:tcBorders>
            <w:shd w:val="clear" w:color="auto" w:fill="auto"/>
          </w:tcPr>
          <w:p w14:paraId="7844FE4C" w14:textId="77777777" w:rsidR="00E4112E" w:rsidRPr="00781112" w:rsidRDefault="00E4112E" w:rsidP="004369B2">
            <w:pPr>
              <w:jc w:val="center"/>
              <w:rPr>
                <w:b/>
                <w:color w:val="000000" w:themeColor="text1"/>
              </w:rPr>
            </w:pPr>
            <w:r w:rsidRPr="00781112">
              <w:rPr>
                <w:b/>
                <w:color w:val="000000" w:themeColor="text1"/>
              </w:rPr>
              <w:t>FFY</w:t>
            </w:r>
          </w:p>
        </w:tc>
        <w:tc>
          <w:tcPr>
            <w:tcW w:w="833" w:type="pct"/>
            <w:shd w:val="clear" w:color="auto" w:fill="auto"/>
          </w:tcPr>
          <w:p w14:paraId="09DCA0E6" w14:textId="614607D6" w:rsidR="00E4112E" w:rsidRPr="00781112" w:rsidRDefault="002B7490">
            <w:pPr>
              <w:jc w:val="center"/>
              <w:rPr>
                <w:b/>
                <w:color w:val="000000" w:themeColor="text1"/>
              </w:rPr>
            </w:pPr>
            <w:r w:rsidRPr="00781112">
              <w:rPr>
                <w:b/>
                <w:color w:val="000000" w:themeColor="text1"/>
              </w:rPr>
              <w:t>2016</w:t>
            </w:r>
          </w:p>
        </w:tc>
        <w:tc>
          <w:tcPr>
            <w:tcW w:w="833" w:type="pct"/>
            <w:shd w:val="clear" w:color="auto" w:fill="auto"/>
          </w:tcPr>
          <w:p w14:paraId="7015519F" w14:textId="3BECE8C5" w:rsidR="00E4112E" w:rsidRPr="00781112" w:rsidRDefault="002B7490">
            <w:pPr>
              <w:jc w:val="center"/>
              <w:rPr>
                <w:b/>
                <w:color w:val="000000" w:themeColor="text1"/>
              </w:rPr>
            </w:pPr>
            <w:r w:rsidRPr="00781112">
              <w:rPr>
                <w:b/>
                <w:color w:val="000000" w:themeColor="text1"/>
              </w:rPr>
              <w:t>2017</w:t>
            </w:r>
          </w:p>
        </w:tc>
        <w:tc>
          <w:tcPr>
            <w:tcW w:w="833" w:type="pct"/>
            <w:shd w:val="clear" w:color="auto" w:fill="auto"/>
          </w:tcPr>
          <w:p w14:paraId="7CE93832" w14:textId="3E179BB5" w:rsidR="00E4112E" w:rsidRPr="00781112" w:rsidRDefault="002B7490">
            <w:pPr>
              <w:jc w:val="center"/>
              <w:rPr>
                <w:b/>
                <w:color w:val="000000" w:themeColor="text1"/>
              </w:rPr>
            </w:pPr>
            <w:r w:rsidRPr="00781112">
              <w:rPr>
                <w:b/>
                <w:color w:val="000000" w:themeColor="text1"/>
              </w:rPr>
              <w:t>2018</w:t>
            </w:r>
          </w:p>
        </w:tc>
        <w:tc>
          <w:tcPr>
            <w:tcW w:w="833" w:type="pct"/>
            <w:shd w:val="clear" w:color="auto" w:fill="auto"/>
          </w:tcPr>
          <w:p w14:paraId="1A1DC4B0" w14:textId="32B92E1C" w:rsidR="00E4112E" w:rsidRPr="00781112" w:rsidRDefault="002B7490">
            <w:pPr>
              <w:jc w:val="center"/>
              <w:rPr>
                <w:b/>
                <w:color w:val="000000" w:themeColor="text1"/>
              </w:rPr>
            </w:pPr>
            <w:r w:rsidRPr="00781112">
              <w:rPr>
                <w:b/>
                <w:color w:val="000000" w:themeColor="text1"/>
              </w:rPr>
              <w:t>2019</w:t>
            </w:r>
          </w:p>
        </w:tc>
        <w:tc>
          <w:tcPr>
            <w:tcW w:w="834" w:type="pct"/>
            <w:shd w:val="clear" w:color="auto" w:fill="auto"/>
          </w:tcPr>
          <w:p w14:paraId="030F446C" w14:textId="279E0CA2" w:rsidR="00E4112E" w:rsidRPr="00781112" w:rsidRDefault="002B7490">
            <w:pPr>
              <w:jc w:val="center"/>
              <w:rPr>
                <w:b/>
                <w:color w:val="000000" w:themeColor="text1"/>
              </w:rPr>
            </w:pPr>
            <w:r w:rsidRPr="00781112">
              <w:rPr>
                <w:b/>
                <w:color w:val="000000" w:themeColor="text1"/>
              </w:rPr>
              <w:t>2020</w:t>
            </w:r>
          </w:p>
        </w:tc>
      </w:tr>
      <w:tr w:rsidR="005C29F8" w:rsidRPr="00781112" w14:paraId="166D6AFF" w14:textId="0C956946" w:rsidTr="00E95FBF">
        <w:trPr>
          <w:trHeight w:val="357"/>
        </w:trPr>
        <w:tc>
          <w:tcPr>
            <w:tcW w:w="833" w:type="pct"/>
            <w:shd w:val="clear" w:color="auto" w:fill="auto"/>
            <w:vAlign w:val="center"/>
          </w:tcPr>
          <w:p w14:paraId="38AA0076" w14:textId="731BFD6B" w:rsidR="00BB7BC9" w:rsidRPr="00781112" w:rsidRDefault="00BB7BC9" w:rsidP="00BB7BC9">
            <w:pPr>
              <w:rPr>
                <w:rFonts w:cs="Arial"/>
                <w:color w:val="000000" w:themeColor="text1"/>
                <w:szCs w:val="16"/>
              </w:rPr>
            </w:pPr>
            <w:r w:rsidRPr="00781112">
              <w:rPr>
                <w:rFonts w:cs="Arial"/>
                <w:color w:val="000000" w:themeColor="text1"/>
                <w:szCs w:val="16"/>
              </w:rPr>
              <w:t xml:space="preserve">Target </w:t>
            </w:r>
            <w:r w:rsidR="009B02BC" w:rsidRPr="00781112">
              <w:rPr>
                <w:rFonts w:cs="Arial"/>
                <w:color w:val="000000" w:themeColor="text1"/>
                <w:szCs w:val="16"/>
                <w:shd w:val="clear" w:color="auto" w:fill="FFFFFF"/>
              </w:rPr>
              <w:t>&lt;=</w:t>
            </w:r>
          </w:p>
        </w:tc>
        <w:tc>
          <w:tcPr>
            <w:tcW w:w="833" w:type="pct"/>
            <w:shd w:val="clear" w:color="auto" w:fill="auto"/>
            <w:vAlign w:val="center"/>
          </w:tcPr>
          <w:p w14:paraId="6CE07273" w14:textId="702A47D4"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shd w:val="clear" w:color="auto" w:fill="auto"/>
            <w:vAlign w:val="center"/>
          </w:tcPr>
          <w:p w14:paraId="79939FD5" w14:textId="354F468A"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shd w:val="clear" w:color="auto" w:fill="auto"/>
            <w:vAlign w:val="center"/>
          </w:tcPr>
          <w:p w14:paraId="2F67AA89" w14:textId="7720B113"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shd w:val="clear" w:color="auto" w:fill="auto"/>
            <w:vAlign w:val="center"/>
          </w:tcPr>
          <w:p w14:paraId="370622DC" w14:textId="1DC834EA"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4" w:type="pct"/>
            <w:shd w:val="clear" w:color="auto" w:fill="auto"/>
            <w:vAlign w:val="center"/>
          </w:tcPr>
          <w:p w14:paraId="01742AA4" w14:textId="72802F04"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r>
      <w:tr w:rsidR="005C29F8" w:rsidRPr="00781112" w14:paraId="7A0B9513" w14:textId="222C1F8D" w:rsidTr="00E95FBF">
        <w:trPr>
          <w:trHeight w:val="85"/>
        </w:trPr>
        <w:tc>
          <w:tcPr>
            <w:tcW w:w="833" w:type="pct"/>
            <w:shd w:val="clear" w:color="auto" w:fill="auto"/>
            <w:vAlign w:val="center"/>
          </w:tcPr>
          <w:p w14:paraId="7EAE8715" w14:textId="77777777" w:rsidR="00BB7BC9" w:rsidRPr="00781112" w:rsidRDefault="00BB7BC9" w:rsidP="00BB7BC9">
            <w:pPr>
              <w:rPr>
                <w:rFonts w:cs="Arial"/>
                <w:color w:val="000000" w:themeColor="text1"/>
                <w:szCs w:val="16"/>
              </w:rPr>
            </w:pPr>
            <w:r w:rsidRPr="00781112">
              <w:rPr>
                <w:rFonts w:cs="Arial"/>
                <w:color w:val="000000" w:themeColor="text1"/>
                <w:szCs w:val="16"/>
              </w:rPr>
              <w:t>Data</w:t>
            </w:r>
          </w:p>
        </w:tc>
        <w:tc>
          <w:tcPr>
            <w:tcW w:w="833" w:type="pct"/>
            <w:shd w:val="clear" w:color="auto" w:fill="auto"/>
            <w:vAlign w:val="center"/>
          </w:tcPr>
          <w:p w14:paraId="088137A7" w14:textId="7782C22E"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shd w:val="clear" w:color="auto" w:fill="auto"/>
            <w:vAlign w:val="center"/>
          </w:tcPr>
          <w:p w14:paraId="6040C16E" w14:textId="1898F821"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tcBorders>
              <w:bottom w:val="single" w:sz="4" w:space="0" w:color="auto"/>
            </w:tcBorders>
            <w:shd w:val="clear" w:color="auto" w:fill="auto"/>
            <w:vAlign w:val="center"/>
          </w:tcPr>
          <w:p w14:paraId="2F4988E8" w14:textId="56ECA0F8"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tcBorders>
              <w:bottom w:val="single" w:sz="4" w:space="0" w:color="auto"/>
            </w:tcBorders>
            <w:shd w:val="clear" w:color="auto" w:fill="auto"/>
            <w:vAlign w:val="center"/>
          </w:tcPr>
          <w:p w14:paraId="3315EDFF" w14:textId="1943A2C3"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4" w:type="pct"/>
            <w:tcBorders>
              <w:bottom w:val="single" w:sz="4" w:space="0" w:color="auto"/>
            </w:tcBorders>
            <w:shd w:val="clear" w:color="auto" w:fill="auto"/>
            <w:vAlign w:val="center"/>
          </w:tcPr>
          <w:p w14:paraId="6B580E93" w14:textId="6155D799"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r>
    </w:tbl>
    <w:p w14:paraId="5F34812B" w14:textId="77777777" w:rsidR="006478FC" w:rsidRPr="00781112" w:rsidRDefault="006478FC" w:rsidP="004369B2">
      <w:pPr>
        <w:rPr>
          <w:color w:val="000000" w:themeColor="text1"/>
        </w:rPr>
      </w:pPr>
    </w:p>
    <w:p w14:paraId="4841771C" w14:textId="2E3FC34F" w:rsidR="00ED5FCE" w:rsidRPr="00781112" w:rsidRDefault="00ED5FCE" w:rsidP="004369B2">
      <w:pPr>
        <w:rPr>
          <w:color w:val="000000" w:themeColor="text1"/>
        </w:rPr>
      </w:pPr>
      <w:r w:rsidRPr="00781112">
        <w:rPr>
          <w:b/>
          <w:color w:val="000000" w:themeColor="text1"/>
        </w:rPr>
        <w:lastRenderedPageBreak/>
        <w:t>Targets</w:t>
      </w:r>
    </w:p>
    <w:tbl>
      <w:tblPr>
        <w:tblW w:w="41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4ATARGETS"/>
      </w:tblPr>
      <w:tblGrid>
        <w:gridCol w:w="679"/>
        <w:gridCol w:w="1591"/>
        <w:gridCol w:w="1696"/>
        <w:gridCol w:w="1696"/>
        <w:gridCol w:w="1696"/>
        <w:gridCol w:w="1697"/>
      </w:tblGrid>
      <w:tr w:rsidR="00B14519" w:rsidRPr="00781112" w14:paraId="00255703" w14:textId="57B86D35" w:rsidTr="00451D7E">
        <w:trPr>
          <w:trHeight w:val="350"/>
        </w:trPr>
        <w:tc>
          <w:tcPr>
            <w:tcW w:w="271" w:type="pct"/>
            <w:tcBorders>
              <w:bottom w:val="single" w:sz="4" w:space="0" w:color="auto"/>
            </w:tcBorders>
            <w:shd w:val="clear" w:color="auto" w:fill="auto"/>
          </w:tcPr>
          <w:p w14:paraId="12833EEC" w14:textId="77777777" w:rsidR="00B14519" w:rsidRPr="00781112" w:rsidRDefault="00B14519" w:rsidP="00373F78">
            <w:pPr>
              <w:jc w:val="center"/>
              <w:rPr>
                <w:b/>
                <w:color w:val="000000" w:themeColor="text1"/>
              </w:rPr>
            </w:pPr>
            <w:r w:rsidRPr="00781112">
              <w:rPr>
                <w:b/>
                <w:color w:val="000000" w:themeColor="text1"/>
              </w:rPr>
              <w:t>FFY</w:t>
            </w:r>
          </w:p>
        </w:tc>
        <w:tc>
          <w:tcPr>
            <w:tcW w:w="899" w:type="pct"/>
            <w:shd w:val="clear" w:color="auto" w:fill="auto"/>
          </w:tcPr>
          <w:p w14:paraId="50119DBA" w14:textId="04DC2A77" w:rsidR="00B14519" w:rsidRPr="00781112" w:rsidRDefault="00B14519" w:rsidP="00373F78">
            <w:pPr>
              <w:jc w:val="center"/>
              <w:rPr>
                <w:b/>
                <w:color w:val="000000" w:themeColor="text1"/>
              </w:rPr>
            </w:pPr>
            <w:r w:rsidRPr="00781112">
              <w:rPr>
                <w:b/>
                <w:color w:val="000000" w:themeColor="text1"/>
              </w:rPr>
              <w:t>2021</w:t>
            </w:r>
          </w:p>
        </w:tc>
        <w:tc>
          <w:tcPr>
            <w:tcW w:w="957" w:type="pct"/>
          </w:tcPr>
          <w:p w14:paraId="59425E52" w14:textId="30A73A95" w:rsidR="00B14519" w:rsidRPr="00781112" w:rsidRDefault="00B14519" w:rsidP="00373F78">
            <w:pPr>
              <w:jc w:val="center"/>
              <w:rPr>
                <w:b/>
                <w:color w:val="000000" w:themeColor="text1"/>
              </w:rPr>
            </w:pPr>
            <w:r w:rsidRPr="00781112">
              <w:rPr>
                <w:rFonts w:cs="Arial"/>
                <w:b/>
                <w:color w:val="000000" w:themeColor="text1"/>
                <w:szCs w:val="16"/>
              </w:rPr>
              <w:t>2022</w:t>
            </w:r>
          </w:p>
        </w:tc>
        <w:tc>
          <w:tcPr>
            <w:tcW w:w="957" w:type="pct"/>
          </w:tcPr>
          <w:p w14:paraId="62296859" w14:textId="1A7F3D46" w:rsidR="00B14519" w:rsidRPr="00781112" w:rsidRDefault="00B14519" w:rsidP="00373F78">
            <w:pPr>
              <w:jc w:val="center"/>
              <w:rPr>
                <w:b/>
                <w:color w:val="000000" w:themeColor="text1"/>
              </w:rPr>
            </w:pPr>
            <w:r w:rsidRPr="00781112">
              <w:rPr>
                <w:rFonts w:cs="Arial"/>
                <w:b/>
                <w:color w:val="000000" w:themeColor="text1"/>
                <w:szCs w:val="16"/>
              </w:rPr>
              <w:t>2023</w:t>
            </w:r>
          </w:p>
        </w:tc>
        <w:tc>
          <w:tcPr>
            <w:tcW w:w="957" w:type="pct"/>
          </w:tcPr>
          <w:p w14:paraId="69950222" w14:textId="1E5E636C" w:rsidR="00B14519" w:rsidRPr="00781112" w:rsidRDefault="00B14519" w:rsidP="00373F78">
            <w:pPr>
              <w:jc w:val="center"/>
              <w:rPr>
                <w:b/>
                <w:color w:val="000000" w:themeColor="text1"/>
              </w:rPr>
            </w:pPr>
            <w:r w:rsidRPr="00781112">
              <w:rPr>
                <w:rFonts w:cs="Arial"/>
                <w:b/>
                <w:color w:val="000000" w:themeColor="text1"/>
                <w:szCs w:val="16"/>
              </w:rPr>
              <w:t>2024</w:t>
            </w:r>
          </w:p>
        </w:tc>
        <w:tc>
          <w:tcPr>
            <w:tcW w:w="957" w:type="pct"/>
          </w:tcPr>
          <w:p w14:paraId="147FD075" w14:textId="2618FA88" w:rsidR="00B14519" w:rsidRPr="00781112" w:rsidRDefault="00B14519" w:rsidP="00373F78">
            <w:pPr>
              <w:jc w:val="center"/>
              <w:rPr>
                <w:b/>
                <w:color w:val="000000" w:themeColor="text1"/>
              </w:rPr>
            </w:pPr>
            <w:r w:rsidRPr="00781112">
              <w:rPr>
                <w:rFonts w:cs="Arial"/>
                <w:b/>
                <w:color w:val="000000" w:themeColor="text1"/>
                <w:szCs w:val="16"/>
              </w:rPr>
              <w:t>2025</w:t>
            </w:r>
          </w:p>
        </w:tc>
      </w:tr>
      <w:tr w:rsidR="00B14519" w:rsidRPr="00781112" w14:paraId="1ACE760A" w14:textId="1AE21F6E" w:rsidTr="00451D7E">
        <w:trPr>
          <w:trHeight w:val="357"/>
        </w:trPr>
        <w:tc>
          <w:tcPr>
            <w:tcW w:w="271" w:type="pct"/>
            <w:shd w:val="clear" w:color="auto" w:fill="auto"/>
            <w:vAlign w:val="center"/>
          </w:tcPr>
          <w:p w14:paraId="3387B9B3" w14:textId="0ED5756F" w:rsidR="00B14519" w:rsidRPr="00781112" w:rsidRDefault="00B14519" w:rsidP="00373F78">
            <w:pPr>
              <w:rPr>
                <w:rFonts w:cs="Arial"/>
                <w:color w:val="000000" w:themeColor="text1"/>
                <w:szCs w:val="16"/>
              </w:rPr>
            </w:pPr>
            <w:r w:rsidRPr="00781112">
              <w:rPr>
                <w:rFonts w:cs="Arial"/>
                <w:color w:val="000000" w:themeColor="text1"/>
                <w:szCs w:val="16"/>
              </w:rPr>
              <w:t xml:space="preserve">Target </w:t>
            </w:r>
            <w:r w:rsidRPr="00781112">
              <w:rPr>
                <w:rFonts w:cs="Arial"/>
                <w:color w:val="000000" w:themeColor="text1"/>
                <w:szCs w:val="16"/>
                <w:shd w:val="clear" w:color="auto" w:fill="FFFFFF"/>
              </w:rPr>
              <w:t>&lt;=</w:t>
            </w:r>
          </w:p>
        </w:tc>
        <w:tc>
          <w:tcPr>
            <w:tcW w:w="899" w:type="pct"/>
            <w:shd w:val="clear" w:color="auto" w:fill="auto"/>
            <w:vAlign w:val="center"/>
          </w:tcPr>
          <w:p w14:paraId="78EBD6ED" w14:textId="4FA09BBD" w:rsidR="00B14519" w:rsidRPr="00781112" w:rsidRDefault="00B14519" w:rsidP="00373F78">
            <w:pPr>
              <w:jc w:val="center"/>
              <w:rPr>
                <w:rFonts w:cs="Arial"/>
                <w:color w:val="000000" w:themeColor="text1"/>
                <w:szCs w:val="16"/>
              </w:rPr>
            </w:pPr>
            <w:r w:rsidRPr="00781112">
              <w:rPr>
                <w:rFonts w:cs="Arial"/>
                <w:color w:val="000000" w:themeColor="text1"/>
                <w:szCs w:val="16"/>
              </w:rPr>
              <w:t>0.00%</w:t>
            </w:r>
          </w:p>
        </w:tc>
        <w:tc>
          <w:tcPr>
            <w:tcW w:w="957" w:type="pct"/>
          </w:tcPr>
          <w:p w14:paraId="6FDC82B2" w14:textId="0C85D604" w:rsidR="00B14519" w:rsidRPr="00781112" w:rsidRDefault="00B14519" w:rsidP="00373F78">
            <w:pPr>
              <w:jc w:val="center"/>
              <w:rPr>
                <w:rFonts w:cs="Arial"/>
                <w:color w:val="000000" w:themeColor="text1"/>
                <w:szCs w:val="16"/>
              </w:rPr>
            </w:pPr>
            <w:r w:rsidRPr="00781112">
              <w:rPr>
                <w:color w:val="000000" w:themeColor="text1"/>
                <w:szCs w:val="16"/>
              </w:rPr>
              <w:t>0.00%</w:t>
            </w:r>
          </w:p>
        </w:tc>
        <w:tc>
          <w:tcPr>
            <w:tcW w:w="957" w:type="pct"/>
          </w:tcPr>
          <w:p w14:paraId="798EC84B" w14:textId="0E47DBF4" w:rsidR="00B14519" w:rsidRPr="00781112" w:rsidRDefault="00B14519" w:rsidP="00373F78">
            <w:pPr>
              <w:jc w:val="center"/>
              <w:rPr>
                <w:rFonts w:cs="Arial"/>
                <w:color w:val="000000" w:themeColor="text1"/>
                <w:szCs w:val="16"/>
              </w:rPr>
            </w:pPr>
            <w:r w:rsidRPr="00781112">
              <w:rPr>
                <w:color w:val="000000" w:themeColor="text1"/>
                <w:szCs w:val="16"/>
              </w:rPr>
              <w:t>0.00%</w:t>
            </w:r>
          </w:p>
        </w:tc>
        <w:tc>
          <w:tcPr>
            <w:tcW w:w="957" w:type="pct"/>
          </w:tcPr>
          <w:p w14:paraId="75A6D928" w14:textId="791A7001" w:rsidR="00B14519" w:rsidRPr="00781112" w:rsidRDefault="00B14519" w:rsidP="00373F78">
            <w:pPr>
              <w:jc w:val="center"/>
              <w:rPr>
                <w:rFonts w:cs="Arial"/>
                <w:color w:val="000000" w:themeColor="text1"/>
                <w:szCs w:val="16"/>
              </w:rPr>
            </w:pPr>
            <w:r w:rsidRPr="00781112">
              <w:rPr>
                <w:color w:val="000000" w:themeColor="text1"/>
                <w:szCs w:val="16"/>
              </w:rPr>
              <w:t>0.00%</w:t>
            </w:r>
          </w:p>
        </w:tc>
        <w:tc>
          <w:tcPr>
            <w:tcW w:w="957" w:type="pct"/>
          </w:tcPr>
          <w:p w14:paraId="1CE5D3BC" w14:textId="661D574C" w:rsidR="00B14519" w:rsidRPr="00781112" w:rsidRDefault="00B14519" w:rsidP="00373F78">
            <w:pPr>
              <w:jc w:val="center"/>
              <w:rPr>
                <w:rFonts w:cs="Arial"/>
                <w:color w:val="000000" w:themeColor="text1"/>
                <w:szCs w:val="16"/>
              </w:rPr>
            </w:pPr>
            <w:r w:rsidRPr="00781112">
              <w:rPr>
                <w:color w:val="000000" w:themeColor="text1"/>
                <w:szCs w:val="16"/>
              </w:rPr>
              <w:t>0.00%</w:t>
            </w:r>
          </w:p>
        </w:tc>
      </w:tr>
    </w:tbl>
    <w:p w14:paraId="05EA20CB" w14:textId="0A0E8C80" w:rsidR="002D145D" w:rsidRPr="00781112" w:rsidRDefault="002D145D" w:rsidP="004369B2">
      <w:pPr>
        <w:rPr>
          <w:b/>
          <w:color w:val="000000" w:themeColor="text1"/>
        </w:rPr>
      </w:pPr>
      <w:r w:rsidRPr="00781112">
        <w:rPr>
          <w:b/>
          <w:color w:val="000000" w:themeColor="text1"/>
        </w:rPr>
        <w:t xml:space="preserve">Targets: Description of Stakeholder Input </w:t>
      </w:r>
    </w:p>
    <w:p w14:paraId="01F8C61F" w14:textId="7DC6A451" w:rsidR="002D145D" w:rsidRPr="00781112" w:rsidRDefault="002B7490" w:rsidP="002D145D">
      <w:pPr>
        <w:rPr>
          <w:rFonts w:cs="Arial"/>
          <w:color w:val="000000" w:themeColor="text1"/>
          <w:szCs w:val="16"/>
        </w:rPr>
      </w:pPr>
      <w:r w:rsidRPr="00781112">
        <w:rPr>
          <w:rFonts w:cs="Arial"/>
          <w:color w:val="000000" w:themeColor="text1"/>
          <w:szCs w:val="16"/>
        </w:rPr>
        <w:t>The USBE SES values stakeholder engagement and input and solicits ongoing feedback and review. Stakeholders consistently provide input through collaborative meetings, public comment, written communication, survey data, data analysis, and informal conversations. To share data and information and collect feedback on areas such as SPP/APR targets, the USBE SES employs meetings, newsletters, emails, surveys, and social media with stakeholder groups:</w:t>
      </w:r>
      <w:r w:rsidRPr="00781112">
        <w:rPr>
          <w:rFonts w:cs="Arial"/>
          <w:color w:val="000000" w:themeColor="text1"/>
          <w:szCs w:val="16"/>
        </w:rPr>
        <w:br/>
        <w:t>• LEA Special Education Directors</w:t>
      </w:r>
      <w:r w:rsidRPr="00781112">
        <w:rPr>
          <w:rFonts w:cs="Arial"/>
          <w:color w:val="000000" w:themeColor="text1"/>
          <w:szCs w:val="16"/>
        </w:rPr>
        <w:br/>
        <w:t>• Utah Special Education Advisory Panel (USEAP)</w:t>
      </w:r>
      <w:r w:rsidRPr="00781112">
        <w:rPr>
          <w:rFonts w:cs="Arial"/>
          <w:color w:val="000000" w:themeColor="text1"/>
          <w:szCs w:val="16"/>
        </w:rPr>
        <w:br/>
        <w:t>• USBE Committees</w:t>
      </w:r>
      <w:r w:rsidRPr="00781112">
        <w:rPr>
          <w:rFonts w:cs="Arial"/>
          <w:color w:val="000000" w:themeColor="text1"/>
          <w:szCs w:val="16"/>
        </w:rPr>
        <w:br/>
        <w:t>• Utah Legislative Committees</w:t>
      </w:r>
      <w:r w:rsidRPr="00781112">
        <w:rPr>
          <w:rFonts w:cs="Arial"/>
          <w:color w:val="000000" w:themeColor="text1"/>
          <w:szCs w:val="16"/>
        </w:rPr>
        <w:br/>
        <w:t>• Utah Parent Center (UPC)</w:t>
      </w:r>
      <w:r w:rsidRPr="00781112">
        <w:rPr>
          <w:rFonts w:cs="Arial"/>
          <w:color w:val="000000" w:themeColor="text1"/>
          <w:szCs w:val="16"/>
        </w:rPr>
        <w:br/>
        <w:t>• LEA Curriculum and Assessment Directors</w:t>
      </w:r>
      <w:r w:rsidRPr="00781112">
        <w:rPr>
          <w:rFonts w:cs="Arial"/>
          <w:color w:val="000000" w:themeColor="text1"/>
          <w:szCs w:val="16"/>
        </w:rPr>
        <w:br/>
        <w:t>• LEA Preschool Coordinators</w:t>
      </w:r>
      <w:r w:rsidRPr="00781112">
        <w:rPr>
          <w:rFonts w:cs="Arial"/>
          <w:color w:val="000000" w:themeColor="text1"/>
          <w:szCs w:val="16"/>
        </w:rPr>
        <w:br/>
        <w:t>• LEA Administrators</w:t>
      </w:r>
      <w:r w:rsidRPr="00781112">
        <w:rPr>
          <w:rFonts w:cs="Arial"/>
          <w:color w:val="000000" w:themeColor="text1"/>
          <w:szCs w:val="16"/>
        </w:rPr>
        <w:br/>
        <w:t>•Utah Institutes of Higher Education (IHEs)</w:t>
      </w:r>
      <w:r w:rsidRPr="00781112">
        <w:rPr>
          <w:rFonts w:cs="Arial"/>
          <w:color w:val="000000" w:themeColor="text1"/>
          <w:szCs w:val="16"/>
        </w:rPr>
        <w:br/>
        <w:t>• Baby Watch/Early Intervention (Utah’s Part C agency)</w:t>
      </w:r>
      <w:r w:rsidRPr="00781112">
        <w:rPr>
          <w:rFonts w:cs="Arial"/>
          <w:color w:val="000000" w:themeColor="text1"/>
          <w:szCs w:val="16"/>
        </w:rPr>
        <w:br/>
        <w:t>• Agencies and non-profit organizations that provide services to SWD</w:t>
      </w:r>
      <w:r w:rsidRPr="00781112">
        <w:rPr>
          <w:rFonts w:cs="Arial"/>
          <w:color w:val="000000" w:themeColor="text1"/>
          <w:szCs w:val="16"/>
        </w:rPr>
        <w:br/>
        <w:t>• Utah Educators</w:t>
      </w:r>
      <w:r w:rsidRPr="00781112">
        <w:rPr>
          <w:rFonts w:cs="Arial"/>
          <w:color w:val="000000" w:themeColor="text1"/>
          <w:szCs w:val="16"/>
        </w:rPr>
        <w:br/>
        <w:t>• Advocacy groups throughout the State</w:t>
      </w:r>
      <w:r w:rsidRPr="00781112">
        <w:rPr>
          <w:rFonts w:cs="Arial"/>
          <w:color w:val="000000" w:themeColor="text1"/>
          <w:szCs w:val="16"/>
        </w:rPr>
        <w:br/>
        <w:t>During FFY 2021, no changes were made to the SPP/APR targets. The USBE SES reviewed the progress of the implementation of the Theory of Action for the SSIP and SPP/APR data with USEAM, USEAP, and the Coordinating Council for People with Disabilities (CCPD) (which includes all state agencies that serve individuals with disabilities and all nonprofit organizations that receive any state funding and/or grants).</w:t>
      </w:r>
      <w:r w:rsidRPr="00781112">
        <w:rPr>
          <w:rFonts w:cs="Arial"/>
          <w:color w:val="000000" w:themeColor="text1"/>
          <w:szCs w:val="16"/>
        </w:rPr>
        <w:br/>
        <w:t>The APR summit was held virtually on July 30, 2021. Over 100 participants attended from the stakeholder groups and those with individual interests. Participants reviewed data and projections for the State in 2025–2026. Participants were provided with an overview of the advantages and disadvantages of predictive models as well as an overview of the mindset for target-setting. Participants were asked to select the end targets (2025–2026) for indicators. The USBE SES would then calculate intervening targets between FFY 2020 and FFY 2025 whereby there would be no increase in the target the first year, followed by small increases, then large increases near the end. This is to allow enough time for LEAs to implement initiatives and change practices to realistically meet targets along their way to the rigorous end targets. After this overview, participants determined challenging and achievable end targets. The USBE SES calculated intervening targets and shared these intervening targets with the participants and additional stakeholders to get final approval for all the targets.</w:t>
      </w:r>
      <w:r w:rsidRPr="00781112">
        <w:rPr>
          <w:rFonts w:cs="Arial"/>
          <w:color w:val="000000" w:themeColor="text1"/>
          <w:szCs w:val="16"/>
        </w:rPr>
        <w:br/>
        <w:t>A survey was sent out and 101 individuals participated. Most participants identified as white females in suburban parts of Utah. American Indian/Native Alaskan, Hispanic/Latino, and individuals who identified as multiracial also participated. As a result of this additional feedback, the USBE SES revised Indicator 5 targets to maintain rigor and develop reasonable targets manageable by the LEAs. Targets for all indicators were developed after review of historical indicator and trend data, recommendations from the USBE statistician, the impact of COVID-19, APR summit and APR survey review. All targets were subsequently reviewed and adopted by USBE staff, USEAP, and LEAs. OSEP approved SPP/APR targets in the FFY 2020 SPP/APR.</w:t>
      </w:r>
      <w:r w:rsidRPr="00781112">
        <w:rPr>
          <w:rFonts w:cs="Arial"/>
          <w:color w:val="000000" w:themeColor="text1"/>
          <w:szCs w:val="16"/>
        </w:rPr>
        <w:br/>
        <w:t>During FFY 2021, the SPP/APR and SSIP were discussed regularly with LEA special education directors, USEAP, UPC, the state Parent Teacher Association (PTA), and other parent groups focused on inclusionary practices in Utah schools. Regular meetings are held with all these groups typically on a quarterly basis. Emails, phone calls, and in-person meetings provide for informal opportunities to gain insight and adjust.</w:t>
      </w:r>
      <w:r w:rsidRPr="00781112">
        <w:rPr>
          <w:rFonts w:cs="Arial"/>
          <w:color w:val="000000" w:themeColor="text1"/>
          <w:szCs w:val="16"/>
        </w:rPr>
        <w:br/>
        <w:t>The UPC works closely with USBE to increase the capacity of diverse groups of parents. Meetings at UPC are held in Spanish as the second highest language in the State. Refugee populations are connected through UPC staff assigned to specific LEAs with large populations of refugees.</w:t>
      </w:r>
      <w:r w:rsidRPr="00781112">
        <w:rPr>
          <w:rFonts w:cs="Arial"/>
          <w:color w:val="000000" w:themeColor="text1"/>
          <w:szCs w:val="16"/>
        </w:rPr>
        <w:br/>
        <w:t>The USBE family engagement specialist seeks to increase capacity through cross collaboration with other parent and family engagement programs provided in LEAs that we will continue to target.</w:t>
      </w:r>
      <w:r w:rsidRPr="00781112">
        <w:rPr>
          <w:rFonts w:cs="Arial"/>
          <w:color w:val="000000" w:themeColor="text1"/>
          <w:szCs w:val="16"/>
        </w:rPr>
        <w:br/>
        <w:t>INDICATOR 1</w:t>
      </w:r>
      <w:r w:rsidRPr="00781112">
        <w:rPr>
          <w:rFonts w:cs="Arial"/>
          <w:color w:val="000000" w:themeColor="text1"/>
          <w:szCs w:val="16"/>
        </w:rPr>
        <w:br/>
        <w:t>Data from 2018 was determined to be an appropriate baseline. With a baseline of 67.90%, targets will increase with consideration for COVID-19 impacts.</w:t>
      </w:r>
      <w:r w:rsidRPr="00781112">
        <w:rPr>
          <w:rFonts w:cs="Arial"/>
          <w:color w:val="000000" w:themeColor="text1"/>
          <w:szCs w:val="16"/>
        </w:rPr>
        <w:br/>
        <w:t>INDICATOR 2</w:t>
      </w:r>
      <w:r w:rsidRPr="00781112">
        <w:rPr>
          <w:rFonts w:cs="Arial"/>
          <w:color w:val="000000" w:themeColor="text1"/>
          <w:szCs w:val="16"/>
        </w:rPr>
        <w:br/>
        <w:t>Data from 2018 was determined to be an appropriate baseline. With a baseline of 25.81%, targets will decrease with consideration for COVID-19 impacts.</w:t>
      </w:r>
      <w:r w:rsidRPr="00781112">
        <w:rPr>
          <w:rFonts w:cs="Arial"/>
          <w:color w:val="000000" w:themeColor="text1"/>
          <w:szCs w:val="16"/>
        </w:rPr>
        <w:br/>
        <w:t>INDICATOR 3A</w:t>
      </w:r>
      <w:r w:rsidRPr="00781112">
        <w:rPr>
          <w:rFonts w:cs="Arial"/>
          <w:color w:val="000000" w:themeColor="text1"/>
          <w:szCs w:val="16"/>
        </w:rPr>
        <w:br/>
        <w:t>This target is set by OSEP. Stakeholders discussed ways to improve participation.</w:t>
      </w:r>
      <w:r w:rsidRPr="00781112">
        <w:rPr>
          <w:rFonts w:cs="Arial"/>
          <w:color w:val="000000" w:themeColor="text1"/>
          <w:szCs w:val="16"/>
        </w:rPr>
        <w:br/>
        <w:t>INDICATORS 3B, C, D</w:t>
      </w:r>
      <w:r w:rsidRPr="00781112">
        <w:rPr>
          <w:rFonts w:cs="Arial"/>
          <w:color w:val="000000" w:themeColor="text1"/>
          <w:szCs w:val="16"/>
        </w:rPr>
        <w:br/>
        <w:t>Participants looked at the average mean from the previous four years of data in conjunction with the linear trend and forecasting. This process allowed participants to analyze the best statistical guess of where Utah’s data would most likely be in six years while also seeing the forecasting of possible error over time for predicting far into the future.</w:t>
      </w:r>
      <w:r w:rsidRPr="00781112">
        <w:rPr>
          <w:rFonts w:cs="Arial"/>
          <w:color w:val="000000" w:themeColor="text1"/>
          <w:szCs w:val="16"/>
        </w:rPr>
        <w:br/>
        <w:t>INDICATOR 5</w:t>
      </w:r>
      <w:r w:rsidRPr="00781112">
        <w:rPr>
          <w:rFonts w:cs="Arial"/>
          <w:color w:val="000000" w:themeColor="text1"/>
          <w:szCs w:val="16"/>
        </w:rPr>
        <w:br/>
        <w:t>During FFY 2020, the Indicator 5 baseline was reset. In FFY 2021, all targets were met. A comprehensive approach was taken to provide informative learning sessions to support special education directors who are accountable for reviewing Indicator 5 outcome data. Recognizing the need to differentiate support, the USBE SES offered individual LEA data analysis and problem-solving sessions.</w:t>
      </w:r>
      <w:r w:rsidRPr="00781112">
        <w:rPr>
          <w:rFonts w:cs="Arial"/>
          <w:color w:val="000000" w:themeColor="text1"/>
          <w:szCs w:val="16"/>
        </w:rPr>
        <w:br/>
        <w:t>INDICATOR 6</w:t>
      </w:r>
      <w:r w:rsidRPr="00781112">
        <w:rPr>
          <w:rFonts w:cs="Arial"/>
          <w:color w:val="000000" w:themeColor="text1"/>
          <w:szCs w:val="16"/>
        </w:rPr>
        <w:br/>
        <w:t>Data from 2018 was determined to be an appropriate baseline. With baselines of (A) 46.86%, (B) 32.67%, (C) 0.25%, targets will gradually increase and decrease with consideration for COVID-19 impacts.</w:t>
      </w:r>
      <w:r w:rsidRPr="00781112">
        <w:rPr>
          <w:rFonts w:cs="Arial"/>
          <w:color w:val="000000" w:themeColor="text1"/>
          <w:szCs w:val="16"/>
        </w:rPr>
        <w:br/>
        <w:t>INDICATOR 7</w:t>
      </w:r>
      <w:r w:rsidRPr="00781112">
        <w:rPr>
          <w:rFonts w:cs="Arial"/>
          <w:color w:val="000000" w:themeColor="text1"/>
          <w:szCs w:val="16"/>
        </w:rPr>
        <w:br/>
        <w:t>Data from 2018 was determined to be an appropriate baseline. The USBE predicts outcomes for this indicator are still being largely impacted by COVID-19, and targets are currently set below the baseline. With baselines of (A1) 88.86%, (A2) 58.94%, (B1) 88.41%, (B2) 50.48%, (C1) 89.86%, (C2) 70.52%, targets will increase with consideration for COVID-19 impacts.</w:t>
      </w:r>
      <w:r w:rsidRPr="00781112">
        <w:rPr>
          <w:rFonts w:cs="Arial"/>
          <w:color w:val="000000" w:themeColor="text1"/>
          <w:szCs w:val="16"/>
        </w:rPr>
        <w:br/>
        <w:t>INDICATOR 8</w:t>
      </w:r>
      <w:r w:rsidRPr="00781112">
        <w:rPr>
          <w:rFonts w:cs="Arial"/>
          <w:color w:val="000000" w:themeColor="text1"/>
          <w:szCs w:val="16"/>
        </w:rPr>
        <w:br/>
        <w:t>Data from 2018 was determined to be an appropriate baseline. With a baseline of 78.38%, targets will gradually increase with consideration for COVID-19 impacts.</w:t>
      </w:r>
      <w:r w:rsidRPr="00781112">
        <w:rPr>
          <w:rFonts w:cs="Arial"/>
          <w:color w:val="000000" w:themeColor="text1"/>
          <w:szCs w:val="16"/>
        </w:rPr>
        <w:br/>
        <w:t>INDICATORS 4, 9, 10</w:t>
      </w:r>
      <w:r w:rsidRPr="00781112">
        <w:rPr>
          <w:rFonts w:cs="Arial"/>
          <w:color w:val="000000" w:themeColor="text1"/>
          <w:szCs w:val="16"/>
        </w:rPr>
        <w:br/>
        <w:t xml:space="preserve">During the APR Summit, stakeholders reviewed current data trends and ways to improve outcomes. Although targets cannot be changed, stakeholder input has been instrumental in meeting targets for these indicators. The calculations and data collection process for these indicators has been updated to improve outcomes for SWD. Stakeholder input has been utilized to determine processes, PL, and support provided to bridge the gap between current </w:t>
      </w:r>
      <w:r w:rsidRPr="00781112">
        <w:rPr>
          <w:rFonts w:cs="Arial"/>
          <w:color w:val="000000" w:themeColor="text1"/>
          <w:szCs w:val="16"/>
        </w:rPr>
        <w:lastRenderedPageBreak/>
        <w:t>performance and targets.</w:t>
      </w:r>
      <w:r w:rsidRPr="00781112">
        <w:rPr>
          <w:rFonts w:cs="Arial"/>
          <w:color w:val="000000" w:themeColor="text1"/>
          <w:szCs w:val="16"/>
        </w:rPr>
        <w:br/>
        <w:t>INDICATORS 11, 12</w:t>
      </w:r>
      <w:r w:rsidRPr="00781112">
        <w:rPr>
          <w:rFonts w:cs="Arial"/>
          <w:color w:val="000000" w:themeColor="text1"/>
          <w:szCs w:val="16"/>
        </w:rPr>
        <w:br/>
        <w:t>During the APR Summit, stakeholders reviewed current data trends and ways to improve outcomes. Although targets cannot be changed, stakeholder input has been instrumental in meeting targets for these indicators. Input has been utilized to determine PL and support provided to bridge the gap between current performance and targets.</w:t>
      </w:r>
      <w:r w:rsidRPr="00781112">
        <w:rPr>
          <w:rFonts w:cs="Arial"/>
          <w:color w:val="000000" w:themeColor="text1"/>
          <w:szCs w:val="16"/>
        </w:rPr>
        <w:br/>
        <w:t>INDICATOR 13</w:t>
      </w:r>
      <w:r w:rsidRPr="00781112">
        <w:rPr>
          <w:rFonts w:cs="Arial"/>
          <w:color w:val="000000" w:themeColor="text1"/>
          <w:szCs w:val="16"/>
        </w:rPr>
        <w:br/>
        <w:t>The USBE SES recognizes this is an area requiring improvement. During the APR Summit, stakeholders reviewed current data trends and ways to improve outcomes. Although targets cannot be changed, stakeholder input has been instrumental in the progression toward meeting the target.</w:t>
      </w:r>
      <w:r w:rsidRPr="00781112">
        <w:rPr>
          <w:rFonts w:cs="Arial"/>
          <w:color w:val="000000" w:themeColor="text1"/>
          <w:szCs w:val="16"/>
        </w:rPr>
        <w:br/>
        <w:t>INDICATOR 14</w:t>
      </w:r>
      <w:r w:rsidRPr="00781112">
        <w:rPr>
          <w:rFonts w:cs="Arial"/>
          <w:color w:val="000000" w:themeColor="text1"/>
          <w:szCs w:val="16"/>
        </w:rPr>
        <w:br/>
        <w:t>Data from 2018 was determined to be an appropriate baseline. The USBE predicts outcomes for this indicator are still being largely impacted by COVID-19, and targets are currently set below the baseline. With baselines of (A) 19.62%, (B) 67.60%, (C) 84.37%, targets will increase with consideration for COVID-19 impacts.</w:t>
      </w:r>
      <w:r w:rsidRPr="00781112">
        <w:rPr>
          <w:rFonts w:cs="Arial"/>
          <w:color w:val="000000" w:themeColor="text1"/>
          <w:szCs w:val="16"/>
        </w:rPr>
        <w:br/>
        <w:t xml:space="preserve">INDICATOR 15 </w:t>
      </w:r>
      <w:r w:rsidRPr="00781112">
        <w:rPr>
          <w:rFonts w:cs="Arial"/>
          <w:color w:val="000000" w:themeColor="text1"/>
          <w:szCs w:val="16"/>
        </w:rPr>
        <w:br/>
        <w:t>The USBE continues to experience relatively low levels of due process hearing requests and resolution meetings and is not required to set a target.</w:t>
      </w:r>
      <w:r w:rsidRPr="00781112">
        <w:rPr>
          <w:rFonts w:cs="Arial"/>
          <w:color w:val="000000" w:themeColor="text1"/>
          <w:szCs w:val="16"/>
        </w:rPr>
        <w:br/>
        <w:t xml:space="preserve">INDICATOR 16 </w:t>
      </w:r>
      <w:r w:rsidRPr="00781112">
        <w:rPr>
          <w:rFonts w:cs="Arial"/>
          <w:color w:val="000000" w:themeColor="text1"/>
          <w:szCs w:val="16"/>
        </w:rPr>
        <w:br/>
        <w:t>The USBE continues to experience relatively low levels of dispute resolution requests, including mediation. Targets have been set based on the low level of mediation requests.</w:t>
      </w:r>
    </w:p>
    <w:p w14:paraId="3FD5337B" w14:textId="54E74935" w:rsidR="002D145D" w:rsidRPr="00781112" w:rsidRDefault="002D145D" w:rsidP="002D145D">
      <w:pPr>
        <w:rPr>
          <w:rFonts w:cs="Arial"/>
          <w:color w:val="000000" w:themeColor="text1"/>
          <w:szCs w:val="16"/>
        </w:rPr>
      </w:pPr>
    </w:p>
    <w:p w14:paraId="2AE297AB" w14:textId="77777777" w:rsidR="007E6F97" w:rsidRPr="00781112" w:rsidRDefault="007E6F97" w:rsidP="004369B2">
      <w:pPr>
        <w:rPr>
          <w:color w:val="000000" w:themeColor="text1"/>
        </w:rPr>
      </w:pPr>
    </w:p>
    <w:bookmarkEnd w:id="30"/>
    <w:bookmarkEnd w:id="31"/>
    <w:p w14:paraId="2E616696" w14:textId="27349DED" w:rsidR="00D03701" w:rsidRPr="00781112" w:rsidRDefault="0047313F">
      <w:pPr>
        <w:rPr>
          <w:b/>
          <w:color w:val="000000" w:themeColor="text1"/>
        </w:rPr>
      </w:pPr>
      <w:r>
        <w:rPr>
          <w:b/>
          <w:color w:val="000000" w:themeColor="text1"/>
        </w:rPr>
        <w:t>FFY 2021 SPP/APR Data</w:t>
      </w:r>
    </w:p>
    <w:p w14:paraId="01DBD317" w14:textId="57913AA7" w:rsidR="009B02BC" w:rsidRPr="00781112" w:rsidRDefault="009B02BC">
      <w:pPr>
        <w:rPr>
          <w:rFonts w:cs="Arial"/>
          <w:b/>
          <w:color w:val="000000" w:themeColor="text1"/>
          <w:szCs w:val="16"/>
        </w:rPr>
      </w:pPr>
      <w:r w:rsidRPr="00781112">
        <w:rPr>
          <w:rFonts w:cs="Arial"/>
          <w:b/>
          <w:color w:val="000000" w:themeColor="text1"/>
          <w:szCs w:val="16"/>
        </w:rPr>
        <w:t>Has the state established a minimum n/cell-size requirement? (yes/no)</w:t>
      </w:r>
    </w:p>
    <w:p w14:paraId="6A8BDBAB" w14:textId="22481006" w:rsidR="009B02BC" w:rsidRPr="00781112" w:rsidRDefault="009B02BC">
      <w:pPr>
        <w:rPr>
          <w:rFonts w:cs="Arial"/>
          <w:color w:val="000000" w:themeColor="text1"/>
          <w:szCs w:val="16"/>
        </w:rPr>
      </w:pPr>
      <w:r w:rsidRPr="00781112">
        <w:rPr>
          <w:rFonts w:cs="Arial"/>
          <w:color w:val="000000" w:themeColor="text1"/>
          <w:szCs w:val="16"/>
        </w:rPr>
        <w:t>YES</w:t>
      </w:r>
    </w:p>
    <w:p w14:paraId="1DB615CF" w14:textId="2B2BB733" w:rsidR="009B02BC" w:rsidRPr="00781112" w:rsidRDefault="009B02BC">
      <w:pPr>
        <w:rPr>
          <w:rFonts w:cs="Arial"/>
          <w:b/>
          <w:color w:val="000000" w:themeColor="text1"/>
          <w:szCs w:val="16"/>
        </w:rPr>
      </w:pPr>
      <w:r w:rsidRPr="00781112">
        <w:rPr>
          <w:rFonts w:cs="Arial"/>
          <w:b/>
          <w:color w:val="000000" w:themeColor="text1"/>
          <w:szCs w:val="16"/>
        </w:rPr>
        <w:t xml:space="preserve">If yes, the State may only include, in both the numerator and the denominator, LEAs that met the State-established n/cell size. Report the number of LEAs excluded from the calculation </w:t>
      </w:r>
      <w:proofErr w:type="gramStart"/>
      <w:r w:rsidRPr="00781112">
        <w:rPr>
          <w:rFonts w:cs="Arial"/>
          <w:b/>
          <w:color w:val="000000" w:themeColor="text1"/>
          <w:szCs w:val="16"/>
        </w:rPr>
        <w:t>as a result of</w:t>
      </w:r>
      <w:proofErr w:type="gramEnd"/>
      <w:r w:rsidRPr="00781112">
        <w:rPr>
          <w:rFonts w:cs="Arial"/>
          <w:b/>
          <w:color w:val="000000" w:themeColor="text1"/>
          <w:szCs w:val="16"/>
        </w:rPr>
        <w:t xml:space="preserve"> the requirement.</w:t>
      </w:r>
    </w:p>
    <w:p w14:paraId="5F36FA89" w14:textId="7B8DA8B5" w:rsidR="009B02BC" w:rsidRPr="00781112" w:rsidRDefault="009B02BC" w:rsidP="004369B2">
      <w:pPr>
        <w:rPr>
          <w:rFonts w:cs="Arial"/>
          <w:color w:val="000000" w:themeColor="text1"/>
          <w:szCs w:val="16"/>
        </w:rPr>
      </w:pPr>
      <w:r w:rsidRPr="00781112">
        <w:rPr>
          <w:rFonts w:cs="Arial"/>
          <w:color w:val="000000" w:themeColor="text1"/>
          <w:szCs w:val="16"/>
        </w:rPr>
        <w:t>145</w:t>
      </w:r>
    </w:p>
    <w:p w14:paraId="4E14BC0D" w14:textId="77777777" w:rsidR="00A14B5D" w:rsidRPr="00781112" w:rsidRDefault="00A14B5D" w:rsidP="004369B2">
      <w:pPr>
        <w:rPr>
          <w:color w:val="000000" w:themeColor="text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4ACFFYAPRDATA"/>
      </w:tblPr>
      <w:tblGrid>
        <w:gridCol w:w="1410"/>
        <w:gridCol w:w="1897"/>
        <w:gridCol w:w="1368"/>
        <w:gridCol w:w="1890"/>
        <w:gridCol w:w="1260"/>
        <w:gridCol w:w="1439"/>
        <w:gridCol w:w="1526"/>
      </w:tblGrid>
      <w:tr w:rsidR="00450F98" w:rsidRPr="00781112" w14:paraId="25961F2E" w14:textId="5D241BED" w:rsidTr="00E95FBF">
        <w:trPr>
          <w:trHeight w:val="994"/>
          <w:jc w:val="center"/>
        </w:trPr>
        <w:tc>
          <w:tcPr>
            <w:tcW w:w="653" w:type="pct"/>
            <w:shd w:val="clear" w:color="auto" w:fill="auto"/>
            <w:vAlign w:val="bottom"/>
          </w:tcPr>
          <w:p w14:paraId="1D711F21" w14:textId="471FE8E2" w:rsidR="00450F98" w:rsidRPr="00781112" w:rsidRDefault="00450F98" w:rsidP="00450F98">
            <w:pPr>
              <w:jc w:val="center"/>
              <w:rPr>
                <w:rFonts w:cs="Arial"/>
                <w:b/>
                <w:color w:val="000000" w:themeColor="text1"/>
                <w:szCs w:val="16"/>
              </w:rPr>
            </w:pPr>
            <w:r w:rsidRPr="00781112">
              <w:rPr>
                <w:rFonts w:cs="Arial"/>
                <w:b/>
                <w:color w:val="000000" w:themeColor="text1"/>
                <w:szCs w:val="16"/>
              </w:rPr>
              <w:t>Number of LEAs that have a significant discrepancy</w:t>
            </w:r>
          </w:p>
        </w:tc>
        <w:tc>
          <w:tcPr>
            <w:tcW w:w="879" w:type="pct"/>
            <w:shd w:val="clear" w:color="auto" w:fill="auto"/>
            <w:vAlign w:val="bottom"/>
          </w:tcPr>
          <w:p w14:paraId="196C509D" w14:textId="54B65E72" w:rsidR="00450F98" w:rsidRPr="00781112" w:rsidRDefault="00450F98" w:rsidP="00450F98">
            <w:pPr>
              <w:jc w:val="center"/>
              <w:rPr>
                <w:rFonts w:cs="Arial"/>
                <w:b/>
                <w:color w:val="000000" w:themeColor="text1"/>
                <w:szCs w:val="16"/>
              </w:rPr>
            </w:pPr>
            <w:r w:rsidRPr="00781112">
              <w:rPr>
                <w:rFonts w:cs="Arial"/>
                <w:b/>
                <w:color w:val="000000" w:themeColor="text1"/>
                <w:szCs w:val="16"/>
              </w:rPr>
              <w:t>Number of LEAs that met the State's minimum n/cell size</w:t>
            </w:r>
          </w:p>
        </w:tc>
        <w:tc>
          <w:tcPr>
            <w:tcW w:w="634" w:type="pct"/>
            <w:shd w:val="clear" w:color="auto" w:fill="auto"/>
            <w:vAlign w:val="bottom"/>
          </w:tcPr>
          <w:p w14:paraId="20C8255F" w14:textId="289B64FE" w:rsidR="00450F98" w:rsidRPr="00073BD7" w:rsidRDefault="00450F98" w:rsidP="00450F98">
            <w:pPr>
              <w:jc w:val="center"/>
              <w:rPr>
                <w:rFonts w:cs="Arial"/>
                <w:b/>
                <w:bCs/>
                <w:color w:val="000000" w:themeColor="text1"/>
                <w:szCs w:val="16"/>
              </w:rPr>
            </w:pPr>
            <w:r w:rsidRPr="00073BD7">
              <w:rPr>
                <w:b/>
                <w:bCs/>
              </w:rPr>
              <w:t>FFY 2020 Data</w:t>
            </w:r>
          </w:p>
        </w:tc>
        <w:tc>
          <w:tcPr>
            <w:tcW w:w="876" w:type="pct"/>
            <w:shd w:val="clear" w:color="auto" w:fill="auto"/>
            <w:vAlign w:val="bottom"/>
          </w:tcPr>
          <w:p w14:paraId="2298BC2C" w14:textId="6C7E1A38" w:rsidR="00450F98" w:rsidRPr="00073BD7" w:rsidRDefault="00450F98" w:rsidP="00450F98">
            <w:pPr>
              <w:jc w:val="center"/>
              <w:rPr>
                <w:rFonts w:cs="Arial"/>
                <w:b/>
                <w:bCs/>
                <w:color w:val="000000" w:themeColor="text1"/>
                <w:szCs w:val="16"/>
              </w:rPr>
            </w:pPr>
            <w:r w:rsidRPr="00073BD7">
              <w:rPr>
                <w:b/>
                <w:bCs/>
              </w:rPr>
              <w:t>FFY 2021 Target</w:t>
            </w:r>
          </w:p>
        </w:tc>
        <w:tc>
          <w:tcPr>
            <w:tcW w:w="584" w:type="pct"/>
            <w:shd w:val="clear" w:color="auto" w:fill="auto"/>
            <w:vAlign w:val="bottom"/>
          </w:tcPr>
          <w:p w14:paraId="3E9B682A" w14:textId="3CC0CE28" w:rsidR="00450F98" w:rsidRPr="00073BD7" w:rsidRDefault="00450F98" w:rsidP="00450F98">
            <w:pPr>
              <w:jc w:val="center"/>
              <w:rPr>
                <w:rFonts w:cs="Arial"/>
                <w:b/>
                <w:bCs/>
                <w:color w:val="000000" w:themeColor="text1"/>
                <w:szCs w:val="16"/>
              </w:rPr>
            </w:pPr>
            <w:r w:rsidRPr="00073BD7">
              <w:rPr>
                <w:b/>
                <w:bCs/>
              </w:rPr>
              <w:t>FFY 2021 Data</w:t>
            </w:r>
          </w:p>
        </w:tc>
        <w:tc>
          <w:tcPr>
            <w:tcW w:w="667" w:type="pct"/>
            <w:shd w:val="clear" w:color="auto" w:fill="auto"/>
            <w:vAlign w:val="bottom"/>
          </w:tcPr>
          <w:p w14:paraId="7B5A071B" w14:textId="6C45C0BB" w:rsidR="00450F98" w:rsidRPr="00781112" w:rsidRDefault="00450F98" w:rsidP="00450F98">
            <w:pPr>
              <w:jc w:val="center"/>
              <w:rPr>
                <w:rFonts w:cs="Arial"/>
                <w:b/>
                <w:color w:val="000000" w:themeColor="text1"/>
                <w:szCs w:val="16"/>
              </w:rPr>
            </w:pPr>
            <w:r w:rsidRPr="00781112">
              <w:rPr>
                <w:rFonts w:cs="Arial"/>
                <w:b/>
                <w:color w:val="000000" w:themeColor="text1"/>
                <w:szCs w:val="16"/>
              </w:rPr>
              <w:t>Status</w:t>
            </w:r>
          </w:p>
        </w:tc>
        <w:tc>
          <w:tcPr>
            <w:tcW w:w="707" w:type="pct"/>
            <w:shd w:val="clear" w:color="auto" w:fill="auto"/>
            <w:vAlign w:val="bottom"/>
          </w:tcPr>
          <w:p w14:paraId="4D50491C" w14:textId="7F184394" w:rsidR="00450F98" w:rsidRPr="00781112" w:rsidRDefault="00450F98" w:rsidP="00450F98">
            <w:pPr>
              <w:jc w:val="center"/>
              <w:rPr>
                <w:rFonts w:cs="Arial"/>
                <w:b/>
                <w:color w:val="000000" w:themeColor="text1"/>
                <w:szCs w:val="16"/>
              </w:rPr>
            </w:pPr>
            <w:r w:rsidRPr="00781112">
              <w:rPr>
                <w:rFonts w:cs="Arial"/>
                <w:b/>
                <w:color w:val="000000" w:themeColor="text1"/>
                <w:szCs w:val="16"/>
              </w:rPr>
              <w:t>Slippage</w:t>
            </w:r>
          </w:p>
        </w:tc>
      </w:tr>
      <w:tr w:rsidR="005C29F8" w:rsidRPr="00781112" w14:paraId="0246961D" w14:textId="1C11943C" w:rsidTr="00E95FBF">
        <w:trPr>
          <w:trHeight w:val="233"/>
          <w:jc w:val="center"/>
        </w:trPr>
        <w:tc>
          <w:tcPr>
            <w:tcW w:w="653" w:type="pct"/>
            <w:shd w:val="clear" w:color="auto" w:fill="auto"/>
            <w:vAlign w:val="center"/>
          </w:tcPr>
          <w:p w14:paraId="0B36F15E" w14:textId="239D7181" w:rsidR="00A862C3" w:rsidRPr="00781112" w:rsidRDefault="002B7490" w:rsidP="00A018D4">
            <w:pPr>
              <w:jc w:val="center"/>
              <w:rPr>
                <w:rFonts w:cs="Arial"/>
                <w:color w:val="000000" w:themeColor="text1"/>
                <w:szCs w:val="16"/>
              </w:rPr>
            </w:pPr>
            <w:r w:rsidRPr="00781112">
              <w:rPr>
                <w:rFonts w:cs="Arial"/>
                <w:color w:val="000000" w:themeColor="text1"/>
                <w:szCs w:val="16"/>
              </w:rPr>
              <w:t>2</w:t>
            </w:r>
          </w:p>
        </w:tc>
        <w:tc>
          <w:tcPr>
            <w:tcW w:w="879" w:type="pct"/>
            <w:shd w:val="clear" w:color="auto" w:fill="auto"/>
          </w:tcPr>
          <w:p w14:paraId="77E03427" w14:textId="31D4B2F4" w:rsidR="00A862C3" w:rsidRPr="00781112" w:rsidRDefault="002B7490" w:rsidP="00A018D4">
            <w:pPr>
              <w:jc w:val="center"/>
              <w:rPr>
                <w:rFonts w:cs="Arial"/>
                <w:color w:val="000000" w:themeColor="text1"/>
                <w:szCs w:val="16"/>
              </w:rPr>
            </w:pPr>
            <w:r w:rsidRPr="00781112">
              <w:rPr>
                <w:rFonts w:cs="Arial"/>
                <w:color w:val="000000" w:themeColor="text1"/>
                <w:szCs w:val="16"/>
              </w:rPr>
              <w:t>11</w:t>
            </w:r>
          </w:p>
        </w:tc>
        <w:tc>
          <w:tcPr>
            <w:tcW w:w="634" w:type="pct"/>
            <w:shd w:val="clear" w:color="auto" w:fill="auto"/>
          </w:tcPr>
          <w:p w14:paraId="12EAED8C" w14:textId="23973C25" w:rsidR="00A862C3"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76" w:type="pct"/>
            <w:shd w:val="clear" w:color="auto" w:fill="auto"/>
          </w:tcPr>
          <w:p w14:paraId="0310AC78" w14:textId="48F7D944" w:rsidR="00A862C3"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584" w:type="pct"/>
            <w:shd w:val="clear" w:color="auto" w:fill="auto"/>
          </w:tcPr>
          <w:p w14:paraId="411F4E7C" w14:textId="0AFD7B4B" w:rsidR="00A862C3" w:rsidRPr="00781112" w:rsidRDefault="002B7490" w:rsidP="00A018D4">
            <w:pPr>
              <w:jc w:val="center"/>
              <w:rPr>
                <w:rFonts w:cs="Arial"/>
                <w:color w:val="000000" w:themeColor="text1"/>
                <w:szCs w:val="16"/>
              </w:rPr>
            </w:pPr>
            <w:r w:rsidRPr="00781112">
              <w:rPr>
                <w:rFonts w:cs="Arial"/>
                <w:color w:val="000000" w:themeColor="text1"/>
                <w:szCs w:val="16"/>
              </w:rPr>
              <w:t>18.18%</w:t>
            </w:r>
          </w:p>
        </w:tc>
        <w:tc>
          <w:tcPr>
            <w:tcW w:w="667" w:type="pct"/>
            <w:shd w:val="clear" w:color="auto" w:fill="auto"/>
          </w:tcPr>
          <w:p w14:paraId="000F74CB" w14:textId="0986D493" w:rsidR="00A862C3" w:rsidRPr="00781112" w:rsidRDefault="002B7490" w:rsidP="00A018D4">
            <w:pPr>
              <w:jc w:val="center"/>
              <w:rPr>
                <w:rFonts w:cs="Arial"/>
                <w:color w:val="000000" w:themeColor="text1"/>
                <w:szCs w:val="16"/>
              </w:rPr>
            </w:pPr>
            <w:r w:rsidRPr="00781112">
              <w:rPr>
                <w:rFonts w:cs="Arial"/>
                <w:color w:val="000000" w:themeColor="text1"/>
                <w:szCs w:val="16"/>
              </w:rPr>
              <w:t>N/A</w:t>
            </w:r>
          </w:p>
        </w:tc>
        <w:tc>
          <w:tcPr>
            <w:tcW w:w="707" w:type="pct"/>
            <w:shd w:val="clear" w:color="auto" w:fill="auto"/>
          </w:tcPr>
          <w:p w14:paraId="69708C33" w14:textId="1D4517AD" w:rsidR="00A862C3" w:rsidRPr="00781112" w:rsidRDefault="002B7490" w:rsidP="00A018D4">
            <w:pPr>
              <w:jc w:val="center"/>
              <w:rPr>
                <w:rFonts w:cs="Arial"/>
                <w:color w:val="000000" w:themeColor="text1"/>
                <w:szCs w:val="16"/>
              </w:rPr>
            </w:pPr>
            <w:r w:rsidRPr="00781112">
              <w:rPr>
                <w:rFonts w:cs="Arial"/>
                <w:color w:val="000000" w:themeColor="text1"/>
                <w:szCs w:val="16"/>
              </w:rPr>
              <w:t>N/A</w:t>
            </w:r>
          </w:p>
        </w:tc>
      </w:tr>
    </w:tbl>
    <w:p w14:paraId="278EEC3E" w14:textId="77777777" w:rsidR="006D741F" w:rsidRPr="00781112" w:rsidRDefault="00082667" w:rsidP="00286BDF">
      <w:pPr>
        <w:rPr>
          <w:rFonts w:cs="Arial"/>
          <w:b/>
          <w:color w:val="000000" w:themeColor="text1"/>
          <w:szCs w:val="16"/>
        </w:rPr>
      </w:pPr>
      <w:r w:rsidRPr="00781112">
        <w:rPr>
          <w:rFonts w:cs="Arial"/>
          <w:b/>
          <w:color w:val="000000" w:themeColor="text1"/>
          <w:szCs w:val="16"/>
        </w:rPr>
        <w:t xml:space="preserve">Choose one of the following comparison methodologies to determine whether significant discrepancies are occurring (34 CFR §300.170(a)) </w:t>
      </w:r>
    </w:p>
    <w:p w14:paraId="444FB8E0" w14:textId="3109DE1E" w:rsidR="002C705B" w:rsidRPr="00781112" w:rsidRDefault="002B7490" w:rsidP="00286BDF">
      <w:pPr>
        <w:rPr>
          <w:rFonts w:cs="Arial"/>
          <w:color w:val="000000" w:themeColor="text1"/>
          <w:szCs w:val="16"/>
        </w:rPr>
      </w:pPr>
      <w:r w:rsidRPr="00781112">
        <w:rPr>
          <w:rFonts w:cs="Arial"/>
          <w:color w:val="000000" w:themeColor="text1"/>
          <w:szCs w:val="16"/>
        </w:rPr>
        <w:t>Compare the rates of suspensions and expulsions of greater than 10 days in a school year for children with IEPs among LEAs in the State</w:t>
      </w:r>
    </w:p>
    <w:p w14:paraId="4F94634D" w14:textId="77777777" w:rsidR="00082667" w:rsidRPr="00781112" w:rsidRDefault="00082667" w:rsidP="00286BDF">
      <w:pPr>
        <w:rPr>
          <w:rFonts w:cs="Arial"/>
          <w:b/>
          <w:color w:val="000000" w:themeColor="text1"/>
          <w:szCs w:val="16"/>
        </w:rPr>
      </w:pPr>
      <w:r w:rsidRPr="00781112">
        <w:rPr>
          <w:rFonts w:cs="Arial"/>
          <w:b/>
          <w:color w:val="000000" w:themeColor="text1"/>
          <w:szCs w:val="16"/>
        </w:rPr>
        <w:t>State’s definition of “significant discrepancy” and methodology</w:t>
      </w:r>
    </w:p>
    <w:p w14:paraId="37248070" w14:textId="1657C005" w:rsidR="00A869E9" w:rsidRPr="00781112" w:rsidRDefault="002B7490" w:rsidP="0085119E">
      <w:pPr>
        <w:rPr>
          <w:rFonts w:cs="Arial"/>
          <w:color w:val="000000" w:themeColor="text1"/>
          <w:szCs w:val="16"/>
        </w:rPr>
      </w:pPr>
      <w:r w:rsidRPr="00781112">
        <w:rPr>
          <w:rFonts w:cs="Arial"/>
          <w:color w:val="000000" w:themeColor="text1"/>
          <w:szCs w:val="16"/>
        </w:rPr>
        <w:t xml:space="preserve">The USBE uses the "State bar" method for defining significant discrepancy. The FFY 2021 (school year (SY) 2020–2021) State rate for suspending/expelling students with disabilities among LEAs in the State for more than 10 days was 0.0542%. The USBE set the State bar as five times the State rate. Any LEA that suspended or expelled 0.27% or more of its students with disabilities for more than 10 days was identified for significant discrepancy. There must be an "n" size of at least 10 students with disabilities in the LEA in the denominator and two students in the numerator. Of the 156 LEAs in SY 2020-2021, 22 had students with disabilities who were suspended for more than 10 days and 134 did not have any students with disabilities who were suspended for more than 10 days. Of the 22 LEAs who had students with disabilities who were suspended for more than 10 days, 11 LEAs met the minimum n/cell </w:t>
      </w:r>
      <w:proofErr w:type="gramStart"/>
      <w:r w:rsidRPr="00781112">
        <w:rPr>
          <w:rFonts w:cs="Arial"/>
          <w:color w:val="000000" w:themeColor="text1"/>
          <w:szCs w:val="16"/>
        </w:rPr>
        <w:t>sizes</w:t>
      </w:r>
      <w:proofErr w:type="gramEnd"/>
      <w:r w:rsidRPr="00781112">
        <w:rPr>
          <w:rFonts w:cs="Arial"/>
          <w:color w:val="000000" w:themeColor="text1"/>
          <w:szCs w:val="16"/>
        </w:rPr>
        <w:t xml:space="preserve"> and 11 LEAs did not. Across the entire state, 47 students with disabilities were suspended for more than 10 days in SY 2020-2021.</w:t>
      </w:r>
      <w:r w:rsidRPr="00781112">
        <w:rPr>
          <w:rFonts w:cs="Arial"/>
          <w:color w:val="000000" w:themeColor="text1"/>
          <w:szCs w:val="16"/>
        </w:rPr>
        <w:br/>
      </w:r>
      <w:r w:rsidRPr="00781112">
        <w:rPr>
          <w:rFonts w:cs="Arial"/>
          <w:color w:val="000000" w:themeColor="text1"/>
          <w:szCs w:val="16"/>
        </w:rPr>
        <w:br/>
        <w:t xml:space="preserve">The USBE arrived at the count of 145 LEAs excluded from the calculation through two processes of elimination: </w:t>
      </w:r>
      <w:r w:rsidRPr="00781112">
        <w:rPr>
          <w:rFonts w:cs="Arial"/>
          <w:color w:val="000000" w:themeColor="text1"/>
          <w:szCs w:val="16"/>
        </w:rPr>
        <w:br/>
        <w:t>• 134 LEAs are excluded due to not having any students with disabilities suspended more than 10 days (does not meet the minimum cell size).</w:t>
      </w:r>
      <w:r w:rsidRPr="00781112">
        <w:rPr>
          <w:rFonts w:cs="Arial"/>
          <w:color w:val="000000" w:themeColor="text1"/>
          <w:szCs w:val="16"/>
        </w:rPr>
        <w:br/>
        <w:t xml:space="preserve">• 11 LEAs are excluded due to not </w:t>
      </w:r>
      <w:proofErr w:type="spellStart"/>
      <w:r w:rsidRPr="00781112">
        <w:rPr>
          <w:rFonts w:cs="Arial"/>
          <w:color w:val="000000" w:themeColor="text1"/>
          <w:szCs w:val="16"/>
        </w:rPr>
        <w:t>not</w:t>
      </w:r>
      <w:proofErr w:type="spellEnd"/>
      <w:r w:rsidRPr="00781112">
        <w:rPr>
          <w:rFonts w:cs="Arial"/>
          <w:color w:val="000000" w:themeColor="text1"/>
          <w:szCs w:val="16"/>
        </w:rPr>
        <w:t xml:space="preserve"> meeting the combination of minimum n and cell sizes.</w:t>
      </w:r>
      <w:r w:rsidRPr="00781112">
        <w:rPr>
          <w:rFonts w:cs="Arial"/>
          <w:color w:val="000000" w:themeColor="text1"/>
          <w:szCs w:val="16"/>
        </w:rPr>
        <w:br/>
      </w:r>
      <w:r w:rsidRPr="00781112">
        <w:rPr>
          <w:rFonts w:cs="Arial"/>
          <w:color w:val="000000" w:themeColor="text1"/>
          <w:szCs w:val="16"/>
        </w:rPr>
        <w:br/>
        <w:t>The total out-of-school suspensions/expulsions within an LEA during a school year is calculated by summing up all out-of-school removals (10% of the day or longer). Students with disabilities with &gt; 10 total days of out-of-school removals are identified. The USBE compares the LEA rate to the State rate. A significant discrepancy occurs when the LEA’s rate equals or exceeds five times the State rate. The target is 0% of LEAs with a significant discrepancy.</w:t>
      </w:r>
      <w:r w:rsidRPr="00781112">
        <w:rPr>
          <w:rFonts w:cs="Arial"/>
          <w:color w:val="000000" w:themeColor="text1"/>
          <w:szCs w:val="16"/>
        </w:rPr>
        <w:br/>
      </w:r>
      <w:r w:rsidRPr="00781112">
        <w:rPr>
          <w:rFonts w:cs="Arial"/>
          <w:color w:val="000000" w:themeColor="text1"/>
          <w:szCs w:val="16"/>
        </w:rPr>
        <w:br/>
        <w:t>As 4A is a results indicator, all LEAs identified for significant discrepancy are included in the numerator regardless of the result of their review of policies, procedures, and practices.</w:t>
      </w:r>
    </w:p>
    <w:p w14:paraId="47F07052" w14:textId="77777777" w:rsidR="00BB504D" w:rsidRPr="00781112" w:rsidRDefault="00BB504D" w:rsidP="004369B2">
      <w:pPr>
        <w:rPr>
          <w:b/>
          <w:color w:val="000000" w:themeColor="text1"/>
        </w:rPr>
      </w:pPr>
      <w:bookmarkStart w:id="32" w:name="_Toc384383334"/>
      <w:bookmarkStart w:id="33" w:name="_Toc392159286"/>
      <w:r w:rsidRPr="00781112">
        <w:rPr>
          <w:b/>
          <w:color w:val="000000" w:themeColor="text1"/>
        </w:rPr>
        <w:t>Provide additional information about this indicator (optional)</w:t>
      </w:r>
    </w:p>
    <w:p w14:paraId="0275E470" w14:textId="5748926D" w:rsidR="00A869E9" w:rsidRPr="00781112" w:rsidRDefault="002B7490" w:rsidP="000E33D0">
      <w:pPr>
        <w:rPr>
          <w:rFonts w:cs="Arial"/>
          <w:color w:val="000000" w:themeColor="text1"/>
          <w:szCs w:val="16"/>
        </w:rPr>
      </w:pPr>
      <w:r w:rsidRPr="00781112">
        <w:rPr>
          <w:rFonts w:cs="Arial"/>
          <w:color w:val="000000" w:themeColor="text1"/>
          <w:szCs w:val="16"/>
        </w:rPr>
        <w:t xml:space="preserve">The USBE worked directly with the IDC to improve and update the Indicator 4 process (including adjusting the State bar). The change in process required a revised baseline for consistency with the updated method. The change in the calculation method from five percentage points higher than the State rate (which would have made the State bar 5.05%) to five times the state rate (which makes the State bar 0.27%) led to an increase in LEAs identified. An LEA self-assessment of policies, procedures, and practices </w:t>
      </w:r>
      <w:proofErr w:type="gramStart"/>
      <w:r w:rsidRPr="00781112">
        <w:rPr>
          <w:rFonts w:cs="Arial"/>
          <w:color w:val="000000" w:themeColor="text1"/>
          <w:szCs w:val="16"/>
        </w:rPr>
        <w:t>in regards to</w:t>
      </w:r>
      <w:proofErr w:type="gramEnd"/>
      <w:r w:rsidRPr="00781112">
        <w:rPr>
          <w:rFonts w:cs="Arial"/>
          <w:color w:val="000000" w:themeColor="text1"/>
          <w:szCs w:val="16"/>
        </w:rPr>
        <w:t xml:space="preserve"> suspension and expulsion was conducted on the FFY 2021 data. This process increases the ability to identify and issue findings of noncompliance where appropriate. Two LEAs were identified for Indicator 4A in FFY 2021. The process of correction and verification is in process.</w:t>
      </w:r>
    </w:p>
    <w:bookmarkEnd w:id="32"/>
    <w:bookmarkEnd w:id="33"/>
    <w:p w14:paraId="227CCB46" w14:textId="77777777" w:rsidR="007E6F97" w:rsidRPr="00781112" w:rsidRDefault="007E6F97" w:rsidP="004369B2">
      <w:pPr>
        <w:rPr>
          <w:color w:val="000000" w:themeColor="text1"/>
        </w:rPr>
      </w:pPr>
    </w:p>
    <w:p w14:paraId="3F63E777" w14:textId="4BB19917" w:rsidR="00082667" w:rsidRPr="00781112" w:rsidRDefault="00082667" w:rsidP="004369B2">
      <w:pPr>
        <w:rPr>
          <w:color w:val="000000" w:themeColor="text1"/>
        </w:rPr>
      </w:pPr>
      <w:r w:rsidRPr="00781112">
        <w:rPr>
          <w:b/>
          <w:color w:val="000000" w:themeColor="text1"/>
        </w:rPr>
        <w:t>Review of Policies, Procedures, and Practices (completed in FFY 2021 using 2020-2021 data)</w:t>
      </w:r>
    </w:p>
    <w:p w14:paraId="76B39D83" w14:textId="1E1AB613" w:rsidR="00082667" w:rsidRPr="00781112" w:rsidRDefault="00571EAB" w:rsidP="00162F4A">
      <w:pPr>
        <w:rPr>
          <w:b/>
          <w:color w:val="000000" w:themeColor="text1"/>
        </w:rPr>
      </w:pPr>
      <w:r w:rsidRPr="00781112">
        <w:rPr>
          <w:b/>
          <w:color w:val="000000" w:themeColor="text1"/>
        </w:rPr>
        <w:t>Provide a description of the review of policies, procedures, and practices relating to the development and implementation of IEPs, the use of positive behavioral interventions and supports, and procedural safeguards.</w:t>
      </w:r>
    </w:p>
    <w:p w14:paraId="040DE8B4" w14:textId="52454A8A" w:rsidR="002D57DA" w:rsidRPr="00781112" w:rsidRDefault="002B7490" w:rsidP="00082667">
      <w:pPr>
        <w:rPr>
          <w:rFonts w:cs="Arial"/>
          <w:color w:val="000000" w:themeColor="text1"/>
          <w:szCs w:val="16"/>
        </w:rPr>
      </w:pPr>
      <w:r w:rsidRPr="00781112">
        <w:rPr>
          <w:rFonts w:cs="Arial"/>
          <w:color w:val="000000" w:themeColor="text1"/>
          <w:szCs w:val="16"/>
        </w:rPr>
        <w:t>LEAs who were identified as having a significant discrepancy were required to conduct a self-assessment of policies procedures and practices. The self-assessment included a review of the LEA’s discipline policies, procedures, and practices, as well as individual student record reviews regarding discipline procedures taken. The self-assessments were submitted to the USBE for determination of compliance.</w:t>
      </w:r>
      <w:r w:rsidRPr="00781112">
        <w:rPr>
          <w:rFonts w:cs="Arial"/>
          <w:color w:val="000000" w:themeColor="text1"/>
          <w:szCs w:val="16"/>
        </w:rPr>
        <w:br/>
      </w:r>
      <w:r w:rsidRPr="00781112">
        <w:rPr>
          <w:rFonts w:cs="Arial"/>
          <w:color w:val="000000" w:themeColor="text1"/>
          <w:szCs w:val="16"/>
        </w:rPr>
        <w:br/>
      </w:r>
      <w:r w:rsidRPr="00781112">
        <w:rPr>
          <w:rFonts w:cs="Arial"/>
          <w:color w:val="000000" w:themeColor="text1"/>
          <w:szCs w:val="16"/>
        </w:rPr>
        <w:lastRenderedPageBreak/>
        <w:t>The two LEAs identified as having significant discrepancy submitted self-assessments and were both identified as noncompliant. Documentation of manifestation determinations, parent receipt of Procedural Safeguards, and attempts to address student behavior were not documented,  and findings of noncompliance were issued.</w:t>
      </w:r>
    </w:p>
    <w:p w14:paraId="47497C41" w14:textId="77777777" w:rsidR="003B64C0" w:rsidRPr="00781112" w:rsidRDefault="003B64C0" w:rsidP="00082667">
      <w:pPr>
        <w:rPr>
          <w:rFonts w:cs="Arial"/>
          <w:color w:val="000000" w:themeColor="text1"/>
          <w:szCs w:val="16"/>
        </w:rPr>
      </w:pPr>
    </w:p>
    <w:p w14:paraId="38E1E629" w14:textId="1EF02333" w:rsidR="003B64C0" w:rsidRPr="00781112" w:rsidRDefault="003B64C0" w:rsidP="00082667">
      <w:pPr>
        <w:rPr>
          <w:rFonts w:cs="Arial"/>
          <w:color w:val="000000" w:themeColor="text1"/>
          <w:szCs w:val="16"/>
        </w:rPr>
      </w:pPr>
      <w:r w:rsidRPr="00781112">
        <w:rPr>
          <w:rFonts w:cs="Arial"/>
          <w:color w:val="000000" w:themeColor="text1"/>
          <w:szCs w:val="16"/>
        </w:rPr>
        <w:t xml:space="preserve">The State DID identify noncompliance with Part B requirements </w:t>
      </w:r>
      <w:proofErr w:type="gramStart"/>
      <w:r w:rsidRPr="00781112">
        <w:rPr>
          <w:rFonts w:cs="Arial"/>
          <w:color w:val="000000" w:themeColor="text1"/>
          <w:szCs w:val="16"/>
        </w:rPr>
        <w:t>as a result of</w:t>
      </w:r>
      <w:proofErr w:type="gramEnd"/>
      <w:r w:rsidRPr="00781112">
        <w:rPr>
          <w:rFonts w:cs="Arial"/>
          <w:color w:val="000000" w:themeColor="text1"/>
          <w:szCs w:val="16"/>
        </w:rPr>
        <w:t xml:space="preserve"> the review required by 34 CFR §300.170(b).</w:t>
      </w:r>
    </w:p>
    <w:p w14:paraId="2F8EF51C" w14:textId="56A16050" w:rsidR="00EA1474" w:rsidRPr="00781112" w:rsidRDefault="00EA1474" w:rsidP="000D3273">
      <w:pPr>
        <w:rPr>
          <w:rFonts w:cs="Arial"/>
          <w:color w:val="000000" w:themeColor="text1"/>
          <w:szCs w:val="16"/>
        </w:rPr>
      </w:pPr>
      <w:r w:rsidRPr="00781112">
        <w:rPr>
          <w:rFonts w:cs="Arial"/>
          <w:b/>
          <w:color w:val="000000" w:themeColor="text1"/>
          <w:szCs w:val="16"/>
        </w:rPr>
        <w:t>If YES, select one of the following:</w:t>
      </w:r>
    </w:p>
    <w:p w14:paraId="41D44805" w14:textId="3EC1E585" w:rsidR="000D3273" w:rsidRPr="00781112" w:rsidRDefault="003B64C0" w:rsidP="000D3273">
      <w:pPr>
        <w:rPr>
          <w:rFonts w:cs="Arial"/>
          <w:color w:val="000000" w:themeColor="text1"/>
          <w:szCs w:val="16"/>
        </w:rPr>
      </w:pPr>
      <w:r w:rsidRPr="00781112">
        <w:rPr>
          <w:rFonts w:cs="Arial"/>
          <w:color w:val="000000" w:themeColor="text1"/>
          <w:szCs w:val="16"/>
        </w:rPr>
        <w:t>The State did NOT ensure that such policies, procedures, and practices were revised to comply with applicable requirements consistent with OSEP Memorandum 09-02, dated October 17, 2008.</w:t>
      </w:r>
    </w:p>
    <w:p w14:paraId="6DA50664" w14:textId="61BECAA5" w:rsidR="002D57DA" w:rsidRPr="00781112" w:rsidRDefault="002D57DA" w:rsidP="001011BB">
      <w:pPr>
        <w:tabs>
          <w:tab w:val="left" w:pos="4068"/>
        </w:tabs>
        <w:rPr>
          <w:rFonts w:cs="Arial"/>
          <w:b/>
          <w:color w:val="000000" w:themeColor="text1"/>
          <w:szCs w:val="16"/>
        </w:rPr>
      </w:pPr>
      <w:r w:rsidRPr="00781112">
        <w:rPr>
          <w:rFonts w:cs="Arial"/>
          <w:b/>
          <w:color w:val="000000" w:themeColor="text1"/>
          <w:szCs w:val="16"/>
        </w:rPr>
        <w:t>The State must report on the correction of noncompliance in next year's SPP/APR consistent with requirements in the Measurement Table and OSEP Memorandum 09-02, dated October 17, 2008. Please explain why the State did not ensure that policies, procedures, and practices were revised to comply with applicable requirements</w:t>
      </w:r>
      <w:r w:rsidRPr="00781112">
        <w:rPr>
          <w:rFonts w:cs="Arial"/>
          <w:b/>
          <w:i/>
          <w:color w:val="000000" w:themeColor="text1"/>
          <w:szCs w:val="16"/>
        </w:rPr>
        <w:t>.</w:t>
      </w:r>
    </w:p>
    <w:p w14:paraId="6EF32908" w14:textId="05683DB9" w:rsidR="002D57DA" w:rsidRPr="00781112" w:rsidRDefault="002B7490" w:rsidP="001011BB">
      <w:pPr>
        <w:tabs>
          <w:tab w:val="left" w:pos="4068"/>
        </w:tabs>
        <w:rPr>
          <w:rFonts w:cs="Arial"/>
          <w:color w:val="000000" w:themeColor="text1"/>
          <w:szCs w:val="16"/>
        </w:rPr>
      </w:pPr>
      <w:r w:rsidRPr="00781112">
        <w:rPr>
          <w:rFonts w:cs="Arial"/>
          <w:color w:val="000000" w:themeColor="text1"/>
          <w:szCs w:val="16"/>
        </w:rPr>
        <w:t>The USBE has not completed the process to ensure LEA policies, procedures, and practices have been revised. The USBE will ensure LEA policies, procedures and practices are revised. This will be verified through the correction of findings of noncompliance in which the USBE will verify that each individual case of noncompliance has been corrected and each LEA is correctly implementing regulatory requirements. The completion of this process will be reported in the FFY 2022 SPP/APR.</w:t>
      </w:r>
    </w:p>
    <w:p w14:paraId="1295BAEB" w14:textId="77777777" w:rsidR="007E6F97" w:rsidRPr="00781112" w:rsidRDefault="007E6F97" w:rsidP="004369B2">
      <w:pPr>
        <w:rPr>
          <w:color w:val="000000" w:themeColor="text1"/>
        </w:rPr>
      </w:pPr>
      <w:bookmarkStart w:id="34" w:name="_Toc381956335"/>
      <w:bookmarkStart w:id="35" w:name="_Toc384383336"/>
      <w:bookmarkStart w:id="36" w:name="_Toc392159288"/>
    </w:p>
    <w:p w14:paraId="0496594E" w14:textId="774AE8E9" w:rsidR="00B9048A" w:rsidRPr="00781112" w:rsidRDefault="00450F98" w:rsidP="004369B2">
      <w:pPr>
        <w:rPr>
          <w:color w:val="000000" w:themeColor="text1"/>
        </w:rPr>
      </w:pPr>
      <w:r>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PFFYNCFINDINGS"/>
      </w:tblPr>
      <w:tblGrid>
        <w:gridCol w:w="2613"/>
        <w:gridCol w:w="2743"/>
        <w:gridCol w:w="2620"/>
        <w:gridCol w:w="2814"/>
      </w:tblGrid>
      <w:tr w:rsidR="005C29F8" w:rsidRPr="00781112" w14:paraId="5E5B522D" w14:textId="77777777" w:rsidTr="000D3273">
        <w:trPr>
          <w:trHeight w:val="389"/>
          <w:tblHeader/>
        </w:trPr>
        <w:tc>
          <w:tcPr>
            <w:tcW w:w="1211" w:type="pct"/>
            <w:shd w:val="clear" w:color="auto" w:fill="auto"/>
            <w:vAlign w:val="bottom"/>
          </w:tcPr>
          <w:p w14:paraId="16ECB6B7"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of Noncompliance Identified</w:t>
            </w:r>
          </w:p>
        </w:tc>
        <w:tc>
          <w:tcPr>
            <w:tcW w:w="1271" w:type="pct"/>
            <w:shd w:val="clear" w:color="auto" w:fill="auto"/>
            <w:vAlign w:val="bottom"/>
          </w:tcPr>
          <w:p w14:paraId="122A58DC"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14" w:type="pct"/>
            <w:shd w:val="clear" w:color="auto" w:fill="auto"/>
            <w:vAlign w:val="bottom"/>
          </w:tcPr>
          <w:p w14:paraId="7D9FA33F"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304" w:type="pct"/>
            <w:shd w:val="clear" w:color="auto" w:fill="auto"/>
            <w:vAlign w:val="bottom"/>
          </w:tcPr>
          <w:p w14:paraId="704691FC"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41836014" w14:textId="77777777" w:rsidTr="000D3273">
        <w:tc>
          <w:tcPr>
            <w:tcW w:w="1211" w:type="pct"/>
            <w:shd w:val="clear" w:color="auto" w:fill="auto"/>
          </w:tcPr>
          <w:p w14:paraId="706C7C42" w14:textId="616D64A9" w:rsidR="00B9048A"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71" w:type="pct"/>
            <w:shd w:val="clear" w:color="auto" w:fill="auto"/>
          </w:tcPr>
          <w:p w14:paraId="0CE7F01B" w14:textId="4009BBFE" w:rsidR="00B9048A"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14" w:type="pct"/>
            <w:shd w:val="clear" w:color="auto" w:fill="auto"/>
          </w:tcPr>
          <w:p w14:paraId="38F306AA" w14:textId="2CC74FE3" w:rsidR="00B9048A"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304" w:type="pct"/>
            <w:shd w:val="clear" w:color="auto" w:fill="auto"/>
          </w:tcPr>
          <w:p w14:paraId="5E536CD7" w14:textId="387A8666" w:rsidR="00B9048A" w:rsidRPr="00781112" w:rsidRDefault="002B7490" w:rsidP="00A018D4">
            <w:pPr>
              <w:jc w:val="center"/>
              <w:rPr>
                <w:rFonts w:cs="Arial"/>
                <w:color w:val="000000" w:themeColor="text1"/>
                <w:szCs w:val="16"/>
              </w:rPr>
            </w:pPr>
            <w:r w:rsidRPr="00781112">
              <w:rPr>
                <w:rFonts w:cs="Arial"/>
                <w:color w:val="000000" w:themeColor="text1"/>
                <w:szCs w:val="16"/>
              </w:rPr>
              <w:t>0</w:t>
            </w:r>
          </w:p>
        </w:tc>
      </w:tr>
    </w:tbl>
    <w:p w14:paraId="6809AF49" w14:textId="317C63F0" w:rsidR="00B9048A" w:rsidRPr="00781112" w:rsidRDefault="00450F98" w:rsidP="004369B2">
      <w:pPr>
        <w:rPr>
          <w:color w:val="000000" w:themeColor="text1"/>
        </w:rPr>
      </w:pPr>
      <w:r>
        <w:rPr>
          <w:b/>
          <w:color w:val="000000" w:themeColor="text1"/>
        </w:rPr>
        <w:t>Correction of Findings of Noncompliance Identified Prior to FFY 2020</w:t>
      </w:r>
    </w:p>
    <w:tbl>
      <w:tblPr>
        <w:tblStyle w:val="TableGrid"/>
        <w:tblW w:w="5000" w:type="pct"/>
        <w:tblLook w:val="04A0" w:firstRow="1" w:lastRow="0" w:firstColumn="1" w:lastColumn="0" w:noHBand="0" w:noVBand="1"/>
        <w:tblCaption w:val="PPFFYNCFINDINGS"/>
      </w:tblPr>
      <w:tblGrid>
        <w:gridCol w:w="2216"/>
        <w:gridCol w:w="2922"/>
        <w:gridCol w:w="2913"/>
        <w:gridCol w:w="2739"/>
      </w:tblGrid>
      <w:tr w:rsidR="005C29F8" w:rsidRPr="00781112" w14:paraId="6E94B7A5" w14:textId="77777777" w:rsidTr="00AB0D6A">
        <w:trPr>
          <w:tblHeader/>
        </w:trPr>
        <w:tc>
          <w:tcPr>
            <w:tcW w:w="1027" w:type="pct"/>
            <w:shd w:val="clear" w:color="auto" w:fill="auto"/>
            <w:vAlign w:val="bottom"/>
          </w:tcPr>
          <w:p w14:paraId="673CA265" w14:textId="007E8E78" w:rsidR="00B9048A" w:rsidRPr="00781112" w:rsidRDefault="0016730D" w:rsidP="001F692C">
            <w:pPr>
              <w:jc w:val="center"/>
              <w:rPr>
                <w:rFonts w:cs="Arial"/>
                <w:b/>
                <w:color w:val="000000" w:themeColor="text1"/>
                <w:szCs w:val="16"/>
              </w:rPr>
            </w:pPr>
            <w:r w:rsidRPr="00781112">
              <w:rPr>
                <w:rFonts w:cs="Arial"/>
                <w:b/>
                <w:color w:val="000000" w:themeColor="text1"/>
                <w:szCs w:val="16"/>
              </w:rPr>
              <w:t>Year Findings of Noncompliance Were Identified</w:t>
            </w:r>
          </w:p>
        </w:tc>
        <w:tc>
          <w:tcPr>
            <w:tcW w:w="1354" w:type="pct"/>
            <w:shd w:val="clear" w:color="auto" w:fill="auto"/>
            <w:vAlign w:val="bottom"/>
          </w:tcPr>
          <w:p w14:paraId="1C2EE691" w14:textId="0C12AD48" w:rsidR="00B9048A" w:rsidRPr="00781112" w:rsidRDefault="00450F98" w:rsidP="001F692C">
            <w:pPr>
              <w:jc w:val="center"/>
              <w:rPr>
                <w:rFonts w:cs="Arial"/>
                <w:b/>
                <w:color w:val="000000" w:themeColor="text1"/>
                <w:szCs w:val="16"/>
              </w:rPr>
            </w:pPr>
            <w:r>
              <w:rPr>
                <w:rFonts w:cs="Arial"/>
                <w:b/>
                <w:color w:val="000000" w:themeColor="text1"/>
                <w:szCs w:val="16"/>
              </w:rPr>
              <w:t>Findings of Noncompliance Not Yet Verified as Corrected as of FFY 2020 APR</w:t>
            </w:r>
          </w:p>
        </w:tc>
        <w:tc>
          <w:tcPr>
            <w:tcW w:w="1350" w:type="pct"/>
            <w:shd w:val="clear" w:color="auto" w:fill="auto"/>
            <w:vAlign w:val="bottom"/>
          </w:tcPr>
          <w:p w14:paraId="4E501567"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269" w:type="pct"/>
            <w:shd w:val="clear" w:color="auto" w:fill="auto"/>
            <w:vAlign w:val="bottom"/>
          </w:tcPr>
          <w:p w14:paraId="7151EA41"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280087A2" w14:textId="77777777" w:rsidTr="00AB0D6A">
        <w:tc>
          <w:tcPr>
            <w:tcW w:w="1027" w:type="pct"/>
            <w:shd w:val="clear" w:color="auto" w:fill="auto"/>
          </w:tcPr>
          <w:p w14:paraId="5A5634D8" w14:textId="5AC3BEAC" w:rsidR="000C7B90" w:rsidRPr="00781112" w:rsidRDefault="000C7B90" w:rsidP="00A018D4">
            <w:pPr>
              <w:jc w:val="center"/>
              <w:rPr>
                <w:rFonts w:cs="Arial"/>
                <w:color w:val="000000" w:themeColor="text1"/>
                <w:szCs w:val="16"/>
              </w:rPr>
            </w:pPr>
          </w:p>
        </w:tc>
        <w:tc>
          <w:tcPr>
            <w:tcW w:w="1354" w:type="pct"/>
            <w:shd w:val="clear" w:color="auto" w:fill="auto"/>
          </w:tcPr>
          <w:p w14:paraId="38361EB5" w14:textId="479B3693" w:rsidR="000C7B90" w:rsidRPr="00781112" w:rsidRDefault="000C7B90">
            <w:pPr>
              <w:jc w:val="center"/>
              <w:rPr>
                <w:rFonts w:cs="Arial"/>
                <w:noProof/>
                <w:color w:val="000000" w:themeColor="text1"/>
                <w:szCs w:val="16"/>
              </w:rPr>
            </w:pPr>
          </w:p>
        </w:tc>
        <w:tc>
          <w:tcPr>
            <w:tcW w:w="1350" w:type="pct"/>
            <w:shd w:val="clear" w:color="auto" w:fill="auto"/>
          </w:tcPr>
          <w:p w14:paraId="0F44D03C" w14:textId="3887F715" w:rsidR="000C7B90" w:rsidRPr="00781112" w:rsidRDefault="000C7B90">
            <w:pPr>
              <w:jc w:val="center"/>
              <w:rPr>
                <w:rFonts w:cs="Arial"/>
                <w:noProof/>
                <w:color w:val="000000" w:themeColor="text1"/>
                <w:szCs w:val="16"/>
              </w:rPr>
            </w:pPr>
          </w:p>
        </w:tc>
        <w:tc>
          <w:tcPr>
            <w:tcW w:w="1269" w:type="pct"/>
            <w:shd w:val="clear" w:color="auto" w:fill="auto"/>
          </w:tcPr>
          <w:p w14:paraId="5DF55667" w14:textId="0913E6B4" w:rsidR="000C7B90" w:rsidRPr="00781112" w:rsidRDefault="000C7B90">
            <w:pPr>
              <w:jc w:val="center"/>
              <w:rPr>
                <w:rFonts w:cs="Arial"/>
                <w:noProof/>
                <w:color w:val="000000" w:themeColor="text1"/>
                <w:szCs w:val="16"/>
              </w:rPr>
            </w:pPr>
          </w:p>
        </w:tc>
      </w:tr>
      <w:tr w:rsidR="005C29F8" w:rsidRPr="00781112" w14:paraId="3BB76F7F" w14:textId="77777777" w:rsidTr="00AB0D6A">
        <w:tc>
          <w:tcPr>
            <w:tcW w:w="1027" w:type="pct"/>
            <w:shd w:val="clear" w:color="auto" w:fill="auto"/>
          </w:tcPr>
          <w:p w14:paraId="3E53BDFC" w14:textId="49B50F7D" w:rsidR="000C7B90" w:rsidRPr="00781112" w:rsidRDefault="000C7B90" w:rsidP="00A018D4">
            <w:pPr>
              <w:jc w:val="center"/>
              <w:rPr>
                <w:rFonts w:cs="Arial"/>
                <w:color w:val="000000" w:themeColor="text1"/>
                <w:szCs w:val="16"/>
              </w:rPr>
            </w:pPr>
          </w:p>
        </w:tc>
        <w:tc>
          <w:tcPr>
            <w:tcW w:w="1354" w:type="pct"/>
            <w:shd w:val="clear" w:color="auto" w:fill="auto"/>
          </w:tcPr>
          <w:p w14:paraId="2DAC4ACF" w14:textId="6DFB36C9" w:rsidR="000C7B90" w:rsidRPr="00781112" w:rsidRDefault="000C7B90">
            <w:pPr>
              <w:jc w:val="center"/>
              <w:rPr>
                <w:rFonts w:cs="Arial"/>
                <w:noProof/>
                <w:color w:val="000000" w:themeColor="text1"/>
                <w:szCs w:val="16"/>
              </w:rPr>
            </w:pPr>
          </w:p>
        </w:tc>
        <w:tc>
          <w:tcPr>
            <w:tcW w:w="1350" w:type="pct"/>
            <w:shd w:val="clear" w:color="auto" w:fill="auto"/>
          </w:tcPr>
          <w:p w14:paraId="45BEAE02" w14:textId="10E4F499" w:rsidR="000C7B90" w:rsidRPr="00781112" w:rsidRDefault="000C7B90">
            <w:pPr>
              <w:jc w:val="center"/>
              <w:rPr>
                <w:rFonts w:cs="Arial"/>
                <w:noProof/>
                <w:color w:val="000000" w:themeColor="text1"/>
                <w:szCs w:val="16"/>
              </w:rPr>
            </w:pPr>
          </w:p>
        </w:tc>
        <w:tc>
          <w:tcPr>
            <w:tcW w:w="1269" w:type="pct"/>
            <w:shd w:val="clear" w:color="auto" w:fill="auto"/>
          </w:tcPr>
          <w:p w14:paraId="3F264F27" w14:textId="46B36D97" w:rsidR="000C7B90" w:rsidRPr="00781112" w:rsidRDefault="000C7B90">
            <w:pPr>
              <w:jc w:val="center"/>
              <w:rPr>
                <w:rFonts w:cs="Arial"/>
                <w:noProof/>
                <w:color w:val="000000" w:themeColor="text1"/>
                <w:szCs w:val="16"/>
              </w:rPr>
            </w:pPr>
          </w:p>
        </w:tc>
      </w:tr>
      <w:tr w:rsidR="005C29F8" w:rsidRPr="00781112" w14:paraId="21B66B81" w14:textId="77777777" w:rsidTr="00AB0D6A">
        <w:tc>
          <w:tcPr>
            <w:tcW w:w="1027" w:type="pct"/>
            <w:shd w:val="clear" w:color="auto" w:fill="auto"/>
          </w:tcPr>
          <w:p w14:paraId="65918C5C" w14:textId="6650DAE7" w:rsidR="000C7B90" w:rsidRPr="00781112" w:rsidRDefault="000C7B90" w:rsidP="00A018D4">
            <w:pPr>
              <w:jc w:val="center"/>
              <w:rPr>
                <w:rFonts w:cs="Arial"/>
                <w:color w:val="000000" w:themeColor="text1"/>
                <w:szCs w:val="16"/>
              </w:rPr>
            </w:pPr>
          </w:p>
        </w:tc>
        <w:tc>
          <w:tcPr>
            <w:tcW w:w="1354" w:type="pct"/>
            <w:shd w:val="clear" w:color="auto" w:fill="auto"/>
          </w:tcPr>
          <w:p w14:paraId="1BC28F5F" w14:textId="383929AE" w:rsidR="000C7B90" w:rsidRPr="00781112" w:rsidRDefault="000C7B90">
            <w:pPr>
              <w:jc w:val="center"/>
              <w:rPr>
                <w:rFonts w:cs="Arial"/>
                <w:noProof/>
                <w:color w:val="000000" w:themeColor="text1"/>
                <w:szCs w:val="16"/>
              </w:rPr>
            </w:pPr>
          </w:p>
        </w:tc>
        <w:tc>
          <w:tcPr>
            <w:tcW w:w="1350" w:type="pct"/>
            <w:shd w:val="clear" w:color="auto" w:fill="auto"/>
          </w:tcPr>
          <w:p w14:paraId="12030336" w14:textId="25AE5462" w:rsidR="000C7B90" w:rsidRPr="00781112" w:rsidRDefault="000C7B90">
            <w:pPr>
              <w:jc w:val="center"/>
              <w:rPr>
                <w:rFonts w:cs="Arial"/>
                <w:noProof/>
                <w:color w:val="000000" w:themeColor="text1"/>
                <w:szCs w:val="16"/>
              </w:rPr>
            </w:pPr>
          </w:p>
        </w:tc>
        <w:tc>
          <w:tcPr>
            <w:tcW w:w="1269" w:type="pct"/>
            <w:shd w:val="clear" w:color="auto" w:fill="auto"/>
          </w:tcPr>
          <w:p w14:paraId="189EDDF9" w14:textId="00F3EE08" w:rsidR="000C7B90" w:rsidRPr="00781112" w:rsidRDefault="000C7B90">
            <w:pPr>
              <w:jc w:val="center"/>
              <w:rPr>
                <w:rFonts w:cs="Arial"/>
                <w:noProof/>
                <w:color w:val="000000" w:themeColor="text1"/>
                <w:szCs w:val="16"/>
              </w:rPr>
            </w:pPr>
          </w:p>
        </w:tc>
      </w:tr>
    </w:tbl>
    <w:p w14:paraId="21AE82C7" w14:textId="33B9781C" w:rsidR="004E2151" w:rsidRPr="00781112" w:rsidRDefault="00697434" w:rsidP="008645AD">
      <w:pPr>
        <w:pStyle w:val="Heading2"/>
      </w:pPr>
      <w:r w:rsidRPr="00781112">
        <w:t>4A</w:t>
      </w:r>
      <w:r w:rsidR="00DA3C7A" w:rsidRPr="00781112">
        <w:t xml:space="preserve"> </w:t>
      </w:r>
      <w:r w:rsidRPr="00781112">
        <w:t xml:space="preserve">- </w:t>
      </w:r>
      <w:r w:rsidR="004E2151" w:rsidRPr="00781112">
        <w:t>Prior FFY Required Actions</w:t>
      </w:r>
    </w:p>
    <w:p w14:paraId="3EDBC3E4" w14:textId="0BA98152" w:rsidR="004E2151" w:rsidRPr="00781112" w:rsidRDefault="002B7490" w:rsidP="004E2151">
      <w:pPr>
        <w:rPr>
          <w:rFonts w:cs="Arial"/>
          <w:color w:val="000000" w:themeColor="text1"/>
          <w:szCs w:val="16"/>
        </w:rPr>
      </w:pPr>
      <w:r w:rsidRPr="00781112">
        <w:rPr>
          <w:rFonts w:cs="Arial"/>
          <w:color w:val="000000" w:themeColor="text1"/>
          <w:szCs w:val="16"/>
        </w:rPr>
        <w:t>None</w:t>
      </w:r>
    </w:p>
    <w:p w14:paraId="54E863CC" w14:textId="77777777" w:rsidR="009B02BC" w:rsidRPr="00781112" w:rsidRDefault="009B02BC" w:rsidP="004E2151">
      <w:pPr>
        <w:rPr>
          <w:rFonts w:cs="Arial"/>
          <w:color w:val="000000" w:themeColor="text1"/>
          <w:szCs w:val="16"/>
        </w:rPr>
      </w:pPr>
    </w:p>
    <w:p w14:paraId="1480A7D2" w14:textId="5B38CB62" w:rsidR="009B02BC" w:rsidRPr="00781112" w:rsidRDefault="009B02BC" w:rsidP="004E2151">
      <w:pPr>
        <w:rPr>
          <w:rFonts w:cs="Arial"/>
          <w:color w:val="000000" w:themeColor="text1"/>
          <w:szCs w:val="16"/>
        </w:rPr>
      </w:pPr>
    </w:p>
    <w:p w14:paraId="537673C8" w14:textId="6D41A3A2" w:rsidR="005115D6" w:rsidRPr="00781112" w:rsidRDefault="001E2193" w:rsidP="008645AD">
      <w:pPr>
        <w:pStyle w:val="Heading2"/>
      </w:pPr>
      <w:r w:rsidRPr="00781112">
        <w:t>4A - OSEP Response</w:t>
      </w:r>
    </w:p>
    <w:p w14:paraId="6408916F" w14:textId="5ADBBBB9" w:rsidR="002D57DA" w:rsidRPr="00781112" w:rsidRDefault="002B7490" w:rsidP="00212954">
      <w:pPr>
        <w:rPr>
          <w:rFonts w:cs="Arial"/>
          <w:color w:val="000000" w:themeColor="text1"/>
          <w:szCs w:val="16"/>
        </w:rPr>
      </w:pPr>
      <w:r w:rsidRPr="00781112">
        <w:rPr>
          <w:rFonts w:cs="Arial"/>
          <w:color w:val="000000" w:themeColor="text1"/>
          <w:szCs w:val="16"/>
        </w:rPr>
        <w:t>The State has revised the baseline for this indicator, using data from FFY 2021, and OSEP accepts that revision.</w:t>
      </w:r>
      <w:r w:rsidRPr="00781112">
        <w:rPr>
          <w:rFonts w:cs="Arial"/>
          <w:color w:val="000000" w:themeColor="text1"/>
          <w:szCs w:val="16"/>
        </w:rPr>
        <w:br/>
      </w:r>
      <w:r w:rsidRPr="00781112">
        <w:rPr>
          <w:rFonts w:cs="Arial"/>
          <w:color w:val="000000" w:themeColor="text1"/>
          <w:szCs w:val="16"/>
        </w:rPr>
        <w:br/>
        <w:t>In the FFY 2021 SPP/APR the State included a very low percentage of the State’s LEAs in its analysis of rates of suspension and expulsion of greater than 10 days in a school year for children with IEPs. OSEP reminds the State that if the examination for significant discrepancies in the rates of suspensions and expulsions greater than 10 days in a school year for children with IEPs is not occurring in any meaningful way at the LEA level, OSEP may determine that a State’s chosen methodology is not reasonably designed to determine if significant discrepancies are occurring in the rate of long-term suspensions and expulsions of children with IEPs.</w:t>
      </w:r>
      <w:r w:rsidRPr="00781112">
        <w:rPr>
          <w:rFonts w:cs="Arial"/>
          <w:color w:val="000000" w:themeColor="text1"/>
          <w:szCs w:val="16"/>
        </w:rPr>
        <w:br/>
      </w:r>
      <w:r w:rsidRPr="00781112">
        <w:rPr>
          <w:rFonts w:cs="Arial"/>
          <w:color w:val="000000" w:themeColor="text1"/>
          <w:szCs w:val="16"/>
        </w:rPr>
        <w:br/>
        <w:t>Additionally, the State’s chosen methodology results in a threshold for measuring significant discrepancy in the rate of long-term suspensions and expulsions of children with IEPs that falls above the median of thresholds used by all States.</w:t>
      </w:r>
    </w:p>
    <w:p w14:paraId="146BDB91" w14:textId="0A2F7969" w:rsidR="005115D6" w:rsidRPr="00781112" w:rsidRDefault="00697434" w:rsidP="008645AD">
      <w:pPr>
        <w:pStyle w:val="Heading2"/>
      </w:pPr>
      <w:r w:rsidRPr="00781112">
        <w:t>4A - Required Actions</w:t>
      </w:r>
    </w:p>
    <w:p w14:paraId="37BECDFE" w14:textId="2A43AB88" w:rsidR="002D57DA" w:rsidRPr="00781112" w:rsidRDefault="002B7490" w:rsidP="00212954">
      <w:pPr>
        <w:rPr>
          <w:rFonts w:cs="Arial"/>
          <w:color w:val="000000" w:themeColor="text1"/>
          <w:szCs w:val="16"/>
        </w:rPr>
      </w:pPr>
      <w:r w:rsidRPr="00781112">
        <w:rPr>
          <w:rFonts w:cs="Arial"/>
          <w:color w:val="000000" w:themeColor="text1"/>
          <w:szCs w:val="16"/>
        </w:rPr>
        <w:t xml:space="preserve">The State must report, in the FFY 2022 SPP/APR, on the correction of noncompliance that the State identified in FFY 2021 </w:t>
      </w:r>
      <w:proofErr w:type="gramStart"/>
      <w:r w:rsidRPr="00781112">
        <w:rPr>
          <w:rFonts w:cs="Arial"/>
          <w:color w:val="000000" w:themeColor="text1"/>
          <w:szCs w:val="16"/>
        </w:rPr>
        <w:t>as a result of</w:t>
      </w:r>
      <w:proofErr w:type="gramEnd"/>
      <w:r w:rsidRPr="00781112">
        <w:rPr>
          <w:rFonts w:cs="Arial"/>
          <w:color w:val="000000" w:themeColor="text1"/>
          <w:szCs w:val="16"/>
        </w:rPr>
        <w:t xml:space="preserve"> the review it conducted pursuant to 34 C.F.R. § 300.170(b). When reporting on the correction of this noncompliance, the State must report that it has verified that each district with noncompliance identified by the State: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district, consistent with OSEP Memo 09-02. In the FFY 2022 SPP/APR, the State must describe the specific actions that were taken to verify the correction.</w:t>
      </w:r>
      <w:r w:rsidRPr="00781112">
        <w:rPr>
          <w:rFonts w:cs="Arial"/>
          <w:color w:val="000000" w:themeColor="text1"/>
          <w:szCs w:val="16"/>
        </w:rPr>
        <w:br/>
      </w:r>
      <w:r w:rsidRPr="00781112">
        <w:rPr>
          <w:rFonts w:cs="Arial"/>
          <w:color w:val="000000" w:themeColor="text1"/>
          <w:szCs w:val="16"/>
        </w:rPr>
        <w:br/>
        <w:t xml:space="preserve">In the FFY 2022 SPP/APR, the State must explain how its methodology is reasonably designed to determine if significant discrepancies are occurring in the rate of suspensions and expulsions of greater than 10 days in a school year for children with IEPs, including how the State’s LEAs are being examined for significant discrepancy under the State’s chosen methodology, and how the State’s threshold for measuring significant discrepancy in the rate of long-term suspensions and expulsions is reasonably designed. </w:t>
      </w:r>
    </w:p>
    <w:p w14:paraId="5E6ED969" w14:textId="77777777" w:rsidR="00600E15" w:rsidRPr="00781112" w:rsidRDefault="00600E15">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658544B7" w14:textId="204E8DB3" w:rsidR="00D03701" w:rsidRPr="00781112" w:rsidRDefault="00D03701" w:rsidP="000444E2">
      <w:pPr>
        <w:pStyle w:val="Heading1"/>
        <w:rPr>
          <w:color w:val="000000" w:themeColor="text1"/>
          <w:sz w:val="22"/>
        </w:rPr>
      </w:pPr>
      <w:r w:rsidRPr="00781112">
        <w:rPr>
          <w:color w:val="000000" w:themeColor="text1"/>
          <w:sz w:val="22"/>
        </w:rPr>
        <w:lastRenderedPageBreak/>
        <w:t>Indicator 4B: Suspension/Expulsion</w:t>
      </w:r>
      <w:bookmarkEnd w:id="34"/>
      <w:bookmarkEnd w:id="35"/>
      <w:bookmarkEnd w:id="36"/>
    </w:p>
    <w:p w14:paraId="1BA30D93" w14:textId="77777777" w:rsidR="008637F8" w:rsidRPr="00781112" w:rsidRDefault="008637F8" w:rsidP="00A018D4">
      <w:pPr>
        <w:rPr>
          <w:color w:val="000000" w:themeColor="text1"/>
          <w:szCs w:val="20"/>
        </w:rPr>
      </w:pPr>
      <w:bookmarkStart w:id="37" w:name="_Toc384383338"/>
      <w:bookmarkStart w:id="38" w:name="_Toc392159290"/>
      <w:r w:rsidRPr="00781112">
        <w:rPr>
          <w:b/>
          <w:color w:val="000000" w:themeColor="text1"/>
          <w:sz w:val="20"/>
          <w:szCs w:val="20"/>
        </w:rPr>
        <w:t xml:space="preserve">Instructions and Measurement </w:t>
      </w:r>
    </w:p>
    <w:p w14:paraId="0904D95C" w14:textId="6ABD6544" w:rsidR="00413366" w:rsidRPr="00781112" w:rsidRDefault="00413366"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7516B53F" w14:textId="25CEE127" w:rsidR="00413366" w:rsidRPr="00781112" w:rsidRDefault="00C56D79" w:rsidP="009A755E">
      <w:pPr>
        <w:rPr>
          <w:rFonts w:cs="Arial"/>
          <w:color w:val="000000" w:themeColor="text1"/>
          <w:szCs w:val="16"/>
        </w:rPr>
      </w:pPr>
      <w:r w:rsidRPr="00781112">
        <w:rPr>
          <w:rFonts w:cs="Arial"/>
          <w:b/>
          <w:color w:val="000000" w:themeColor="text1"/>
          <w:szCs w:val="16"/>
        </w:rPr>
        <w:t>Compliance Indicator:</w:t>
      </w:r>
      <w:r w:rsidR="009A755E" w:rsidRPr="00781112">
        <w:rPr>
          <w:rFonts w:cs="Arial"/>
          <w:color w:val="000000" w:themeColor="text1"/>
          <w:szCs w:val="16"/>
        </w:rPr>
        <w:t xml:space="preserve"> </w:t>
      </w:r>
      <w:r w:rsidR="00413366" w:rsidRPr="00781112">
        <w:rPr>
          <w:rFonts w:cs="Arial"/>
          <w:color w:val="000000" w:themeColor="text1"/>
          <w:szCs w:val="16"/>
        </w:rPr>
        <w:t>Rates of suspension and expulsion:</w:t>
      </w:r>
    </w:p>
    <w:p w14:paraId="3739388D" w14:textId="512C0A32" w:rsidR="00B01978" w:rsidRPr="00781112" w:rsidRDefault="00B01978" w:rsidP="00360DD6">
      <w:pPr>
        <w:ind w:left="360"/>
        <w:rPr>
          <w:rFonts w:cs="Arial"/>
          <w:szCs w:val="16"/>
        </w:rPr>
      </w:pPr>
      <w:r w:rsidRPr="00781112">
        <w:rPr>
          <w:rFonts w:cs="Arial"/>
          <w:color w:val="000000" w:themeColor="text1"/>
          <w:szCs w:val="16"/>
        </w:rPr>
        <w:tab/>
        <w:t xml:space="preserve">A. </w:t>
      </w:r>
      <w:r w:rsidRPr="00741A36">
        <w:rPr>
          <w:rFonts w:cs="Arial"/>
          <w:szCs w:val="16"/>
        </w:rPr>
        <w:t>Percent of local educational</w:t>
      </w:r>
      <w:r w:rsidRPr="00781112">
        <w:rPr>
          <w:rFonts w:cs="Arial"/>
          <w:szCs w:val="16"/>
        </w:rPr>
        <w:t xml:space="preserve"> agencies (LEA) that have a significant discrepancy, as defined by the State, in the rate of suspensions and </w:t>
      </w:r>
      <w:r w:rsidR="002D3270" w:rsidRPr="00781112">
        <w:rPr>
          <w:rFonts w:cs="Arial"/>
          <w:szCs w:val="16"/>
        </w:rPr>
        <w:tab/>
      </w:r>
      <w:r w:rsidRPr="00781112">
        <w:rPr>
          <w:rFonts w:cs="Arial"/>
          <w:szCs w:val="16"/>
        </w:rPr>
        <w:t>expulsions of greater than 10 days in a school year for children with IEPs; and</w:t>
      </w:r>
    </w:p>
    <w:p w14:paraId="021F68CD" w14:textId="4F839DD4" w:rsidR="00413366" w:rsidRPr="00781112" w:rsidRDefault="001D5BAF" w:rsidP="006A01BD">
      <w:pPr>
        <w:ind w:left="720"/>
        <w:rPr>
          <w:rFonts w:cs="Arial"/>
          <w:color w:val="000000" w:themeColor="text1"/>
          <w:szCs w:val="16"/>
        </w:rPr>
      </w:pPr>
      <w:r w:rsidRPr="00781112">
        <w:rPr>
          <w:rFonts w:cs="Arial"/>
          <w:color w:val="000000" w:themeColor="text1"/>
          <w:szCs w:val="16"/>
        </w:rPr>
        <w:t>B. Percent of LEAs that have: (a) a significant discrepancy,</w:t>
      </w:r>
      <w:r w:rsidR="007F1D12" w:rsidRPr="00781112">
        <w:rPr>
          <w:rFonts w:cs="Arial"/>
          <w:szCs w:val="16"/>
        </w:rPr>
        <w:t xml:space="preserve"> as defined by the State, </w:t>
      </w:r>
      <w:r w:rsidRPr="00781112">
        <w:rPr>
          <w:rFonts w:cs="Arial"/>
          <w:color w:val="000000" w:themeColor="text1"/>
          <w:szCs w:val="16"/>
        </w:rPr>
        <w:t>by race or ethnicity</w:t>
      </w:r>
      <w:r w:rsidR="00413366" w:rsidRPr="00781112">
        <w:rPr>
          <w:rFonts w:cs="Arial"/>
          <w:bCs/>
          <w:color w:val="000000" w:themeColor="text1"/>
          <w:szCs w:val="16"/>
          <w:shd w:val="clear" w:color="auto" w:fill="FFFFFF"/>
        </w:rPr>
        <w:t>, in the rate of suspensions and expulsions of greater than 10 days in a school year for children with IEPs; and (b) policies, procedures or practices that contribute to the significant discrepancy</w:t>
      </w:r>
      <w:r w:rsidR="000C0565" w:rsidRPr="00781112">
        <w:rPr>
          <w:rFonts w:cs="Arial"/>
          <w:bCs/>
          <w:color w:val="000000" w:themeColor="text1"/>
          <w:szCs w:val="16"/>
          <w:shd w:val="clear" w:color="auto" w:fill="FFFFFF"/>
        </w:rPr>
        <w:t xml:space="preserve">, </w:t>
      </w:r>
      <w:r w:rsidR="000C0565" w:rsidRPr="00781112">
        <w:rPr>
          <w:rFonts w:cs="Arial"/>
          <w:szCs w:val="16"/>
        </w:rPr>
        <w:t xml:space="preserve">as defined by the State, </w:t>
      </w:r>
      <w:r w:rsidR="00413366" w:rsidRPr="00781112">
        <w:rPr>
          <w:rFonts w:cs="Arial"/>
          <w:bCs/>
          <w:color w:val="000000" w:themeColor="text1"/>
          <w:szCs w:val="16"/>
          <w:shd w:val="clear" w:color="auto" w:fill="FFFFFF"/>
        </w:rPr>
        <w:t>and do not comply with requirements relating to the development and implementation of IEPs, the use of positive behavioral interventions and supports, and procedural safeguards.</w:t>
      </w:r>
    </w:p>
    <w:p w14:paraId="7034F485" w14:textId="41B53DB5" w:rsidR="0011074D" w:rsidRPr="00781112" w:rsidRDefault="0011074D" w:rsidP="0011074D">
      <w:pPr>
        <w:rPr>
          <w:rFonts w:cs="Arial"/>
          <w:color w:val="000000" w:themeColor="text1"/>
          <w:szCs w:val="16"/>
        </w:rPr>
      </w:pPr>
      <w:r w:rsidRPr="00781112">
        <w:rPr>
          <w:rFonts w:cs="Arial"/>
          <w:color w:val="000000" w:themeColor="text1"/>
          <w:szCs w:val="16"/>
        </w:rPr>
        <w:t>(20 U.S.C. 1416(a)(3)(A); 1412(a)(22))</w:t>
      </w:r>
    </w:p>
    <w:p w14:paraId="5F946B13" w14:textId="77777777" w:rsidR="00413366" w:rsidRPr="00781112" w:rsidRDefault="00413366" w:rsidP="004369B2">
      <w:pPr>
        <w:rPr>
          <w:color w:val="000000" w:themeColor="text1"/>
        </w:rPr>
      </w:pPr>
      <w:r w:rsidRPr="00781112">
        <w:rPr>
          <w:b/>
          <w:color w:val="000000" w:themeColor="text1"/>
        </w:rPr>
        <w:t>Data Source</w:t>
      </w:r>
    </w:p>
    <w:p w14:paraId="5BDC9967" w14:textId="77777777" w:rsidR="00413366" w:rsidRPr="00781112" w:rsidRDefault="00413366" w:rsidP="00BB7BC9">
      <w:pPr>
        <w:rPr>
          <w:rFonts w:cs="Arial"/>
          <w:color w:val="000000" w:themeColor="text1"/>
          <w:szCs w:val="16"/>
        </w:rPr>
      </w:pPr>
      <w:r w:rsidRPr="00781112">
        <w:rPr>
          <w:rFonts w:cs="Arial"/>
          <w:color w:val="000000" w:themeColor="text1"/>
          <w:szCs w:val="16"/>
        </w:rPr>
        <w:t xml:space="preserve">State </w:t>
      </w:r>
      <w:r w:rsidRPr="00781112">
        <w:rPr>
          <w:rFonts w:cs="Arial"/>
          <w:color w:val="000000" w:themeColor="text1"/>
          <w:szCs w:val="16"/>
          <w:shd w:val="clear" w:color="auto" w:fill="FFFFFF"/>
        </w:rPr>
        <w:t>discipline data, including State’s analysis of State’s Discipline data collected under IDEA Section 618, where applicable. Discrepancy can be computed by either comparing the rates of suspensions and expulsions for children with IEPs to rates for nondisabled children within the LEA or by comparing the rates of suspensions and expulsions for children with IEPs among LEAs within the State.</w:t>
      </w:r>
    </w:p>
    <w:p w14:paraId="38F5E274" w14:textId="77777777" w:rsidR="00413366" w:rsidRPr="00781112" w:rsidRDefault="00413366" w:rsidP="004369B2">
      <w:pPr>
        <w:rPr>
          <w:color w:val="000000" w:themeColor="text1"/>
        </w:rPr>
      </w:pPr>
      <w:r w:rsidRPr="00781112">
        <w:rPr>
          <w:b/>
          <w:color w:val="000000" w:themeColor="text1"/>
        </w:rPr>
        <w:t>Measurement</w:t>
      </w:r>
    </w:p>
    <w:p w14:paraId="509BF292" w14:textId="47666D05" w:rsidR="00413366" w:rsidRPr="00781112" w:rsidRDefault="00413366" w:rsidP="00286BDF">
      <w:pPr>
        <w:rPr>
          <w:rFonts w:cs="Arial"/>
          <w:color w:val="000000" w:themeColor="text1"/>
          <w:szCs w:val="16"/>
        </w:rPr>
      </w:pPr>
      <w:r w:rsidRPr="00781112">
        <w:rPr>
          <w:rFonts w:cs="Arial"/>
          <w:color w:val="000000" w:themeColor="text1"/>
          <w:szCs w:val="16"/>
        </w:rPr>
        <w:t xml:space="preserve">Percent </w:t>
      </w:r>
      <w:r w:rsidRPr="00781112">
        <w:rPr>
          <w:rFonts w:cs="Arial"/>
          <w:color w:val="000000" w:themeColor="text1"/>
          <w:szCs w:val="16"/>
          <w:shd w:val="clear" w:color="auto" w:fill="FFFFFF"/>
        </w:rPr>
        <w:t xml:space="preserve">= </w:t>
      </w:r>
      <w:r w:rsidR="00E726E2" w:rsidRPr="00781112">
        <w:rPr>
          <w:rFonts w:cs="Arial"/>
          <w:color w:val="000000" w:themeColor="text1"/>
          <w:szCs w:val="16"/>
          <w:shd w:val="clear" w:color="auto" w:fill="FFFFFF"/>
        </w:rPr>
        <w:t xml:space="preserve">[(# </w:t>
      </w:r>
      <w:r w:rsidRPr="00781112">
        <w:rPr>
          <w:rFonts w:cs="Arial"/>
          <w:color w:val="000000" w:themeColor="text1"/>
          <w:szCs w:val="16"/>
          <w:shd w:val="clear" w:color="auto" w:fill="FFFFFF"/>
        </w:rPr>
        <w:t xml:space="preserve">of </w:t>
      </w:r>
      <w:r w:rsidR="000C0565" w:rsidRPr="00781112">
        <w:rPr>
          <w:rFonts w:cs="Arial"/>
          <w:color w:val="000000" w:themeColor="text1"/>
          <w:szCs w:val="16"/>
          <w:shd w:val="clear" w:color="auto" w:fill="FFFFFF"/>
        </w:rPr>
        <w:t xml:space="preserve">LEAs </w:t>
      </w:r>
      <w:r w:rsidRPr="00781112">
        <w:rPr>
          <w:rFonts w:cs="Arial"/>
          <w:color w:val="000000" w:themeColor="text1"/>
          <w:szCs w:val="16"/>
          <w:shd w:val="clear" w:color="auto" w:fill="FFFFFF"/>
        </w:rPr>
        <w:t xml:space="preserve">that meet the State-established n </w:t>
      </w:r>
      <w:r w:rsidR="000C0565" w:rsidRPr="00781112">
        <w:rPr>
          <w:rFonts w:cs="Arial"/>
          <w:color w:val="000000" w:themeColor="text1"/>
          <w:szCs w:val="16"/>
          <w:shd w:val="clear" w:color="auto" w:fill="FFFFFF"/>
        </w:rPr>
        <w:t xml:space="preserve">and/or cell </w:t>
      </w:r>
      <w:r w:rsidRPr="00781112">
        <w:rPr>
          <w:rFonts w:cs="Arial"/>
          <w:color w:val="000000" w:themeColor="text1"/>
          <w:szCs w:val="16"/>
          <w:shd w:val="clear" w:color="auto" w:fill="FFFFFF"/>
        </w:rPr>
        <w:t xml:space="preserve">size (if applicable) for one or more racial/ethnic groups that have: (a) a significant discrepancy, </w:t>
      </w:r>
      <w:r w:rsidR="000C0565" w:rsidRPr="00781112">
        <w:rPr>
          <w:rFonts w:cs="Arial"/>
          <w:szCs w:val="16"/>
        </w:rPr>
        <w:t xml:space="preserve">as defined by the State, </w:t>
      </w:r>
      <w:r w:rsidRPr="00781112">
        <w:rPr>
          <w:rFonts w:cs="Arial"/>
          <w:color w:val="000000" w:themeColor="text1"/>
          <w:szCs w:val="16"/>
          <w:shd w:val="clear" w:color="auto" w:fill="FFFFFF"/>
        </w:rPr>
        <w:t xml:space="preserve">by race or ethnicity, in the rates of suspensions and expulsions of </w:t>
      </w:r>
      <w:r w:rsidR="00D124AA" w:rsidRPr="00781112">
        <w:rPr>
          <w:rFonts w:cs="Arial"/>
          <w:color w:val="000000" w:themeColor="text1"/>
          <w:szCs w:val="16"/>
          <w:shd w:val="clear" w:color="auto" w:fill="FFFFFF"/>
        </w:rPr>
        <w:t xml:space="preserve">more </w:t>
      </w:r>
      <w:r w:rsidRPr="00781112">
        <w:rPr>
          <w:rFonts w:cs="Arial"/>
          <w:color w:val="000000" w:themeColor="text1"/>
          <w:szCs w:val="16"/>
          <w:shd w:val="clear" w:color="auto" w:fill="FFFFFF"/>
        </w:rPr>
        <w:t xml:space="preserve">than 10 days </w:t>
      </w:r>
      <w:r w:rsidR="00D124AA" w:rsidRPr="00781112">
        <w:rPr>
          <w:rFonts w:cs="Arial"/>
          <w:color w:val="000000" w:themeColor="text1"/>
          <w:szCs w:val="16"/>
          <w:shd w:val="clear" w:color="auto" w:fill="FFFFFF"/>
        </w:rPr>
        <w:t xml:space="preserve">during the </w:t>
      </w:r>
      <w:r w:rsidRPr="00781112">
        <w:rPr>
          <w:rFonts w:cs="Arial"/>
          <w:color w:val="000000" w:themeColor="text1"/>
          <w:szCs w:val="16"/>
          <w:shd w:val="clear" w:color="auto" w:fill="FFFFFF"/>
        </w:rPr>
        <w:t>school year of children with IEPs; and (b) policies, procedures or practices that contribute to the significant discrepancy</w:t>
      </w:r>
      <w:r w:rsidR="0024349E" w:rsidRPr="00781112">
        <w:rPr>
          <w:rFonts w:cs="Arial"/>
          <w:color w:val="000000" w:themeColor="text1"/>
          <w:szCs w:val="16"/>
          <w:shd w:val="clear" w:color="auto" w:fill="FFFFFF"/>
        </w:rPr>
        <w:t xml:space="preserve">, as defined by the State, </w:t>
      </w:r>
      <w:r w:rsidRPr="00781112">
        <w:rPr>
          <w:rFonts w:cs="Arial"/>
          <w:color w:val="000000" w:themeColor="text1"/>
          <w:szCs w:val="16"/>
          <w:shd w:val="clear" w:color="auto" w:fill="FFFFFF"/>
        </w:rPr>
        <w:t xml:space="preserve">and do not comply with requirements relating to the development and implementation of IEPs, the use of positive behavioral interventions and supports, and procedural safeguards) divided by the (# of </w:t>
      </w:r>
      <w:r w:rsidR="003929E1" w:rsidRPr="00781112">
        <w:rPr>
          <w:rFonts w:cs="Arial"/>
          <w:color w:val="000000" w:themeColor="text1"/>
          <w:szCs w:val="16"/>
          <w:shd w:val="clear" w:color="auto" w:fill="FFFFFF"/>
        </w:rPr>
        <w:t xml:space="preserve">LEAs </w:t>
      </w:r>
      <w:r w:rsidRPr="00781112">
        <w:rPr>
          <w:rFonts w:cs="Arial"/>
          <w:color w:val="000000" w:themeColor="text1"/>
          <w:szCs w:val="16"/>
          <w:shd w:val="clear" w:color="auto" w:fill="FFFFFF"/>
        </w:rPr>
        <w:t xml:space="preserve">in the State that meet the State-established n </w:t>
      </w:r>
      <w:r w:rsidR="003929E1" w:rsidRPr="00781112">
        <w:rPr>
          <w:rFonts w:cs="Arial"/>
          <w:color w:val="000000" w:themeColor="text1"/>
          <w:szCs w:val="16"/>
          <w:shd w:val="clear" w:color="auto" w:fill="FFFFFF"/>
        </w:rPr>
        <w:t xml:space="preserve">and/or cell </w:t>
      </w:r>
      <w:r w:rsidRPr="00781112">
        <w:rPr>
          <w:rFonts w:cs="Arial"/>
          <w:color w:val="000000" w:themeColor="text1"/>
          <w:szCs w:val="16"/>
          <w:shd w:val="clear" w:color="auto" w:fill="FFFFFF"/>
        </w:rPr>
        <w:t>size (if applicable) for one or more racial/ethnic groups</w:t>
      </w:r>
      <w:r w:rsidR="00E726E2" w:rsidRPr="00781112">
        <w:rPr>
          <w:rFonts w:cs="Arial"/>
          <w:color w:val="000000" w:themeColor="text1"/>
          <w:szCs w:val="16"/>
          <w:shd w:val="clear" w:color="auto" w:fill="FFFFFF"/>
        </w:rPr>
        <w:t xml:space="preserve">)] </w:t>
      </w:r>
      <w:r w:rsidRPr="00781112">
        <w:rPr>
          <w:rFonts w:cs="Arial"/>
          <w:color w:val="000000" w:themeColor="text1"/>
          <w:szCs w:val="16"/>
          <w:shd w:val="clear" w:color="auto" w:fill="FFFFFF"/>
        </w:rPr>
        <w:t>times 100.</w:t>
      </w:r>
    </w:p>
    <w:p w14:paraId="09B5AE3F" w14:textId="77777777" w:rsidR="00413366" w:rsidRPr="00781112" w:rsidRDefault="00413366" w:rsidP="00286BDF">
      <w:pPr>
        <w:rPr>
          <w:rFonts w:cs="Arial"/>
          <w:color w:val="000000" w:themeColor="text1"/>
          <w:szCs w:val="16"/>
        </w:rPr>
      </w:pPr>
      <w:r w:rsidRPr="00781112">
        <w:rPr>
          <w:rFonts w:cs="Arial"/>
          <w:color w:val="000000" w:themeColor="text1"/>
          <w:szCs w:val="16"/>
          <w:shd w:val="clear" w:color="auto" w:fill="FFFFFF"/>
        </w:rPr>
        <w:t>Include State’s definition of “significant discrepancy.”</w:t>
      </w:r>
    </w:p>
    <w:p w14:paraId="19EA6D3F" w14:textId="77777777" w:rsidR="00413366" w:rsidRPr="00781112" w:rsidRDefault="00413366" w:rsidP="004369B2">
      <w:pPr>
        <w:rPr>
          <w:color w:val="000000" w:themeColor="text1"/>
        </w:rPr>
      </w:pPr>
      <w:r w:rsidRPr="00781112">
        <w:rPr>
          <w:b/>
          <w:color w:val="000000" w:themeColor="text1"/>
        </w:rPr>
        <w:t>Instructions</w:t>
      </w:r>
    </w:p>
    <w:p w14:paraId="516DD2DE" w14:textId="74244F0A" w:rsidR="00413366" w:rsidRPr="00781112" w:rsidRDefault="00413366" w:rsidP="00BB7BC9">
      <w:pPr>
        <w:rPr>
          <w:rFonts w:cs="Arial"/>
          <w:color w:val="000000" w:themeColor="text1"/>
          <w:szCs w:val="16"/>
        </w:rPr>
      </w:pPr>
      <w:r w:rsidRPr="00781112">
        <w:rPr>
          <w:rFonts w:cs="Arial"/>
          <w:color w:val="000000" w:themeColor="text1"/>
          <w:szCs w:val="16"/>
        </w:rPr>
        <w:t xml:space="preserve">If the State has established a minimum n and/or cell size requirement, the State may only include, in both the numerator and the denominator, LEAs that met that State-established n and/or cell size. If the State used a minimum n and/or cell size requirement, report the number of LEAs totally excluded from the calculation </w:t>
      </w:r>
      <w:proofErr w:type="gramStart"/>
      <w:r w:rsidRPr="00781112">
        <w:rPr>
          <w:rFonts w:cs="Arial"/>
          <w:color w:val="000000" w:themeColor="text1"/>
          <w:szCs w:val="16"/>
        </w:rPr>
        <w:t>as a result of</w:t>
      </w:r>
      <w:proofErr w:type="gramEnd"/>
      <w:r w:rsidRPr="00781112">
        <w:rPr>
          <w:rFonts w:cs="Arial"/>
          <w:color w:val="000000" w:themeColor="text1"/>
          <w:szCs w:val="16"/>
        </w:rPr>
        <w:t xml:space="preserve"> this requirement.</w:t>
      </w:r>
    </w:p>
    <w:p w14:paraId="7D3F6556" w14:textId="5729C359" w:rsidR="00413366" w:rsidRPr="00781112" w:rsidRDefault="0016730D" w:rsidP="00BB7BC9">
      <w:pPr>
        <w:rPr>
          <w:rFonts w:cs="Arial"/>
          <w:color w:val="000000" w:themeColor="text1"/>
          <w:szCs w:val="16"/>
        </w:rPr>
      </w:pPr>
      <w:r w:rsidRPr="00781112">
        <w:rPr>
          <w:rFonts w:cs="Arial"/>
          <w:color w:val="000000" w:themeColor="text1"/>
          <w:szCs w:val="16"/>
        </w:rPr>
        <w:t xml:space="preserve">Describe the results of the State’s examination of the data for the year before the reporting year (e.g., for the FFY 2021 SPP/APR, use data from 2020-2021), including data disaggregated by race and ethnicity to determine if significant discrepancies, as defined by the State, are occurring in the rates of long-term suspensions and expulsions </w:t>
      </w:r>
      <w:r w:rsidR="00B315F0" w:rsidRPr="00781112">
        <w:rPr>
          <w:rFonts w:cs="Arial"/>
          <w:szCs w:val="16"/>
        </w:rPr>
        <w:t xml:space="preserve">(more than 10 days during the school year) </w:t>
      </w:r>
      <w:r w:rsidRPr="00781112">
        <w:rPr>
          <w:rFonts w:cs="Arial"/>
          <w:color w:val="000000" w:themeColor="text1"/>
          <w:szCs w:val="16"/>
        </w:rPr>
        <w:t>of children with IEPs, as required at 20 U.S.C. 1412(a)(22). The State’s examination must include one of the following comparisons</w:t>
      </w:r>
      <w:r w:rsidR="007D116C" w:rsidRPr="00781112">
        <w:rPr>
          <w:rFonts w:cs="Arial"/>
          <w:color w:val="000000" w:themeColor="text1"/>
          <w:szCs w:val="16"/>
        </w:rPr>
        <w:t>:</w:t>
      </w:r>
    </w:p>
    <w:p w14:paraId="041F9A85" w14:textId="0566F4DA" w:rsidR="00413366" w:rsidRPr="00781112" w:rsidRDefault="00515E61" w:rsidP="006A01BD">
      <w:pPr>
        <w:ind w:firstLine="720"/>
        <w:rPr>
          <w:rFonts w:cs="Arial"/>
          <w:color w:val="000000" w:themeColor="text1"/>
          <w:szCs w:val="16"/>
        </w:rPr>
      </w:pPr>
      <w:r w:rsidRPr="00781112">
        <w:rPr>
          <w:rFonts w:cs="Arial"/>
          <w:color w:val="000000" w:themeColor="text1"/>
          <w:szCs w:val="16"/>
        </w:rPr>
        <w:t>--The rates of suspensions and expulsions for children with IEPs among LEAs within the State; or</w:t>
      </w:r>
    </w:p>
    <w:p w14:paraId="4B77809C" w14:textId="04050159" w:rsidR="00413366" w:rsidRPr="00781112" w:rsidRDefault="00515E61" w:rsidP="006A01BD">
      <w:pPr>
        <w:ind w:firstLine="720"/>
        <w:rPr>
          <w:rFonts w:cs="Arial"/>
          <w:color w:val="000000" w:themeColor="text1"/>
          <w:szCs w:val="16"/>
        </w:rPr>
      </w:pPr>
      <w:r w:rsidRPr="00781112">
        <w:rPr>
          <w:rFonts w:cs="Arial"/>
          <w:color w:val="000000" w:themeColor="text1"/>
          <w:szCs w:val="16"/>
        </w:rPr>
        <w:t>--The rates of suspensions and expulsions for children with IEPs to nondisabled children within the LEAs</w:t>
      </w:r>
    </w:p>
    <w:p w14:paraId="428DC587" w14:textId="18ECA0E1" w:rsidR="00413366" w:rsidRPr="00781112" w:rsidRDefault="00413366" w:rsidP="00BB7BC9">
      <w:pPr>
        <w:rPr>
          <w:rFonts w:cs="Arial"/>
          <w:color w:val="000000" w:themeColor="text1"/>
          <w:szCs w:val="16"/>
        </w:rPr>
      </w:pPr>
      <w:r w:rsidRPr="00781112">
        <w:rPr>
          <w:rFonts w:cs="Arial"/>
          <w:color w:val="000000" w:themeColor="text1"/>
          <w:szCs w:val="16"/>
        </w:rPr>
        <w:t>In the description, specify which method the State used to determine possible discrepancies and explain what constitutes those discrepancies.</w:t>
      </w:r>
    </w:p>
    <w:p w14:paraId="2537B541" w14:textId="1CD26E02" w:rsidR="00474DB4" w:rsidRPr="00781112" w:rsidRDefault="00474DB4" w:rsidP="00474DB4">
      <w:pPr>
        <w:rPr>
          <w:rFonts w:cs="Arial"/>
          <w:szCs w:val="16"/>
        </w:rPr>
      </w:pPr>
      <w:r w:rsidRPr="00781112">
        <w:rPr>
          <w:rFonts w:cs="Arial"/>
          <w:szCs w:val="16"/>
        </w:rPr>
        <w:t xml:space="preserve">Because the measurement table requires that the data examined for this indicator are lag year data, States should examine the 618 data that was submitted by LEAs that were in operation during the school year before the reporting year. For example, if a State has 100 LEAs operating in the 2020-2021 school year, those 100 LEAs would have reported 618 data in 2020-2021 on the number of children suspended/expelled. If the State then opens 15 new LEAs in 2021-2022, suspension/expulsion data from those 15 new LEAs would not be in the 2020-2021 618 data set, and therefore, those 15 new LEAs should not be included in the denominator of the calculation. States must use the number of LEAs from the year before the reporting year in </w:t>
      </w:r>
      <w:proofErr w:type="gramStart"/>
      <w:r w:rsidRPr="00781112">
        <w:rPr>
          <w:rFonts w:cs="Arial"/>
          <w:szCs w:val="16"/>
        </w:rPr>
        <w:t>its</w:t>
      </w:r>
      <w:proofErr w:type="gramEnd"/>
      <w:r w:rsidRPr="00781112">
        <w:rPr>
          <w:rFonts w:cs="Arial"/>
          <w:szCs w:val="16"/>
        </w:rPr>
        <w:t xml:space="preserve"> calculation for this indicator. For the FFY 2021 SPP/APR submission, States must use the number of LEAs reported in 2020-2021 (which can be found in the FFY 2020 SPP/APR introduction).</w:t>
      </w:r>
    </w:p>
    <w:p w14:paraId="42FA82A8" w14:textId="776B256B" w:rsidR="00413366" w:rsidRPr="00781112" w:rsidRDefault="00413366" w:rsidP="00BB7BC9">
      <w:pPr>
        <w:rPr>
          <w:rFonts w:cs="Arial"/>
          <w:color w:val="000000" w:themeColor="text1"/>
          <w:szCs w:val="16"/>
        </w:rPr>
      </w:pPr>
      <w:r w:rsidRPr="00781112">
        <w:rPr>
          <w:rFonts w:cs="Arial"/>
          <w:color w:val="000000" w:themeColor="text1"/>
          <w:szCs w:val="16"/>
        </w:rPr>
        <w:t>Indicator 4B: Provide the following: (a) the number of LEAs that met the State-established n and/or cell size (if applicable) for one or more racial/ethnic groups that have a significant discrepancy, as defined by the State, by race or ethnicity, in the rates of long-term suspensions and expulsions (more than 10 days during the school year) for children with IEPs; and (b) the number of those LEAs in which policies, procedures or practices contribute to the significant discrepancy and do not comply with requirements relating to the development and implementation of IEPs, the use of positive behavioral interventions and supports, and procedural safeguards.</w:t>
      </w:r>
    </w:p>
    <w:p w14:paraId="1F7345F8" w14:textId="014486D4" w:rsidR="00413366" w:rsidRPr="00781112" w:rsidRDefault="00413366" w:rsidP="00BB7BC9">
      <w:pPr>
        <w:rPr>
          <w:rFonts w:cs="Arial"/>
          <w:color w:val="000000" w:themeColor="text1"/>
          <w:szCs w:val="16"/>
        </w:rPr>
      </w:pPr>
      <w:r w:rsidRPr="00781112">
        <w:rPr>
          <w:rFonts w:cs="Arial"/>
          <w:color w:val="000000" w:themeColor="text1"/>
          <w:szCs w:val="16"/>
        </w:rPr>
        <w:t xml:space="preserve">Provide detailed information about the timely correction of noncompliance as noted in OSEP’s response for the previous SPP/APR. If discrepancies occurred and the LEA with discrepancies had policies, procedures or practices that contributed to the significant discrepancy, </w:t>
      </w:r>
      <w:r w:rsidR="00844FD2" w:rsidRPr="00781112">
        <w:rPr>
          <w:rFonts w:cs="Arial"/>
          <w:szCs w:val="16"/>
        </w:rPr>
        <w:t>as defined by the State,</w:t>
      </w:r>
      <w:r w:rsidR="005440A4" w:rsidRPr="00781112">
        <w:rPr>
          <w:rFonts w:cs="Arial"/>
          <w:szCs w:val="16"/>
        </w:rPr>
        <w:t xml:space="preserve"> </w:t>
      </w:r>
      <w:r w:rsidRPr="00781112">
        <w:rPr>
          <w:rFonts w:cs="Arial"/>
          <w:color w:val="000000" w:themeColor="text1"/>
          <w:szCs w:val="16"/>
        </w:rPr>
        <w:t>and that do not comply with requirements relating to the development and implementation of IEPs, the use of positive behavioral interventions and supports, and procedural safeguards, describe how the State ensured that such policies, procedures, and practices were revised to comply with applicable requirements consistent with (OSEP) Memorandum 09-02, dated October 17, 2008.</w:t>
      </w:r>
    </w:p>
    <w:p w14:paraId="244FF3E4" w14:textId="77777777" w:rsidR="00413366" w:rsidRPr="00781112" w:rsidRDefault="00413366" w:rsidP="00BB7BC9">
      <w:pPr>
        <w:rPr>
          <w:rFonts w:cs="Arial"/>
          <w:color w:val="000000" w:themeColor="text1"/>
          <w:szCs w:val="16"/>
        </w:rPr>
      </w:pPr>
      <w:r w:rsidRPr="00781112">
        <w:rPr>
          <w:rFonts w:cs="Arial"/>
          <w:color w:val="000000" w:themeColor="text1"/>
          <w:szCs w:val="16"/>
        </w:rPr>
        <w:t>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2A4C3F88" w14:textId="6B69F87E" w:rsidR="00413366" w:rsidRPr="00781112" w:rsidRDefault="0016730D" w:rsidP="00BB7BC9">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p w14:paraId="4A2E05BE" w14:textId="77777777" w:rsidR="00413366" w:rsidRPr="00781112" w:rsidRDefault="00413366" w:rsidP="00BB7BC9">
      <w:pPr>
        <w:rPr>
          <w:rFonts w:cs="Arial"/>
          <w:color w:val="000000" w:themeColor="text1"/>
          <w:szCs w:val="16"/>
        </w:rPr>
      </w:pPr>
      <w:r w:rsidRPr="00781112">
        <w:rPr>
          <w:rFonts w:cs="Arial"/>
          <w:color w:val="000000" w:themeColor="text1"/>
          <w:szCs w:val="16"/>
        </w:rPr>
        <w:t>Targets must be 0% for 4B.</w:t>
      </w:r>
    </w:p>
    <w:p w14:paraId="1D15A8F4" w14:textId="6546AA23" w:rsidR="00D90B7C" w:rsidRPr="00781112" w:rsidRDefault="00D11730" w:rsidP="008645AD">
      <w:pPr>
        <w:pStyle w:val="Heading2"/>
      </w:pPr>
      <w:r w:rsidRPr="00781112">
        <w:t>4B</w:t>
      </w:r>
      <w:r w:rsidR="00E90DE9" w:rsidRPr="00781112">
        <w:t xml:space="preserve"> </w:t>
      </w:r>
      <w:r w:rsidRPr="00781112">
        <w:t xml:space="preserve">- </w:t>
      </w:r>
      <w:r w:rsidR="00D90B7C" w:rsidRPr="00781112">
        <w:t>Indicator Data</w:t>
      </w:r>
    </w:p>
    <w:p w14:paraId="435C0FC5" w14:textId="77777777" w:rsidR="0091098C" w:rsidRPr="00781112" w:rsidRDefault="0091098C" w:rsidP="004369B2">
      <w:pPr>
        <w:rPr>
          <w:color w:val="000000" w:themeColor="text1"/>
        </w:rPr>
      </w:pPr>
    </w:p>
    <w:p w14:paraId="113E64CF" w14:textId="7EACB9AD" w:rsidR="00CA0009" w:rsidRPr="00781112" w:rsidRDefault="0091098C" w:rsidP="004369B2">
      <w:pPr>
        <w:rPr>
          <w:color w:val="000000" w:themeColor="text1"/>
        </w:rPr>
      </w:pPr>
      <w:r w:rsidRPr="00781112">
        <w:rPr>
          <w:b/>
          <w:color w:val="000000" w:themeColor="text1"/>
        </w:rPr>
        <w:t>Not Applicable</w:t>
      </w:r>
    </w:p>
    <w:p w14:paraId="01A6DC15" w14:textId="244F6F21" w:rsidR="00F9524E" w:rsidRPr="00781112" w:rsidRDefault="00C144E3" w:rsidP="004369B2">
      <w:pPr>
        <w:rPr>
          <w:b/>
          <w:color w:val="000000" w:themeColor="text1"/>
        </w:rPr>
      </w:pPr>
      <w:r w:rsidRPr="00781112">
        <w:rPr>
          <w:b/>
          <w:color w:val="000000" w:themeColor="text1"/>
        </w:rPr>
        <w:t>Select yes if this indicator is not applicable.</w:t>
      </w:r>
    </w:p>
    <w:p w14:paraId="53F0BC7A" w14:textId="32C15B12" w:rsidR="00F85593" w:rsidRPr="00781112" w:rsidRDefault="00F85593" w:rsidP="004369B2">
      <w:pPr>
        <w:rPr>
          <w:rFonts w:cs="Arial"/>
          <w:color w:val="000000" w:themeColor="text1"/>
          <w:szCs w:val="16"/>
        </w:rPr>
      </w:pPr>
      <w:r w:rsidRPr="00781112">
        <w:rPr>
          <w:rFonts w:cs="Arial"/>
          <w:color w:val="000000" w:themeColor="text1"/>
          <w:szCs w:val="16"/>
        </w:rPr>
        <w:t>NO</w:t>
      </w:r>
    </w:p>
    <w:p w14:paraId="2A73B0E0" w14:textId="77777777" w:rsidR="00CF0A73" w:rsidRPr="00781112" w:rsidRDefault="00CF0A73" w:rsidP="004369B2">
      <w:pPr>
        <w:rPr>
          <w:color w:val="000000" w:themeColor="text1"/>
        </w:rPr>
      </w:pPr>
    </w:p>
    <w:p w14:paraId="456814D4" w14:textId="77777777" w:rsidR="007123A2" w:rsidRDefault="007123A2">
      <w:pPr>
        <w:spacing w:before="0" w:after="200" w:line="276" w:lineRule="auto"/>
        <w:rPr>
          <w:b/>
          <w:color w:val="000000" w:themeColor="text1"/>
        </w:rPr>
      </w:pPr>
      <w:r>
        <w:rPr>
          <w:b/>
          <w:color w:val="000000" w:themeColor="text1"/>
        </w:rPr>
        <w:br w:type="page"/>
      </w:r>
    </w:p>
    <w:p w14:paraId="069D75E9" w14:textId="1827AEC2" w:rsidR="00BB7BC9" w:rsidRPr="00781112" w:rsidRDefault="00BB7BC9" w:rsidP="004369B2">
      <w:pPr>
        <w:rPr>
          <w:b/>
          <w:color w:val="000000" w:themeColor="text1"/>
        </w:rPr>
      </w:pPr>
      <w:r w:rsidRPr="00781112">
        <w:rPr>
          <w:b/>
          <w:color w:val="000000" w:themeColor="text1"/>
        </w:rPr>
        <w:lastRenderedPageBreak/>
        <w:t>Historical Data</w:t>
      </w:r>
    </w:p>
    <w:tbl>
      <w:tblPr>
        <w:tblStyle w:val="TableGrid"/>
        <w:tblW w:w="0" w:type="auto"/>
        <w:tblLook w:val="04A0" w:firstRow="1" w:lastRow="0" w:firstColumn="1" w:lastColumn="0" w:noHBand="0" w:noVBand="1"/>
        <w:tblCaption w:val="B04BBASELINEDATA"/>
      </w:tblPr>
      <w:tblGrid>
        <w:gridCol w:w="2562"/>
        <w:gridCol w:w="2563"/>
      </w:tblGrid>
      <w:tr w:rsidR="001F64DB" w:rsidRPr="00781112" w14:paraId="79576181" w14:textId="77777777" w:rsidTr="00123D76">
        <w:trPr>
          <w:trHeight w:val="311"/>
          <w:tblHeader/>
        </w:trPr>
        <w:tc>
          <w:tcPr>
            <w:tcW w:w="2562" w:type="dxa"/>
          </w:tcPr>
          <w:p w14:paraId="3F975A24" w14:textId="77777777" w:rsidR="001F64DB" w:rsidRPr="00781112" w:rsidRDefault="001F64DB" w:rsidP="00123D76">
            <w:pPr>
              <w:jc w:val="center"/>
              <w:rPr>
                <w:b/>
                <w:color w:val="000000" w:themeColor="text1"/>
              </w:rPr>
            </w:pPr>
            <w:r w:rsidRPr="00781112">
              <w:rPr>
                <w:rFonts w:cs="Arial"/>
                <w:b/>
                <w:color w:val="000000" w:themeColor="text1"/>
                <w:szCs w:val="16"/>
              </w:rPr>
              <w:t>Baseline Year</w:t>
            </w:r>
          </w:p>
        </w:tc>
        <w:tc>
          <w:tcPr>
            <w:tcW w:w="2563" w:type="dxa"/>
          </w:tcPr>
          <w:p w14:paraId="2C69FE8E" w14:textId="77777777" w:rsidR="001F64DB" w:rsidRPr="00781112" w:rsidRDefault="001F64DB" w:rsidP="00123D76">
            <w:pPr>
              <w:jc w:val="center"/>
              <w:rPr>
                <w:b/>
                <w:color w:val="000000" w:themeColor="text1"/>
              </w:rPr>
            </w:pPr>
            <w:r w:rsidRPr="00781112">
              <w:rPr>
                <w:b/>
                <w:color w:val="000000" w:themeColor="text1"/>
              </w:rPr>
              <w:t>Baseline Data</w:t>
            </w:r>
          </w:p>
        </w:tc>
      </w:tr>
      <w:tr w:rsidR="001F64DB" w:rsidRPr="00781112" w14:paraId="53FC8895" w14:textId="77777777" w:rsidTr="00123D76">
        <w:trPr>
          <w:trHeight w:val="311"/>
        </w:trPr>
        <w:tc>
          <w:tcPr>
            <w:tcW w:w="2562" w:type="dxa"/>
            <w:vAlign w:val="center"/>
          </w:tcPr>
          <w:p w14:paraId="28447C7D" w14:textId="6D0F8050" w:rsidR="001F64DB" w:rsidRPr="00781112" w:rsidRDefault="001F64DB" w:rsidP="00123D76">
            <w:pPr>
              <w:jc w:val="center"/>
              <w:rPr>
                <w:b/>
                <w:color w:val="000000" w:themeColor="text1"/>
              </w:rPr>
            </w:pPr>
            <w:r w:rsidRPr="00781112">
              <w:rPr>
                <w:rFonts w:cs="Arial"/>
                <w:color w:val="000000" w:themeColor="text1"/>
                <w:szCs w:val="16"/>
              </w:rPr>
              <w:t>2021</w:t>
            </w:r>
          </w:p>
        </w:tc>
        <w:tc>
          <w:tcPr>
            <w:tcW w:w="2563" w:type="dxa"/>
            <w:vAlign w:val="center"/>
          </w:tcPr>
          <w:p w14:paraId="66688D2B" w14:textId="7F6A1027" w:rsidR="001F64DB" w:rsidRPr="00781112" w:rsidRDefault="001F64DB" w:rsidP="00123D76">
            <w:pPr>
              <w:jc w:val="center"/>
              <w:rPr>
                <w:b/>
                <w:color w:val="000000" w:themeColor="text1"/>
              </w:rPr>
            </w:pPr>
            <w:r w:rsidRPr="00781112">
              <w:rPr>
                <w:rFonts w:cs="Arial"/>
                <w:color w:val="000000" w:themeColor="text1"/>
                <w:szCs w:val="16"/>
              </w:rPr>
              <w:t>0.00%</w:t>
            </w:r>
          </w:p>
        </w:tc>
      </w:tr>
    </w:tbl>
    <w:p w14:paraId="0491A3BB" w14:textId="7F542BF4" w:rsidR="001F64DB" w:rsidRPr="00781112" w:rsidRDefault="001F64DB" w:rsidP="004369B2">
      <w:pPr>
        <w:rPr>
          <w:color w:val="000000" w:themeColor="text1"/>
        </w:rPr>
      </w:pPr>
    </w:p>
    <w:p w14:paraId="5B271C5C" w14:textId="77777777" w:rsidR="001F64DB" w:rsidRPr="00781112" w:rsidRDefault="001F64DB"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4BHISTDATA"/>
      </w:tblPr>
      <w:tblGrid>
        <w:gridCol w:w="1798"/>
        <w:gridCol w:w="1798"/>
        <w:gridCol w:w="1798"/>
        <w:gridCol w:w="1798"/>
        <w:gridCol w:w="1798"/>
        <w:gridCol w:w="1800"/>
      </w:tblGrid>
      <w:tr w:rsidR="005C29F8" w:rsidRPr="00781112" w14:paraId="6E379028" w14:textId="77777777" w:rsidTr="00F90636">
        <w:trPr>
          <w:trHeight w:val="350"/>
        </w:trPr>
        <w:tc>
          <w:tcPr>
            <w:tcW w:w="833" w:type="pct"/>
            <w:tcBorders>
              <w:bottom w:val="single" w:sz="4" w:space="0" w:color="auto"/>
            </w:tcBorders>
            <w:shd w:val="clear" w:color="auto" w:fill="auto"/>
          </w:tcPr>
          <w:p w14:paraId="23D7B707" w14:textId="77777777" w:rsidR="00BB7BC9" w:rsidRPr="00781112" w:rsidRDefault="00BB7BC9" w:rsidP="004369B2">
            <w:pPr>
              <w:jc w:val="center"/>
              <w:rPr>
                <w:b/>
                <w:color w:val="000000" w:themeColor="text1"/>
              </w:rPr>
            </w:pPr>
            <w:r w:rsidRPr="00781112">
              <w:rPr>
                <w:b/>
                <w:color w:val="000000" w:themeColor="text1"/>
              </w:rPr>
              <w:t>FFY</w:t>
            </w:r>
          </w:p>
        </w:tc>
        <w:tc>
          <w:tcPr>
            <w:tcW w:w="833" w:type="pct"/>
            <w:shd w:val="clear" w:color="auto" w:fill="auto"/>
          </w:tcPr>
          <w:p w14:paraId="25954044" w14:textId="160ED41F" w:rsidR="00BB7BC9" w:rsidRPr="00781112" w:rsidRDefault="002B7490">
            <w:pPr>
              <w:jc w:val="center"/>
              <w:rPr>
                <w:b/>
                <w:color w:val="000000" w:themeColor="text1"/>
              </w:rPr>
            </w:pPr>
            <w:r w:rsidRPr="00781112">
              <w:rPr>
                <w:b/>
                <w:color w:val="000000" w:themeColor="text1"/>
              </w:rPr>
              <w:t>2016</w:t>
            </w:r>
          </w:p>
        </w:tc>
        <w:tc>
          <w:tcPr>
            <w:tcW w:w="833" w:type="pct"/>
            <w:shd w:val="clear" w:color="auto" w:fill="auto"/>
          </w:tcPr>
          <w:p w14:paraId="69CF376F" w14:textId="7375A3F7" w:rsidR="00BB7BC9" w:rsidRPr="00781112" w:rsidRDefault="002B7490">
            <w:pPr>
              <w:jc w:val="center"/>
              <w:rPr>
                <w:b/>
                <w:color w:val="000000" w:themeColor="text1"/>
              </w:rPr>
            </w:pPr>
            <w:r w:rsidRPr="00781112">
              <w:rPr>
                <w:b/>
                <w:color w:val="000000" w:themeColor="text1"/>
              </w:rPr>
              <w:t>2017</w:t>
            </w:r>
          </w:p>
        </w:tc>
        <w:tc>
          <w:tcPr>
            <w:tcW w:w="833" w:type="pct"/>
            <w:shd w:val="clear" w:color="auto" w:fill="auto"/>
          </w:tcPr>
          <w:p w14:paraId="4D8E8925" w14:textId="689058A4" w:rsidR="00BB7BC9" w:rsidRPr="00781112" w:rsidRDefault="002B7490">
            <w:pPr>
              <w:jc w:val="center"/>
              <w:rPr>
                <w:b/>
                <w:color w:val="000000" w:themeColor="text1"/>
              </w:rPr>
            </w:pPr>
            <w:r w:rsidRPr="00781112">
              <w:rPr>
                <w:b/>
                <w:color w:val="000000" w:themeColor="text1"/>
              </w:rPr>
              <w:t>2018</w:t>
            </w:r>
          </w:p>
        </w:tc>
        <w:tc>
          <w:tcPr>
            <w:tcW w:w="833" w:type="pct"/>
            <w:shd w:val="clear" w:color="auto" w:fill="auto"/>
          </w:tcPr>
          <w:p w14:paraId="703038E4" w14:textId="1BE5FB5A" w:rsidR="00BB7BC9" w:rsidRPr="00781112" w:rsidRDefault="002B7490">
            <w:pPr>
              <w:jc w:val="center"/>
              <w:rPr>
                <w:b/>
                <w:color w:val="000000" w:themeColor="text1"/>
              </w:rPr>
            </w:pPr>
            <w:r w:rsidRPr="00781112">
              <w:rPr>
                <w:b/>
                <w:color w:val="000000" w:themeColor="text1"/>
              </w:rPr>
              <w:t>2019</w:t>
            </w:r>
          </w:p>
        </w:tc>
        <w:tc>
          <w:tcPr>
            <w:tcW w:w="834" w:type="pct"/>
            <w:shd w:val="clear" w:color="auto" w:fill="auto"/>
          </w:tcPr>
          <w:p w14:paraId="0503649D" w14:textId="176B5064" w:rsidR="00BB7BC9" w:rsidRPr="00781112" w:rsidRDefault="002B7490">
            <w:pPr>
              <w:jc w:val="center"/>
              <w:rPr>
                <w:b/>
                <w:color w:val="000000" w:themeColor="text1"/>
              </w:rPr>
            </w:pPr>
            <w:r w:rsidRPr="00781112">
              <w:rPr>
                <w:b/>
                <w:color w:val="000000" w:themeColor="text1"/>
              </w:rPr>
              <w:t>2020</w:t>
            </w:r>
          </w:p>
        </w:tc>
      </w:tr>
      <w:tr w:rsidR="005C29F8" w:rsidRPr="00781112" w14:paraId="39522776" w14:textId="77777777" w:rsidTr="00F90636">
        <w:trPr>
          <w:trHeight w:val="357"/>
        </w:trPr>
        <w:tc>
          <w:tcPr>
            <w:tcW w:w="833" w:type="pct"/>
            <w:shd w:val="clear" w:color="auto" w:fill="auto"/>
            <w:vAlign w:val="center"/>
          </w:tcPr>
          <w:p w14:paraId="64A2466A" w14:textId="3DCD7D97" w:rsidR="00BB7BC9" w:rsidRPr="00781112" w:rsidRDefault="00BB7BC9" w:rsidP="001F692C">
            <w:pPr>
              <w:rPr>
                <w:rFonts w:cs="Arial"/>
                <w:color w:val="000000" w:themeColor="text1"/>
                <w:szCs w:val="16"/>
              </w:rPr>
            </w:pPr>
            <w:r w:rsidRPr="00781112">
              <w:rPr>
                <w:rFonts w:cs="Arial"/>
                <w:color w:val="000000" w:themeColor="text1"/>
                <w:szCs w:val="16"/>
              </w:rPr>
              <w:t>Target</w:t>
            </w:r>
          </w:p>
        </w:tc>
        <w:tc>
          <w:tcPr>
            <w:tcW w:w="833" w:type="pct"/>
            <w:shd w:val="clear" w:color="auto" w:fill="auto"/>
            <w:vAlign w:val="center"/>
          </w:tcPr>
          <w:p w14:paraId="40744253" w14:textId="30F05132" w:rsidR="00BB7BC9" w:rsidRPr="00781112" w:rsidRDefault="00BA56C8">
            <w:pPr>
              <w:jc w:val="center"/>
              <w:rPr>
                <w:rFonts w:cs="Arial"/>
                <w:color w:val="000000" w:themeColor="text1"/>
                <w:szCs w:val="16"/>
              </w:rPr>
            </w:pPr>
            <w:r w:rsidRPr="00781112">
              <w:rPr>
                <w:rFonts w:cs="Arial"/>
                <w:color w:val="000000" w:themeColor="text1"/>
                <w:szCs w:val="16"/>
              </w:rPr>
              <w:t>0%</w:t>
            </w:r>
          </w:p>
        </w:tc>
        <w:tc>
          <w:tcPr>
            <w:tcW w:w="833" w:type="pct"/>
            <w:shd w:val="clear" w:color="auto" w:fill="auto"/>
            <w:vAlign w:val="center"/>
          </w:tcPr>
          <w:p w14:paraId="4721409F" w14:textId="0E67B113" w:rsidR="00BB7BC9" w:rsidRPr="00781112" w:rsidRDefault="00BA56C8">
            <w:pPr>
              <w:jc w:val="center"/>
              <w:rPr>
                <w:rFonts w:cs="Arial"/>
                <w:color w:val="000000" w:themeColor="text1"/>
                <w:szCs w:val="16"/>
              </w:rPr>
            </w:pPr>
            <w:r w:rsidRPr="00781112">
              <w:rPr>
                <w:rFonts w:cs="Arial"/>
                <w:color w:val="000000" w:themeColor="text1"/>
                <w:szCs w:val="16"/>
              </w:rPr>
              <w:t>0%</w:t>
            </w:r>
          </w:p>
        </w:tc>
        <w:tc>
          <w:tcPr>
            <w:tcW w:w="833" w:type="pct"/>
            <w:shd w:val="clear" w:color="auto" w:fill="auto"/>
            <w:vAlign w:val="center"/>
          </w:tcPr>
          <w:p w14:paraId="61B8DEC3" w14:textId="3B00EB70" w:rsidR="00BB7BC9" w:rsidRPr="00781112" w:rsidRDefault="00BA56C8">
            <w:pPr>
              <w:jc w:val="center"/>
              <w:rPr>
                <w:rFonts w:cs="Arial"/>
                <w:color w:val="000000" w:themeColor="text1"/>
                <w:szCs w:val="16"/>
              </w:rPr>
            </w:pPr>
            <w:r w:rsidRPr="00781112">
              <w:rPr>
                <w:rFonts w:cs="Arial"/>
                <w:color w:val="000000" w:themeColor="text1"/>
                <w:szCs w:val="16"/>
              </w:rPr>
              <w:t>0%</w:t>
            </w:r>
          </w:p>
        </w:tc>
        <w:tc>
          <w:tcPr>
            <w:tcW w:w="833" w:type="pct"/>
            <w:shd w:val="clear" w:color="auto" w:fill="auto"/>
            <w:vAlign w:val="center"/>
          </w:tcPr>
          <w:p w14:paraId="0C46D83A" w14:textId="2D54F0BE" w:rsidR="00BB7BC9" w:rsidRPr="00781112" w:rsidRDefault="00BA56C8">
            <w:pPr>
              <w:jc w:val="center"/>
              <w:rPr>
                <w:rFonts w:cs="Arial"/>
                <w:color w:val="000000" w:themeColor="text1"/>
                <w:szCs w:val="16"/>
              </w:rPr>
            </w:pPr>
            <w:r w:rsidRPr="00781112">
              <w:rPr>
                <w:rFonts w:cs="Arial"/>
                <w:color w:val="000000" w:themeColor="text1"/>
                <w:szCs w:val="16"/>
              </w:rPr>
              <w:t>0%</w:t>
            </w:r>
          </w:p>
        </w:tc>
        <w:tc>
          <w:tcPr>
            <w:tcW w:w="834" w:type="pct"/>
            <w:shd w:val="clear" w:color="auto" w:fill="auto"/>
            <w:vAlign w:val="center"/>
          </w:tcPr>
          <w:p w14:paraId="14E1E671" w14:textId="1E800737" w:rsidR="00BB7BC9" w:rsidRPr="00781112" w:rsidRDefault="00BA56C8">
            <w:pPr>
              <w:jc w:val="center"/>
              <w:rPr>
                <w:rFonts w:cs="Arial"/>
                <w:color w:val="000000" w:themeColor="text1"/>
                <w:szCs w:val="16"/>
              </w:rPr>
            </w:pPr>
            <w:r w:rsidRPr="00781112">
              <w:rPr>
                <w:rFonts w:cs="Arial"/>
                <w:color w:val="000000" w:themeColor="text1"/>
                <w:szCs w:val="16"/>
              </w:rPr>
              <w:t>0%</w:t>
            </w:r>
          </w:p>
        </w:tc>
      </w:tr>
      <w:tr w:rsidR="005C29F8" w:rsidRPr="00781112" w14:paraId="2F4BE991" w14:textId="77777777" w:rsidTr="00F90636">
        <w:trPr>
          <w:trHeight w:val="85"/>
        </w:trPr>
        <w:tc>
          <w:tcPr>
            <w:tcW w:w="833" w:type="pct"/>
            <w:shd w:val="clear" w:color="auto" w:fill="auto"/>
            <w:vAlign w:val="center"/>
          </w:tcPr>
          <w:p w14:paraId="1FC0AC5E" w14:textId="77777777" w:rsidR="00BB7BC9" w:rsidRPr="00781112" w:rsidRDefault="00BB7BC9" w:rsidP="001F692C">
            <w:pPr>
              <w:rPr>
                <w:rFonts w:cs="Arial"/>
                <w:color w:val="000000" w:themeColor="text1"/>
                <w:szCs w:val="16"/>
              </w:rPr>
            </w:pPr>
            <w:r w:rsidRPr="00781112">
              <w:rPr>
                <w:rFonts w:cs="Arial"/>
                <w:color w:val="000000" w:themeColor="text1"/>
                <w:szCs w:val="16"/>
              </w:rPr>
              <w:t>Data</w:t>
            </w:r>
          </w:p>
        </w:tc>
        <w:tc>
          <w:tcPr>
            <w:tcW w:w="833" w:type="pct"/>
            <w:shd w:val="clear" w:color="auto" w:fill="auto"/>
            <w:vAlign w:val="center"/>
          </w:tcPr>
          <w:p w14:paraId="3DA1451A" w14:textId="7F17AC6B"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shd w:val="clear" w:color="auto" w:fill="auto"/>
            <w:vAlign w:val="center"/>
          </w:tcPr>
          <w:p w14:paraId="6EE4BDB3" w14:textId="2442769C"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tcBorders>
              <w:bottom w:val="single" w:sz="4" w:space="0" w:color="auto"/>
            </w:tcBorders>
            <w:shd w:val="clear" w:color="auto" w:fill="auto"/>
            <w:vAlign w:val="center"/>
          </w:tcPr>
          <w:p w14:paraId="584E7243" w14:textId="6DD2B85E"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tcBorders>
              <w:bottom w:val="single" w:sz="4" w:space="0" w:color="auto"/>
            </w:tcBorders>
            <w:shd w:val="clear" w:color="auto" w:fill="auto"/>
            <w:vAlign w:val="center"/>
          </w:tcPr>
          <w:p w14:paraId="54826674" w14:textId="13F0F281"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4" w:type="pct"/>
            <w:tcBorders>
              <w:bottom w:val="single" w:sz="4" w:space="0" w:color="auto"/>
            </w:tcBorders>
            <w:shd w:val="clear" w:color="auto" w:fill="auto"/>
            <w:vAlign w:val="center"/>
          </w:tcPr>
          <w:p w14:paraId="29A1627C" w14:textId="5AC2DD55"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r>
    </w:tbl>
    <w:p w14:paraId="746FB06B" w14:textId="77777777" w:rsidR="00C15355" w:rsidRPr="00781112" w:rsidRDefault="00C15355" w:rsidP="004369B2">
      <w:pPr>
        <w:rPr>
          <w:color w:val="000000" w:themeColor="text1"/>
        </w:rPr>
      </w:pPr>
    </w:p>
    <w:p w14:paraId="31722FA9" w14:textId="62FF3A62" w:rsidR="0016730D" w:rsidRPr="00781112" w:rsidRDefault="0016730D" w:rsidP="004369B2">
      <w:pPr>
        <w:rPr>
          <w:color w:val="000000" w:themeColor="text1"/>
        </w:rPr>
      </w:pPr>
      <w:r w:rsidRPr="00781112">
        <w:rPr>
          <w:b/>
          <w:color w:val="000000" w:themeColor="text1"/>
        </w:rPr>
        <w:t>Targets</w:t>
      </w:r>
    </w:p>
    <w:tbl>
      <w:tblPr>
        <w:tblW w:w="41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4BTARGETS"/>
      </w:tblPr>
      <w:tblGrid>
        <w:gridCol w:w="679"/>
        <w:gridCol w:w="1589"/>
        <w:gridCol w:w="1696"/>
        <w:gridCol w:w="1697"/>
        <w:gridCol w:w="1697"/>
        <w:gridCol w:w="1697"/>
      </w:tblGrid>
      <w:tr w:rsidR="00B14519" w:rsidRPr="00781112" w14:paraId="1019C6DC" w14:textId="17898954" w:rsidTr="00451D7E">
        <w:trPr>
          <w:trHeight w:val="325"/>
        </w:trPr>
        <w:tc>
          <w:tcPr>
            <w:tcW w:w="272" w:type="pct"/>
            <w:tcBorders>
              <w:bottom w:val="single" w:sz="4" w:space="0" w:color="auto"/>
            </w:tcBorders>
            <w:shd w:val="clear" w:color="auto" w:fill="auto"/>
          </w:tcPr>
          <w:p w14:paraId="049B323A" w14:textId="77777777" w:rsidR="00B14519" w:rsidRPr="00781112" w:rsidRDefault="00B14519" w:rsidP="00D62058">
            <w:pPr>
              <w:jc w:val="center"/>
              <w:rPr>
                <w:b/>
                <w:color w:val="000000" w:themeColor="text1"/>
              </w:rPr>
            </w:pPr>
            <w:r w:rsidRPr="00781112">
              <w:rPr>
                <w:b/>
                <w:color w:val="000000" w:themeColor="text1"/>
              </w:rPr>
              <w:t>FFY</w:t>
            </w:r>
          </w:p>
        </w:tc>
        <w:tc>
          <w:tcPr>
            <w:tcW w:w="898" w:type="pct"/>
            <w:shd w:val="clear" w:color="auto" w:fill="auto"/>
          </w:tcPr>
          <w:p w14:paraId="50E287A7" w14:textId="77777777" w:rsidR="00B14519" w:rsidRPr="00781112" w:rsidRDefault="00B14519" w:rsidP="00D62058">
            <w:pPr>
              <w:jc w:val="center"/>
              <w:rPr>
                <w:b/>
                <w:color w:val="000000" w:themeColor="text1"/>
              </w:rPr>
            </w:pPr>
            <w:r w:rsidRPr="00781112">
              <w:rPr>
                <w:b/>
                <w:color w:val="000000" w:themeColor="text1"/>
              </w:rPr>
              <w:t>2021</w:t>
            </w:r>
          </w:p>
        </w:tc>
        <w:tc>
          <w:tcPr>
            <w:tcW w:w="957" w:type="pct"/>
          </w:tcPr>
          <w:p w14:paraId="126623D3" w14:textId="402F1C62" w:rsidR="00B14519" w:rsidRPr="00781112" w:rsidRDefault="00B14519" w:rsidP="00D62058">
            <w:pPr>
              <w:jc w:val="center"/>
              <w:rPr>
                <w:b/>
                <w:color w:val="000000" w:themeColor="text1"/>
              </w:rPr>
            </w:pPr>
            <w:r w:rsidRPr="00781112">
              <w:rPr>
                <w:rFonts w:cs="Arial"/>
                <w:b/>
                <w:color w:val="000000" w:themeColor="text1"/>
                <w:szCs w:val="16"/>
              </w:rPr>
              <w:t>2022</w:t>
            </w:r>
          </w:p>
        </w:tc>
        <w:tc>
          <w:tcPr>
            <w:tcW w:w="957" w:type="pct"/>
          </w:tcPr>
          <w:p w14:paraId="737913FD" w14:textId="6A609FDC" w:rsidR="00B14519" w:rsidRPr="00781112" w:rsidRDefault="00B14519" w:rsidP="00D62058">
            <w:pPr>
              <w:jc w:val="center"/>
              <w:rPr>
                <w:b/>
                <w:color w:val="000000" w:themeColor="text1"/>
              </w:rPr>
            </w:pPr>
            <w:r w:rsidRPr="00781112">
              <w:rPr>
                <w:rFonts w:cs="Arial"/>
                <w:b/>
                <w:color w:val="000000" w:themeColor="text1"/>
                <w:szCs w:val="16"/>
              </w:rPr>
              <w:t>2023</w:t>
            </w:r>
          </w:p>
        </w:tc>
        <w:tc>
          <w:tcPr>
            <w:tcW w:w="957" w:type="pct"/>
          </w:tcPr>
          <w:p w14:paraId="0700D5E9" w14:textId="17E1A6F9" w:rsidR="00B14519" w:rsidRPr="00781112" w:rsidRDefault="00B14519" w:rsidP="00D62058">
            <w:pPr>
              <w:jc w:val="center"/>
              <w:rPr>
                <w:b/>
                <w:color w:val="000000" w:themeColor="text1"/>
              </w:rPr>
            </w:pPr>
            <w:r w:rsidRPr="00781112">
              <w:rPr>
                <w:rFonts w:cs="Arial"/>
                <w:b/>
                <w:color w:val="000000" w:themeColor="text1"/>
                <w:szCs w:val="16"/>
              </w:rPr>
              <w:t>2024</w:t>
            </w:r>
          </w:p>
        </w:tc>
        <w:tc>
          <w:tcPr>
            <w:tcW w:w="957" w:type="pct"/>
          </w:tcPr>
          <w:p w14:paraId="461B0F01" w14:textId="46CF4F16" w:rsidR="00B14519" w:rsidRPr="00781112" w:rsidRDefault="00B14519" w:rsidP="00D62058">
            <w:pPr>
              <w:jc w:val="center"/>
              <w:rPr>
                <w:b/>
                <w:color w:val="000000" w:themeColor="text1"/>
              </w:rPr>
            </w:pPr>
            <w:r w:rsidRPr="00781112">
              <w:rPr>
                <w:rFonts w:cs="Arial"/>
                <w:b/>
                <w:color w:val="000000" w:themeColor="text1"/>
                <w:szCs w:val="16"/>
              </w:rPr>
              <w:t>2025</w:t>
            </w:r>
          </w:p>
        </w:tc>
      </w:tr>
      <w:tr w:rsidR="00B14519" w:rsidRPr="00781112" w14:paraId="090BA5B6" w14:textId="14D1700A" w:rsidTr="00451D7E">
        <w:trPr>
          <w:trHeight w:val="332"/>
        </w:trPr>
        <w:tc>
          <w:tcPr>
            <w:tcW w:w="272" w:type="pct"/>
            <w:shd w:val="clear" w:color="auto" w:fill="auto"/>
            <w:vAlign w:val="center"/>
          </w:tcPr>
          <w:p w14:paraId="47EE91AE" w14:textId="1203380B" w:rsidR="00B14519" w:rsidRPr="00781112" w:rsidRDefault="00B14519" w:rsidP="00D62058">
            <w:pPr>
              <w:rPr>
                <w:rFonts w:cs="Arial"/>
                <w:color w:val="000000" w:themeColor="text1"/>
                <w:szCs w:val="16"/>
              </w:rPr>
            </w:pPr>
            <w:r w:rsidRPr="00781112">
              <w:rPr>
                <w:rFonts w:cs="Arial"/>
                <w:color w:val="000000" w:themeColor="text1"/>
                <w:szCs w:val="16"/>
              </w:rPr>
              <w:t xml:space="preserve">Target </w:t>
            </w:r>
          </w:p>
        </w:tc>
        <w:tc>
          <w:tcPr>
            <w:tcW w:w="898" w:type="pct"/>
            <w:shd w:val="clear" w:color="auto" w:fill="auto"/>
            <w:vAlign w:val="center"/>
          </w:tcPr>
          <w:p w14:paraId="26579D0D" w14:textId="55868DD1" w:rsidR="00B14519" w:rsidRPr="00781112" w:rsidRDefault="00B14519" w:rsidP="00D62058">
            <w:pPr>
              <w:jc w:val="center"/>
              <w:rPr>
                <w:rFonts w:cs="Arial"/>
                <w:color w:val="000000" w:themeColor="text1"/>
                <w:szCs w:val="16"/>
              </w:rPr>
            </w:pPr>
            <w:r w:rsidRPr="00781112">
              <w:rPr>
                <w:rFonts w:cs="Arial"/>
                <w:color w:val="000000" w:themeColor="text1"/>
                <w:szCs w:val="16"/>
              </w:rPr>
              <w:t>0%</w:t>
            </w:r>
          </w:p>
        </w:tc>
        <w:tc>
          <w:tcPr>
            <w:tcW w:w="957" w:type="pct"/>
          </w:tcPr>
          <w:p w14:paraId="41C3DA31" w14:textId="175676CA" w:rsidR="00B14519" w:rsidRPr="00781112" w:rsidRDefault="00B14519" w:rsidP="00D62058">
            <w:pPr>
              <w:jc w:val="center"/>
              <w:rPr>
                <w:rFonts w:cs="Arial"/>
                <w:color w:val="000000" w:themeColor="text1"/>
                <w:szCs w:val="16"/>
              </w:rPr>
            </w:pPr>
            <w:r w:rsidRPr="00781112">
              <w:rPr>
                <w:color w:val="000000" w:themeColor="text1"/>
                <w:szCs w:val="16"/>
              </w:rPr>
              <w:t>0%</w:t>
            </w:r>
          </w:p>
        </w:tc>
        <w:tc>
          <w:tcPr>
            <w:tcW w:w="957" w:type="pct"/>
          </w:tcPr>
          <w:p w14:paraId="11966A3D" w14:textId="65AB7EFF" w:rsidR="00B14519" w:rsidRPr="00781112" w:rsidRDefault="00B14519" w:rsidP="00D62058">
            <w:pPr>
              <w:jc w:val="center"/>
              <w:rPr>
                <w:rFonts w:cs="Arial"/>
                <w:color w:val="000000" w:themeColor="text1"/>
                <w:szCs w:val="16"/>
              </w:rPr>
            </w:pPr>
            <w:r w:rsidRPr="00781112">
              <w:rPr>
                <w:color w:val="000000" w:themeColor="text1"/>
                <w:szCs w:val="16"/>
              </w:rPr>
              <w:t>0%</w:t>
            </w:r>
          </w:p>
        </w:tc>
        <w:tc>
          <w:tcPr>
            <w:tcW w:w="957" w:type="pct"/>
          </w:tcPr>
          <w:p w14:paraId="527650DE" w14:textId="33C5B6E9" w:rsidR="00B14519" w:rsidRPr="00781112" w:rsidRDefault="00B14519" w:rsidP="00D62058">
            <w:pPr>
              <w:jc w:val="center"/>
              <w:rPr>
                <w:rFonts w:cs="Arial"/>
                <w:color w:val="000000" w:themeColor="text1"/>
                <w:szCs w:val="16"/>
              </w:rPr>
            </w:pPr>
            <w:r w:rsidRPr="00781112">
              <w:rPr>
                <w:color w:val="000000" w:themeColor="text1"/>
                <w:szCs w:val="16"/>
              </w:rPr>
              <w:t>0%</w:t>
            </w:r>
          </w:p>
        </w:tc>
        <w:tc>
          <w:tcPr>
            <w:tcW w:w="957" w:type="pct"/>
          </w:tcPr>
          <w:p w14:paraId="20094305" w14:textId="5B15EE13" w:rsidR="00B14519" w:rsidRPr="00781112" w:rsidRDefault="00B14519" w:rsidP="00D62058">
            <w:pPr>
              <w:jc w:val="center"/>
              <w:rPr>
                <w:rFonts w:cs="Arial"/>
                <w:color w:val="000000" w:themeColor="text1"/>
                <w:szCs w:val="16"/>
              </w:rPr>
            </w:pPr>
            <w:r w:rsidRPr="00781112">
              <w:rPr>
                <w:color w:val="000000" w:themeColor="text1"/>
                <w:szCs w:val="16"/>
              </w:rPr>
              <w:t>0%</w:t>
            </w:r>
          </w:p>
        </w:tc>
      </w:tr>
    </w:tbl>
    <w:p w14:paraId="728AD721" w14:textId="77777777" w:rsidR="00C15355" w:rsidRPr="00781112" w:rsidRDefault="00C15355" w:rsidP="004369B2">
      <w:pPr>
        <w:rPr>
          <w:color w:val="000000" w:themeColor="text1"/>
        </w:rPr>
      </w:pPr>
    </w:p>
    <w:bookmarkEnd w:id="37"/>
    <w:bookmarkEnd w:id="38"/>
    <w:p w14:paraId="6C217ADA" w14:textId="5B6EDDF4" w:rsidR="00D03701" w:rsidRPr="00781112" w:rsidRDefault="0047313F">
      <w:pPr>
        <w:rPr>
          <w:b/>
          <w:color w:val="000000" w:themeColor="text1"/>
        </w:rPr>
      </w:pPr>
      <w:r>
        <w:rPr>
          <w:b/>
          <w:color w:val="000000" w:themeColor="text1"/>
        </w:rPr>
        <w:t>FFY 2021 SPP/APR Data</w:t>
      </w:r>
    </w:p>
    <w:p w14:paraId="51C79687" w14:textId="260CFDAD" w:rsidR="00F9524E" w:rsidRPr="00781112" w:rsidRDefault="00F9524E">
      <w:pPr>
        <w:rPr>
          <w:rFonts w:cs="Arial"/>
          <w:b/>
          <w:color w:val="000000" w:themeColor="text1"/>
          <w:szCs w:val="16"/>
        </w:rPr>
      </w:pPr>
      <w:r w:rsidRPr="00781112">
        <w:rPr>
          <w:rFonts w:cs="Arial"/>
          <w:b/>
          <w:color w:val="000000" w:themeColor="text1"/>
          <w:szCs w:val="16"/>
        </w:rPr>
        <w:t>Has the state established a minimum n/cell-size requirement? (yes/no)</w:t>
      </w:r>
    </w:p>
    <w:p w14:paraId="6FC8EF80" w14:textId="63ECC90F" w:rsidR="00F9524E" w:rsidRPr="00781112" w:rsidRDefault="00F9524E">
      <w:pPr>
        <w:rPr>
          <w:rFonts w:cs="Arial"/>
          <w:color w:val="000000" w:themeColor="text1"/>
          <w:szCs w:val="16"/>
        </w:rPr>
      </w:pPr>
      <w:r w:rsidRPr="00781112">
        <w:rPr>
          <w:rFonts w:cs="Arial"/>
          <w:color w:val="000000" w:themeColor="text1"/>
          <w:szCs w:val="16"/>
        </w:rPr>
        <w:t>YES</w:t>
      </w:r>
    </w:p>
    <w:p w14:paraId="69A72720" w14:textId="20C4A4A0" w:rsidR="00F9524E" w:rsidRPr="00781112" w:rsidRDefault="00F9524E">
      <w:pPr>
        <w:rPr>
          <w:rFonts w:cs="Arial"/>
          <w:b/>
          <w:color w:val="000000" w:themeColor="text1"/>
          <w:szCs w:val="16"/>
        </w:rPr>
      </w:pPr>
      <w:r w:rsidRPr="00781112">
        <w:rPr>
          <w:rFonts w:cs="Arial"/>
          <w:b/>
          <w:color w:val="000000" w:themeColor="text1"/>
          <w:szCs w:val="16"/>
        </w:rPr>
        <w:t xml:space="preserve">If yes, the State may only include, in both the numerator and the denominator, LEAs that met the State-established n/cell size. Report the number of LEAs excluded from the calculation </w:t>
      </w:r>
      <w:proofErr w:type="gramStart"/>
      <w:r w:rsidRPr="00781112">
        <w:rPr>
          <w:rFonts w:cs="Arial"/>
          <w:b/>
          <w:color w:val="000000" w:themeColor="text1"/>
          <w:szCs w:val="16"/>
        </w:rPr>
        <w:t>as a result of</w:t>
      </w:r>
      <w:proofErr w:type="gramEnd"/>
      <w:r w:rsidRPr="00781112">
        <w:rPr>
          <w:rFonts w:cs="Arial"/>
          <w:b/>
          <w:color w:val="000000" w:themeColor="text1"/>
          <w:szCs w:val="16"/>
        </w:rPr>
        <w:t xml:space="preserve"> the requirement.</w:t>
      </w:r>
    </w:p>
    <w:p w14:paraId="4A920DA7" w14:textId="169D365F" w:rsidR="00F9524E" w:rsidRPr="00781112" w:rsidRDefault="00F9524E" w:rsidP="004369B2">
      <w:pPr>
        <w:rPr>
          <w:rFonts w:cs="Arial"/>
          <w:color w:val="000000" w:themeColor="text1"/>
          <w:szCs w:val="16"/>
        </w:rPr>
      </w:pPr>
      <w:r w:rsidRPr="00781112">
        <w:rPr>
          <w:rFonts w:cs="Arial"/>
          <w:color w:val="000000" w:themeColor="text1"/>
          <w:szCs w:val="16"/>
        </w:rPr>
        <w:t>147</w:t>
      </w:r>
    </w:p>
    <w:p w14:paraId="4C0AC734" w14:textId="77777777" w:rsidR="0016730D" w:rsidRPr="00781112" w:rsidRDefault="0016730D" w:rsidP="004369B2">
      <w:pPr>
        <w:rPr>
          <w:color w:val="000000" w:themeColor="text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4BCFFYAPRDATA"/>
      </w:tblPr>
      <w:tblGrid>
        <w:gridCol w:w="1328"/>
        <w:gridCol w:w="1272"/>
        <w:gridCol w:w="1757"/>
        <w:gridCol w:w="1152"/>
        <w:gridCol w:w="1675"/>
        <w:gridCol w:w="1047"/>
        <w:gridCol w:w="1299"/>
        <w:gridCol w:w="1260"/>
      </w:tblGrid>
      <w:tr w:rsidR="00740CBC" w:rsidRPr="00781112" w14:paraId="38B0A91A" w14:textId="77777777" w:rsidTr="00EC0EDB">
        <w:trPr>
          <w:trHeight w:val="994"/>
          <w:jc w:val="center"/>
        </w:trPr>
        <w:tc>
          <w:tcPr>
            <w:tcW w:w="615" w:type="pct"/>
            <w:shd w:val="clear" w:color="auto" w:fill="auto"/>
            <w:vAlign w:val="bottom"/>
          </w:tcPr>
          <w:p w14:paraId="7B29D1BD" w14:textId="32EC5502" w:rsidR="00740CBC" w:rsidRPr="00781112" w:rsidRDefault="00740CBC" w:rsidP="00740CBC">
            <w:pPr>
              <w:jc w:val="center"/>
              <w:rPr>
                <w:rFonts w:cs="Arial"/>
                <w:b/>
                <w:color w:val="000000" w:themeColor="text1"/>
                <w:szCs w:val="16"/>
              </w:rPr>
            </w:pPr>
            <w:r w:rsidRPr="00781112">
              <w:rPr>
                <w:rFonts w:cs="Arial"/>
                <w:b/>
                <w:color w:val="000000" w:themeColor="text1"/>
                <w:szCs w:val="16"/>
              </w:rPr>
              <w:t>Number of LEAs that have a significant discrepancy, by race or ethnicity</w:t>
            </w:r>
          </w:p>
        </w:tc>
        <w:tc>
          <w:tcPr>
            <w:tcW w:w="589" w:type="pct"/>
            <w:shd w:val="clear" w:color="auto" w:fill="auto"/>
            <w:vAlign w:val="bottom"/>
          </w:tcPr>
          <w:p w14:paraId="5F8F5A3F" w14:textId="0F9AAB60" w:rsidR="00740CBC" w:rsidRPr="00781112" w:rsidRDefault="00740CBC" w:rsidP="00740CBC">
            <w:pPr>
              <w:jc w:val="center"/>
              <w:rPr>
                <w:rFonts w:cs="Arial"/>
                <w:b/>
                <w:color w:val="000000" w:themeColor="text1"/>
                <w:szCs w:val="16"/>
              </w:rPr>
            </w:pPr>
            <w:r w:rsidRPr="00781112">
              <w:rPr>
                <w:rFonts w:cs="Arial"/>
                <w:b/>
                <w:color w:val="000000" w:themeColor="text1"/>
                <w:szCs w:val="16"/>
              </w:rPr>
              <w:t>Number of those LEAs that have policies, procedure or practices that contribute to the significant discrepancy and do not comply with requirements</w:t>
            </w:r>
          </w:p>
        </w:tc>
        <w:tc>
          <w:tcPr>
            <w:tcW w:w="814" w:type="pct"/>
            <w:shd w:val="clear" w:color="auto" w:fill="auto"/>
            <w:vAlign w:val="bottom"/>
          </w:tcPr>
          <w:p w14:paraId="198605CB" w14:textId="35586744" w:rsidR="00740CBC" w:rsidRPr="00781112" w:rsidRDefault="00740CBC" w:rsidP="00740CBC">
            <w:pPr>
              <w:jc w:val="center"/>
              <w:rPr>
                <w:rFonts w:cs="Arial"/>
                <w:b/>
                <w:color w:val="000000" w:themeColor="text1"/>
                <w:szCs w:val="16"/>
              </w:rPr>
            </w:pPr>
            <w:r w:rsidRPr="00781112">
              <w:rPr>
                <w:rFonts w:cs="Arial"/>
                <w:b/>
                <w:color w:val="000000" w:themeColor="text1"/>
                <w:szCs w:val="16"/>
              </w:rPr>
              <w:t>Number of LEAs that met the State's minimum n/cell size</w:t>
            </w:r>
          </w:p>
        </w:tc>
        <w:tc>
          <w:tcPr>
            <w:tcW w:w="534" w:type="pct"/>
            <w:shd w:val="clear" w:color="auto" w:fill="auto"/>
            <w:vAlign w:val="bottom"/>
          </w:tcPr>
          <w:p w14:paraId="45990D98" w14:textId="4745ADEF" w:rsidR="00740CBC" w:rsidRPr="00CC1061" w:rsidRDefault="00740CBC" w:rsidP="00740CBC">
            <w:pPr>
              <w:jc w:val="center"/>
              <w:rPr>
                <w:rFonts w:cs="Arial"/>
                <w:b/>
                <w:bCs/>
                <w:color w:val="000000" w:themeColor="text1"/>
                <w:szCs w:val="16"/>
              </w:rPr>
            </w:pPr>
            <w:r w:rsidRPr="00CC1061">
              <w:rPr>
                <w:b/>
                <w:bCs/>
              </w:rPr>
              <w:t>FFY 2020 Data</w:t>
            </w:r>
          </w:p>
        </w:tc>
        <w:tc>
          <w:tcPr>
            <w:tcW w:w="776" w:type="pct"/>
            <w:shd w:val="clear" w:color="auto" w:fill="auto"/>
            <w:vAlign w:val="bottom"/>
          </w:tcPr>
          <w:p w14:paraId="1BAB59B0" w14:textId="572E90ED" w:rsidR="00740CBC" w:rsidRPr="00CC1061" w:rsidRDefault="00740CBC" w:rsidP="00740CBC">
            <w:pPr>
              <w:jc w:val="center"/>
              <w:rPr>
                <w:rFonts w:cs="Arial"/>
                <w:b/>
                <w:bCs/>
                <w:color w:val="000000" w:themeColor="text1"/>
                <w:szCs w:val="16"/>
              </w:rPr>
            </w:pPr>
            <w:r w:rsidRPr="00CC1061">
              <w:rPr>
                <w:b/>
                <w:bCs/>
              </w:rPr>
              <w:t>FFY 2021 Target</w:t>
            </w:r>
          </w:p>
        </w:tc>
        <w:tc>
          <w:tcPr>
            <w:tcW w:w="485" w:type="pct"/>
            <w:shd w:val="clear" w:color="auto" w:fill="auto"/>
            <w:vAlign w:val="bottom"/>
          </w:tcPr>
          <w:p w14:paraId="179C63C5" w14:textId="307AAB8A" w:rsidR="00740CBC" w:rsidRPr="00CC1061" w:rsidRDefault="00740CBC" w:rsidP="00740CBC">
            <w:pPr>
              <w:jc w:val="center"/>
              <w:rPr>
                <w:rFonts w:cs="Arial"/>
                <w:b/>
                <w:bCs/>
                <w:color w:val="000000" w:themeColor="text1"/>
                <w:szCs w:val="16"/>
              </w:rPr>
            </w:pPr>
            <w:r w:rsidRPr="00CC1061">
              <w:rPr>
                <w:b/>
                <w:bCs/>
              </w:rPr>
              <w:t>FFY 2021 Data</w:t>
            </w:r>
          </w:p>
        </w:tc>
        <w:tc>
          <w:tcPr>
            <w:tcW w:w="602" w:type="pct"/>
            <w:shd w:val="clear" w:color="auto" w:fill="auto"/>
            <w:vAlign w:val="bottom"/>
          </w:tcPr>
          <w:p w14:paraId="65AC4432" w14:textId="77777777" w:rsidR="00740CBC" w:rsidRPr="00781112" w:rsidRDefault="00740CBC" w:rsidP="00740CBC">
            <w:pPr>
              <w:jc w:val="center"/>
              <w:rPr>
                <w:rFonts w:cs="Arial"/>
                <w:b/>
                <w:color w:val="000000" w:themeColor="text1"/>
                <w:szCs w:val="16"/>
              </w:rPr>
            </w:pPr>
            <w:r w:rsidRPr="00781112">
              <w:rPr>
                <w:rFonts w:cs="Arial"/>
                <w:b/>
                <w:color w:val="000000" w:themeColor="text1"/>
                <w:szCs w:val="16"/>
              </w:rPr>
              <w:t>Status</w:t>
            </w:r>
          </w:p>
        </w:tc>
        <w:tc>
          <w:tcPr>
            <w:tcW w:w="584" w:type="pct"/>
            <w:shd w:val="clear" w:color="auto" w:fill="auto"/>
            <w:vAlign w:val="bottom"/>
          </w:tcPr>
          <w:p w14:paraId="1CC124E2" w14:textId="77777777" w:rsidR="00740CBC" w:rsidRPr="00781112" w:rsidRDefault="00740CBC" w:rsidP="00740CBC">
            <w:pPr>
              <w:jc w:val="center"/>
              <w:rPr>
                <w:rFonts w:cs="Arial"/>
                <w:b/>
                <w:color w:val="000000" w:themeColor="text1"/>
                <w:szCs w:val="16"/>
              </w:rPr>
            </w:pPr>
            <w:r w:rsidRPr="00781112">
              <w:rPr>
                <w:rFonts w:cs="Arial"/>
                <w:b/>
                <w:color w:val="000000" w:themeColor="text1"/>
                <w:szCs w:val="16"/>
              </w:rPr>
              <w:t>Slippage</w:t>
            </w:r>
          </w:p>
        </w:tc>
      </w:tr>
      <w:tr w:rsidR="005C29F8" w:rsidRPr="00781112" w14:paraId="204CDE51" w14:textId="77777777" w:rsidTr="00EC0EDB">
        <w:trPr>
          <w:trHeight w:val="233"/>
          <w:jc w:val="center"/>
        </w:trPr>
        <w:tc>
          <w:tcPr>
            <w:tcW w:w="615" w:type="pct"/>
            <w:shd w:val="clear" w:color="auto" w:fill="auto"/>
          </w:tcPr>
          <w:p w14:paraId="1BBB876A" w14:textId="743343A5" w:rsidR="00DE45AB"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589" w:type="pct"/>
            <w:shd w:val="clear" w:color="auto" w:fill="auto"/>
            <w:vAlign w:val="center"/>
          </w:tcPr>
          <w:p w14:paraId="6C540A5B" w14:textId="472541D0" w:rsidR="00DE45AB"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814" w:type="pct"/>
            <w:shd w:val="clear" w:color="auto" w:fill="auto"/>
          </w:tcPr>
          <w:p w14:paraId="6F1E42F0" w14:textId="4B631704" w:rsidR="00DE45AB" w:rsidRPr="00781112" w:rsidRDefault="002B7490" w:rsidP="00A018D4">
            <w:pPr>
              <w:jc w:val="center"/>
              <w:rPr>
                <w:rFonts w:cs="Arial"/>
                <w:color w:val="000000" w:themeColor="text1"/>
                <w:szCs w:val="16"/>
              </w:rPr>
            </w:pPr>
            <w:r w:rsidRPr="00781112">
              <w:rPr>
                <w:rFonts w:cs="Arial"/>
                <w:color w:val="000000" w:themeColor="text1"/>
                <w:szCs w:val="16"/>
              </w:rPr>
              <w:t>9</w:t>
            </w:r>
          </w:p>
        </w:tc>
        <w:tc>
          <w:tcPr>
            <w:tcW w:w="534" w:type="pct"/>
            <w:shd w:val="clear" w:color="auto" w:fill="auto"/>
          </w:tcPr>
          <w:p w14:paraId="76FAD105" w14:textId="6054175F" w:rsidR="00DE45AB"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776" w:type="pct"/>
            <w:shd w:val="clear" w:color="auto" w:fill="auto"/>
          </w:tcPr>
          <w:p w14:paraId="0F3192F2" w14:textId="289113AF" w:rsidR="00DE45AB" w:rsidRPr="00781112" w:rsidRDefault="00BA56C8">
            <w:pPr>
              <w:jc w:val="center"/>
              <w:rPr>
                <w:rFonts w:cs="Arial"/>
                <w:color w:val="000000" w:themeColor="text1"/>
                <w:szCs w:val="16"/>
              </w:rPr>
            </w:pPr>
            <w:r w:rsidRPr="00781112">
              <w:rPr>
                <w:rFonts w:cs="Arial"/>
                <w:color w:val="000000" w:themeColor="text1"/>
                <w:szCs w:val="16"/>
              </w:rPr>
              <w:t>0%</w:t>
            </w:r>
          </w:p>
        </w:tc>
        <w:tc>
          <w:tcPr>
            <w:tcW w:w="485" w:type="pct"/>
            <w:shd w:val="clear" w:color="auto" w:fill="auto"/>
          </w:tcPr>
          <w:p w14:paraId="7BDF1791" w14:textId="2192A561" w:rsidR="00DE45AB"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602" w:type="pct"/>
            <w:shd w:val="clear" w:color="auto" w:fill="auto"/>
          </w:tcPr>
          <w:p w14:paraId="389804B8" w14:textId="23C75A7D" w:rsidR="00DE45AB" w:rsidRPr="00781112" w:rsidRDefault="002B7490" w:rsidP="00A018D4">
            <w:pPr>
              <w:jc w:val="center"/>
              <w:rPr>
                <w:rFonts w:cs="Arial"/>
                <w:color w:val="000000" w:themeColor="text1"/>
                <w:szCs w:val="16"/>
              </w:rPr>
            </w:pPr>
            <w:r w:rsidRPr="00781112">
              <w:rPr>
                <w:rFonts w:cs="Arial"/>
                <w:color w:val="000000" w:themeColor="text1"/>
                <w:szCs w:val="16"/>
              </w:rPr>
              <w:t>N/A</w:t>
            </w:r>
          </w:p>
        </w:tc>
        <w:tc>
          <w:tcPr>
            <w:tcW w:w="584" w:type="pct"/>
            <w:shd w:val="clear" w:color="auto" w:fill="auto"/>
          </w:tcPr>
          <w:p w14:paraId="3AF9E82D" w14:textId="6AA616AB" w:rsidR="00DE45AB" w:rsidRPr="00781112" w:rsidRDefault="002B7490" w:rsidP="00A018D4">
            <w:pPr>
              <w:jc w:val="center"/>
              <w:rPr>
                <w:rFonts w:cs="Arial"/>
                <w:color w:val="000000" w:themeColor="text1"/>
                <w:szCs w:val="16"/>
              </w:rPr>
            </w:pPr>
            <w:r w:rsidRPr="00781112">
              <w:rPr>
                <w:rFonts w:cs="Arial"/>
                <w:color w:val="000000" w:themeColor="text1"/>
                <w:szCs w:val="16"/>
              </w:rPr>
              <w:t>N/A</w:t>
            </w:r>
          </w:p>
        </w:tc>
      </w:tr>
    </w:tbl>
    <w:p w14:paraId="40DD3F41" w14:textId="31F46ACB" w:rsidR="00F9524E" w:rsidRPr="00781112" w:rsidRDefault="004B3E74" w:rsidP="000E33D0">
      <w:pPr>
        <w:rPr>
          <w:rFonts w:cs="Arial"/>
          <w:b/>
          <w:color w:val="000000" w:themeColor="text1"/>
          <w:szCs w:val="16"/>
        </w:rPr>
      </w:pPr>
      <w:r w:rsidRPr="00781112">
        <w:rPr>
          <w:rFonts w:cs="Arial"/>
          <w:b/>
          <w:color w:val="000000" w:themeColor="text1"/>
          <w:szCs w:val="16"/>
        </w:rPr>
        <w:t xml:space="preserve">Were all races and ethnicities included in the review? </w:t>
      </w:r>
    </w:p>
    <w:p w14:paraId="1F24C674" w14:textId="1B9869B3" w:rsidR="00F9524E" w:rsidRPr="00781112" w:rsidRDefault="00F9524E" w:rsidP="000E33D0">
      <w:pPr>
        <w:rPr>
          <w:rFonts w:cs="Arial"/>
          <w:color w:val="000000" w:themeColor="text1"/>
          <w:szCs w:val="16"/>
        </w:rPr>
      </w:pPr>
      <w:r w:rsidRPr="00781112">
        <w:rPr>
          <w:rFonts w:cs="Arial"/>
          <w:color w:val="000000" w:themeColor="text1"/>
          <w:szCs w:val="16"/>
        </w:rPr>
        <w:t>YES</w:t>
      </w:r>
    </w:p>
    <w:p w14:paraId="6DB014CF" w14:textId="6C5A068F" w:rsidR="001F6A28" w:rsidRPr="00781112" w:rsidRDefault="001F6A28" w:rsidP="009A755E">
      <w:pPr>
        <w:rPr>
          <w:rFonts w:cs="Arial"/>
          <w:b/>
          <w:color w:val="000000" w:themeColor="text1"/>
          <w:szCs w:val="16"/>
        </w:rPr>
      </w:pPr>
      <w:bookmarkStart w:id="39" w:name="_Toc392159294"/>
      <w:r w:rsidRPr="00781112">
        <w:rPr>
          <w:rFonts w:cs="Arial"/>
          <w:b/>
          <w:color w:val="000000" w:themeColor="text1"/>
          <w:szCs w:val="16"/>
        </w:rPr>
        <w:t>State’s definition of “significant discrepancy” and methodology</w:t>
      </w:r>
    </w:p>
    <w:p w14:paraId="68DA7D27" w14:textId="3FCFF894" w:rsidR="002D57DA" w:rsidRPr="00781112" w:rsidRDefault="002B7490" w:rsidP="009C613A">
      <w:pPr>
        <w:rPr>
          <w:rFonts w:cs="Arial"/>
          <w:b/>
          <w:color w:val="000000" w:themeColor="text1"/>
          <w:szCs w:val="16"/>
        </w:rPr>
      </w:pPr>
      <w:r w:rsidRPr="00781112">
        <w:rPr>
          <w:rFonts w:cs="Arial"/>
          <w:color w:val="000000" w:themeColor="text1"/>
          <w:szCs w:val="16"/>
        </w:rPr>
        <w:t>The USBE uses the "State bar" method for defining significant discrepancy. The FFY 2021 (school year (SY) 2020–2021) State rate for suspending/expelling students with disabilities among LEAs in the State for more than 10 days was 0.0542%. The USBE set the State bar as five times the State rate. Any LEA that suspended or expelled 0.27% or more of its students with disabilities, in a specific racial/ethnic group, for more than 10 days was identified for significant discrepancy. There must be an "n" size of at least 10 students with disabilities in the LEA in the denominator and two students in the numerator for each racial/ethnic group. Of the 156 LEAs in SY 2020-2021, 9 had students with disabilities who were suspended for more than 10 days and met the minimum n/cell sizes for at least one racial/ethnic group, 13 had students with disabilities who were suspended for more than 10 days but did not meet the minimum n/cell sizes for any racial/ethnic groups, and 134 did not have any students with disabilities who were suspended for more than 10 days. Across the entire state, 47 students with disabilities were suspended for more than 10 days in SY 2020-2021.</w:t>
      </w:r>
      <w:r w:rsidRPr="00781112">
        <w:rPr>
          <w:rFonts w:cs="Arial"/>
          <w:color w:val="000000" w:themeColor="text1"/>
          <w:szCs w:val="16"/>
        </w:rPr>
        <w:br/>
      </w:r>
      <w:r w:rsidRPr="00781112">
        <w:rPr>
          <w:rFonts w:cs="Arial"/>
          <w:color w:val="000000" w:themeColor="text1"/>
          <w:szCs w:val="16"/>
        </w:rPr>
        <w:br/>
        <w:t>The total out-of-school suspensions/expulsions within an LEA during a school year is calculated by summing up all out-of-school removals (10% of the day or longer). Students with disabilities with &gt; 10 total days of out-of-school removals are identified. The USBE compares the LEA rate to the State rate. A significant discrepancy occurs when the LEA’s rate equals or exceeds five times the State rate. The target is 0% of LEAs with a significant discrepancy.</w:t>
      </w:r>
      <w:r w:rsidRPr="00781112">
        <w:rPr>
          <w:rFonts w:cs="Arial"/>
          <w:color w:val="000000" w:themeColor="text1"/>
          <w:szCs w:val="16"/>
        </w:rPr>
        <w:br/>
      </w:r>
      <w:r w:rsidRPr="00781112">
        <w:rPr>
          <w:rFonts w:cs="Arial"/>
          <w:color w:val="000000" w:themeColor="text1"/>
          <w:szCs w:val="16"/>
        </w:rPr>
        <w:br/>
        <w:t xml:space="preserve">As 4B is a compliance indicator, all LEAs identified for significant discrepancy are included in the numerator </w:t>
      </w:r>
      <w:proofErr w:type="gramStart"/>
      <w:r w:rsidRPr="00781112">
        <w:rPr>
          <w:rFonts w:cs="Arial"/>
          <w:color w:val="000000" w:themeColor="text1"/>
          <w:szCs w:val="16"/>
        </w:rPr>
        <w:t>regardless</w:t>
      </w:r>
      <w:proofErr w:type="gramEnd"/>
      <w:r w:rsidRPr="00781112">
        <w:rPr>
          <w:rFonts w:cs="Arial"/>
          <w:color w:val="000000" w:themeColor="text1"/>
          <w:szCs w:val="16"/>
        </w:rPr>
        <w:t xml:space="preserve"> if the result of the review of policies, procedures, and practices reflects compliance.</w:t>
      </w:r>
    </w:p>
    <w:p w14:paraId="3EC3FBFA" w14:textId="77777777" w:rsidR="006C575D" w:rsidRPr="00781112" w:rsidRDefault="006C575D" w:rsidP="004369B2">
      <w:pPr>
        <w:rPr>
          <w:b/>
          <w:color w:val="000000" w:themeColor="text1"/>
        </w:rPr>
      </w:pPr>
      <w:r w:rsidRPr="00781112">
        <w:rPr>
          <w:b/>
          <w:color w:val="000000" w:themeColor="text1"/>
        </w:rPr>
        <w:t>Provide additional information about this indicator (optional)</w:t>
      </w:r>
    </w:p>
    <w:p w14:paraId="35896747" w14:textId="5B1C78C3" w:rsidR="002D57DA" w:rsidRPr="00781112" w:rsidRDefault="002B7490" w:rsidP="000E33D0">
      <w:pPr>
        <w:rPr>
          <w:rFonts w:cs="Arial"/>
          <w:color w:val="000000" w:themeColor="text1"/>
          <w:szCs w:val="16"/>
        </w:rPr>
      </w:pPr>
      <w:r w:rsidRPr="00781112">
        <w:rPr>
          <w:rFonts w:cs="Arial"/>
          <w:color w:val="000000" w:themeColor="text1"/>
          <w:szCs w:val="16"/>
        </w:rPr>
        <w:t xml:space="preserve">The USBE worked directly with the IDC to improve and update the Indicator 4 process (including adjusting the State bar). The change in process required a revised baseline for consistency with the updated method. An LEA self-assessment of policies, procedures, and practices </w:t>
      </w:r>
      <w:proofErr w:type="gramStart"/>
      <w:r w:rsidRPr="00781112">
        <w:rPr>
          <w:rFonts w:cs="Arial"/>
          <w:color w:val="000000" w:themeColor="text1"/>
          <w:szCs w:val="16"/>
        </w:rPr>
        <w:t>in regards to</w:t>
      </w:r>
      <w:proofErr w:type="gramEnd"/>
      <w:r w:rsidRPr="00781112">
        <w:rPr>
          <w:rFonts w:cs="Arial"/>
          <w:color w:val="000000" w:themeColor="text1"/>
          <w:szCs w:val="16"/>
        </w:rPr>
        <w:t xml:space="preserve"> suspension and expulsion was conducted on the FFY 2021 data. This process increases the ability to identify and issue findings of noncompliance where appropriate. No LEAs were identified for Indicator 4B in FFY 2021.</w:t>
      </w:r>
      <w:r w:rsidRPr="00781112">
        <w:rPr>
          <w:rFonts w:cs="Arial"/>
          <w:color w:val="000000" w:themeColor="text1"/>
          <w:szCs w:val="16"/>
        </w:rPr>
        <w:br/>
      </w:r>
      <w:r w:rsidRPr="00781112">
        <w:rPr>
          <w:rFonts w:cs="Arial"/>
          <w:color w:val="000000" w:themeColor="text1"/>
          <w:szCs w:val="16"/>
        </w:rPr>
        <w:br/>
        <w:t>OSEP asked the USBE to clarify whether, in circumstances where the USBE is unable to verify correction of noncompliance consistent with OSEP Memo 09-02 within the three-week window, findings are issued to LEAs regardless of the level of noncompliance identified.</w:t>
      </w:r>
      <w:r w:rsidRPr="00781112">
        <w:rPr>
          <w:rFonts w:cs="Arial"/>
          <w:color w:val="000000" w:themeColor="text1"/>
          <w:szCs w:val="16"/>
        </w:rPr>
        <w:br/>
        <w:t>• The USBE has not identified noncompliance with Indicator 4B that has required verification of correction and the issuance of findings.</w:t>
      </w:r>
      <w:r w:rsidRPr="00781112">
        <w:rPr>
          <w:rFonts w:cs="Arial"/>
          <w:color w:val="000000" w:themeColor="text1"/>
          <w:szCs w:val="16"/>
        </w:rPr>
        <w:br/>
        <w:t xml:space="preserve">• If the USBE had identified noncompliance for Indicator 4B, and had been unable to verify correction within the three-week window, the USBE would </w:t>
      </w:r>
      <w:r w:rsidRPr="00781112">
        <w:rPr>
          <w:rFonts w:cs="Arial"/>
          <w:color w:val="000000" w:themeColor="text1"/>
          <w:szCs w:val="16"/>
        </w:rPr>
        <w:lastRenderedPageBreak/>
        <w:t>have issued findings for all areas below 100% compliant.</w:t>
      </w:r>
      <w:r w:rsidRPr="00781112">
        <w:rPr>
          <w:rFonts w:cs="Arial"/>
          <w:color w:val="000000" w:themeColor="text1"/>
          <w:szCs w:val="16"/>
        </w:rPr>
        <w:br/>
        <w:t>• The USBE previously used a three-week window for correction before issuing findings of noncompliance. This is no longer a part of our policies, procedures, or practices. Written findings of noncompliance are issued for all areas below 100% compliant within 90 days of identification.</w:t>
      </w:r>
    </w:p>
    <w:p w14:paraId="4B905245" w14:textId="77777777" w:rsidR="005E2440" w:rsidRPr="00781112" w:rsidRDefault="005E2440" w:rsidP="004369B2">
      <w:pPr>
        <w:rPr>
          <w:color w:val="000000" w:themeColor="text1"/>
        </w:rPr>
      </w:pPr>
    </w:p>
    <w:p w14:paraId="248087F7" w14:textId="6D13A5FF" w:rsidR="001F6A28" w:rsidRPr="00781112" w:rsidRDefault="001F6A28" w:rsidP="004369B2">
      <w:pPr>
        <w:rPr>
          <w:color w:val="000000" w:themeColor="text1"/>
        </w:rPr>
      </w:pPr>
      <w:r w:rsidRPr="00781112">
        <w:rPr>
          <w:b/>
          <w:color w:val="000000" w:themeColor="text1"/>
        </w:rPr>
        <w:t>Review of Policies, Procedures, and Practices (completed in FFY 2021 using 2020-2021 data)</w:t>
      </w:r>
    </w:p>
    <w:p w14:paraId="71ECDBC1" w14:textId="77777777" w:rsidR="001F6A28" w:rsidRPr="00781112" w:rsidRDefault="001F6A28" w:rsidP="009A755E">
      <w:pPr>
        <w:rPr>
          <w:rFonts w:cs="Arial"/>
          <w:b/>
          <w:color w:val="000000" w:themeColor="text1"/>
          <w:szCs w:val="16"/>
        </w:rPr>
      </w:pPr>
      <w:r w:rsidRPr="00781112">
        <w:rPr>
          <w:rFonts w:cs="Arial"/>
          <w:b/>
          <w:color w:val="000000" w:themeColor="text1"/>
          <w:szCs w:val="16"/>
        </w:rPr>
        <w:t>Provide a description of the review of policies, procedures, and practices relating to the development and implementation of IEPs, the use of positive behavioral interventions and supports, and procedural safeguards.</w:t>
      </w:r>
    </w:p>
    <w:p w14:paraId="7C9E83E6" w14:textId="40DED240" w:rsidR="00616510" w:rsidRPr="00781112" w:rsidRDefault="002B7490" w:rsidP="009C613A">
      <w:pPr>
        <w:rPr>
          <w:rFonts w:cs="Arial"/>
          <w:color w:val="000000" w:themeColor="text1"/>
          <w:szCs w:val="16"/>
        </w:rPr>
      </w:pPr>
      <w:r w:rsidRPr="00781112">
        <w:rPr>
          <w:rFonts w:cs="Arial"/>
          <w:color w:val="000000" w:themeColor="text1"/>
          <w:szCs w:val="16"/>
        </w:rPr>
        <w:t xml:space="preserve">No LEAs were identified with a significant discrepancy in FFY 2021. If an LEA had been identified, it would have been required to conduct a self-assessment of policies, </w:t>
      </w:r>
      <w:proofErr w:type="gramStart"/>
      <w:r w:rsidRPr="00781112">
        <w:rPr>
          <w:rFonts w:cs="Arial"/>
          <w:color w:val="000000" w:themeColor="text1"/>
          <w:szCs w:val="16"/>
        </w:rPr>
        <w:t>procedures</w:t>
      </w:r>
      <w:proofErr w:type="gramEnd"/>
      <w:r w:rsidRPr="00781112">
        <w:rPr>
          <w:rFonts w:cs="Arial"/>
          <w:color w:val="000000" w:themeColor="text1"/>
          <w:szCs w:val="16"/>
        </w:rPr>
        <w:t xml:space="preserve"> and practices. The self-assessment would have included a review of the LEA’s discipline policies, procedures, and practices, as well as individual student record reviews regarding discipline practices taken for students in the identified racial/ethnic group(s), IEPs, and Procedural Safeguards. The self-assessment would have been submitted to the USBE for determination of compliance, the need for correction, and verification of implementation of regulatory requirements.</w:t>
      </w:r>
    </w:p>
    <w:p w14:paraId="3F34C37B" w14:textId="77777777" w:rsidR="00616510" w:rsidRPr="00781112" w:rsidRDefault="00616510" w:rsidP="009C613A">
      <w:pPr>
        <w:rPr>
          <w:rFonts w:cs="Arial"/>
          <w:color w:val="000000" w:themeColor="text1"/>
          <w:szCs w:val="16"/>
        </w:rPr>
      </w:pPr>
    </w:p>
    <w:p w14:paraId="23CDB3C2" w14:textId="04EDADC3" w:rsidR="00616510" w:rsidRPr="00781112" w:rsidRDefault="00616510" w:rsidP="009C613A">
      <w:pPr>
        <w:rPr>
          <w:rFonts w:cs="Arial"/>
          <w:color w:val="000000" w:themeColor="text1"/>
          <w:szCs w:val="16"/>
        </w:rPr>
      </w:pPr>
      <w:r w:rsidRPr="00781112">
        <w:rPr>
          <w:rFonts w:cs="Arial"/>
          <w:color w:val="000000" w:themeColor="text1"/>
          <w:szCs w:val="16"/>
        </w:rPr>
        <w:t xml:space="preserve">The State DID NOT identify noncompliance with Part B requirements </w:t>
      </w:r>
      <w:proofErr w:type="gramStart"/>
      <w:r w:rsidRPr="00781112">
        <w:rPr>
          <w:rFonts w:cs="Arial"/>
          <w:color w:val="000000" w:themeColor="text1"/>
          <w:szCs w:val="16"/>
        </w:rPr>
        <w:t>as a result of</w:t>
      </w:r>
      <w:proofErr w:type="gramEnd"/>
      <w:r w:rsidRPr="00781112">
        <w:rPr>
          <w:rFonts w:cs="Arial"/>
          <w:color w:val="000000" w:themeColor="text1"/>
          <w:szCs w:val="16"/>
        </w:rPr>
        <w:t xml:space="preserve"> the review required by 34 CFR §300.170(b)</w:t>
      </w:r>
    </w:p>
    <w:p w14:paraId="3A779219" w14:textId="77777777" w:rsidR="00F9524E" w:rsidRPr="00781112" w:rsidRDefault="00F9524E">
      <w:pPr>
        <w:rPr>
          <w:b/>
          <w:color w:val="000000" w:themeColor="text1"/>
        </w:rPr>
      </w:pPr>
    </w:p>
    <w:p w14:paraId="54A274E0" w14:textId="53BC1AE0" w:rsidR="009A755E" w:rsidRPr="00781112" w:rsidRDefault="00450F98" w:rsidP="004369B2">
      <w:pPr>
        <w:rPr>
          <w:color w:val="000000" w:themeColor="text1"/>
        </w:rPr>
      </w:pPr>
      <w:r>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B04BPFFYNCFINDINGS"/>
      </w:tblPr>
      <w:tblGrid>
        <w:gridCol w:w="2613"/>
        <w:gridCol w:w="2743"/>
        <w:gridCol w:w="2620"/>
        <w:gridCol w:w="2814"/>
      </w:tblGrid>
      <w:tr w:rsidR="005C29F8" w:rsidRPr="00781112" w14:paraId="114A5055" w14:textId="77777777" w:rsidTr="00C570AA">
        <w:trPr>
          <w:trHeight w:val="389"/>
          <w:tblHeader/>
        </w:trPr>
        <w:tc>
          <w:tcPr>
            <w:tcW w:w="1211" w:type="pct"/>
            <w:shd w:val="clear" w:color="auto" w:fill="auto"/>
            <w:vAlign w:val="bottom"/>
          </w:tcPr>
          <w:p w14:paraId="776A9C2C"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Identified</w:t>
            </w:r>
          </w:p>
        </w:tc>
        <w:tc>
          <w:tcPr>
            <w:tcW w:w="1271" w:type="pct"/>
            <w:shd w:val="clear" w:color="auto" w:fill="auto"/>
            <w:vAlign w:val="bottom"/>
          </w:tcPr>
          <w:p w14:paraId="4FF64C47"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14" w:type="pct"/>
            <w:shd w:val="clear" w:color="auto" w:fill="auto"/>
            <w:vAlign w:val="bottom"/>
          </w:tcPr>
          <w:p w14:paraId="36D92938"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304" w:type="pct"/>
            <w:shd w:val="clear" w:color="auto" w:fill="auto"/>
            <w:vAlign w:val="bottom"/>
          </w:tcPr>
          <w:p w14:paraId="440F12A0"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06AB2FBF" w14:textId="77777777" w:rsidTr="00C570AA">
        <w:tc>
          <w:tcPr>
            <w:tcW w:w="1211" w:type="pct"/>
            <w:shd w:val="clear" w:color="auto" w:fill="auto"/>
          </w:tcPr>
          <w:p w14:paraId="6AF875F0" w14:textId="0FD8621B"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71" w:type="pct"/>
            <w:shd w:val="clear" w:color="auto" w:fill="auto"/>
          </w:tcPr>
          <w:p w14:paraId="58D166B5" w14:textId="6ADFFC16"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14" w:type="pct"/>
            <w:shd w:val="clear" w:color="auto" w:fill="auto"/>
          </w:tcPr>
          <w:p w14:paraId="745E0498" w14:textId="77F90D3F"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304" w:type="pct"/>
            <w:shd w:val="clear" w:color="auto" w:fill="auto"/>
          </w:tcPr>
          <w:p w14:paraId="55E32910" w14:textId="7F6FD668"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r>
    </w:tbl>
    <w:p w14:paraId="6CFB1826" w14:textId="3C5B9BCB" w:rsidR="009A755E" w:rsidRPr="00781112" w:rsidRDefault="00450F98" w:rsidP="004369B2">
      <w:pPr>
        <w:rPr>
          <w:color w:val="000000" w:themeColor="text1"/>
        </w:rPr>
      </w:pPr>
      <w:r>
        <w:rPr>
          <w:b/>
          <w:color w:val="000000" w:themeColor="text1"/>
        </w:rPr>
        <w:t>Correction of Findings of Noncompliance Identified Prior to FFY 2020</w:t>
      </w:r>
    </w:p>
    <w:tbl>
      <w:tblPr>
        <w:tblStyle w:val="TableGrid"/>
        <w:tblW w:w="5000" w:type="pct"/>
        <w:tblLook w:val="04A0" w:firstRow="1" w:lastRow="0" w:firstColumn="1" w:lastColumn="0" w:noHBand="0" w:noVBand="1"/>
        <w:tblCaption w:val="B04BPPFFYNCFINDINGS"/>
      </w:tblPr>
      <w:tblGrid>
        <w:gridCol w:w="1995"/>
        <w:gridCol w:w="2998"/>
        <w:gridCol w:w="2989"/>
        <w:gridCol w:w="2808"/>
      </w:tblGrid>
      <w:tr w:rsidR="005C29F8" w:rsidRPr="00781112" w14:paraId="00324CEE" w14:textId="77777777" w:rsidTr="00C570AA">
        <w:trPr>
          <w:tblHeader/>
        </w:trPr>
        <w:tc>
          <w:tcPr>
            <w:tcW w:w="924" w:type="pct"/>
            <w:shd w:val="clear" w:color="auto" w:fill="auto"/>
            <w:vAlign w:val="bottom"/>
          </w:tcPr>
          <w:p w14:paraId="77DA67D5" w14:textId="149F9136" w:rsidR="009A755E" w:rsidRPr="00781112" w:rsidRDefault="0016730D" w:rsidP="009A755E">
            <w:pPr>
              <w:jc w:val="center"/>
              <w:rPr>
                <w:rFonts w:cs="Arial"/>
                <w:b/>
                <w:color w:val="000000" w:themeColor="text1"/>
                <w:szCs w:val="16"/>
              </w:rPr>
            </w:pPr>
            <w:r w:rsidRPr="00781112">
              <w:rPr>
                <w:rFonts w:cs="Arial"/>
                <w:b/>
                <w:color w:val="000000" w:themeColor="text1"/>
                <w:szCs w:val="16"/>
              </w:rPr>
              <w:t>Year Findings of Noncompliance Were Identified</w:t>
            </w:r>
          </w:p>
        </w:tc>
        <w:tc>
          <w:tcPr>
            <w:tcW w:w="1389" w:type="pct"/>
            <w:shd w:val="clear" w:color="auto" w:fill="auto"/>
            <w:vAlign w:val="bottom"/>
          </w:tcPr>
          <w:p w14:paraId="10CE444D" w14:textId="11834403" w:rsidR="009A755E" w:rsidRPr="00781112" w:rsidRDefault="00450F98" w:rsidP="009A755E">
            <w:pPr>
              <w:jc w:val="center"/>
              <w:rPr>
                <w:rFonts w:cs="Arial"/>
                <w:b/>
                <w:color w:val="000000" w:themeColor="text1"/>
                <w:szCs w:val="16"/>
              </w:rPr>
            </w:pPr>
            <w:r>
              <w:rPr>
                <w:rFonts w:cs="Arial"/>
                <w:b/>
                <w:color w:val="000000" w:themeColor="text1"/>
                <w:szCs w:val="16"/>
              </w:rPr>
              <w:t>Findings of Noncompliance Not Yet Verified as Corrected as of FFY 2020 APR</w:t>
            </w:r>
          </w:p>
        </w:tc>
        <w:tc>
          <w:tcPr>
            <w:tcW w:w="1385" w:type="pct"/>
            <w:shd w:val="clear" w:color="auto" w:fill="auto"/>
            <w:vAlign w:val="bottom"/>
          </w:tcPr>
          <w:p w14:paraId="541F036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301" w:type="pct"/>
            <w:shd w:val="clear" w:color="auto" w:fill="auto"/>
            <w:vAlign w:val="bottom"/>
          </w:tcPr>
          <w:p w14:paraId="44D37B69"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04FE0165" w14:textId="77777777" w:rsidTr="00C570AA">
        <w:tc>
          <w:tcPr>
            <w:tcW w:w="924" w:type="pct"/>
            <w:shd w:val="clear" w:color="auto" w:fill="auto"/>
          </w:tcPr>
          <w:p w14:paraId="24BDFB83" w14:textId="477472C3" w:rsidR="009A755E" w:rsidRPr="00781112" w:rsidRDefault="009A755E" w:rsidP="00A018D4">
            <w:pPr>
              <w:jc w:val="center"/>
              <w:rPr>
                <w:rFonts w:cs="Arial"/>
                <w:color w:val="000000" w:themeColor="text1"/>
                <w:szCs w:val="16"/>
              </w:rPr>
            </w:pPr>
          </w:p>
        </w:tc>
        <w:tc>
          <w:tcPr>
            <w:tcW w:w="1389" w:type="pct"/>
            <w:shd w:val="clear" w:color="auto" w:fill="auto"/>
          </w:tcPr>
          <w:p w14:paraId="27669B26" w14:textId="57CAFD92" w:rsidR="009A755E" w:rsidRPr="00781112" w:rsidRDefault="009A755E">
            <w:pPr>
              <w:jc w:val="center"/>
              <w:rPr>
                <w:rFonts w:cs="Arial"/>
                <w:noProof/>
                <w:color w:val="000000" w:themeColor="text1"/>
                <w:szCs w:val="16"/>
              </w:rPr>
            </w:pPr>
          </w:p>
        </w:tc>
        <w:tc>
          <w:tcPr>
            <w:tcW w:w="1385" w:type="pct"/>
            <w:shd w:val="clear" w:color="auto" w:fill="auto"/>
          </w:tcPr>
          <w:p w14:paraId="265AB867" w14:textId="6DD4A6E4" w:rsidR="009A755E" w:rsidRPr="00781112" w:rsidRDefault="009A755E">
            <w:pPr>
              <w:jc w:val="center"/>
              <w:rPr>
                <w:rFonts w:cs="Arial"/>
                <w:noProof/>
                <w:color w:val="000000" w:themeColor="text1"/>
                <w:szCs w:val="16"/>
              </w:rPr>
            </w:pPr>
          </w:p>
        </w:tc>
        <w:tc>
          <w:tcPr>
            <w:tcW w:w="1301" w:type="pct"/>
            <w:shd w:val="clear" w:color="auto" w:fill="auto"/>
          </w:tcPr>
          <w:p w14:paraId="016118B8" w14:textId="60E0958F" w:rsidR="009A755E" w:rsidRPr="00781112" w:rsidRDefault="009A755E">
            <w:pPr>
              <w:jc w:val="center"/>
              <w:rPr>
                <w:rFonts w:cs="Arial"/>
                <w:noProof/>
                <w:color w:val="000000" w:themeColor="text1"/>
                <w:szCs w:val="16"/>
              </w:rPr>
            </w:pPr>
          </w:p>
        </w:tc>
      </w:tr>
      <w:tr w:rsidR="005C29F8" w:rsidRPr="00781112" w14:paraId="06C2E448" w14:textId="77777777" w:rsidTr="00C570AA">
        <w:tc>
          <w:tcPr>
            <w:tcW w:w="924" w:type="pct"/>
            <w:shd w:val="clear" w:color="auto" w:fill="auto"/>
          </w:tcPr>
          <w:p w14:paraId="1F883C29" w14:textId="16901E48" w:rsidR="009A755E" w:rsidRPr="00781112" w:rsidRDefault="009A755E" w:rsidP="00A018D4">
            <w:pPr>
              <w:jc w:val="center"/>
              <w:rPr>
                <w:rFonts w:cs="Arial"/>
                <w:color w:val="000000" w:themeColor="text1"/>
                <w:szCs w:val="16"/>
              </w:rPr>
            </w:pPr>
          </w:p>
        </w:tc>
        <w:tc>
          <w:tcPr>
            <w:tcW w:w="1389" w:type="pct"/>
            <w:shd w:val="clear" w:color="auto" w:fill="auto"/>
          </w:tcPr>
          <w:p w14:paraId="4878C645" w14:textId="6B8E2DD3" w:rsidR="009A755E" w:rsidRPr="00781112" w:rsidRDefault="009A755E">
            <w:pPr>
              <w:jc w:val="center"/>
              <w:rPr>
                <w:rFonts w:cs="Arial"/>
                <w:noProof/>
                <w:color w:val="000000" w:themeColor="text1"/>
                <w:szCs w:val="16"/>
              </w:rPr>
            </w:pPr>
          </w:p>
        </w:tc>
        <w:tc>
          <w:tcPr>
            <w:tcW w:w="1385" w:type="pct"/>
            <w:shd w:val="clear" w:color="auto" w:fill="auto"/>
          </w:tcPr>
          <w:p w14:paraId="5C5B29A8" w14:textId="4F847347" w:rsidR="009A755E" w:rsidRPr="00781112" w:rsidRDefault="009A755E">
            <w:pPr>
              <w:jc w:val="center"/>
              <w:rPr>
                <w:rFonts w:cs="Arial"/>
                <w:noProof/>
                <w:color w:val="000000" w:themeColor="text1"/>
                <w:szCs w:val="16"/>
              </w:rPr>
            </w:pPr>
          </w:p>
        </w:tc>
        <w:tc>
          <w:tcPr>
            <w:tcW w:w="1301" w:type="pct"/>
            <w:shd w:val="clear" w:color="auto" w:fill="auto"/>
          </w:tcPr>
          <w:p w14:paraId="3059F96F" w14:textId="54D2C196" w:rsidR="009A755E" w:rsidRPr="00781112" w:rsidRDefault="009A755E">
            <w:pPr>
              <w:jc w:val="center"/>
              <w:rPr>
                <w:rFonts w:cs="Arial"/>
                <w:noProof/>
                <w:color w:val="000000" w:themeColor="text1"/>
                <w:szCs w:val="16"/>
              </w:rPr>
            </w:pPr>
          </w:p>
        </w:tc>
      </w:tr>
      <w:tr w:rsidR="005C29F8" w:rsidRPr="00781112" w14:paraId="270D86DF" w14:textId="77777777" w:rsidTr="00C570AA">
        <w:tc>
          <w:tcPr>
            <w:tcW w:w="924" w:type="pct"/>
            <w:shd w:val="clear" w:color="auto" w:fill="auto"/>
          </w:tcPr>
          <w:p w14:paraId="7DBC402C" w14:textId="659D0437" w:rsidR="009A755E" w:rsidRPr="00781112" w:rsidRDefault="009A755E" w:rsidP="00A018D4">
            <w:pPr>
              <w:jc w:val="center"/>
              <w:rPr>
                <w:rFonts w:cs="Arial"/>
                <w:color w:val="000000" w:themeColor="text1"/>
                <w:szCs w:val="16"/>
              </w:rPr>
            </w:pPr>
          </w:p>
        </w:tc>
        <w:tc>
          <w:tcPr>
            <w:tcW w:w="1389" w:type="pct"/>
            <w:shd w:val="clear" w:color="auto" w:fill="auto"/>
          </w:tcPr>
          <w:p w14:paraId="39F6C3A8" w14:textId="6AFAAA5E" w:rsidR="009A755E" w:rsidRPr="00781112" w:rsidRDefault="009A755E">
            <w:pPr>
              <w:jc w:val="center"/>
              <w:rPr>
                <w:rFonts w:cs="Arial"/>
                <w:noProof/>
                <w:color w:val="000000" w:themeColor="text1"/>
                <w:szCs w:val="16"/>
              </w:rPr>
            </w:pPr>
          </w:p>
        </w:tc>
        <w:tc>
          <w:tcPr>
            <w:tcW w:w="1385" w:type="pct"/>
            <w:shd w:val="clear" w:color="auto" w:fill="auto"/>
          </w:tcPr>
          <w:p w14:paraId="4ABCDE9F" w14:textId="61A85266" w:rsidR="009A755E" w:rsidRPr="00781112" w:rsidRDefault="009A755E">
            <w:pPr>
              <w:jc w:val="center"/>
              <w:rPr>
                <w:rFonts w:cs="Arial"/>
                <w:noProof/>
                <w:color w:val="000000" w:themeColor="text1"/>
                <w:szCs w:val="16"/>
              </w:rPr>
            </w:pPr>
          </w:p>
        </w:tc>
        <w:tc>
          <w:tcPr>
            <w:tcW w:w="1301" w:type="pct"/>
            <w:shd w:val="clear" w:color="auto" w:fill="auto"/>
          </w:tcPr>
          <w:p w14:paraId="4AB54464" w14:textId="0D8F01A9" w:rsidR="009A755E" w:rsidRPr="00781112" w:rsidRDefault="009A755E">
            <w:pPr>
              <w:jc w:val="center"/>
              <w:rPr>
                <w:rFonts w:cs="Arial"/>
                <w:noProof/>
                <w:color w:val="000000" w:themeColor="text1"/>
                <w:szCs w:val="16"/>
              </w:rPr>
            </w:pPr>
          </w:p>
        </w:tc>
      </w:tr>
    </w:tbl>
    <w:p w14:paraId="7BCEF85B" w14:textId="62F9E93D" w:rsidR="004E2151" w:rsidRPr="00781112" w:rsidRDefault="00D11730" w:rsidP="008645AD">
      <w:pPr>
        <w:pStyle w:val="Heading2"/>
      </w:pPr>
      <w:r w:rsidRPr="00781112">
        <w:t>4B</w:t>
      </w:r>
      <w:r w:rsidR="00E90DE9" w:rsidRPr="00781112">
        <w:t xml:space="preserve"> </w:t>
      </w:r>
      <w:r w:rsidRPr="00781112">
        <w:t xml:space="preserve">- </w:t>
      </w:r>
      <w:r w:rsidR="004E2151" w:rsidRPr="00781112">
        <w:t>Prior FFY Required Actions</w:t>
      </w:r>
    </w:p>
    <w:p w14:paraId="60DC97B4" w14:textId="67376465" w:rsidR="009B02BC" w:rsidRPr="00781112" w:rsidRDefault="002B7490" w:rsidP="004E2151">
      <w:pPr>
        <w:rPr>
          <w:rFonts w:cs="Arial"/>
          <w:color w:val="000000" w:themeColor="text1"/>
          <w:szCs w:val="16"/>
        </w:rPr>
      </w:pPr>
      <w:r w:rsidRPr="00781112">
        <w:rPr>
          <w:rFonts w:cs="Arial"/>
          <w:color w:val="000000" w:themeColor="text1"/>
          <w:szCs w:val="16"/>
        </w:rPr>
        <w:t>None</w:t>
      </w:r>
    </w:p>
    <w:p w14:paraId="7562BCA8" w14:textId="2875B1E9" w:rsidR="005115D6" w:rsidRPr="00781112" w:rsidRDefault="00D11730" w:rsidP="008645AD">
      <w:pPr>
        <w:pStyle w:val="Heading2"/>
      </w:pPr>
      <w:r w:rsidRPr="00781112">
        <w:t>4B - OSEP Response</w:t>
      </w:r>
    </w:p>
    <w:p w14:paraId="489BF62D" w14:textId="19458AE8" w:rsidR="003C308E" w:rsidRPr="00781112" w:rsidRDefault="002B7490" w:rsidP="00212954">
      <w:pPr>
        <w:rPr>
          <w:rFonts w:cs="Arial"/>
          <w:color w:val="000000" w:themeColor="text1"/>
          <w:szCs w:val="16"/>
        </w:rPr>
      </w:pPr>
      <w:r w:rsidRPr="00781112">
        <w:rPr>
          <w:rFonts w:cs="Arial"/>
          <w:color w:val="000000" w:themeColor="text1"/>
          <w:szCs w:val="16"/>
        </w:rPr>
        <w:t>The State has revised the baseline for this indicator, using data from FFY 2021, and OSEP accepts that revision.</w:t>
      </w:r>
      <w:r w:rsidRPr="00781112">
        <w:rPr>
          <w:rFonts w:cs="Arial"/>
          <w:color w:val="000000" w:themeColor="text1"/>
          <w:szCs w:val="16"/>
        </w:rPr>
        <w:br/>
      </w:r>
      <w:r w:rsidRPr="00781112">
        <w:rPr>
          <w:rFonts w:cs="Arial"/>
          <w:color w:val="000000" w:themeColor="text1"/>
          <w:szCs w:val="16"/>
        </w:rPr>
        <w:br/>
        <w:t>In the FFY 2021 SPP/APR the State included a very low percentage of the State’s LEAs in its analysis of rates of suspension and expulsion of greater than 10 days in a school year for children with IEPs.  OSEP reminds the State that if the examination for significant discrepancies, by race and ethnicity, in the rates of suspensions and expulsions greater than 10 days in a school year for children with IEPs is not occurring in any meaningful way at the LEA level, OSEP may determine that a State’s chosen methodology is not reasonably designed to determine if significant discrepancies, by race and ethnicity, are occurring in the rate of long-term suspensions and expulsions of children with IEPs.</w:t>
      </w:r>
      <w:r w:rsidRPr="00781112">
        <w:rPr>
          <w:rFonts w:cs="Arial"/>
          <w:color w:val="000000" w:themeColor="text1"/>
          <w:szCs w:val="16"/>
        </w:rPr>
        <w:br/>
      </w:r>
      <w:r w:rsidRPr="00781112">
        <w:rPr>
          <w:rFonts w:cs="Arial"/>
          <w:color w:val="000000" w:themeColor="text1"/>
          <w:szCs w:val="16"/>
        </w:rPr>
        <w:br/>
        <w:t>Additionally, the State’s chosen methodology results in a threshold for measuring significant discrepancy, by race and ethnicity, in the rate of long-term suspensions and expulsions of children with IEPs that falls above the median of thresholds used by all States.</w:t>
      </w:r>
    </w:p>
    <w:p w14:paraId="4D6C35B1" w14:textId="16E26788" w:rsidR="005115D6" w:rsidRPr="00781112" w:rsidRDefault="00D11730" w:rsidP="008645AD">
      <w:pPr>
        <w:pStyle w:val="Heading2"/>
      </w:pPr>
      <w:r w:rsidRPr="00781112">
        <w:t>4B- Required Actions</w:t>
      </w:r>
    </w:p>
    <w:p w14:paraId="5DE261E4" w14:textId="20281C98" w:rsidR="003C308E" w:rsidRPr="00781112" w:rsidRDefault="002B7490" w:rsidP="00212954">
      <w:pPr>
        <w:rPr>
          <w:rFonts w:cs="Arial"/>
          <w:color w:val="000000" w:themeColor="text1"/>
          <w:szCs w:val="16"/>
        </w:rPr>
      </w:pPr>
      <w:r w:rsidRPr="00781112">
        <w:rPr>
          <w:rFonts w:cs="Arial"/>
          <w:color w:val="000000" w:themeColor="text1"/>
          <w:szCs w:val="16"/>
        </w:rPr>
        <w:t xml:space="preserve">In the FFY 2022 SPP/APR, the State must explain how its methodology is reasonably designed to determine if significant discrepancies, by race and ethnicity, are occurring in the rate of suspensions and expulsions of greater than 10 days in a school year for children with IEPs, including how the State’s LEAs are being examined for significant discrepancy, by race and ethnicity, under the State’s chosen methodology; and how the State’s threshold for measuring significant discrepancy, by race and ethnicity, in the rate of long-term suspensions and expulsions is reasonably designed. </w:t>
      </w:r>
    </w:p>
    <w:p w14:paraId="4C9312F8" w14:textId="77777777" w:rsidR="00600E15" w:rsidRPr="00781112" w:rsidRDefault="00600E15">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4F968F36" w14:textId="267D7207" w:rsidR="00D21EAA" w:rsidRPr="00781112" w:rsidRDefault="00D21EAA" w:rsidP="000444E2">
      <w:pPr>
        <w:pStyle w:val="Heading1"/>
        <w:rPr>
          <w:color w:val="000000" w:themeColor="text1"/>
          <w:sz w:val="22"/>
        </w:rPr>
      </w:pPr>
      <w:r w:rsidRPr="00781112">
        <w:rPr>
          <w:color w:val="000000" w:themeColor="text1"/>
          <w:sz w:val="22"/>
        </w:rPr>
        <w:lastRenderedPageBreak/>
        <w:t xml:space="preserve">Indicator 5: </w:t>
      </w:r>
      <w:bookmarkEnd w:id="13"/>
      <w:r w:rsidRPr="00781112">
        <w:rPr>
          <w:color w:val="000000" w:themeColor="text1"/>
          <w:sz w:val="22"/>
        </w:rPr>
        <w:t xml:space="preserve">Education Environments (children </w:t>
      </w:r>
      <w:r w:rsidR="00D35A49" w:rsidRPr="00781112">
        <w:rPr>
          <w:color w:val="000000" w:themeColor="text1"/>
          <w:sz w:val="22"/>
        </w:rPr>
        <w:t xml:space="preserve">5 (Kindergarten) </w:t>
      </w:r>
      <w:r w:rsidRPr="00781112">
        <w:rPr>
          <w:color w:val="000000" w:themeColor="text1"/>
          <w:sz w:val="22"/>
        </w:rPr>
        <w:t>-</w:t>
      </w:r>
      <w:r w:rsidR="00D35A49" w:rsidRPr="00781112">
        <w:rPr>
          <w:color w:val="000000" w:themeColor="text1"/>
          <w:sz w:val="22"/>
        </w:rPr>
        <w:t xml:space="preserve"> </w:t>
      </w:r>
      <w:r w:rsidRPr="00781112">
        <w:rPr>
          <w:color w:val="000000" w:themeColor="text1"/>
          <w:sz w:val="22"/>
        </w:rPr>
        <w:t>21)</w:t>
      </w:r>
      <w:bookmarkEnd w:id="23"/>
      <w:bookmarkEnd w:id="39"/>
    </w:p>
    <w:p w14:paraId="52AD89A1" w14:textId="77777777" w:rsidR="00775845" w:rsidRPr="00781112" w:rsidRDefault="00775845" w:rsidP="00A018D4">
      <w:pPr>
        <w:rPr>
          <w:color w:val="000000" w:themeColor="text1"/>
          <w:szCs w:val="20"/>
        </w:rPr>
      </w:pPr>
      <w:bookmarkStart w:id="40" w:name="_Toc392159295"/>
      <w:r w:rsidRPr="00781112">
        <w:rPr>
          <w:b/>
          <w:color w:val="000000" w:themeColor="text1"/>
          <w:sz w:val="20"/>
          <w:szCs w:val="20"/>
        </w:rPr>
        <w:t xml:space="preserve">Instructions and Measurement </w:t>
      </w:r>
    </w:p>
    <w:p w14:paraId="5E00F17E" w14:textId="149CBFE3" w:rsidR="00CC634E" w:rsidRPr="00781112" w:rsidRDefault="00CC634E"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653D57AC" w14:textId="668073FD" w:rsidR="00CC634E" w:rsidRPr="00781112" w:rsidRDefault="00CC634E" w:rsidP="009A755E">
      <w:pPr>
        <w:rPr>
          <w:rFonts w:cs="Arial"/>
          <w:color w:val="000000" w:themeColor="text1"/>
          <w:szCs w:val="16"/>
        </w:rPr>
      </w:pPr>
      <w:r w:rsidRPr="00781112">
        <w:rPr>
          <w:rFonts w:cs="Arial"/>
          <w:b/>
          <w:color w:val="000000" w:themeColor="text1"/>
          <w:szCs w:val="16"/>
        </w:rPr>
        <w:t>Results indicator:</w:t>
      </w:r>
      <w:r w:rsidR="00131842" w:rsidRPr="00781112">
        <w:rPr>
          <w:rFonts w:cs="Arial"/>
          <w:color w:val="000000" w:themeColor="text1"/>
          <w:szCs w:val="16"/>
        </w:rPr>
        <w:t xml:space="preserve"> </w:t>
      </w:r>
      <w:r w:rsidRPr="00781112">
        <w:rPr>
          <w:rFonts w:cs="Arial"/>
          <w:color w:val="000000" w:themeColor="text1"/>
          <w:szCs w:val="16"/>
        </w:rPr>
        <w:t>Percent of children with IEPs aged</w:t>
      </w:r>
      <w:r w:rsidR="001E6A41" w:rsidRPr="00781112">
        <w:rPr>
          <w:rFonts w:cs="Arial"/>
          <w:color w:val="000000" w:themeColor="text1"/>
          <w:szCs w:val="16"/>
        </w:rPr>
        <w:t xml:space="preserve"> </w:t>
      </w:r>
      <w:r w:rsidR="001E6A41" w:rsidRPr="00781112">
        <w:rPr>
          <w:rFonts w:cs="Arial"/>
          <w:szCs w:val="16"/>
        </w:rPr>
        <w:t>5 who are enrolled in kindergarten and aged</w:t>
      </w:r>
      <w:r w:rsidRPr="00781112">
        <w:rPr>
          <w:rFonts w:cs="Arial"/>
          <w:color w:val="000000" w:themeColor="text1"/>
          <w:szCs w:val="16"/>
        </w:rPr>
        <w:t xml:space="preserve"> 6 through 21 served:</w:t>
      </w:r>
    </w:p>
    <w:p w14:paraId="7D5946B6" w14:textId="027B0899" w:rsidR="00CC634E" w:rsidRPr="00781112" w:rsidRDefault="00B9739D" w:rsidP="006A01BD">
      <w:pPr>
        <w:ind w:firstLine="720"/>
        <w:rPr>
          <w:rFonts w:cs="Arial"/>
          <w:color w:val="000000" w:themeColor="text1"/>
          <w:szCs w:val="16"/>
        </w:rPr>
      </w:pPr>
      <w:r w:rsidRPr="00781112">
        <w:rPr>
          <w:rFonts w:cs="Arial"/>
          <w:color w:val="000000" w:themeColor="text1"/>
          <w:szCs w:val="16"/>
        </w:rPr>
        <w:t xml:space="preserve">A. Inside the regular class 80% or more of the </w:t>
      </w:r>
      <w:proofErr w:type="gramStart"/>
      <w:r w:rsidRPr="00781112">
        <w:rPr>
          <w:rFonts w:cs="Arial"/>
          <w:color w:val="000000" w:themeColor="text1"/>
          <w:szCs w:val="16"/>
        </w:rPr>
        <w:t>day;</w:t>
      </w:r>
      <w:proofErr w:type="gramEnd"/>
    </w:p>
    <w:p w14:paraId="64FA9D2A" w14:textId="36742077" w:rsidR="00CC634E" w:rsidRPr="00781112" w:rsidRDefault="00B9739D" w:rsidP="006A01BD">
      <w:pPr>
        <w:ind w:firstLine="720"/>
        <w:rPr>
          <w:rFonts w:cs="Arial"/>
          <w:color w:val="000000" w:themeColor="text1"/>
          <w:szCs w:val="16"/>
        </w:rPr>
      </w:pPr>
      <w:r w:rsidRPr="00781112">
        <w:rPr>
          <w:rFonts w:cs="Arial"/>
          <w:color w:val="000000" w:themeColor="text1"/>
          <w:szCs w:val="16"/>
        </w:rPr>
        <w:t>B. Inside the regular class less than 40% of the day; and</w:t>
      </w:r>
    </w:p>
    <w:p w14:paraId="7D6C4792" w14:textId="4E458A42" w:rsidR="00CC634E" w:rsidRPr="00781112" w:rsidRDefault="00B9739D" w:rsidP="006A01BD">
      <w:pPr>
        <w:ind w:firstLine="720"/>
        <w:rPr>
          <w:rFonts w:cs="Arial"/>
          <w:color w:val="000000" w:themeColor="text1"/>
          <w:szCs w:val="16"/>
        </w:rPr>
      </w:pPr>
      <w:r w:rsidRPr="00781112">
        <w:rPr>
          <w:rFonts w:cs="Arial"/>
          <w:color w:val="000000" w:themeColor="text1"/>
          <w:szCs w:val="16"/>
        </w:rPr>
        <w:t>C. In separate schools, residential facilities, or homebound/hospital placements.</w:t>
      </w:r>
    </w:p>
    <w:p w14:paraId="7086FA15" w14:textId="47C5B9E3" w:rsidR="0011074D" w:rsidRPr="00781112" w:rsidRDefault="0011074D" w:rsidP="0011074D">
      <w:pPr>
        <w:rPr>
          <w:rFonts w:cs="Arial"/>
          <w:color w:val="000000" w:themeColor="text1"/>
          <w:szCs w:val="16"/>
        </w:rPr>
      </w:pPr>
      <w:r w:rsidRPr="00781112">
        <w:rPr>
          <w:rFonts w:cs="Arial"/>
          <w:color w:val="000000" w:themeColor="text1"/>
          <w:szCs w:val="16"/>
        </w:rPr>
        <w:t>(20 U.S.C. 1416(a)(3)(A))</w:t>
      </w:r>
    </w:p>
    <w:p w14:paraId="497EFC48" w14:textId="77777777" w:rsidR="001F6A28" w:rsidRPr="00781112" w:rsidRDefault="001F6A28" w:rsidP="004369B2">
      <w:pPr>
        <w:rPr>
          <w:color w:val="000000" w:themeColor="text1"/>
        </w:rPr>
      </w:pPr>
      <w:r w:rsidRPr="00781112">
        <w:rPr>
          <w:b/>
          <w:color w:val="000000" w:themeColor="text1"/>
        </w:rPr>
        <w:t>Data Source</w:t>
      </w:r>
    </w:p>
    <w:p w14:paraId="27A12343" w14:textId="1C2938A9" w:rsidR="001F6A28" w:rsidRPr="00781112" w:rsidRDefault="001F6A28" w:rsidP="00BB7BC9">
      <w:pPr>
        <w:rPr>
          <w:rFonts w:cs="Arial"/>
          <w:color w:val="000000" w:themeColor="text1"/>
          <w:szCs w:val="16"/>
        </w:rPr>
      </w:pPr>
      <w:r w:rsidRPr="00781112">
        <w:rPr>
          <w:rFonts w:cs="Arial"/>
          <w:color w:val="000000" w:themeColor="text1"/>
          <w:szCs w:val="16"/>
        </w:rPr>
        <w:t>S</w:t>
      </w:r>
      <w:r w:rsidRPr="00781112">
        <w:rPr>
          <w:rFonts w:cs="Arial"/>
          <w:color w:val="000000" w:themeColor="text1"/>
          <w:szCs w:val="16"/>
          <w:shd w:val="clear" w:color="auto" w:fill="FFFFFF"/>
        </w:rPr>
        <w:t xml:space="preserve">ame data as used for reporting to the Department under section 618 of the IDEA, using the definitions in EDFacts file specification </w:t>
      </w:r>
      <w:r w:rsidR="00A95280" w:rsidRPr="00781112">
        <w:rPr>
          <w:rFonts w:cs="Arial"/>
          <w:color w:val="000000" w:themeColor="text1"/>
          <w:szCs w:val="16"/>
          <w:shd w:val="clear" w:color="auto" w:fill="FFFFFF"/>
        </w:rPr>
        <w:t>FS</w:t>
      </w:r>
      <w:r w:rsidRPr="00781112">
        <w:rPr>
          <w:rFonts w:cs="Arial"/>
          <w:color w:val="000000" w:themeColor="text1"/>
          <w:szCs w:val="16"/>
          <w:shd w:val="clear" w:color="auto" w:fill="FFFFFF"/>
        </w:rPr>
        <w:t>002.</w:t>
      </w:r>
    </w:p>
    <w:p w14:paraId="6BD2884B" w14:textId="77777777" w:rsidR="001F6A28" w:rsidRPr="00781112" w:rsidRDefault="001F6A28" w:rsidP="004369B2">
      <w:pPr>
        <w:rPr>
          <w:color w:val="000000" w:themeColor="text1"/>
        </w:rPr>
      </w:pPr>
      <w:r w:rsidRPr="00781112">
        <w:rPr>
          <w:b/>
          <w:color w:val="000000" w:themeColor="text1"/>
        </w:rPr>
        <w:t>Measurement</w:t>
      </w:r>
    </w:p>
    <w:p w14:paraId="29361C11" w14:textId="73521566" w:rsidR="001F6A28" w:rsidRPr="00781112" w:rsidRDefault="001E6A41" w:rsidP="00286BDF">
      <w:pPr>
        <w:rPr>
          <w:rFonts w:cs="Arial"/>
          <w:color w:val="000000" w:themeColor="text1"/>
          <w:szCs w:val="16"/>
        </w:rPr>
      </w:pPr>
      <w:r w:rsidRPr="00781112">
        <w:rPr>
          <w:rFonts w:cs="Arial"/>
          <w:color w:val="000000" w:themeColor="text1"/>
          <w:szCs w:val="16"/>
        </w:rPr>
        <w:tab/>
        <w:t>A. Percent</w:t>
      </w:r>
      <w:r w:rsidR="001F6A28" w:rsidRPr="00781112">
        <w:rPr>
          <w:rFonts w:cs="Arial"/>
          <w:color w:val="000000" w:themeColor="text1"/>
          <w:szCs w:val="16"/>
          <w:shd w:val="clear" w:color="auto" w:fill="FFFFFF"/>
        </w:rPr>
        <w:t xml:space="preserve"> = </w:t>
      </w:r>
      <w:r w:rsidR="00A33668" w:rsidRPr="00781112">
        <w:rPr>
          <w:rFonts w:cs="Arial"/>
          <w:color w:val="000000" w:themeColor="text1"/>
          <w:szCs w:val="16"/>
          <w:shd w:val="clear" w:color="auto" w:fill="FFFFFF"/>
        </w:rPr>
        <w:t xml:space="preserve">[(# </w:t>
      </w:r>
      <w:r w:rsidR="001F6A28" w:rsidRPr="00781112">
        <w:rPr>
          <w:rFonts w:cs="Arial"/>
          <w:color w:val="000000" w:themeColor="text1"/>
          <w:szCs w:val="16"/>
          <w:shd w:val="clear" w:color="auto" w:fill="FFFFFF"/>
        </w:rPr>
        <w:t xml:space="preserve">of children with IEPs aged </w:t>
      </w:r>
      <w:r w:rsidR="00E97CD6" w:rsidRPr="00781112">
        <w:rPr>
          <w:rFonts w:cs="Arial"/>
          <w:szCs w:val="16"/>
        </w:rPr>
        <w:t xml:space="preserve">5 who are enrolled in kindergarten and aged </w:t>
      </w:r>
      <w:r w:rsidR="001F6A28" w:rsidRPr="00781112">
        <w:rPr>
          <w:rFonts w:cs="Arial"/>
          <w:color w:val="000000" w:themeColor="text1"/>
          <w:szCs w:val="16"/>
          <w:shd w:val="clear" w:color="auto" w:fill="FFFFFF"/>
        </w:rPr>
        <w:t xml:space="preserve">6 through 21 served inside the regular class 80% or </w:t>
      </w:r>
      <w:r w:rsidR="00AE5A55">
        <w:rPr>
          <w:rFonts w:cs="Arial"/>
          <w:color w:val="000000" w:themeColor="text1"/>
          <w:szCs w:val="16"/>
          <w:shd w:val="clear" w:color="auto" w:fill="FFFFFF"/>
        </w:rPr>
        <w:tab/>
      </w:r>
      <w:r w:rsidR="001F6A28" w:rsidRPr="00781112">
        <w:rPr>
          <w:rFonts w:cs="Arial"/>
          <w:color w:val="000000" w:themeColor="text1"/>
          <w:szCs w:val="16"/>
          <w:shd w:val="clear" w:color="auto" w:fill="FFFFFF"/>
        </w:rPr>
        <w:t xml:space="preserve">more of the day) divided by the (total # of students aged </w:t>
      </w:r>
      <w:r w:rsidR="00633044" w:rsidRPr="00781112">
        <w:rPr>
          <w:rFonts w:cs="Arial"/>
          <w:szCs w:val="16"/>
        </w:rPr>
        <w:t xml:space="preserve">5 who are enrolled in kindergarten and aged </w:t>
      </w:r>
      <w:r w:rsidR="001F6A28" w:rsidRPr="00781112">
        <w:rPr>
          <w:rFonts w:cs="Arial"/>
          <w:color w:val="000000" w:themeColor="text1"/>
          <w:szCs w:val="16"/>
          <w:shd w:val="clear" w:color="auto" w:fill="FFFFFF"/>
        </w:rPr>
        <w:t>6 through 21 with IEPs</w:t>
      </w:r>
      <w:r w:rsidR="00A33668" w:rsidRPr="00781112">
        <w:rPr>
          <w:rFonts w:cs="Arial"/>
          <w:color w:val="000000" w:themeColor="text1"/>
          <w:szCs w:val="16"/>
          <w:shd w:val="clear" w:color="auto" w:fill="FFFFFF"/>
        </w:rPr>
        <w:t xml:space="preserve">)] </w:t>
      </w:r>
      <w:r w:rsidR="001F6A28" w:rsidRPr="00781112">
        <w:rPr>
          <w:rFonts w:cs="Arial"/>
          <w:color w:val="000000" w:themeColor="text1"/>
          <w:szCs w:val="16"/>
          <w:shd w:val="clear" w:color="auto" w:fill="FFFFFF"/>
        </w:rPr>
        <w:t>times 100.</w:t>
      </w:r>
    </w:p>
    <w:p w14:paraId="1AC31DB2" w14:textId="62755B33" w:rsidR="001F6A28" w:rsidRPr="00781112" w:rsidRDefault="001E6A41" w:rsidP="00286BDF">
      <w:pPr>
        <w:rPr>
          <w:rFonts w:cs="Arial"/>
          <w:color w:val="000000" w:themeColor="text1"/>
          <w:szCs w:val="16"/>
        </w:rPr>
      </w:pPr>
      <w:r w:rsidRPr="00781112">
        <w:rPr>
          <w:rFonts w:cs="Arial"/>
          <w:color w:val="000000" w:themeColor="text1"/>
          <w:szCs w:val="16"/>
        </w:rPr>
        <w:tab/>
        <w:t xml:space="preserve">B. Percent </w:t>
      </w:r>
      <w:r w:rsidR="00DB1150" w:rsidRPr="00781112">
        <w:rPr>
          <w:rFonts w:cs="Arial"/>
          <w:color w:val="000000" w:themeColor="text1"/>
          <w:szCs w:val="16"/>
          <w:shd w:val="clear" w:color="auto" w:fill="FFFFFF"/>
        </w:rPr>
        <w:t>=</w:t>
      </w:r>
      <w:r w:rsidR="001F6A28" w:rsidRPr="00781112">
        <w:rPr>
          <w:rFonts w:cs="Arial"/>
          <w:color w:val="000000" w:themeColor="text1"/>
          <w:szCs w:val="16"/>
          <w:shd w:val="clear" w:color="auto" w:fill="FFFFFF"/>
        </w:rPr>
        <w:t xml:space="preserve"> </w:t>
      </w:r>
      <w:r w:rsidR="00A33668" w:rsidRPr="00781112">
        <w:rPr>
          <w:rFonts w:cs="Arial"/>
          <w:color w:val="000000" w:themeColor="text1"/>
          <w:szCs w:val="16"/>
          <w:shd w:val="clear" w:color="auto" w:fill="FFFFFF"/>
        </w:rPr>
        <w:t xml:space="preserve">[(# </w:t>
      </w:r>
      <w:r w:rsidR="001F6A28" w:rsidRPr="00781112">
        <w:rPr>
          <w:rFonts w:cs="Arial"/>
          <w:color w:val="000000" w:themeColor="text1"/>
          <w:szCs w:val="16"/>
          <w:shd w:val="clear" w:color="auto" w:fill="FFFFFF"/>
        </w:rPr>
        <w:t>of children with IEPs aged</w:t>
      </w:r>
      <w:r w:rsidR="00E97CD6" w:rsidRPr="00781112">
        <w:rPr>
          <w:rFonts w:cs="Arial"/>
          <w:color w:val="000000" w:themeColor="text1"/>
          <w:szCs w:val="16"/>
          <w:shd w:val="clear" w:color="auto" w:fill="FFFFFF"/>
        </w:rPr>
        <w:t xml:space="preserve"> </w:t>
      </w:r>
      <w:r w:rsidR="00E97CD6" w:rsidRPr="00781112">
        <w:rPr>
          <w:rFonts w:cs="Arial"/>
          <w:szCs w:val="16"/>
        </w:rPr>
        <w:t>5 who are enrolled in kindergarten and aged</w:t>
      </w:r>
      <w:r w:rsidR="001F6A28" w:rsidRPr="00781112">
        <w:rPr>
          <w:rFonts w:cs="Arial"/>
          <w:color w:val="000000" w:themeColor="text1"/>
          <w:szCs w:val="16"/>
          <w:shd w:val="clear" w:color="auto" w:fill="FFFFFF"/>
        </w:rPr>
        <w:t xml:space="preserve"> 6 through 21 served inside the regular class less than </w:t>
      </w:r>
      <w:r w:rsidR="00E97CD6" w:rsidRPr="00781112">
        <w:rPr>
          <w:rFonts w:cs="Arial"/>
          <w:color w:val="000000" w:themeColor="text1"/>
          <w:szCs w:val="16"/>
          <w:shd w:val="clear" w:color="auto" w:fill="FFFFFF"/>
        </w:rPr>
        <w:tab/>
      </w:r>
      <w:r w:rsidR="001F6A28" w:rsidRPr="00781112">
        <w:rPr>
          <w:rFonts w:cs="Arial"/>
          <w:color w:val="000000" w:themeColor="text1"/>
          <w:szCs w:val="16"/>
          <w:shd w:val="clear" w:color="auto" w:fill="FFFFFF"/>
        </w:rPr>
        <w:t xml:space="preserve">40% of the day) divided by the (total # of students aged </w:t>
      </w:r>
      <w:r w:rsidR="00633044" w:rsidRPr="00781112">
        <w:rPr>
          <w:rFonts w:cs="Arial"/>
          <w:szCs w:val="16"/>
        </w:rPr>
        <w:t xml:space="preserve">5 who are enrolled in kindergarten and aged </w:t>
      </w:r>
      <w:r w:rsidR="001F6A28" w:rsidRPr="00781112">
        <w:rPr>
          <w:rFonts w:cs="Arial"/>
          <w:color w:val="000000" w:themeColor="text1"/>
          <w:szCs w:val="16"/>
          <w:shd w:val="clear" w:color="auto" w:fill="FFFFFF"/>
        </w:rPr>
        <w:t>6 through 21 with IEPs</w:t>
      </w:r>
      <w:r w:rsidR="00A33668" w:rsidRPr="00781112">
        <w:rPr>
          <w:rFonts w:cs="Arial"/>
          <w:color w:val="000000" w:themeColor="text1"/>
          <w:szCs w:val="16"/>
          <w:shd w:val="clear" w:color="auto" w:fill="FFFFFF"/>
        </w:rPr>
        <w:t xml:space="preserve">)] </w:t>
      </w:r>
      <w:r w:rsidR="001F6A28" w:rsidRPr="00781112">
        <w:rPr>
          <w:rFonts w:cs="Arial"/>
          <w:color w:val="000000" w:themeColor="text1"/>
          <w:szCs w:val="16"/>
          <w:shd w:val="clear" w:color="auto" w:fill="FFFFFF"/>
        </w:rPr>
        <w:t>times 100.</w:t>
      </w:r>
    </w:p>
    <w:p w14:paraId="32E65458" w14:textId="2F0BF007" w:rsidR="001F6A28" w:rsidRPr="00781112" w:rsidRDefault="001E6A41" w:rsidP="00286BDF">
      <w:pPr>
        <w:rPr>
          <w:rFonts w:cs="Arial"/>
          <w:color w:val="000000" w:themeColor="text1"/>
          <w:szCs w:val="16"/>
        </w:rPr>
      </w:pPr>
      <w:r w:rsidRPr="00781112">
        <w:rPr>
          <w:rFonts w:cs="Arial"/>
          <w:color w:val="000000" w:themeColor="text1"/>
          <w:szCs w:val="16"/>
        </w:rPr>
        <w:tab/>
        <w:t>C. P</w:t>
      </w:r>
      <w:r w:rsidR="001F6A28" w:rsidRPr="00781112">
        <w:rPr>
          <w:rFonts w:cs="Arial"/>
          <w:color w:val="000000" w:themeColor="text1"/>
          <w:szCs w:val="16"/>
          <w:shd w:val="clear" w:color="auto" w:fill="FFFFFF"/>
        </w:rPr>
        <w:t xml:space="preserve">ercent = </w:t>
      </w:r>
      <w:r w:rsidR="00A33668" w:rsidRPr="00781112">
        <w:rPr>
          <w:rFonts w:cs="Arial"/>
          <w:color w:val="000000" w:themeColor="text1"/>
          <w:szCs w:val="16"/>
          <w:shd w:val="clear" w:color="auto" w:fill="FFFFFF"/>
        </w:rPr>
        <w:t xml:space="preserve">[(# </w:t>
      </w:r>
      <w:r w:rsidR="001F6A28" w:rsidRPr="00781112">
        <w:rPr>
          <w:rFonts w:cs="Arial"/>
          <w:color w:val="000000" w:themeColor="text1"/>
          <w:szCs w:val="16"/>
          <w:shd w:val="clear" w:color="auto" w:fill="FFFFFF"/>
        </w:rPr>
        <w:t xml:space="preserve">of children with IEPs aged </w:t>
      </w:r>
      <w:r w:rsidR="00E97CD6" w:rsidRPr="00781112">
        <w:rPr>
          <w:rFonts w:cs="Arial"/>
          <w:szCs w:val="16"/>
        </w:rPr>
        <w:t xml:space="preserve">5 who are enrolled in kindergarten and aged </w:t>
      </w:r>
      <w:r w:rsidR="001F6A28" w:rsidRPr="00781112">
        <w:rPr>
          <w:rFonts w:cs="Arial"/>
          <w:color w:val="000000" w:themeColor="text1"/>
          <w:szCs w:val="16"/>
          <w:shd w:val="clear" w:color="auto" w:fill="FFFFFF"/>
        </w:rPr>
        <w:t xml:space="preserve">6 through 21 served in separate schools, residential </w:t>
      </w:r>
      <w:r w:rsidR="00E97CD6" w:rsidRPr="00781112">
        <w:rPr>
          <w:rFonts w:cs="Arial"/>
          <w:color w:val="000000" w:themeColor="text1"/>
          <w:szCs w:val="16"/>
          <w:shd w:val="clear" w:color="auto" w:fill="FFFFFF"/>
        </w:rPr>
        <w:tab/>
      </w:r>
      <w:r w:rsidR="001F6A28" w:rsidRPr="00781112">
        <w:rPr>
          <w:rFonts w:cs="Arial"/>
          <w:color w:val="000000" w:themeColor="text1"/>
          <w:szCs w:val="16"/>
          <w:shd w:val="clear" w:color="auto" w:fill="FFFFFF"/>
        </w:rPr>
        <w:t xml:space="preserve">facilities, or homebound/hospital placements) divided by the (total # of students aged </w:t>
      </w:r>
      <w:r w:rsidR="00633044" w:rsidRPr="00781112">
        <w:rPr>
          <w:rFonts w:cs="Arial"/>
          <w:szCs w:val="16"/>
        </w:rPr>
        <w:t xml:space="preserve">5 who are enrolled in kindergarten and aged </w:t>
      </w:r>
      <w:r w:rsidR="001F6A28" w:rsidRPr="00781112">
        <w:rPr>
          <w:rFonts w:cs="Arial"/>
          <w:color w:val="000000" w:themeColor="text1"/>
          <w:szCs w:val="16"/>
          <w:shd w:val="clear" w:color="auto" w:fill="FFFFFF"/>
        </w:rPr>
        <w:t xml:space="preserve">6 through </w:t>
      </w:r>
      <w:r w:rsidR="00AE5A55">
        <w:rPr>
          <w:rFonts w:cs="Arial"/>
          <w:color w:val="000000" w:themeColor="text1"/>
          <w:szCs w:val="16"/>
          <w:shd w:val="clear" w:color="auto" w:fill="FFFFFF"/>
        </w:rPr>
        <w:tab/>
      </w:r>
      <w:r w:rsidR="001F6A28" w:rsidRPr="00781112">
        <w:rPr>
          <w:rFonts w:cs="Arial"/>
          <w:color w:val="000000" w:themeColor="text1"/>
          <w:szCs w:val="16"/>
          <w:shd w:val="clear" w:color="auto" w:fill="FFFFFF"/>
        </w:rPr>
        <w:t>21 with IEPs</w:t>
      </w:r>
      <w:r w:rsidR="00A33668" w:rsidRPr="00781112">
        <w:rPr>
          <w:rFonts w:cs="Arial"/>
          <w:color w:val="000000" w:themeColor="text1"/>
          <w:szCs w:val="16"/>
          <w:shd w:val="clear" w:color="auto" w:fill="FFFFFF"/>
        </w:rPr>
        <w:t>)]</w:t>
      </w:r>
      <w:r w:rsidR="001F6A28" w:rsidRPr="00781112">
        <w:rPr>
          <w:rFonts w:cs="Arial"/>
          <w:color w:val="000000" w:themeColor="text1"/>
          <w:szCs w:val="16"/>
          <w:shd w:val="clear" w:color="auto" w:fill="FFFFFF"/>
        </w:rPr>
        <w:t>times 100.</w:t>
      </w:r>
    </w:p>
    <w:p w14:paraId="06AD540D" w14:textId="77777777" w:rsidR="001F6A28" w:rsidRPr="00781112" w:rsidRDefault="001F6A28" w:rsidP="004369B2">
      <w:pPr>
        <w:rPr>
          <w:color w:val="000000" w:themeColor="text1"/>
        </w:rPr>
      </w:pPr>
      <w:r w:rsidRPr="00781112">
        <w:rPr>
          <w:b/>
          <w:color w:val="000000" w:themeColor="text1"/>
        </w:rPr>
        <w:t>Instructions</w:t>
      </w:r>
    </w:p>
    <w:p w14:paraId="37FC98B2" w14:textId="35D136AD" w:rsidR="001F6A28" w:rsidRPr="00781112" w:rsidRDefault="001F6A28" w:rsidP="00BB7BC9">
      <w:pPr>
        <w:rPr>
          <w:rFonts w:cs="Arial"/>
          <w:i/>
          <w:iCs/>
          <w:color w:val="000000" w:themeColor="text1"/>
          <w:szCs w:val="16"/>
        </w:rPr>
      </w:pPr>
      <w:r w:rsidRPr="00781112">
        <w:rPr>
          <w:rFonts w:cs="Arial"/>
          <w:i/>
          <w:iCs/>
          <w:color w:val="000000" w:themeColor="text1"/>
          <w:szCs w:val="16"/>
        </w:rPr>
        <w:t>Sampling from the State’s 618 data is not allowed.</w:t>
      </w:r>
    </w:p>
    <w:p w14:paraId="707ABAC1" w14:textId="68EE8BDF" w:rsidR="001F6A28" w:rsidRPr="00781112" w:rsidRDefault="007072DC" w:rsidP="00BB7BC9">
      <w:pPr>
        <w:rPr>
          <w:rFonts w:cs="Arial"/>
          <w:color w:val="000000" w:themeColor="text1"/>
          <w:szCs w:val="16"/>
        </w:rPr>
      </w:pPr>
      <w:r w:rsidRPr="00781112">
        <w:rPr>
          <w:rFonts w:cs="Arial"/>
          <w:szCs w:val="16"/>
        </w:rPr>
        <w:t>States must report five-year-old children with disabilities who are enrolled in kindergarten in this indicator. Five-year-old children with disabilities who are enrolled in preschool programs are included in Indicator 6.</w:t>
      </w:r>
      <w:r w:rsidR="001F6A28" w:rsidRPr="00781112">
        <w:rPr>
          <w:rFonts w:cs="Arial"/>
          <w:color w:val="000000" w:themeColor="text1"/>
          <w:szCs w:val="16"/>
        </w:rPr>
        <w:t>Describe the results of the calculations and compare the results to the target.</w:t>
      </w:r>
    </w:p>
    <w:p w14:paraId="2F5B7301" w14:textId="3493AFBE" w:rsidR="001F6A28" w:rsidRPr="00781112" w:rsidRDefault="001F6A28" w:rsidP="00BB7BC9">
      <w:pPr>
        <w:rPr>
          <w:rFonts w:cs="Arial"/>
          <w:color w:val="000000" w:themeColor="text1"/>
          <w:szCs w:val="16"/>
        </w:rPr>
      </w:pPr>
      <w:r w:rsidRPr="00781112">
        <w:rPr>
          <w:rFonts w:cs="Arial"/>
          <w:color w:val="000000" w:themeColor="text1"/>
          <w:szCs w:val="16"/>
        </w:rPr>
        <w:t>If the data reported in this indicator are not the same as the State’s data reported under section 618 of the IDEA, explain.</w:t>
      </w:r>
    </w:p>
    <w:p w14:paraId="782EB5F0" w14:textId="4775DE89" w:rsidR="00476EA2" w:rsidRPr="00781112" w:rsidRDefault="007B5383" w:rsidP="008645AD">
      <w:pPr>
        <w:pStyle w:val="Heading2"/>
      </w:pPr>
      <w:r w:rsidRPr="00781112">
        <w:t>5</w:t>
      </w:r>
      <w:r w:rsidR="002203FA" w:rsidRPr="00781112">
        <w:t xml:space="preserve"> </w:t>
      </w:r>
      <w:r w:rsidRPr="00781112">
        <w:t xml:space="preserve">- </w:t>
      </w:r>
      <w:r w:rsidR="00A44506" w:rsidRPr="00781112">
        <w:t>Indicator Data</w:t>
      </w:r>
      <w:r w:rsidR="00476EA2" w:rsidRPr="00781112">
        <w:t xml:space="preserve"> </w:t>
      </w:r>
    </w:p>
    <w:bookmarkEnd w:id="40"/>
    <w:p w14:paraId="5DFCDD59" w14:textId="5ABA842A" w:rsidR="00CC634E" w:rsidRPr="00781112" w:rsidRDefault="00CC634E" w:rsidP="004369B2">
      <w:pPr>
        <w:rPr>
          <w:color w:val="000000" w:themeColor="text1"/>
        </w:rPr>
      </w:pPr>
      <w:r w:rsidRPr="00781112">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B05HISTDATA"/>
      </w:tblPr>
      <w:tblGrid>
        <w:gridCol w:w="536"/>
        <w:gridCol w:w="1464"/>
        <w:gridCol w:w="1465"/>
        <w:gridCol w:w="1465"/>
        <w:gridCol w:w="1465"/>
        <w:gridCol w:w="1465"/>
        <w:gridCol w:w="1465"/>
        <w:gridCol w:w="1465"/>
      </w:tblGrid>
      <w:tr w:rsidR="00483ABB" w:rsidRPr="00781112" w14:paraId="630BF46A" w14:textId="12CF291C" w:rsidTr="005F5FE9">
        <w:trPr>
          <w:trHeight w:val="350"/>
        </w:trPr>
        <w:tc>
          <w:tcPr>
            <w:tcW w:w="248" w:type="pct"/>
            <w:tcBorders>
              <w:top w:val="single" w:sz="4" w:space="0" w:color="auto"/>
              <w:left w:val="single" w:sz="4" w:space="0" w:color="auto"/>
              <w:bottom w:val="single" w:sz="4" w:space="0" w:color="auto"/>
              <w:right w:val="single" w:sz="4" w:space="0" w:color="auto"/>
            </w:tcBorders>
            <w:shd w:val="clear" w:color="auto" w:fill="auto"/>
          </w:tcPr>
          <w:p w14:paraId="48C47ABF" w14:textId="5FDE6273" w:rsidR="00E4112E" w:rsidRPr="00781112" w:rsidRDefault="001F64DB" w:rsidP="00E4112E">
            <w:pPr>
              <w:spacing w:line="276" w:lineRule="auto"/>
              <w:jc w:val="center"/>
              <w:rPr>
                <w:rFonts w:cs="Arial"/>
                <w:b/>
                <w:color w:val="000000" w:themeColor="text1"/>
                <w:szCs w:val="16"/>
              </w:rPr>
            </w:pPr>
            <w:r w:rsidRPr="00781112">
              <w:rPr>
                <w:rFonts w:cs="Arial"/>
                <w:b/>
                <w:color w:val="000000" w:themeColor="text1"/>
                <w:szCs w:val="16"/>
              </w:rPr>
              <w:t>Part</w:t>
            </w:r>
          </w:p>
        </w:tc>
        <w:tc>
          <w:tcPr>
            <w:tcW w:w="678" w:type="pct"/>
            <w:tcBorders>
              <w:top w:val="single" w:sz="4" w:space="0" w:color="auto"/>
              <w:left w:val="single" w:sz="4" w:space="0" w:color="auto"/>
              <w:bottom w:val="single" w:sz="4" w:space="0" w:color="auto"/>
              <w:right w:val="single" w:sz="4" w:space="0" w:color="auto"/>
            </w:tcBorders>
            <w:shd w:val="clear" w:color="auto" w:fill="auto"/>
          </w:tcPr>
          <w:p w14:paraId="34A5BBF1" w14:textId="21EFE08D" w:rsidR="00E4112E" w:rsidRPr="00781112" w:rsidRDefault="00E4112E" w:rsidP="00E4112E">
            <w:pPr>
              <w:spacing w:line="276" w:lineRule="auto"/>
              <w:jc w:val="center"/>
              <w:rPr>
                <w:rFonts w:cs="Arial"/>
                <w:b/>
                <w:color w:val="000000" w:themeColor="text1"/>
                <w:szCs w:val="16"/>
              </w:rPr>
            </w:pPr>
            <w:r w:rsidRPr="00781112">
              <w:rPr>
                <w:rFonts w:cs="Arial"/>
                <w:b/>
                <w:color w:val="000000" w:themeColor="text1"/>
                <w:szCs w:val="16"/>
              </w:rPr>
              <w:t xml:space="preserve">Baseline </w:t>
            </w:r>
          </w:p>
        </w:tc>
        <w:tc>
          <w:tcPr>
            <w:tcW w:w="679" w:type="pct"/>
            <w:tcBorders>
              <w:top w:val="single" w:sz="4" w:space="0" w:color="auto"/>
              <w:left w:val="single" w:sz="4" w:space="0" w:color="auto"/>
              <w:bottom w:val="single" w:sz="4" w:space="0" w:color="auto"/>
              <w:right w:val="single" w:sz="4" w:space="0" w:color="auto"/>
            </w:tcBorders>
            <w:shd w:val="clear" w:color="auto" w:fill="auto"/>
          </w:tcPr>
          <w:p w14:paraId="5527DC20" w14:textId="77777777" w:rsidR="00E4112E" w:rsidRPr="00781112" w:rsidRDefault="00E4112E" w:rsidP="00E4112E">
            <w:pPr>
              <w:spacing w:line="276" w:lineRule="auto"/>
              <w:jc w:val="center"/>
              <w:rPr>
                <w:rFonts w:cs="Arial"/>
                <w:b/>
                <w:color w:val="000000" w:themeColor="text1"/>
                <w:szCs w:val="16"/>
              </w:rPr>
            </w:pPr>
            <w:r w:rsidRPr="00781112">
              <w:rPr>
                <w:rFonts w:cs="Arial"/>
                <w:b/>
                <w:color w:val="000000" w:themeColor="text1"/>
                <w:szCs w:val="16"/>
              </w:rPr>
              <w:t>FFY</w:t>
            </w:r>
          </w:p>
        </w:tc>
        <w:tc>
          <w:tcPr>
            <w:tcW w:w="679" w:type="pct"/>
            <w:tcBorders>
              <w:top w:val="single" w:sz="4" w:space="0" w:color="auto"/>
              <w:left w:val="single" w:sz="4" w:space="0" w:color="auto"/>
              <w:bottom w:val="single" w:sz="4" w:space="0" w:color="auto"/>
              <w:right w:val="single" w:sz="4" w:space="0" w:color="auto"/>
            </w:tcBorders>
            <w:shd w:val="clear" w:color="auto" w:fill="auto"/>
            <w:hideMark/>
          </w:tcPr>
          <w:p w14:paraId="75348DB7" w14:textId="31324C26" w:rsidR="00E4112E" w:rsidRPr="00781112" w:rsidRDefault="002B7490">
            <w:pPr>
              <w:spacing w:line="276" w:lineRule="auto"/>
              <w:jc w:val="center"/>
              <w:rPr>
                <w:rFonts w:cs="Arial"/>
                <w:b/>
                <w:color w:val="000000" w:themeColor="text1"/>
                <w:szCs w:val="16"/>
              </w:rPr>
            </w:pPr>
            <w:r w:rsidRPr="00781112">
              <w:rPr>
                <w:rFonts w:cs="Arial"/>
                <w:b/>
                <w:color w:val="000000" w:themeColor="text1"/>
                <w:szCs w:val="16"/>
              </w:rPr>
              <w:t>2016</w:t>
            </w:r>
          </w:p>
        </w:tc>
        <w:tc>
          <w:tcPr>
            <w:tcW w:w="679" w:type="pct"/>
            <w:tcBorders>
              <w:top w:val="single" w:sz="4" w:space="0" w:color="auto"/>
              <w:left w:val="single" w:sz="4" w:space="0" w:color="auto"/>
              <w:bottom w:val="single" w:sz="4" w:space="0" w:color="auto"/>
              <w:right w:val="single" w:sz="4" w:space="0" w:color="auto"/>
            </w:tcBorders>
            <w:shd w:val="clear" w:color="auto" w:fill="auto"/>
            <w:hideMark/>
          </w:tcPr>
          <w:p w14:paraId="7C2D9A5E" w14:textId="1AFF80C5" w:rsidR="00E4112E" w:rsidRPr="00781112" w:rsidRDefault="002B7490">
            <w:pPr>
              <w:spacing w:line="276" w:lineRule="auto"/>
              <w:jc w:val="center"/>
              <w:rPr>
                <w:rFonts w:cs="Arial"/>
                <w:b/>
                <w:color w:val="000000" w:themeColor="text1"/>
                <w:szCs w:val="16"/>
              </w:rPr>
            </w:pPr>
            <w:r w:rsidRPr="00781112">
              <w:rPr>
                <w:rFonts w:cs="Arial"/>
                <w:b/>
                <w:color w:val="000000" w:themeColor="text1"/>
                <w:szCs w:val="16"/>
              </w:rPr>
              <w:t>2017</w:t>
            </w:r>
          </w:p>
        </w:tc>
        <w:tc>
          <w:tcPr>
            <w:tcW w:w="679" w:type="pct"/>
            <w:tcBorders>
              <w:top w:val="single" w:sz="4" w:space="0" w:color="auto"/>
              <w:left w:val="single" w:sz="4" w:space="0" w:color="auto"/>
              <w:bottom w:val="single" w:sz="4" w:space="0" w:color="auto"/>
              <w:right w:val="single" w:sz="4" w:space="0" w:color="auto"/>
            </w:tcBorders>
            <w:shd w:val="clear" w:color="auto" w:fill="auto"/>
          </w:tcPr>
          <w:p w14:paraId="7C87EFC5" w14:textId="1BB8AC30" w:rsidR="00E4112E" w:rsidRPr="00781112" w:rsidRDefault="002B7490">
            <w:pPr>
              <w:spacing w:line="276" w:lineRule="auto"/>
              <w:jc w:val="center"/>
              <w:rPr>
                <w:rFonts w:cs="Arial"/>
                <w:b/>
                <w:color w:val="000000" w:themeColor="text1"/>
                <w:szCs w:val="16"/>
              </w:rPr>
            </w:pPr>
            <w:r w:rsidRPr="00781112">
              <w:rPr>
                <w:rFonts w:cs="Arial"/>
                <w:b/>
                <w:color w:val="000000" w:themeColor="text1"/>
                <w:szCs w:val="16"/>
              </w:rPr>
              <w:t>2018</w:t>
            </w:r>
          </w:p>
        </w:tc>
        <w:tc>
          <w:tcPr>
            <w:tcW w:w="679" w:type="pct"/>
            <w:tcBorders>
              <w:top w:val="single" w:sz="4" w:space="0" w:color="auto"/>
              <w:left w:val="single" w:sz="4" w:space="0" w:color="auto"/>
              <w:bottom w:val="single" w:sz="4" w:space="0" w:color="auto"/>
              <w:right w:val="single" w:sz="4" w:space="0" w:color="auto"/>
            </w:tcBorders>
            <w:shd w:val="clear" w:color="auto" w:fill="auto"/>
            <w:hideMark/>
          </w:tcPr>
          <w:p w14:paraId="060660DD" w14:textId="4387DAEB" w:rsidR="00E4112E" w:rsidRPr="00781112" w:rsidRDefault="002B7490">
            <w:pPr>
              <w:spacing w:line="276" w:lineRule="auto"/>
              <w:jc w:val="center"/>
              <w:rPr>
                <w:rFonts w:cs="Arial"/>
                <w:b/>
                <w:color w:val="000000" w:themeColor="text1"/>
                <w:szCs w:val="16"/>
              </w:rPr>
            </w:pPr>
            <w:r w:rsidRPr="00781112">
              <w:rPr>
                <w:rFonts w:cs="Arial"/>
                <w:b/>
                <w:color w:val="000000" w:themeColor="text1"/>
                <w:szCs w:val="16"/>
              </w:rPr>
              <w:t>2019</w:t>
            </w:r>
          </w:p>
        </w:tc>
        <w:tc>
          <w:tcPr>
            <w:tcW w:w="679" w:type="pct"/>
            <w:tcBorders>
              <w:top w:val="single" w:sz="4" w:space="0" w:color="auto"/>
              <w:left w:val="single" w:sz="4" w:space="0" w:color="auto"/>
              <w:bottom w:val="single" w:sz="4" w:space="0" w:color="auto"/>
              <w:right w:val="single" w:sz="4" w:space="0" w:color="auto"/>
            </w:tcBorders>
            <w:shd w:val="clear" w:color="auto" w:fill="auto"/>
            <w:hideMark/>
          </w:tcPr>
          <w:p w14:paraId="3DBEC159" w14:textId="109E90CD" w:rsidR="00E4112E" w:rsidRPr="00781112" w:rsidRDefault="002B7490">
            <w:pPr>
              <w:spacing w:line="276" w:lineRule="auto"/>
              <w:jc w:val="center"/>
              <w:rPr>
                <w:rFonts w:cs="Arial"/>
                <w:b/>
                <w:color w:val="000000" w:themeColor="text1"/>
                <w:szCs w:val="16"/>
              </w:rPr>
            </w:pPr>
            <w:r w:rsidRPr="00781112">
              <w:rPr>
                <w:rFonts w:cs="Arial"/>
                <w:b/>
                <w:color w:val="000000" w:themeColor="text1"/>
                <w:szCs w:val="16"/>
              </w:rPr>
              <w:t>2020</w:t>
            </w:r>
          </w:p>
        </w:tc>
      </w:tr>
      <w:tr w:rsidR="005F0D3B" w:rsidRPr="00781112" w14:paraId="692E70F6" w14:textId="3E9D9AB4" w:rsidTr="005F5FE9">
        <w:trPr>
          <w:trHeight w:val="70"/>
        </w:trPr>
        <w:tc>
          <w:tcPr>
            <w:tcW w:w="248" w:type="pct"/>
            <w:tcBorders>
              <w:top w:val="single" w:sz="4" w:space="0" w:color="auto"/>
              <w:left w:val="single" w:sz="4" w:space="0" w:color="auto"/>
              <w:right w:val="single" w:sz="4" w:space="0" w:color="auto"/>
            </w:tcBorders>
            <w:shd w:val="clear" w:color="auto" w:fill="auto"/>
            <w:vAlign w:val="center"/>
          </w:tcPr>
          <w:p w14:paraId="5CAC6F68" w14:textId="77777777" w:rsidR="00BB7BC9" w:rsidRPr="00781112" w:rsidRDefault="00BB7BC9" w:rsidP="004B75EC">
            <w:pPr>
              <w:spacing w:line="276" w:lineRule="auto"/>
              <w:jc w:val="center"/>
              <w:rPr>
                <w:rFonts w:cs="Arial"/>
                <w:color w:val="000000" w:themeColor="text1"/>
                <w:szCs w:val="16"/>
              </w:rPr>
            </w:pPr>
            <w:r w:rsidRPr="00781112">
              <w:rPr>
                <w:rFonts w:cs="Arial"/>
                <w:color w:val="000000" w:themeColor="text1"/>
                <w:szCs w:val="16"/>
              </w:rPr>
              <w:t>A</w:t>
            </w:r>
          </w:p>
        </w:tc>
        <w:tc>
          <w:tcPr>
            <w:tcW w:w="678" w:type="pct"/>
            <w:tcBorders>
              <w:top w:val="single" w:sz="4" w:space="0" w:color="auto"/>
              <w:left w:val="single" w:sz="4" w:space="0" w:color="auto"/>
              <w:right w:val="single" w:sz="4" w:space="0" w:color="auto"/>
            </w:tcBorders>
            <w:shd w:val="clear" w:color="auto" w:fill="auto"/>
            <w:vAlign w:val="center"/>
          </w:tcPr>
          <w:p w14:paraId="5E3ACE02" w14:textId="787FECC2" w:rsidR="00BB7BC9" w:rsidRPr="00781112" w:rsidRDefault="002B7490" w:rsidP="00A018D4">
            <w:pPr>
              <w:jc w:val="center"/>
              <w:rPr>
                <w:rFonts w:cs="Arial"/>
                <w:color w:val="000000" w:themeColor="text1"/>
                <w:szCs w:val="16"/>
              </w:rPr>
            </w:pPr>
            <w:r w:rsidRPr="00781112">
              <w:rPr>
                <w:rFonts w:cs="Arial"/>
                <w:color w:val="000000" w:themeColor="text1"/>
                <w:szCs w:val="16"/>
              </w:rPr>
              <w:t>2018</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0FE0BC7" w14:textId="0A864988"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Target &gt;=</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7D169E17" w14:textId="1A4FF232" w:rsidR="00BB7BC9" w:rsidRPr="00781112" w:rsidRDefault="002B7490">
            <w:pPr>
              <w:jc w:val="center"/>
              <w:rPr>
                <w:rFonts w:cs="Arial"/>
                <w:color w:val="000000" w:themeColor="text1"/>
                <w:szCs w:val="16"/>
              </w:rPr>
            </w:pPr>
            <w:r w:rsidRPr="00781112">
              <w:rPr>
                <w:rFonts w:cs="Arial"/>
                <w:color w:val="000000" w:themeColor="text1"/>
                <w:szCs w:val="16"/>
              </w:rPr>
              <w:t>58.09%</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7BBDF86" w14:textId="7B8DE8AB" w:rsidR="00BB7BC9" w:rsidRPr="00781112" w:rsidRDefault="002B7490">
            <w:pPr>
              <w:jc w:val="center"/>
              <w:rPr>
                <w:rFonts w:cs="Arial"/>
                <w:color w:val="000000" w:themeColor="text1"/>
                <w:szCs w:val="16"/>
              </w:rPr>
            </w:pPr>
            <w:r w:rsidRPr="00781112">
              <w:rPr>
                <w:rFonts w:cs="Arial"/>
                <w:color w:val="000000" w:themeColor="text1"/>
                <w:szCs w:val="16"/>
              </w:rPr>
              <w:t>58.53%</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2D7B0B98" w14:textId="016BD4D1" w:rsidR="00BB7BC9" w:rsidRPr="00781112" w:rsidRDefault="002B7490">
            <w:pPr>
              <w:jc w:val="center"/>
              <w:rPr>
                <w:rFonts w:cs="Arial"/>
                <w:color w:val="000000" w:themeColor="text1"/>
                <w:szCs w:val="16"/>
              </w:rPr>
            </w:pPr>
            <w:r w:rsidRPr="00781112">
              <w:rPr>
                <w:rFonts w:cs="Arial"/>
                <w:color w:val="000000" w:themeColor="text1"/>
                <w:szCs w:val="16"/>
              </w:rPr>
              <w:t>58.97%</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4789FFB" w14:textId="5C8E4FBE" w:rsidR="00BB7BC9" w:rsidRPr="00781112" w:rsidRDefault="002B7490">
            <w:pPr>
              <w:jc w:val="center"/>
              <w:rPr>
                <w:rFonts w:cs="Arial"/>
                <w:color w:val="000000" w:themeColor="text1"/>
                <w:szCs w:val="16"/>
              </w:rPr>
            </w:pPr>
            <w:r w:rsidRPr="00781112">
              <w:rPr>
                <w:rFonts w:cs="Arial"/>
                <w:color w:val="000000" w:themeColor="text1"/>
                <w:szCs w:val="16"/>
              </w:rPr>
              <w:t>59.41%</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29E5141" w14:textId="5AEA8269" w:rsidR="00BB7BC9" w:rsidRPr="00781112" w:rsidRDefault="002B7490">
            <w:pPr>
              <w:jc w:val="center"/>
              <w:rPr>
                <w:rFonts w:cs="Arial"/>
                <w:color w:val="000000" w:themeColor="text1"/>
                <w:szCs w:val="16"/>
              </w:rPr>
            </w:pPr>
            <w:r w:rsidRPr="00781112">
              <w:rPr>
                <w:rFonts w:cs="Arial"/>
                <w:color w:val="000000" w:themeColor="text1"/>
                <w:szCs w:val="16"/>
              </w:rPr>
              <w:t>65.12%</w:t>
            </w:r>
          </w:p>
        </w:tc>
      </w:tr>
      <w:tr w:rsidR="005F0D3B" w:rsidRPr="00781112" w14:paraId="79D81D10" w14:textId="49DC964C" w:rsidTr="005F5FE9">
        <w:trPr>
          <w:trHeight w:val="85"/>
        </w:trPr>
        <w:tc>
          <w:tcPr>
            <w:tcW w:w="248" w:type="pct"/>
            <w:tcBorders>
              <w:left w:val="single" w:sz="4" w:space="0" w:color="auto"/>
              <w:right w:val="single" w:sz="4" w:space="0" w:color="auto"/>
            </w:tcBorders>
            <w:shd w:val="clear" w:color="auto" w:fill="auto"/>
            <w:vAlign w:val="center"/>
          </w:tcPr>
          <w:p w14:paraId="35B07658" w14:textId="008DA9F0" w:rsidR="00BB7BC9" w:rsidRPr="00781112" w:rsidRDefault="001474EC" w:rsidP="004369B2">
            <w:pPr>
              <w:spacing w:line="276" w:lineRule="auto"/>
              <w:jc w:val="center"/>
              <w:rPr>
                <w:rFonts w:cs="Arial"/>
                <w:color w:val="000000" w:themeColor="text1"/>
                <w:szCs w:val="16"/>
              </w:rPr>
            </w:pPr>
            <w:r w:rsidRPr="00781112">
              <w:rPr>
                <w:rFonts w:cs="Arial"/>
                <w:color w:val="000000" w:themeColor="text1"/>
                <w:szCs w:val="16"/>
              </w:rPr>
              <w:t>A</w:t>
            </w:r>
          </w:p>
        </w:tc>
        <w:tc>
          <w:tcPr>
            <w:tcW w:w="678" w:type="pct"/>
            <w:tcBorders>
              <w:left w:val="single" w:sz="4" w:space="0" w:color="auto"/>
              <w:right w:val="single" w:sz="4" w:space="0" w:color="auto"/>
            </w:tcBorders>
            <w:shd w:val="clear" w:color="auto" w:fill="auto"/>
            <w:vAlign w:val="center"/>
          </w:tcPr>
          <w:p w14:paraId="4DB8D3CD" w14:textId="0227B1FD" w:rsidR="00BB7BC9" w:rsidRPr="00781112" w:rsidRDefault="002B7490" w:rsidP="00A018D4">
            <w:pPr>
              <w:jc w:val="center"/>
              <w:rPr>
                <w:rFonts w:cs="Arial"/>
                <w:color w:val="000000" w:themeColor="text1"/>
                <w:szCs w:val="16"/>
              </w:rPr>
            </w:pPr>
            <w:r w:rsidRPr="00781112">
              <w:rPr>
                <w:rFonts w:cs="Arial"/>
                <w:color w:val="000000" w:themeColor="text1"/>
                <w:szCs w:val="16"/>
              </w:rPr>
              <w:t>65.12%</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6A24467" w14:textId="77777777"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Data</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A26F098" w14:textId="47E3F3D4" w:rsidR="00BB7BC9" w:rsidRPr="00781112" w:rsidRDefault="002B7490">
            <w:pPr>
              <w:jc w:val="center"/>
              <w:rPr>
                <w:rFonts w:cs="Arial"/>
                <w:color w:val="000000" w:themeColor="text1"/>
                <w:szCs w:val="16"/>
              </w:rPr>
            </w:pPr>
            <w:r w:rsidRPr="00781112">
              <w:rPr>
                <w:rFonts w:cs="Arial"/>
                <w:color w:val="000000" w:themeColor="text1"/>
                <w:szCs w:val="16"/>
              </w:rPr>
              <w:t>61.57%</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22E8D482" w14:textId="0F0DD959" w:rsidR="00BB7BC9" w:rsidRPr="00781112" w:rsidRDefault="002B7490">
            <w:pPr>
              <w:jc w:val="center"/>
              <w:rPr>
                <w:rFonts w:cs="Arial"/>
                <w:color w:val="000000" w:themeColor="text1"/>
                <w:szCs w:val="16"/>
              </w:rPr>
            </w:pPr>
            <w:r w:rsidRPr="00781112">
              <w:rPr>
                <w:rFonts w:cs="Arial"/>
                <w:color w:val="000000" w:themeColor="text1"/>
                <w:szCs w:val="16"/>
              </w:rPr>
              <w:t>63.47%</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92D382C" w14:textId="2157E0D5" w:rsidR="00BB7BC9" w:rsidRPr="00781112" w:rsidRDefault="002B7490">
            <w:pPr>
              <w:jc w:val="center"/>
              <w:rPr>
                <w:rFonts w:cs="Arial"/>
                <w:color w:val="000000" w:themeColor="text1"/>
                <w:szCs w:val="16"/>
              </w:rPr>
            </w:pPr>
            <w:r w:rsidRPr="00781112">
              <w:rPr>
                <w:rFonts w:cs="Arial"/>
                <w:color w:val="000000" w:themeColor="text1"/>
                <w:szCs w:val="16"/>
              </w:rPr>
              <w:t>65.12%</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6D0CB9F" w14:textId="43591961" w:rsidR="00BB7BC9" w:rsidRPr="00781112" w:rsidRDefault="002B7490">
            <w:pPr>
              <w:jc w:val="center"/>
              <w:rPr>
                <w:rFonts w:cs="Arial"/>
                <w:color w:val="000000" w:themeColor="text1"/>
                <w:szCs w:val="16"/>
              </w:rPr>
            </w:pPr>
            <w:r w:rsidRPr="00781112">
              <w:rPr>
                <w:rFonts w:cs="Arial"/>
                <w:color w:val="000000" w:themeColor="text1"/>
                <w:szCs w:val="16"/>
              </w:rPr>
              <w:t>67.84%</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3207239" w14:textId="4C2F7B73" w:rsidR="00BB7BC9" w:rsidRPr="00781112" w:rsidRDefault="002B7490">
            <w:pPr>
              <w:jc w:val="center"/>
              <w:rPr>
                <w:rFonts w:cs="Arial"/>
                <w:color w:val="000000" w:themeColor="text1"/>
                <w:szCs w:val="16"/>
              </w:rPr>
            </w:pPr>
            <w:r w:rsidRPr="00781112">
              <w:rPr>
                <w:rFonts w:cs="Arial"/>
                <w:color w:val="000000" w:themeColor="text1"/>
                <w:szCs w:val="16"/>
              </w:rPr>
              <w:t>70.54%</w:t>
            </w:r>
          </w:p>
        </w:tc>
      </w:tr>
      <w:tr w:rsidR="005F0D3B" w:rsidRPr="00781112" w14:paraId="7EE51EBD" w14:textId="513FE18C" w:rsidTr="005F5FE9">
        <w:trPr>
          <w:trHeight w:val="357"/>
        </w:trPr>
        <w:tc>
          <w:tcPr>
            <w:tcW w:w="248" w:type="pct"/>
            <w:tcBorders>
              <w:top w:val="single" w:sz="4" w:space="0" w:color="auto"/>
              <w:left w:val="single" w:sz="4" w:space="0" w:color="auto"/>
              <w:right w:val="single" w:sz="4" w:space="0" w:color="auto"/>
            </w:tcBorders>
            <w:shd w:val="clear" w:color="auto" w:fill="auto"/>
            <w:vAlign w:val="center"/>
          </w:tcPr>
          <w:p w14:paraId="72DFD563" w14:textId="77777777" w:rsidR="00BB7BC9" w:rsidRPr="00781112" w:rsidRDefault="00BB7BC9" w:rsidP="004B75EC">
            <w:pPr>
              <w:spacing w:line="276" w:lineRule="auto"/>
              <w:jc w:val="center"/>
              <w:rPr>
                <w:rFonts w:cs="Arial"/>
                <w:color w:val="000000" w:themeColor="text1"/>
                <w:szCs w:val="16"/>
              </w:rPr>
            </w:pPr>
            <w:r w:rsidRPr="00781112">
              <w:rPr>
                <w:rFonts w:cs="Arial"/>
                <w:color w:val="000000" w:themeColor="text1"/>
                <w:szCs w:val="16"/>
              </w:rPr>
              <w:t>B</w:t>
            </w:r>
          </w:p>
        </w:tc>
        <w:tc>
          <w:tcPr>
            <w:tcW w:w="678" w:type="pct"/>
            <w:tcBorders>
              <w:top w:val="single" w:sz="4" w:space="0" w:color="auto"/>
              <w:left w:val="single" w:sz="4" w:space="0" w:color="auto"/>
              <w:right w:val="single" w:sz="4" w:space="0" w:color="auto"/>
            </w:tcBorders>
            <w:shd w:val="clear" w:color="auto" w:fill="auto"/>
            <w:vAlign w:val="center"/>
          </w:tcPr>
          <w:p w14:paraId="100A2A6F" w14:textId="100D35A9" w:rsidR="00BB7BC9" w:rsidRPr="00781112" w:rsidRDefault="002B7490" w:rsidP="00A018D4">
            <w:pPr>
              <w:jc w:val="center"/>
              <w:rPr>
                <w:rFonts w:cs="Arial"/>
                <w:color w:val="000000" w:themeColor="text1"/>
                <w:szCs w:val="16"/>
              </w:rPr>
            </w:pPr>
            <w:r w:rsidRPr="00781112">
              <w:rPr>
                <w:rFonts w:cs="Arial"/>
                <w:color w:val="000000" w:themeColor="text1"/>
                <w:szCs w:val="16"/>
              </w:rPr>
              <w:t>2018</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10A945A" w14:textId="5CBFA4BF"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Target &lt;=</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DEA2B18" w14:textId="75A611A3" w:rsidR="00BB7BC9" w:rsidRPr="00781112" w:rsidRDefault="002B7490">
            <w:pPr>
              <w:jc w:val="center"/>
              <w:rPr>
                <w:rFonts w:cs="Arial"/>
                <w:color w:val="000000" w:themeColor="text1"/>
                <w:szCs w:val="16"/>
              </w:rPr>
            </w:pPr>
            <w:r w:rsidRPr="00781112">
              <w:rPr>
                <w:rFonts w:cs="Arial"/>
                <w:color w:val="000000" w:themeColor="text1"/>
                <w:szCs w:val="16"/>
              </w:rPr>
              <w:t>13.36%</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B840EDC" w14:textId="6514C970" w:rsidR="00BB7BC9" w:rsidRPr="00781112" w:rsidRDefault="002B7490">
            <w:pPr>
              <w:jc w:val="center"/>
              <w:rPr>
                <w:rFonts w:cs="Arial"/>
                <w:color w:val="000000" w:themeColor="text1"/>
                <w:szCs w:val="16"/>
              </w:rPr>
            </w:pPr>
            <w:r w:rsidRPr="00781112">
              <w:rPr>
                <w:rFonts w:cs="Arial"/>
                <w:color w:val="000000" w:themeColor="text1"/>
                <w:szCs w:val="16"/>
              </w:rPr>
              <w:t>13.29%</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743AF146" w14:textId="07F1A374" w:rsidR="00BB7BC9" w:rsidRPr="00781112" w:rsidRDefault="002B7490">
            <w:pPr>
              <w:jc w:val="center"/>
              <w:rPr>
                <w:rFonts w:cs="Arial"/>
                <w:color w:val="000000" w:themeColor="text1"/>
                <w:szCs w:val="16"/>
              </w:rPr>
            </w:pPr>
            <w:r w:rsidRPr="00781112">
              <w:rPr>
                <w:rFonts w:cs="Arial"/>
                <w:color w:val="000000" w:themeColor="text1"/>
                <w:szCs w:val="16"/>
              </w:rPr>
              <w:t>13.22%</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14470517" w14:textId="6EB26EBD" w:rsidR="00BB7BC9" w:rsidRPr="00781112" w:rsidRDefault="002B7490">
            <w:pPr>
              <w:jc w:val="center"/>
              <w:rPr>
                <w:rFonts w:cs="Arial"/>
                <w:color w:val="000000" w:themeColor="text1"/>
                <w:szCs w:val="16"/>
              </w:rPr>
            </w:pPr>
            <w:r w:rsidRPr="00781112">
              <w:rPr>
                <w:rFonts w:cs="Arial"/>
                <w:color w:val="000000" w:themeColor="text1"/>
                <w:szCs w:val="16"/>
              </w:rPr>
              <w:t>13.15%</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39B042C" w14:textId="501324B8" w:rsidR="00BB7BC9" w:rsidRPr="00781112" w:rsidRDefault="002B7490">
            <w:pPr>
              <w:jc w:val="center"/>
              <w:rPr>
                <w:rFonts w:cs="Arial"/>
                <w:color w:val="000000" w:themeColor="text1"/>
                <w:szCs w:val="16"/>
              </w:rPr>
            </w:pPr>
            <w:r w:rsidRPr="00781112">
              <w:rPr>
                <w:rFonts w:cs="Arial"/>
                <w:color w:val="000000" w:themeColor="text1"/>
                <w:szCs w:val="16"/>
              </w:rPr>
              <w:t>9.71%</w:t>
            </w:r>
          </w:p>
        </w:tc>
      </w:tr>
      <w:tr w:rsidR="005F0D3B" w:rsidRPr="00781112" w14:paraId="78E6E13B" w14:textId="52E2E705" w:rsidTr="005F5FE9">
        <w:trPr>
          <w:trHeight w:val="85"/>
        </w:trPr>
        <w:tc>
          <w:tcPr>
            <w:tcW w:w="248" w:type="pct"/>
            <w:tcBorders>
              <w:left w:val="single" w:sz="4" w:space="0" w:color="auto"/>
              <w:right w:val="single" w:sz="4" w:space="0" w:color="auto"/>
            </w:tcBorders>
            <w:shd w:val="clear" w:color="auto" w:fill="auto"/>
            <w:vAlign w:val="center"/>
          </w:tcPr>
          <w:p w14:paraId="36D93B90" w14:textId="2EF21745" w:rsidR="00BB7BC9" w:rsidRPr="00781112" w:rsidRDefault="001474EC" w:rsidP="004369B2">
            <w:pPr>
              <w:spacing w:line="276" w:lineRule="auto"/>
              <w:jc w:val="center"/>
              <w:rPr>
                <w:rFonts w:cs="Arial"/>
                <w:color w:val="000000" w:themeColor="text1"/>
                <w:szCs w:val="16"/>
              </w:rPr>
            </w:pPr>
            <w:r w:rsidRPr="00781112">
              <w:rPr>
                <w:rFonts w:cs="Arial"/>
                <w:color w:val="000000" w:themeColor="text1"/>
                <w:szCs w:val="16"/>
              </w:rPr>
              <w:t>B</w:t>
            </w:r>
          </w:p>
        </w:tc>
        <w:tc>
          <w:tcPr>
            <w:tcW w:w="678" w:type="pct"/>
            <w:tcBorders>
              <w:left w:val="single" w:sz="4" w:space="0" w:color="auto"/>
              <w:right w:val="single" w:sz="4" w:space="0" w:color="auto"/>
            </w:tcBorders>
            <w:shd w:val="clear" w:color="auto" w:fill="auto"/>
            <w:vAlign w:val="center"/>
          </w:tcPr>
          <w:p w14:paraId="46CEC360" w14:textId="3F201206" w:rsidR="00BB7BC9" w:rsidRPr="00781112" w:rsidRDefault="002B7490" w:rsidP="00A018D4">
            <w:pPr>
              <w:jc w:val="center"/>
              <w:rPr>
                <w:rFonts w:cs="Arial"/>
                <w:color w:val="000000" w:themeColor="text1"/>
                <w:szCs w:val="16"/>
              </w:rPr>
            </w:pPr>
            <w:r w:rsidRPr="00781112">
              <w:rPr>
                <w:rFonts w:cs="Arial"/>
                <w:color w:val="000000" w:themeColor="text1"/>
                <w:szCs w:val="16"/>
              </w:rPr>
              <w:t>9.71%</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52A1F55" w14:textId="77777777"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Data</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C00B11B" w14:textId="1B815A91" w:rsidR="00BB7BC9" w:rsidRPr="00781112" w:rsidRDefault="002B7490">
            <w:pPr>
              <w:jc w:val="center"/>
              <w:rPr>
                <w:rFonts w:cs="Arial"/>
                <w:color w:val="000000" w:themeColor="text1"/>
                <w:szCs w:val="16"/>
              </w:rPr>
            </w:pPr>
            <w:r w:rsidRPr="00781112">
              <w:rPr>
                <w:rFonts w:cs="Arial"/>
                <w:color w:val="000000" w:themeColor="text1"/>
                <w:szCs w:val="16"/>
              </w:rPr>
              <w:t>10.68%</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1973F9D" w14:textId="4C7C3BCD" w:rsidR="00BB7BC9" w:rsidRPr="00781112" w:rsidRDefault="002B7490">
            <w:pPr>
              <w:jc w:val="center"/>
              <w:rPr>
                <w:rFonts w:cs="Arial"/>
                <w:color w:val="000000" w:themeColor="text1"/>
                <w:szCs w:val="16"/>
              </w:rPr>
            </w:pPr>
            <w:r w:rsidRPr="00781112">
              <w:rPr>
                <w:rFonts w:cs="Arial"/>
                <w:color w:val="000000" w:themeColor="text1"/>
                <w:szCs w:val="16"/>
              </w:rPr>
              <w:t>10.26%</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2270259B" w14:textId="550EFA1E" w:rsidR="00BB7BC9" w:rsidRPr="00781112" w:rsidRDefault="002B7490">
            <w:pPr>
              <w:jc w:val="center"/>
              <w:rPr>
                <w:rFonts w:cs="Arial"/>
                <w:color w:val="000000" w:themeColor="text1"/>
                <w:szCs w:val="16"/>
              </w:rPr>
            </w:pPr>
            <w:r w:rsidRPr="00781112">
              <w:rPr>
                <w:rFonts w:cs="Arial"/>
                <w:color w:val="000000" w:themeColor="text1"/>
                <w:szCs w:val="16"/>
              </w:rPr>
              <w:t>9.71%</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435F6E4C" w14:textId="3A9E3826" w:rsidR="00BB7BC9" w:rsidRPr="00781112" w:rsidRDefault="002B7490">
            <w:pPr>
              <w:jc w:val="center"/>
              <w:rPr>
                <w:rFonts w:cs="Arial"/>
                <w:color w:val="000000" w:themeColor="text1"/>
                <w:szCs w:val="16"/>
              </w:rPr>
            </w:pPr>
            <w:r w:rsidRPr="00781112">
              <w:rPr>
                <w:rFonts w:cs="Arial"/>
                <w:color w:val="000000" w:themeColor="text1"/>
                <w:szCs w:val="16"/>
              </w:rPr>
              <w:t>9.13%</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F17276C" w14:textId="62DCEF2E" w:rsidR="00BB7BC9" w:rsidRPr="00781112" w:rsidRDefault="002B7490">
            <w:pPr>
              <w:jc w:val="center"/>
              <w:rPr>
                <w:rFonts w:cs="Arial"/>
                <w:color w:val="000000" w:themeColor="text1"/>
                <w:szCs w:val="16"/>
              </w:rPr>
            </w:pPr>
            <w:r w:rsidRPr="00781112">
              <w:rPr>
                <w:rFonts w:cs="Arial"/>
                <w:color w:val="000000" w:themeColor="text1"/>
                <w:szCs w:val="16"/>
              </w:rPr>
              <w:t>8.43%</w:t>
            </w:r>
          </w:p>
        </w:tc>
      </w:tr>
      <w:tr w:rsidR="005F0D3B" w:rsidRPr="00781112" w14:paraId="37C91828" w14:textId="68984F02" w:rsidTr="005F5FE9">
        <w:trPr>
          <w:trHeight w:val="357"/>
        </w:trPr>
        <w:tc>
          <w:tcPr>
            <w:tcW w:w="248" w:type="pct"/>
            <w:tcBorders>
              <w:top w:val="single" w:sz="4" w:space="0" w:color="auto"/>
              <w:left w:val="single" w:sz="4" w:space="0" w:color="auto"/>
              <w:right w:val="single" w:sz="4" w:space="0" w:color="auto"/>
            </w:tcBorders>
            <w:shd w:val="clear" w:color="auto" w:fill="auto"/>
            <w:vAlign w:val="center"/>
          </w:tcPr>
          <w:p w14:paraId="4C5B9753" w14:textId="77777777" w:rsidR="00BB7BC9" w:rsidRPr="00781112" w:rsidRDefault="00BB7BC9" w:rsidP="004B75EC">
            <w:pPr>
              <w:spacing w:line="276" w:lineRule="auto"/>
              <w:jc w:val="center"/>
              <w:rPr>
                <w:rFonts w:cs="Arial"/>
                <w:color w:val="000000" w:themeColor="text1"/>
                <w:szCs w:val="16"/>
              </w:rPr>
            </w:pPr>
            <w:r w:rsidRPr="00781112">
              <w:rPr>
                <w:rFonts w:cs="Arial"/>
                <w:color w:val="000000" w:themeColor="text1"/>
                <w:szCs w:val="16"/>
              </w:rPr>
              <w:t>C</w:t>
            </w:r>
          </w:p>
        </w:tc>
        <w:tc>
          <w:tcPr>
            <w:tcW w:w="678" w:type="pct"/>
            <w:tcBorders>
              <w:top w:val="single" w:sz="4" w:space="0" w:color="auto"/>
              <w:left w:val="single" w:sz="4" w:space="0" w:color="auto"/>
              <w:right w:val="single" w:sz="4" w:space="0" w:color="auto"/>
            </w:tcBorders>
            <w:shd w:val="clear" w:color="auto" w:fill="auto"/>
            <w:vAlign w:val="center"/>
          </w:tcPr>
          <w:p w14:paraId="70C9224B" w14:textId="70CACD96" w:rsidR="00BB7BC9" w:rsidRPr="00781112" w:rsidRDefault="002B7490" w:rsidP="00A018D4">
            <w:pPr>
              <w:jc w:val="center"/>
              <w:rPr>
                <w:rFonts w:cs="Arial"/>
                <w:color w:val="000000" w:themeColor="text1"/>
                <w:szCs w:val="16"/>
              </w:rPr>
            </w:pPr>
            <w:r w:rsidRPr="00781112">
              <w:rPr>
                <w:rFonts w:cs="Arial"/>
                <w:color w:val="000000" w:themeColor="text1"/>
                <w:szCs w:val="16"/>
              </w:rPr>
              <w:t>2018</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F357A99" w14:textId="4C603377"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Target &lt;=</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71AD3A63" w14:textId="1D90F8DD" w:rsidR="00BB7BC9" w:rsidRPr="00781112" w:rsidRDefault="002B7490">
            <w:pPr>
              <w:jc w:val="center"/>
              <w:rPr>
                <w:rFonts w:cs="Arial"/>
                <w:color w:val="000000" w:themeColor="text1"/>
                <w:szCs w:val="16"/>
              </w:rPr>
            </w:pPr>
            <w:r w:rsidRPr="00781112">
              <w:rPr>
                <w:rFonts w:cs="Arial"/>
                <w:color w:val="000000" w:themeColor="text1"/>
                <w:szCs w:val="16"/>
              </w:rPr>
              <w:t>3.00%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1DA5DD15" w14:textId="499E0DC6" w:rsidR="00BB7BC9" w:rsidRPr="00781112" w:rsidRDefault="002B7490">
            <w:pPr>
              <w:jc w:val="center"/>
              <w:rPr>
                <w:rFonts w:cs="Arial"/>
                <w:color w:val="000000" w:themeColor="text1"/>
                <w:szCs w:val="16"/>
              </w:rPr>
            </w:pPr>
            <w:r w:rsidRPr="00781112">
              <w:rPr>
                <w:rFonts w:cs="Arial"/>
                <w:color w:val="000000" w:themeColor="text1"/>
                <w:szCs w:val="16"/>
              </w:rPr>
              <w:t>3.00%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7F1F1E81" w14:textId="46D753CA" w:rsidR="00BB7BC9" w:rsidRPr="00781112" w:rsidRDefault="002B7490">
            <w:pPr>
              <w:jc w:val="center"/>
              <w:rPr>
                <w:rFonts w:cs="Arial"/>
                <w:color w:val="000000" w:themeColor="text1"/>
                <w:szCs w:val="16"/>
              </w:rPr>
            </w:pPr>
            <w:r w:rsidRPr="00781112">
              <w:rPr>
                <w:rFonts w:cs="Arial"/>
                <w:color w:val="000000" w:themeColor="text1"/>
                <w:szCs w:val="16"/>
              </w:rPr>
              <w:t>3.00%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7E23DB0" w14:textId="434389A0" w:rsidR="00BB7BC9" w:rsidRPr="00781112" w:rsidRDefault="002B7490">
            <w:pPr>
              <w:jc w:val="center"/>
              <w:rPr>
                <w:rFonts w:cs="Arial"/>
                <w:color w:val="000000" w:themeColor="text1"/>
                <w:szCs w:val="16"/>
              </w:rPr>
            </w:pPr>
            <w:r w:rsidRPr="00781112">
              <w:rPr>
                <w:rFonts w:cs="Arial"/>
                <w:color w:val="000000" w:themeColor="text1"/>
                <w:szCs w:val="16"/>
              </w:rPr>
              <w:t>3.00%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D656878" w14:textId="58FADB64" w:rsidR="00BB7BC9" w:rsidRPr="00781112" w:rsidRDefault="002B7490">
            <w:pPr>
              <w:jc w:val="center"/>
              <w:rPr>
                <w:rFonts w:cs="Arial"/>
                <w:color w:val="000000" w:themeColor="text1"/>
                <w:szCs w:val="16"/>
              </w:rPr>
            </w:pPr>
            <w:r w:rsidRPr="00781112">
              <w:rPr>
                <w:rFonts w:cs="Arial"/>
                <w:color w:val="000000" w:themeColor="text1"/>
                <w:szCs w:val="16"/>
              </w:rPr>
              <w:t>2.78%</w:t>
            </w:r>
          </w:p>
        </w:tc>
      </w:tr>
      <w:tr w:rsidR="005F0D3B" w:rsidRPr="00781112" w14:paraId="64BAB70F" w14:textId="676A8AD8" w:rsidTr="005F5FE9">
        <w:trPr>
          <w:trHeight w:val="85"/>
        </w:trPr>
        <w:tc>
          <w:tcPr>
            <w:tcW w:w="248" w:type="pct"/>
            <w:tcBorders>
              <w:left w:val="single" w:sz="4" w:space="0" w:color="auto"/>
              <w:right w:val="single" w:sz="4" w:space="0" w:color="auto"/>
            </w:tcBorders>
            <w:shd w:val="clear" w:color="auto" w:fill="auto"/>
            <w:vAlign w:val="center"/>
          </w:tcPr>
          <w:p w14:paraId="38B08CB3" w14:textId="5CD30D2F" w:rsidR="00BB7BC9" w:rsidRPr="00781112" w:rsidRDefault="001474EC" w:rsidP="004369B2">
            <w:pPr>
              <w:spacing w:line="276" w:lineRule="auto"/>
              <w:jc w:val="center"/>
              <w:rPr>
                <w:rFonts w:cs="Arial"/>
                <w:color w:val="000000" w:themeColor="text1"/>
                <w:szCs w:val="16"/>
              </w:rPr>
            </w:pPr>
            <w:r w:rsidRPr="00781112">
              <w:rPr>
                <w:rFonts w:cs="Arial"/>
                <w:color w:val="000000" w:themeColor="text1"/>
                <w:szCs w:val="16"/>
              </w:rPr>
              <w:t>C</w:t>
            </w:r>
          </w:p>
        </w:tc>
        <w:tc>
          <w:tcPr>
            <w:tcW w:w="678" w:type="pct"/>
            <w:tcBorders>
              <w:left w:val="single" w:sz="4" w:space="0" w:color="auto"/>
              <w:right w:val="single" w:sz="4" w:space="0" w:color="auto"/>
            </w:tcBorders>
            <w:shd w:val="clear" w:color="auto" w:fill="auto"/>
            <w:vAlign w:val="center"/>
          </w:tcPr>
          <w:p w14:paraId="68128485" w14:textId="059E5B6B" w:rsidR="00BB7BC9" w:rsidRPr="00781112" w:rsidRDefault="002B7490" w:rsidP="00A018D4">
            <w:pPr>
              <w:jc w:val="center"/>
              <w:rPr>
                <w:rFonts w:cs="Arial"/>
                <w:color w:val="000000" w:themeColor="text1"/>
                <w:szCs w:val="16"/>
              </w:rPr>
            </w:pPr>
            <w:r w:rsidRPr="00781112">
              <w:rPr>
                <w:rFonts w:cs="Arial"/>
                <w:color w:val="000000" w:themeColor="text1"/>
                <w:szCs w:val="16"/>
              </w:rPr>
              <w:t>2.67%</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972C5D3" w14:textId="77777777"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Data</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31BEB85" w14:textId="2725D64A" w:rsidR="00BB7BC9" w:rsidRPr="00781112" w:rsidRDefault="002B7490">
            <w:pPr>
              <w:jc w:val="center"/>
              <w:rPr>
                <w:rFonts w:cs="Arial"/>
                <w:color w:val="000000" w:themeColor="text1"/>
                <w:szCs w:val="16"/>
              </w:rPr>
            </w:pPr>
            <w:r w:rsidRPr="00781112">
              <w:rPr>
                <w:rFonts w:cs="Arial"/>
                <w:color w:val="000000" w:themeColor="text1"/>
                <w:szCs w:val="16"/>
              </w:rPr>
              <w:t>2.61%</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1272C2D" w14:textId="719A941F" w:rsidR="00BB7BC9" w:rsidRPr="00781112" w:rsidRDefault="002B7490">
            <w:pPr>
              <w:jc w:val="center"/>
              <w:rPr>
                <w:rFonts w:cs="Arial"/>
                <w:color w:val="000000" w:themeColor="text1"/>
                <w:szCs w:val="16"/>
              </w:rPr>
            </w:pPr>
            <w:r w:rsidRPr="00781112">
              <w:rPr>
                <w:rFonts w:cs="Arial"/>
                <w:color w:val="000000" w:themeColor="text1"/>
                <w:szCs w:val="16"/>
              </w:rPr>
              <w:t>2.63%</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6D69289" w14:textId="52314ECA" w:rsidR="00BB7BC9" w:rsidRPr="00781112" w:rsidRDefault="002B7490">
            <w:pPr>
              <w:jc w:val="center"/>
              <w:rPr>
                <w:rFonts w:cs="Arial"/>
                <w:color w:val="000000" w:themeColor="text1"/>
                <w:szCs w:val="16"/>
              </w:rPr>
            </w:pPr>
            <w:r w:rsidRPr="00781112">
              <w:rPr>
                <w:rFonts w:cs="Arial"/>
                <w:color w:val="000000" w:themeColor="text1"/>
                <w:szCs w:val="16"/>
              </w:rPr>
              <w:t>2.67%</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0C089F4" w14:textId="48A87A04" w:rsidR="00BB7BC9" w:rsidRPr="00781112" w:rsidRDefault="002B7490">
            <w:pPr>
              <w:jc w:val="center"/>
              <w:rPr>
                <w:rFonts w:cs="Arial"/>
                <w:color w:val="000000" w:themeColor="text1"/>
                <w:szCs w:val="16"/>
              </w:rPr>
            </w:pPr>
            <w:r w:rsidRPr="00781112">
              <w:rPr>
                <w:rFonts w:cs="Arial"/>
                <w:color w:val="000000" w:themeColor="text1"/>
                <w:szCs w:val="16"/>
              </w:rPr>
              <w:t>2.58%</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5793CF8" w14:textId="025DD51B" w:rsidR="00BB7BC9" w:rsidRPr="00781112" w:rsidRDefault="002B7490">
            <w:pPr>
              <w:jc w:val="center"/>
              <w:rPr>
                <w:rFonts w:cs="Arial"/>
                <w:color w:val="000000" w:themeColor="text1"/>
                <w:szCs w:val="16"/>
              </w:rPr>
            </w:pPr>
            <w:r w:rsidRPr="00781112">
              <w:rPr>
                <w:rFonts w:cs="Arial"/>
                <w:color w:val="000000" w:themeColor="text1"/>
                <w:szCs w:val="16"/>
              </w:rPr>
              <w:t>2.68%</w:t>
            </w:r>
          </w:p>
        </w:tc>
      </w:tr>
    </w:tbl>
    <w:p w14:paraId="4F18E18D" w14:textId="77777777" w:rsidR="004A4803" w:rsidRPr="00781112" w:rsidRDefault="004A4803" w:rsidP="004369B2">
      <w:pPr>
        <w:rPr>
          <w:color w:val="000000" w:themeColor="text1"/>
        </w:rPr>
      </w:pPr>
    </w:p>
    <w:p w14:paraId="4B421711" w14:textId="34B64243" w:rsidR="002C207A" w:rsidRPr="00781112" w:rsidRDefault="002C207A" w:rsidP="004369B2">
      <w:pPr>
        <w:rPr>
          <w:color w:val="000000" w:themeColor="text1"/>
        </w:rPr>
      </w:pPr>
      <w:r w:rsidRPr="00781112">
        <w:rPr>
          <w:b/>
          <w:color w:val="000000" w:themeColor="text1"/>
        </w:rPr>
        <w:t>Targets</w:t>
      </w:r>
    </w:p>
    <w:tbl>
      <w:tblPr>
        <w:tblW w:w="42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5TARGETS"/>
      </w:tblPr>
      <w:tblGrid>
        <w:gridCol w:w="673"/>
        <w:gridCol w:w="1691"/>
        <w:gridCol w:w="1691"/>
        <w:gridCol w:w="1691"/>
        <w:gridCol w:w="1691"/>
        <w:gridCol w:w="1691"/>
      </w:tblGrid>
      <w:tr w:rsidR="00B14519" w:rsidRPr="00781112" w14:paraId="67121B7A" w14:textId="6B1EA8E0" w:rsidTr="00451D7E">
        <w:trPr>
          <w:trHeight w:val="264"/>
        </w:trPr>
        <w:tc>
          <w:tcPr>
            <w:tcW w:w="369" w:type="pct"/>
            <w:tcBorders>
              <w:bottom w:val="single" w:sz="4" w:space="0" w:color="auto"/>
            </w:tcBorders>
            <w:shd w:val="clear" w:color="auto" w:fill="auto"/>
          </w:tcPr>
          <w:p w14:paraId="417BC1C4" w14:textId="77777777" w:rsidR="00B14519" w:rsidRPr="00781112" w:rsidRDefault="00B14519" w:rsidP="00D62058">
            <w:pPr>
              <w:jc w:val="center"/>
              <w:rPr>
                <w:b/>
                <w:color w:val="000000" w:themeColor="text1"/>
              </w:rPr>
            </w:pPr>
            <w:r w:rsidRPr="00781112">
              <w:rPr>
                <w:b/>
                <w:color w:val="000000" w:themeColor="text1"/>
              </w:rPr>
              <w:t>FFY</w:t>
            </w:r>
          </w:p>
        </w:tc>
        <w:tc>
          <w:tcPr>
            <w:tcW w:w="926" w:type="pct"/>
            <w:shd w:val="clear" w:color="auto" w:fill="auto"/>
          </w:tcPr>
          <w:p w14:paraId="43C546D5" w14:textId="7A1B1AB1" w:rsidR="00B14519" w:rsidRPr="00781112" w:rsidRDefault="00B14519" w:rsidP="00D62058">
            <w:pPr>
              <w:jc w:val="center"/>
              <w:rPr>
                <w:b/>
                <w:color w:val="000000" w:themeColor="text1"/>
              </w:rPr>
            </w:pPr>
            <w:r w:rsidRPr="00781112">
              <w:rPr>
                <w:b/>
                <w:color w:val="000000" w:themeColor="text1"/>
              </w:rPr>
              <w:t>2021</w:t>
            </w:r>
          </w:p>
        </w:tc>
        <w:tc>
          <w:tcPr>
            <w:tcW w:w="926" w:type="pct"/>
          </w:tcPr>
          <w:p w14:paraId="12417F21" w14:textId="04859FD1" w:rsidR="00B14519" w:rsidRPr="00781112" w:rsidRDefault="00B14519" w:rsidP="00D62058">
            <w:pPr>
              <w:jc w:val="center"/>
              <w:rPr>
                <w:b/>
                <w:color w:val="000000" w:themeColor="text1"/>
              </w:rPr>
            </w:pPr>
            <w:r w:rsidRPr="00781112">
              <w:rPr>
                <w:rFonts w:cs="Arial"/>
                <w:b/>
                <w:color w:val="000000" w:themeColor="text1"/>
                <w:szCs w:val="16"/>
              </w:rPr>
              <w:t>2022</w:t>
            </w:r>
          </w:p>
        </w:tc>
        <w:tc>
          <w:tcPr>
            <w:tcW w:w="926" w:type="pct"/>
          </w:tcPr>
          <w:p w14:paraId="75B6E23D" w14:textId="1550C183" w:rsidR="00B14519" w:rsidRPr="00781112" w:rsidRDefault="00B14519" w:rsidP="00D62058">
            <w:pPr>
              <w:jc w:val="center"/>
              <w:rPr>
                <w:b/>
                <w:color w:val="000000" w:themeColor="text1"/>
              </w:rPr>
            </w:pPr>
            <w:r w:rsidRPr="00781112">
              <w:rPr>
                <w:rFonts w:cs="Arial"/>
                <w:b/>
                <w:color w:val="000000" w:themeColor="text1"/>
                <w:szCs w:val="16"/>
              </w:rPr>
              <w:t>2023</w:t>
            </w:r>
          </w:p>
        </w:tc>
        <w:tc>
          <w:tcPr>
            <w:tcW w:w="926" w:type="pct"/>
          </w:tcPr>
          <w:p w14:paraId="0412226B" w14:textId="561C74FD" w:rsidR="00B14519" w:rsidRPr="00781112" w:rsidRDefault="00B14519" w:rsidP="00D62058">
            <w:pPr>
              <w:jc w:val="center"/>
              <w:rPr>
                <w:b/>
                <w:color w:val="000000" w:themeColor="text1"/>
              </w:rPr>
            </w:pPr>
            <w:r w:rsidRPr="00781112">
              <w:rPr>
                <w:rFonts w:cs="Arial"/>
                <w:b/>
                <w:color w:val="000000" w:themeColor="text1"/>
                <w:szCs w:val="16"/>
              </w:rPr>
              <w:t>2024</w:t>
            </w:r>
          </w:p>
        </w:tc>
        <w:tc>
          <w:tcPr>
            <w:tcW w:w="926" w:type="pct"/>
          </w:tcPr>
          <w:p w14:paraId="46BF17D8" w14:textId="1CC0E2CE" w:rsidR="00B14519" w:rsidRPr="00781112" w:rsidRDefault="00B14519" w:rsidP="00D62058">
            <w:pPr>
              <w:jc w:val="center"/>
              <w:rPr>
                <w:b/>
                <w:color w:val="000000" w:themeColor="text1"/>
              </w:rPr>
            </w:pPr>
            <w:r w:rsidRPr="00781112">
              <w:rPr>
                <w:rFonts w:cs="Arial"/>
                <w:b/>
                <w:color w:val="000000" w:themeColor="text1"/>
                <w:szCs w:val="16"/>
              </w:rPr>
              <w:t>2025</w:t>
            </w:r>
          </w:p>
        </w:tc>
      </w:tr>
      <w:tr w:rsidR="00B14519" w:rsidRPr="00781112" w14:paraId="0E725BBE" w14:textId="7C441390" w:rsidTr="00451D7E">
        <w:trPr>
          <w:trHeight w:val="270"/>
        </w:trPr>
        <w:tc>
          <w:tcPr>
            <w:tcW w:w="369" w:type="pct"/>
            <w:shd w:val="clear" w:color="auto" w:fill="auto"/>
            <w:vAlign w:val="center"/>
          </w:tcPr>
          <w:p w14:paraId="3CB4FC66" w14:textId="21A33A6B" w:rsidR="00B14519" w:rsidRPr="00781112" w:rsidRDefault="00B14519" w:rsidP="00D62058">
            <w:pPr>
              <w:rPr>
                <w:rFonts w:cs="Arial"/>
                <w:color w:val="000000" w:themeColor="text1"/>
                <w:szCs w:val="16"/>
              </w:rPr>
            </w:pPr>
            <w:r w:rsidRPr="00781112">
              <w:rPr>
                <w:rFonts w:cs="Arial"/>
                <w:color w:val="000000" w:themeColor="text1"/>
                <w:szCs w:val="16"/>
              </w:rPr>
              <w:t>Target A &gt;=</w:t>
            </w:r>
          </w:p>
        </w:tc>
        <w:tc>
          <w:tcPr>
            <w:tcW w:w="926" w:type="pct"/>
            <w:shd w:val="clear" w:color="auto" w:fill="auto"/>
            <w:vAlign w:val="center"/>
          </w:tcPr>
          <w:p w14:paraId="0643B02C" w14:textId="7613B373" w:rsidR="00B14519" w:rsidRPr="00781112" w:rsidRDefault="00B14519" w:rsidP="00D62058">
            <w:pPr>
              <w:jc w:val="center"/>
              <w:rPr>
                <w:rFonts w:cs="Arial"/>
                <w:color w:val="000000" w:themeColor="text1"/>
                <w:szCs w:val="16"/>
              </w:rPr>
            </w:pPr>
            <w:r w:rsidRPr="00781112">
              <w:rPr>
                <w:rFonts w:cs="Arial"/>
                <w:color w:val="000000" w:themeColor="text1"/>
                <w:szCs w:val="16"/>
              </w:rPr>
              <w:t>65.12%</w:t>
            </w:r>
          </w:p>
        </w:tc>
        <w:tc>
          <w:tcPr>
            <w:tcW w:w="926" w:type="pct"/>
          </w:tcPr>
          <w:p w14:paraId="5AAF7764" w14:textId="6CE24C23" w:rsidR="00B14519" w:rsidRPr="00781112" w:rsidRDefault="00B14519" w:rsidP="00D62058">
            <w:pPr>
              <w:jc w:val="center"/>
              <w:rPr>
                <w:rFonts w:cs="Arial"/>
                <w:color w:val="000000" w:themeColor="text1"/>
                <w:szCs w:val="16"/>
              </w:rPr>
            </w:pPr>
            <w:r w:rsidRPr="00781112">
              <w:rPr>
                <w:color w:val="000000" w:themeColor="text1"/>
                <w:szCs w:val="16"/>
              </w:rPr>
              <w:t>65.79%</w:t>
            </w:r>
          </w:p>
        </w:tc>
        <w:tc>
          <w:tcPr>
            <w:tcW w:w="926" w:type="pct"/>
          </w:tcPr>
          <w:p w14:paraId="18842FBE" w14:textId="34C8AABC" w:rsidR="00B14519" w:rsidRPr="00781112" w:rsidRDefault="00B14519" w:rsidP="00D62058">
            <w:pPr>
              <w:jc w:val="center"/>
              <w:rPr>
                <w:rFonts w:cs="Arial"/>
                <w:color w:val="000000" w:themeColor="text1"/>
                <w:szCs w:val="16"/>
              </w:rPr>
            </w:pPr>
            <w:r w:rsidRPr="00781112">
              <w:rPr>
                <w:color w:val="000000" w:themeColor="text1"/>
                <w:szCs w:val="16"/>
              </w:rPr>
              <w:t>66.47%</w:t>
            </w:r>
          </w:p>
        </w:tc>
        <w:tc>
          <w:tcPr>
            <w:tcW w:w="926" w:type="pct"/>
          </w:tcPr>
          <w:p w14:paraId="22283B88" w14:textId="78C8081B" w:rsidR="00B14519" w:rsidRPr="00781112" w:rsidRDefault="00B14519" w:rsidP="00D62058">
            <w:pPr>
              <w:jc w:val="center"/>
              <w:rPr>
                <w:rFonts w:cs="Arial"/>
                <w:color w:val="000000" w:themeColor="text1"/>
                <w:szCs w:val="16"/>
              </w:rPr>
            </w:pPr>
            <w:r w:rsidRPr="00781112">
              <w:rPr>
                <w:color w:val="000000" w:themeColor="text1"/>
                <w:szCs w:val="16"/>
              </w:rPr>
              <w:t>67.81%</w:t>
            </w:r>
          </w:p>
        </w:tc>
        <w:tc>
          <w:tcPr>
            <w:tcW w:w="926" w:type="pct"/>
          </w:tcPr>
          <w:p w14:paraId="7C808A06" w14:textId="70D7E176" w:rsidR="00B14519" w:rsidRPr="00781112" w:rsidRDefault="00B14519" w:rsidP="00D62058">
            <w:pPr>
              <w:jc w:val="center"/>
              <w:rPr>
                <w:rFonts w:cs="Arial"/>
                <w:color w:val="000000" w:themeColor="text1"/>
                <w:szCs w:val="16"/>
              </w:rPr>
            </w:pPr>
            <w:r w:rsidRPr="00781112">
              <w:rPr>
                <w:color w:val="000000" w:themeColor="text1"/>
                <w:szCs w:val="16"/>
              </w:rPr>
              <w:t>70.50%</w:t>
            </w:r>
          </w:p>
        </w:tc>
      </w:tr>
      <w:tr w:rsidR="00B14519" w:rsidRPr="00781112" w14:paraId="17C12050" w14:textId="1A45DE5B" w:rsidTr="00451D7E">
        <w:trPr>
          <w:trHeight w:val="270"/>
        </w:trPr>
        <w:tc>
          <w:tcPr>
            <w:tcW w:w="369" w:type="pct"/>
            <w:shd w:val="clear" w:color="auto" w:fill="auto"/>
            <w:vAlign w:val="center"/>
          </w:tcPr>
          <w:p w14:paraId="5FF4BE45" w14:textId="3D057CF2" w:rsidR="00B14519" w:rsidRPr="00781112" w:rsidRDefault="00B14519" w:rsidP="00D62058">
            <w:pPr>
              <w:rPr>
                <w:rFonts w:cs="Arial"/>
                <w:color w:val="000000" w:themeColor="text1"/>
                <w:szCs w:val="16"/>
              </w:rPr>
            </w:pPr>
            <w:r w:rsidRPr="00781112">
              <w:rPr>
                <w:rFonts w:cs="Arial"/>
                <w:color w:val="000000" w:themeColor="text1"/>
                <w:szCs w:val="16"/>
              </w:rPr>
              <w:t>Target B &lt;=</w:t>
            </w:r>
          </w:p>
        </w:tc>
        <w:tc>
          <w:tcPr>
            <w:tcW w:w="926" w:type="pct"/>
            <w:shd w:val="clear" w:color="auto" w:fill="auto"/>
            <w:vAlign w:val="center"/>
          </w:tcPr>
          <w:p w14:paraId="4B344C1C" w14:textId="2108066A" w:rsidR="00B14519" w:rsidRPr="00781112" w:rsidRDefault="00B14519" w:rsidP="00D62058">
            <w:pPr>
              <w:jc w:val="center"/>
              <w:rPr>
                <w:rFonts w:cs="Arial"/>
                <w:color w:val="000000" w:themeColor="text1"/>
                <w:szCs w:val="16"/>
              </w:rPr>
            </w:pPr>
            <w:r w:rsidRPr="00781112">
              <w:rPr>
                <w:rFonts w:cs="Arial"/>
                <w:color w:val="000000" w:themeColor="text1"/>
                <w:szCs w:val="16"/>
              </w:rPr>
              <w:t>9.71%</w:t>
            </w:r>
          </w:p>
        </w:tc>
        <w:tc>
          <w:tcPr>
            <w:tcW w:w="926" w:type="pct"/>
          </w:tcPr>
          <w:p w14:paraId="05700FA5" w14:textId="5CCD345F" w:rsidR="00B14519" w:rsidRPr="00781112" w:rsidRDefault="00B14519" w:rsidP="00D62058">
            <w:pPr>
              <w:jc w:val="center"/>
              <w:rPr>
                <w:rFonts w:cs="Arial"/>
                <w:color w:val="000000" w:themeColor="text1"/>
                <w:szCs w:val="16"/>
              </w:rPr>
            </w:pPr>
            <w:r w:rsidRPr="00781112">
              <w:rPr>
                <w:color w:val="000000" w:themeColor="text1"/>
                <w:szCs w:val="16"/>
              </w:rPr>
              <w:t>9.43%</w:t>
            </w:r>
          </w:p>
        </w:tc>
        <w:tc>
          <w:tcPr>
            <w:tcW w:w="926" w:type="pct"/>
          </w:tcPr>
          <w:p w14:paraId="3714E477" w14:textId="7A435890" w:rsidR="00B14519" w:rsidRPr="00781112" w:rsidRDefault="00B14519" w:rsidP="00D62058">
            <w:pPr>
              <w:jc w:val="center"/>
              <w:rPr>
                <w:rFonts w:cs="Arial"/>
                <w:color w:val="000000" w:themeColor="text1"/>
                <w:szCs w:val="16"/>
              </w:rPr>
            </w:pPr>
            <w:r w:rsidRPr="00781112">
              <w:rPr>
                <w:color w:val="000000" w:themeColor="text1"/>
                <w:szCs w:val="16"/>
              </w:rPr>
              <w:t>9.16%</w:t>
            </w:r>
          </w:p>
        </w:tc>
        <w:tc>
          <w:tcPr>
            <w:tcW w:w="926" w:type="pct"/>
          </w:tcPr>
          <w:p w14:paraId="378D738F" w14:textId="779494DE" w:rsidR="00B14519" w:rsidRPr="00781112" w:rsidRDefault="00B14519" w:rsidP="00D62058">
            <w:pPr>
              <w:jc w:val="center"/>
              <w:rPr>
                <w:rFonts w:cs="Arial"/>
                <w:color w:val="000000" w:themeColor="text1"/>
                <w:szCs w:val="16"/>
              </w:rPr>
            </w:pPr>
            <w:r w:rsidRPr="00781112">
              <w:rPr>
                <w:color w:val="000000" w:themeColor="text1"/>
                <w:szCs w:val="16"/>
              </w:rPr>
              <w:t>8.61%</w:t>
            </w:r>
          </w:p>
        </w:tc>
        <w:tc>
          <w:tcPr>
            <w:tcW w:w="926" w:type="pct"/>
          </w:tcPr>
          <w:p w14:paraId="489715FB" w14:textId="57B31F87" w:rsidR="00B14519" w:rsidRPr="00781112" w:rsidRDefault="00B14519" w:rsidP="00D62058">
            <w:pPr>
              <w:jc w:val="center"/>
              <w:rPr>
                <w:rFonts w:cs="Arial"/>
                <w:color w:val="000000" w:themeColor="text1"/>
                <w:szCs w:val="16"/>
              </w:rPr>
            </w:pPr>
            <w:r w:rsidRPr="00781112">
              <w:rPr>
                <w:color w:val="000000" w:themeColor="text1"/>
                <w:szCs w:val="16"/>
              </w:rPr>
              <w:t>7.50%</w:t>
            </w:r>
          </w:p>
        </w:tc>
      </w:tr>
      <w:tr w:rsidR="00B14519" w:rsidRPr="00781112" w14:paraId="1C671552" w14:textId="2F7800FB" w:rsidTr="00451D7E">
        <w:trPr>
          <w:trHeight w:val="270"/>
        </w:trPr>
        <w:tc>
          <w:tcPr>
            <w:tcW w:w="369" w:type="pct"/>
            <w:shd w:val="clear" w:color="auto" w:fill="auto"/>
            <w:vAlign w:val="center"/>
          </w:tcPr>
          <w:p w14:paraId="5D979A7F" w14:textId="57DEB4C1" w:rsidR="00B14519" w:rsidRPr="00781112" w:rsidRDefault="00B14519" w:rsidP="00D62058">
            <w:pPr>
              <w:rPr>
                <w:rFonts w:cs="Arial"/>
                <w:color w:val="000000" w:themeColor="text1"/>
                <w:szCs w:val="16"/>
              </w:rPr>
            </w:pPr>
            <w:r w:rsidRPr="00781112">
              <w:rPr>
                <w:rFonts w:cs="Arial"/>
                <w:color w:val="000000" w:themeColor="text1"/>
                <w:szCs w:val="16"/>
              </w:rPr>
              <w:t>Target C &lt;=</w:t>
            </w:r>
          </w:p>
        </w:tc>
        <w:tc>
          <w:tcPr>
            <w:tcW w:w="926" w:type="pct"/>
            <w:shd w:val="clear" w:color="auto" w:fill="auto"/>
            <w:vAlign w:val="center"/>
          </w:tcPr>
          <w:p w14:paraId="1C0EF441" w14:textId="373B29D8" w:rsidR="00B14519" w:rsidRPr="00781112" w:rsidRDefault="00B14519" w:rsidP="00D62058">
            <w:pPr>
              <w:jc w:val="center"/>
              <w:rPr>
                <w:rFonts w:cs="Arial"/>
                <w:color w:val="000000" w:themeColor="text1"/>
                <w:szCs w:val="16"/>
              </w:rPr>
            </w:pPr>
            <w:r w:rsidRPr="00781112">
              <w:rPr>
                <w:rFonts w:cs="Arial"/>
                <w:color w:val="000000" w:themeColor="text1"/>
                <w:szCs w:val="16"/>
              </w:rPr>
              <w:t>2.78%</w:t>
            </w:r>
          </w:p>
        </w:tc>
        <w:tc>
          <w:tcPr>
            <w:tcW w:w="926" w:type="pct"/>
          </w:tcPr>
          <w:p w14:paraId="29CA6903" w14:textId="7D992541" w:rsidR="00B14519" w:rsidRPr="00781112" w:rsidRDefault="00B14519" w:rsidP="00D62058">
            <w:pPr>
              <w:jc w:val="center"/>
              <w:rPr>
                <w:rFonts w:cs="Arial"/>
                <w:color w:val="000000" w:themeColor="text1"/>
                <w:szCs w:val="16"/>
              </w:rPr>
            </w:pPr>
            <w:r w:rsidRPr="00781112">
              <w:rPr>
                <w:color w:val="000000" w:themeColor="text1"/>
                <w:szCs w:val="16"/>
              </w:rPr>
              <w:t>2.77%</w:t>
            </w:r>
          </w:p>
        </w:tc>
        <w:tc>
          <w:tcPr>
            <w:tcW w:w="926" w:type="pct"/>
          </w:tcPr>
          <w:p w14:paraId="552B6B09" w14:textId="511FB8CF" w:rsidR="00B14519" w:rsidRPr="00781112" w:rsidRDefault="00B14519" w:rsidP="00D62058">
            <w:pPr>
              <w:jc w:val="center"/>
              <w:rPr>
                <w:rFonts w:cs="Arial"/>
                <w:color w:val="000000" w:themeColor="text1"/>
                <w:szCs w:val="16"/>
              </w:rPr>
            </w:pPr>
            <w:r w:rsidRPr="00781112">
              <w:rPr>
                <w:color w:val="000000" w:themeColor="text1"/>
                <w:szCs w:val="16"/>
              </w:rPr>
              <w:t>2.75%</w:t>
            </w:r>
          </w:p>
        </w:tc>
        <w:tc>
          <w:tcPr>
            <w:tcW w:w="926" w:type="pct"/>
          </w:tcPr>
          <w:p w14:paraId="7DB61507" w14:textId="60C3D8B8" w:rsidR="00B14519" w:rsidRPr="00781112" w:rsidRDefault="00B14519" w:rsidP="00D62058">
            <w:pPr>
              <w:jc w:val="center"/>
              <w:rPr>
                <w:rFonts w:cs="Arial"/>
                <w:color w:val="000000" w:themeColor="text1"/>
                <w:szCs w:val="16"/>
              </w:rPr>
            </w:pPr>
            <w:r w:rsidRPr="00781112">
              <w:rPr>
                <w:color w:val="000000" w:themeColor="text1"/>
                <w:szCs w:val="16"/>
              </w:rPr>
              <w:t>2.68%</w:t>
            </w:r>
          </w:p>
        </w:tc>
        <w:tc>
          <w:tcPr>
            <w:tcW w:w="926" w:type="pct"/>
          </w:tcPr>
          <w:p w14:paraId="4D51A8CD" w14:textId="32D58B55" w:rsidR="00B14519" w:rsidRPr="00781112" w:rsidRDefault="00B14519" w:rsidP="00D62058">
            <w:pPr>
              <w:jc w:val="center"/>
              <w:rPr>
                <w:rFonts w:cs="Arial"/>
                <w:color w:val="000000" w:themeColor="text1"/>
                <w:szCs w:val="16"/>
              </w:rPr>
            </w:pPr>
            <w:r w:rsidRPr="00781112">
              <w:rPr>
                <w:color w:val="000000" w:themeColor="text1"/>
                <w:szCs w:val="16"/>
              </w:rPr>
              <w:t>2.65%</w:t>
            </w:r>
          </w:p>
        </w:tc>
      </w:tr>
    </w:tbl>
    <w:p w14:paraId="7C8EA9A0" w14:textId="74543D19" w:rsidR="002D145D" w:rsidRPr="00781112" w:rsidRDefault="002D145D" w:rsidP="004369B2">
      <w:pPr>
        <w:rPr>
          <w:b/>
          <w:color w:val="000000" w:themeColor="text1"/>
        </w:rPr>
      </w:pPr>
      <w:r w:rsidRPr="00781112">
        <w:rPr>
          <w:b/>
          <w:color w:val="000000" w:themeColor="text1"/>
        </w:rPr>
        <w:t xml:space="preserve">Targets: Description of Stakeholder Input </w:t>
      </w:r>
    </w:p>
    <w:p w14:paraId="080E6720" w14:textId="1B438EC8" w:rsidR="002D145D" w:rsidRPr="00781112" w:rsidRDefault="00D60B5F" w:rsidP="002D145D">
      <w:pPr>
        <w:rPr>
          <w:rFonts w:cs="Arial"/>
          <w:color w:val="000000" w:themeColor="text1"/>
          <w:szCs w:val="16"/>
        </w:rPr>
      </w:pPr>
      <w:r w:rsidRPr="00781112">
        <w:rPr>
          <w:rFonts w:cs="Arial"/>
          <w:color w:val="000000" w:themeColor="text1"/>
          <w:szCs w:val="16"/>
        </w:rPr>
        <w:t>The USBE SES values stakeholder engagement and input and solicits ongoing feedback and review. Stakeholders consistently provide input through collaborative meetings, public comment, written communication, survey data, data analysis, and informal conversations. To share data and information and collect feedback on areas such as SPP/APR targets, the USBE SES employs meetings, newsletters, emails, surveys, and social media with stakeholder groups:</w:t>
      </w:r>
      <w:r w:rsidRPr="00781112">
        <w:rPr>
          <w:rFonts w:cs="Arial"/>
          <w:color w:val="000000" w:themeColor="text1"/>
          <w:szCs w:val="16"/>
        </w:rPr>
        <w:br/>
        <w:t>• LEA Special Education Directors</w:t>
      </w:r>
      <w:r w:rsidRPr="00781112">
        <w:rPr>
          <w:rFonts w:cs="Arial"/>
          <w:color w:val="000000" w:themeColor="text1"/>
          <w:szCs w:val="16"/>
        </w:rPr>
        <w:br/>
        <w:t>• Utah Special Education Advisory Panel (USEAP)</w:t>
      </w:r>
      <w:r w:rsidRPr="00781112">
        <w:rPr>
          <w:rFonts w:cs="Arial"/>
          <w:color w:val="000000" w:themeColor="text1"/>
          <w:szCs w:val="16"/>
        </w:rPr>
        <w:br/>
        <w:t>• USBE Committees</w:t>
      </w:r>
      <w:r w:rsidRPr="00781112">
        <w:rPr>
          <w:rFonts w:cs="Arial"/>
          <w:color w:val="000000" w:themeColor="text1"/>
          <w:szCs w:val="16"/>
        </w:rPr>
        <w:br/>
        <w:t>• Utah Legislative Committees</w:t>
      </w:r>
      <w:r w:rsidRPr="00781112">
        <w:rPr>
          <w:rFonts w:cs="Arial"/>
          <w:color w:val="000000" w:themeColor="text1"/>
          <w:szCs w:val="16"/>
        </w:rPr>
        <w:br/>
        <w:t>• Utah Parent Center (UPC)</w:t>
      </w:r>
      <w:r w:rsidRPr="00781112">
        <w:rPr>
          <w:rFonts w:cs="Arial"/>
          <w:color w:val="000000" w:themeColor="text1"/>
          <w:szCs w:val="16"/>
        </w:rPr>
        <w:br/>
        <w:t>• LEA Curriculum and Assessment Directors</w:t>
      </w:r>
      <w:r w:rsidRPr="00781112">
        <w:rPr>
          <w:rFonts w:cs="Arial"/>
          <w:color w:val="000000" w:themeColor="text1"/>
          <w:szCs w:val="16"/>
        </w:rPr>
        <w:br/>
        <w:t>• LEA Preschool Coordinators</w:t>
      </w:r>
      <w:r w:rsidRPr="00781112">
        <w:rPr>
          <w:rFonts w:cs="Arial"/>
          <w:color w:val="000000" w:themeColor="text1"/>
          <w:szCs w:val="16"/>
        </w:rPr>
        <w:br/>
        <w:t>• LEA Administrators</w:t>
      </w:r>
      <w:r w:rsidRPr="00781112">
        <w:rPr>
          <w:rFonts w:cs="Arial"/>
          <w:color w:val="000000" w:themeColor="text1"/>
          <w:szCs w:val="16"/>
        </w:rPr>
        <w:br/>
        <w:t>•Utah Institutes of Higher Education (IHEs)</w:t>
      </w:r>
      <w:r w:rsidRPr="00781112">
        <w:rPr>
          <w:rFonts w:cs="Arial"/>
          <w:color w:val="000000" w:themeColor="text1"/>
          <w:szCs w:val="16"/>
        </w:rPr>
        <w:br/>
        <w:t>• Baby Watch/Early Intervention (Utah’s Part C agency)</w:t>
      </w:r>
      <w:r w:rsidRPr="00781112">
        <w:rPr>
          <w:rFonts w:cs="Arial"/>
          <w:color w:val="000000" w:themeColor="text1"/>
          <w:szCs w:val="16"/>
        </w:rPr>
        <w:br/>
        <w:t>• Agencies and non-profit organizations that provide services to SWD</w:t>
      </w:r>
      <w:r w:rsidRPr="00781112">
        <w:rPr>
          <w:rFonts w:cs="Arial"/>
          <w:color w:val="000000" w:themeColor="text1"/>
          <w:szCs w:val="16"/>
        </w:rPr>
        <w:br/>
        <w:t>• Utah Educators</w:t>
      </w:r>
      <w:r w:rsidRPr="00781112">
        <w:rPr>
          <w:rFonts w:cs="Arial"/>
          <w:color w:val="000000" w:themeColor="text1"/>
          <w:szCs w:val="16"/>
        </w:rPr>
        <w:br/>
      </w:r>
      <w:r w:rsidRPr="00781112">
        <w:rPr>
          <w:rFonts w:cs="Arial"/>
          <w:color w:val="000000" w:themeColor="text1"/>
          <w:szCs w:val="16"/>
        </w:rPr>
        <w:lastRenderedPageBreak/>
        <w:t>• Advocacy groups throughout the State</w:t>
      </w:r>
      <w:r w:rsidRPr="00781112">
        <w:rPr>
          <w:rFonts w:cs="Arial"/>
          <w:color w:val="000000" w:themeColor="text1"/>
          <w:szCs w:val="16"/>
        </w:rPr>
        <w:br/>
        <w:t>During FFY 2021, no changes were made to the SPP/APR targets. The USBE SES reviewed the progress of the implementation of the Theory of Action for the SSIP and SPP/APR data with USEAM, USEAP, and the Coordinating Council for People with Disabilities (CCPD) (which includes all state agencies that serve individuals with disabilities and all nonprofit organizations that receive any state funding and/or grants).</w:t>
      </w:r>
      <w:r w:rsidRPr="00781112">
        <w:rPr>
          <w:rFonts w:cs="Arial"/>
          <w:color w:val="000000" w:themeColor="text1"/>
          <w:szCs w:val="16"/>
        </w:rPr>
        <w:br/>
        <w:t>The APR summit was held virtually on July 30, 2021. Over 100 participants attended from the stakeholder groups and those with individual interests. Participants reviewed data and projections for the State in 2025–2026. Participants were provided with an overview of the advantages and disadvantages of predictive models as well as an overview of the mindset for target-setting. Participants were asked to select the end targets (2025–2026) for indicators. The USBE SES would then calculate intervening targets between FFY 2020 and FFY 2025 whereby there would be no increase in the target the first year, followed by small increases, then large increases near the end. This is to allow enough time for LEAs to implement initiatives and change practices to realistically meet targets along their way to the rigorous end targets. After this overview, participants determined challenging and achievable end targets. The USBE SES calculated intervening targets and shared these intervening targets with the participants and additional stakeholders to get final approval for all the targets.</w:t>
      </w:r>
      <w:r w:rsidRPr="00781112">
        <w:rPr>
          <w:rFonts w:cs="Arial"/>
          <w:color w:val="000000" w:themeColor="text1"/>
          <w:szCs w:val="16"/>
        </w:rPr>
        <w:br/>
        <w:t>A survey was sent out and 101 individuals participated. Most participants identified as white females in suburban parts of Utah. American Indian/Native Alaskan, Hispanic/Latino, and individuals who identified as multiracial also participated. As a result of this additional feedback, the USBE SES revised Indicator 5 targets to maintain rigor and develop reasonable targets manageable by the LEAs. Targets for all indicators were developed after review of historical indicator and trend data, recommendations from the USBE statistician, the impact of COVID-19, APR summit and APR survey review. All targets were subsequently reviewed and adopted by USBE staff, USEAP, and LEAs. OSEP approved SPP/APR targets in the FFY 2020 SPP/APR.</w:t>
      </w:r>
      <w:r w:rsidRPr="00781112">
        <w:rPr>
          <w:rFonts w:cs="Arial"/>
          <w:color w:val="000000" w:themeColor="text1"/>
          <w:szCs w:val="16"/>
        </w:rPr>
        <w:br/>
        <w:t>During FFY 2021, the SPP/APR and SSIP were discussed regularly with LEA special education directors, USEAP, UPC, the state Parent Teacher Association (PTA), and other parent groups focused on inclusionary practices in Utah schools. Regular meetings are held with all these groups typically on a quarterly basis. Emails, phone calls, and in-person meetings provide for informal opportunities to gain insight and adjust.</w:t>
      </w:r>
      <w:r w:rsidRPr="00781112">
        <w:rPr>
          <w:rFonts w:cs="Arial"/>
          <w:color w:val="000000" w:themeColor="text1"/>
          <w:szCs w:val="16"/>
        </w:rPr>
        <w:br/>
        <w:t>The UPC works closely with USBE to increase the capacity of diverse groups of parents. Meetings at UPC are held in Spanish as the second highest language in the State. Refugee populations are connected through UPC staff assigned to specific LEAs with large populations of refugees.</w:t>
      </w:r>
      <w:r w:rsidRPr="00781112">
        <w:rPr>
          <w:rFonts w:cs="Arial"/>
          <w:color w:val="000000" w:themeColor="text1"/>
          <w:szCs w:val="16"/>
        </w:rPr>
        <w:br/>
        <w:t>The USBE family engagement specialist seeks to increase capacity through cross collaboration with other parent and family engagement programs provided in LEAs that we will continue to target.</w:t>
      </w:r>
      <w:r w:rsidRPr="00781112">
        <w:rPr>
          <w:rFonts w:cs="Arial"/>
          <w:color w:val="000000" w:themeColor="text1"/>
          <w:szCs w:val="16"/>
        </w:rPr>
        <w:br/>
        <w:t>INDICATOR 1</w:t>
      </w:r>
      <w:r w:rsidRPr="00781112">
        <w:rPr>
          <w:rFonts w:cs="Arial"/>
          <w:color w:val="000000" w:themeColor="text1"/>
          <w:szCs w:val="16"/>
        </w:rPr>
        <w:br/>
        <w:t>Data from 2018 was determined to be an appropriate baseline. With a baseline of 67.90%, targets will increase with consideration for COVID-19 impacts.</w:t>
      </w:r>
      <w:r w:rsidRPr="00781112">
        <w:rPr>
          <w:rFonts w:cs="Arial"/>
          <w:color w:val="000000" w:themeColor="text1"/>
          <w:szCs w:val="16"/>
        </w:rPr>
        <w:br/>
        <w:t>INDICATOR 2</w:t>
      </w:r>
      <w:r w:rsidRPr="00781112">
        <w:rPr>
          <w:rFonts w:cs="Arial"/>
          <w:color w:val="000000" w:themeColor="text1"/>
          <w:szCs w:val="16"/>
        </w:rPr>
        <w:br/>
        <w:t>Data from 2018 was determined to be an appropriate baseline. With a baseline of 25.81%, targets will decrease with consideration for COVID-19 impacts.</w:t>
      </w:r>
      <w:r w:rsidRPr="00781112">
        <w:rPr>
          <w:rFonts w:cs="Arial"/>
          <w:color w:val="000000" w:themeColor="text1"/>
          <w:szCs w:val="16"/>
        </w:rPr>
        <w:br/>
        <w:t>INDICATOR 3A</w:t>
      </w:r>
      <w:r w:rsidRPr="00781112">
        <w:rPr>
          <w:rFonts w:cs="Arial"/>
          <w:color w:val="000000" w:themeColor="text1"/>
          <w:szCs w:val="16"/>
        </w:rPr>
        <w:br/>
        <w:t>This target is set by OSEP. Stakeholders discussed ways to improve participation.</w:t>
      </w:r>
      <w:r w:rsidRPr="00781112">
        <w:rPr>
          <w:rFonts w:cs="Arial"/>
          <w:color w:val="000000" w:themeColor="text1"/>
          <w:szCs w:val="16"/>
        </w:rPr>
        <w:br/>
        <w:t>INDICATORS 3B, C, D</w:t>
      </w:r>
      <w:r w:rsidRPr="00781112">
        <w:rPr>
          <w:rFonts w:cs="Arial"/>
          <w:color w:val="000000" w:themeColor="text1"/>
          <w:szCs w:val="16"/>
        </w:rPr>
        <w:br/>
        <w:t>Participants looked at the average mean from the previous four years of data in conjunction with the linear trend and forecasting. This process allowed participants to analyze the best statistical guess of where Utah’s data would most likely be in six years while also seeing the forecasting of possible error over time for predicting far into the future.</w:t>
      </w:r>
      <w:r w:rsidRPr="00781112">
        <w:rPr>
          <w:rFonts w:cs="Arial"/>
          <w:color w:val="000000" w:themeColor="text1"/>
          <w:szCs w:val="16"/>
        </w:rPr>
        <w:br/>
        <w:t>INDICATOR 5</w:t>
      </w:r>
      <w:r w:rsidRPr="00781112">
        <w:rPr>
          <w:rFonts w:cs="Arial"/>
          <w:color w:val="000000" w:themeColor="text1"/>
          <w:szCs w:val="16"/>
        </w:rPr>
        <w:br/>
        <w:t>During FFY 2020, the Indicator 5 baseline was reset. In FFY 2021, all targets were met. A comprehensive approach was taken to provide informative learning sessions to support special education directors who are accountable for reviewing Indicator 5 outcome data. Recognizing the need to differentiate support, the USBE SES offered individual LEA data analysis and problem-solving sessions.</w:t>
      </w:r>
      <w:r w:rsidRPr="00781112">
        <w:rPr>
          <w:rFonts w:cs="Arial"/>
          <w:color w:val="000000" w:themeColor="text1"/>
          <w:szCs w:val="16"/>
        </w:rPr>
        <w:br/>
        <w:t>INDICATOR 6</w:t>
      </w:r>
      <w:r w:rsidRPr="00781112">
        <w:rPr>
          <w:rFonts w:cs="Arial"/>
          <w:color w:val="000000" w:themeColor="text1"/>
          <w:szCs w:val="16"/>
        </w:rPr>
        <w:br/>
        <w:t>Data from 2018 was determined to be an appropriate baseline. With baselines of (A) 46.86%, (B) 32.67%, (C) 0.25%, targets will gradually increase and decrease with consideration for COVID-19 impacts.</w:t>
      </w:r>
      <w:r w:rsidRPr="00781112">
        <w:rPr>
          <w:rFonts w:cs="Arial"/>
          <w:color w:val="000000" w:themeColor="text1"/>
          <w:szCs w:val="16"/>
        </w:rPr>
        <w:br/>
        <w:t>INDICATOR 7</w:t>
      </w:r>
      <w:r w:rsidRPr="00781112">
        <w:rPr>
          <w:rFonts w:cs="Arial"/>
          <w:color w:val="000000" w:themeColor="text1"/>
          <w:szCs w:val="16"/>
        </w:rPr>
        <w:br/>
        <w:t>Data from 2018 was determined to be an appropriate baseline. The USBE predicts outcomes for this indicator are still being largely impacted by COVID-19, and targets are currently set below the baseline. With baselines of (A1) 88.86%, (A2) 58.94%, (B1) 88.41%, (B2) 50.48%, (C1) 89.86%, (C2) 70.52%, targets will increase with consideration for COVID-19 impacts.</w:t>
      </w:r>
      <w:r w:rsidRPr="00781112">
        <w:rPr>
          <w:rFonts w:cs="Arial"/>
          <w:color w:val="000000" w:themeColor="text1"/>
          <w:szCs w:val="16"/>
        </w:rPr>
        <w:br/>
        <w:t>INDICATOR 8</w:t>
      </w:r>
      <w:r w:rsidRPr="00781112">
        <w:rPr>
          <w:rFonts w:cs="Arial"/>
          <w:color w:val="000000" w:themeColor="text1"/>
          <w:szCs w:val="16"/>
        </w:rPr>
        <w:br/>
        <w:t>Data from 2018 was determined to be an appropriate baseline. With a baseline of 78.38%, targets will gradually increase with consideration for COVID-19 impacts.</w:t>
      </w:r>
      <w:r w:rsidRPr="00781112">
        <w:rPr>
          <w:rFonts w:cs="Arial"/>
          <w:color w:val="000000" w:themeColor="text1"/>
          <w:szCs w:val="16"/>
        </w:rPr>
        <w:br/>
        <w:t>INDICATORS 4, 9, 10</w:t>
      </w:r>
      <w:r w:rsidRPr="00781112">
        <w:rPr>
          <w:rFonts w:cs="Arial"/>
          <w:color w:val="000000" w:themeColor="text1"/>
          <w:szCs w:val="16"/>
        </w:rPr>
        <w:br/>
        <w:t>During the APR Summit, stakeholders reviewed current data trends and ways to improve outcomes. Although targets cannot be changed, stakeholder input has been instrumental in meeting targets for these indicators. The calculations and data collection process for these indicators has been updated to improve outcomes for SWD. Stakeholder input has been utilized to determine processes, PL, and support provided to bridge the gap between current performance and targets.</w:t>
      </w:r>
      <w:r w:rsidRPr="00781112">
        <w:rPr>
          <w:rFonts w:cs="Arial"/>
          <w:color w:val="000000" w:themeColor="text1"/>
          <w:szCs w:val="16"/>
        </w:rPr>
        <w:br/>
        <w:t>INDICATORS 11, 12</w:t>
      </w:r>
      <w:r w:rsidRPr="00781112">
        <w:rPr>
          <w:rFonts w:cs="Arial"/>
          <w:color w:val="000000" w:themeColor="text1"/>
          <w:szCs w:val="16"/>
        </w:rPr>
        <w:br/>
        <w:t>During the APR Summit, stakeholders reviewed current data trends and ways to improve outcomes. Although targets cannot be changed, stakeholder input has been instrumental in meeting targets for these indicators. Input has been utilized to determine PL and support provided to bridge the gap between current performance and targets.</w:t>
      </w:r>
      <w:r w:rsidRPr="00781112">
        <w:rPr>
          <w:rFonts w:cs="Arial"/>
          <w:color w:val="000000" w:themeColor="text1"/>
          <w:szCs w:val="16"/>
        </w:rPr>
        <w:br/>
        <w:t>INDICATOR 13</w:t>
      </w:r>
      <w:r w:rsidRPr="00781112">
        <w:rPr>
          <w:rFonts w:cs="Arial"/>
          <w:color w:val="000000" w:themeColor="text1"/>
          <w:szCs w:val="16"/>
        </w:rPr>
        <w:br/>
        <w:t>The USBE SES recognizes this is an area requiring improvement. During the APR Summit, stakeholders reviewed current data trends and ways to improve outcomes. Although targets cannot be changed, stakeholder input has been instrumental in the progression toward meeting the target.</w:t>
      </w:r>
      <w:r w:rsidRPr="00781112">
        <w:rPr>
          <w:rFonts w:cs="Arial"/>
          <w:color w:val="000000" w:themeColor="text1"/>
          <w:szCs w:val="16"/>
        </w:rPr>
        <w:br/>
        <w:t>INDICATOR 14</w:t>
      </w:r>
      <w:r w:rsidRPr="00781112">
        <w:rPr>
          <w:rFonts w:cs="Arial"/>
          <w:color w:val="000000" w:themeColor="text1"/>
          <w:szCs w:val="16"/>
        </w:rPr>
        <w:br/>
        <w:t>Data from 2018 was determined to be an appropriate baseline. The USBE predicts outcomes for this indicator are still being largely impacted by COVID-19, and targets are currently set below the baseline. With baselines of (A) 19.62%, (B) 67.60%, (C) 84.37%, targets will increase with consideration for COVID-19 impacts.</w:t>
      </w:r>
      <w:r w:rsidRPr="00781112">
        <w:rPr>
          <w:rFonts w:cs="Arial"/>
          <w:color w:val="000000" w:themeColor="text1"/>
          <w:szCs w:val="16"/>
        </w:rPr>
        <w:br/>
        <w:t xml:space="preserve">INDICATOR 15 </w:t>
      </w:r>
      <w:r w:rsidRPr="00781112">
        <w:rPr>
          <w:rFonts w:cs="Arial"/>
          <w:color w:val="000000" w:themeColor="text1"/>
          <w:szCs w:val="16"/>
        </w:rPr>
        <w:br/>
        <w:t>The USBE continues to experience relatively low levels of due process hearing requests and resolution meetings and is not required to set a target.</w:t>
      </w:r>
      <w:r w:rsidRPr="00781112">
        <w:rPr>
          <w:rFonts w:cs="Arial"/>
          <w:color w:val="000000" w:themeColor="text1"/>
          <w:szCs w:val="16"/>
        </w:rPr>
        <w:br/>
        <w:t xml:space="preserve">INDICATOR 16 </w:t>
      </w:r>
      <w:r w:rsidRPr="00781112">
        <w:rPr>
          <w:rFonts w:cs="Arial"/>
          <w:color w:val="000000" w:themeColor="text1"/>
          <w:szCs w:val="16"/>
        </w:rPr>
        <w:br/>
        <w:t>The USBE continues to experience relatively low levels of dispute resolution requests, including mediation. Targets have been set based on the low level of mediation requests.</w:t>
      </w:r>
    </w:p>
    <w:p w14:paraId="2B96DDD0" w14:textId="3E2ADE72" w:rsidR="002D145D" w:rsidRPr="00781112" w:rsidRDefault="002D145D" w:rsidP="002D145D">
      <w:pPr>
        <w:rPr>
          <w:rFonts w:cs="Arial"/>
          <w:color w:val="000000" w:themeColor="text1"/>
          <w:szCs w:val="16"/>
        </w:rPr>
      </w:pPr>
    </w:p>
    <w:p w14:paraId="5251E1B0" w14:textId="77777777" w:rsidR="004A4803" w:rsidRPr="00781112" w:rsidRDefault="004A4803" w:rsidP="004369B2">
      <w:pPr>
        <w:rPr>
          <w:color w:val="000000" w:themeColor="text1"/>
        </w:rPr>
      </w:pPr>
    </w:p>
    <w:p w14:paraId="5BD9D727" w14:textId="77777777" w:rsidR="007123A2" w:rsidRDefault="007123A2">
      <w:pPr>
        <w:spacing w:before="0" w:after="200" w:line="276" w:lineRule="auto"/>
        <w:rPr>
          <w:b/>
          <w:color w:val="000000" w:themeColor="text1"/>
        </w:rPr>
      </w:pPr>
      <w:r>
        <w:rPr>
          <w:b/>
          <w:color w:val="000000" w:themeColor="text1"/>
        </w:rPr>
        <w:br w:type="page"/>
      </w:r>
    </w:p>
    <w:p w14:paraId="4D7BF763" w14:textId="44F3E660" w:rsidR="00931A25" w:rsidRPr="00781112" w:rsidRDefault="00931A25" w:rsidP="004369B2">
      <w:pPr>
        <w:rPr>
          <w:color w:val="000000" w:themeColor="text1"/>
        </w:rPr>
      </w:pPr>
      <w:r w:rsidRPr="00781112">
        <w:rPr>
          <w:b/>
          <w:color w:val="000000" w:themeColor="text1"/>
        </w:rPr>
        <w:lastRenderedPageBreak/>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5PREPOPDATA"/>
      </w:tblPr>
      <w:tblGrid>
        <w:gridCol w:w="2605"/>
        <w:gridCol w:w="2969"/>
        <w:gridCol w:w="3332"/>
        <w:gridCol w:w="1884"/>
      </w:tblGrid>
      <w:tr w:rsidR="005C29F8" w:rsidRPr="00781112" w14:paraId="7DC625CA" w14:textId="77777777" w:rsidTr="0033429D">
        <w:trPr>
          <w:trHeight w:val="372"/>
          <w:tblHeader/>
        </w:trPr>
        <w:tc>
          <w:tcPr>
            <w:tcW w:w="1207" w:type="pct"/>
            <w:shd w:val="clear" w:color="auto" w:fill="auto"/>
          </w:tcPr>
          <w:p w14:paraId="27CE7D2A" w14:textId="77777777" w:rsidR="001C6C30" w:rsidRPr="00781112" w:rsidRDefault="001C6C30">
            <w:pPr>
              <w:spacing w:after="0"/>
              <w:jc w:val="center"/>
              <w:rPr>
                <w:rFonts w:cs="Arial"/>
                <w:b/>
                <w:color w:val="000000" w:themeColor="text1"/>
                <w:szCs w:val="16"/>
              </w:rPr>
            </w:pPr>
            <w:r w:rsidRPr="00781112">
              <w:rPr>
                <w:rFonts w:cs="Arial"/>
                <w:b/>
                <w:color w:val="000000" w:themeColor="text1"/>
                <w:szCs w:val="16"/>
              </w:rPr>
              <w:t>Source</w:t>
            </w:r>
          </w:p>
        </w:tc>
        <w:tc>
          <w:tcPr>
            <w:tcW w:w="1376" w:type="pct"/>
            <w:shd w:val="clear" w:color="auto" w:fill="auto"/>
          </w:tcPr>
          <w:p w14:paraId="37A472D3" w14:textId="77777777" w:rsidR="001C6C30" w:rsidRPr="00781112" w:rsidRDefault="001C6C30">
            <w:pPr>
              <w:spacing w:after="0"/>
              <w:jc w:val="center"/>
              <w:rPr>
                <w:rFonts w:cs="Arial"/>
                <w:b/>
                <w:color w:val="000000" w:themeColor="text1"/>
                <w:szCs w:val="16"/>
              </w:rPr>
            </w:pPr>
            <w:r w:rsidRPr="00781112">
              <w:rPr>
                <w:rFonts w:cs="Arial"/>
                <w:b/>
                <w:color w:val="000000" w:themeColor="text1"/>
                <w:szCs w:val="16"/>
              </w:rPr>
              <w:t>Date</w:t>
            </w:r>
          </w:p>
        </w:tc>
        <w:tc>
          <w:tcPr>
            <w:tcW w:w="1544" w:type="pct"/>
            <w:shd w:val="clear" w:color="auto" w:fill="auto"/>
          </w:tcPr>
          <w:p w14:paraId="3AD5D5D4" w14:textId="77777777" w:rsidR="001C6C30" w:rsidRPr="00781112" w:rsidRDefault="001C6C30">
            <w:pPr>
              <w:spacing w:after="0"/>
              <w:jc w:val="center"/>
              <w:rPr>
                <w:rFonts w:cs="Arial"/>
                <w:b/>
                <w:color w:val="000000" w:themeColor="text1"/>
                <w:szCs w:val="16"/>
              </w:rPr>
            </w:pPr>
            <w:r w:rsidRPr="00781112">
              <w:rPr>
                <w:rFonts w:cs="Arial"/>
                <w:b/>
                <w:color w:val="000000" w:themeColor="text1"/>
                <w:szCs w:val="16"/>
              </w:rPr>
              <w:t>Description</w:t>
            </w:r>
          </w:p>
        </w:tc>
        <w:tc>
          <w:tcPr>
            <w:tcW w:w="873" w:type="pct"/>
            <w:shd w:val="clear" w:color="auto" w:fill="auto"/>
          </w:tcPr>
          <w:p w14:paraId="3879034D" w14:textId="77777777" w:rsidR="001C6C30" w:rsidRPr="00781112" w:rsidRDefault="001C6C30">
            <w:pPr>
              <w:spacing w:after="0"/>
              <w:jc w:val="center"/>
              <w:rPr>
                <w:rFonts w:cs="Arial"/>
                <w:b/>
                <w:color w:val="000000" w:themeColor="text1"/>
                <w:szCs w:val="16"/>
              </w:rPr>
            </w:pPr>
            <w:r w:rsidRPr="00781112">
              <w:rPr>
                <w:rFonts w:cs="Arial"/>
                <w:b/>
                <w:color w:val="000000" w:themeColor="text1"/>
                <w:szCs w:val="16"/>
              </w:rPr>
              <w:t>Data</w:t>
            </w:r>
          </w:p>
        </w:tc>
      </w:tr>
      <w:tr w:rsidR="005C29F8" w:rsidRPr="00781112" w14:paraId="701A6E97" w14:textId="77777777" w:rsidTr="00AB0D6A">
        <w:trPr>
          <w:trHeight w:val="380"/>
        </w:trPr>
        <w:tc>
          <w:tcPr>
            <w:tcW w:w="1207" w:type="pct"/>
            <w:shd w:val="clear" w:color="auto" w:fill="auto"/>
            <w:vAlign w:val="center"/>
          </w:tcPr>
          <w:p w14:paraId="35A4BC35" w14:textId="73E52F94" w:rsidR="003C1852" w:rsidRPr="00781112" w:rsidRDefault="002B7490">
            <w:pPr>
              <w:jc w:val="center"/>
              <w:rPr>
                <w:rFonts w:cs="Arial"/>
                <w:color w:val="000000" w:themeColor="text1"/>
                <w:szCs w:val="16"/>
              </w:rPr>
            </w:pPr>
            <w:r w:rsidRPr="00781112">
              <w:rPr>
                <w:rFonts w:cs="Arial"/>
                <w:color w:val="000000" w:themeColor="text1"/>
                <w:szCs w:val="16"/>
              </w:rPr>
              <w:t>SY 2021-22 Child Count/Educational Environment Data Groups (EDFacts file spec FS002; Data group 74)</w:t>
            </w:r>
          </w:p>
        </w:tc>
        <w:tc>
          <w:tcPr>
            <w:tcW w:w="1376" w:type="pct"/>
            <w:shd w:val="clear" w:color="auto" w:fill="auto"/>
            <w:vAlign w:val="center"/>
          </w:tcPr>
          <w:p w14:paraId="0BD5009E" w14:textId="3A5F2E3D" w:rsidR="003C1852" w:rsidRPr="00781112" w:rsidRDefault="00FB785D">
            <w:pPr>
              <w:jc w:val="center"/>
              <w:rPr>
                <w:rFonts w:cs="Arial"/>
                <w:color w:val="000000" w:themeColor="text1"/>
                <w:szCs w:val="16"/>
              </w:rPr>
            </w:pPr>
            <w:r w:rsidRPr="00781112">
              <w:rPr>
                <w:rFonts w:cs="Arial"/>
                <w:color w:val="000000" w:themeColor="text1"/>
                <w:szCs w:val="16"/>
              </w:rPr>
              <w:t>07/06/2022</w:t>
            </w:r>
          </w:p>
        </w:tc>
        <w:tc>
          <w:tcPr>
            <w:tcW w:w="1544" w:type="pct"/>
            <w:shd w:val="clear" w:color="auto" w:fill="auto"/>
            <w:vAlign w:val="center"/>
          </w:tcPr>
          <w:p w14:paraId="05856C31" w14:textId="605373FB" w:rsidR="003C1852" w:rsidRPr="00781112" w:rsidRDefault="003C1852" w:rsidP="00E0321D">
            <w:pPr>
              <w:jc w:val="center"/>
              <w:rPr>
                <w:rFonts w:cs="Arial"/>
                <w:color w:val="000000" w:themeColor="text1"/>
                <w:szCs w:val="16"/>
              </w:rPr>
            </w:pPr>
            <w:r w:rsidRPr="00781112">
              <w:rPr>
                <w:rFonts w:cs="Arial"/>
                <w:color w:val="000000" w:themeColor="text1"/>
                <w:szCs w:val="16"/>
              </w:rPr>
              <w:t xml:space="preserve">Total number of children with IEPs aged </w:t>
            </w:r>
            <w:r w:rsidR="00185BA9" w:rsidRPr="00781112">
              <w:rPr>
                <w:rFonts w:cs="Arial"/>
                <w:szCs w:val="16"/>
              </w:rPr>
              <w:t>5 (kindergarten)</w:t>
            </w:r>
            <w:r w:rsidRPr="00781112">
              <w:rPr>
                <w:rFonts w:cs="Arial"/>
                <w:color w:val="000000" w:themeColor="text1"/>
                <w:szCs w:val="16"/>
              </w:rPr>
              <w:t xml:space="preserve"> through 21</w:t>
            </w:r>
          </w:p>
        </w:tc>
        <w:tc>
          <w:tcPr>
            <w:tcW w:w="873" w:type="pct"/>
            <w:shd w:val="clear" w:color="auto" w:fill="auto"/>
            <w:vAlign w:val="center"/>
          </w:tcPr>
          <w:p w14:paraId="6A944F84" w14:textId="31582347" w:rsidR="003C1852" w:rsidRPr="00781112" w:rsidRDefault="002B7490" w:rsidP="00E0321D">
            <w:pPr>
              <w:jc w:val="center"/>
              <w:rPr>
                <w:rFonts w:cs="Arial"/>
                <w:color w:val="000000" w:themeColor="text1"/>
                <w:szCs w:val="16"/>
              </w:rPr>
            </w:pPr>
            <w:r w:rsidRPr="00781112">
              <w:rPr>
                <w:rFonts w:cs="Arial"/>
                <w:color w:val="000000" w:themeColor="text1"/>
                <w:szCs w:val="16"/>
              </w:rPr>
              <w:t>81,520</w:t>
            </w:r>
          </w:p>
        </w:tc>
      </w:tr>
      <w:tr w:rsidR="005C29F8" w:rsidRPr="00781112" w14:paraId="774B0393" w14:textId="77777777" w:rsidTr="00AB0D6A">
        <w:trPr>
          <w:trHeight w:val="380"/>
        </w:trPr>
        <w:tc>
          <w:tcPr>
            <w:tcW w:w="1207" w:type="pct"/>
            <w:shd w:val="clear" w:color="auto" w:fill="auto"/>
            <w:vAlign w:val="center"/>
          </w:tcPr>
          <w:p w14:paraId="41118E4B" w14:textId="707D9C2B" w:rsidR="008A3DC6" w:rsidRPr="00781112" w:rsidRDefault="00FB785D">
            <w:pPr>
              <w:jc w:val="center"/>
              <w:rPr>
                <w:rFonts w:cs="Arial"/>
                <w:color w:val="000000" w:themeColor="text1"/>
                <w:szCs w:val="16"/>
              </w:rPr>
            </w:pPr>
            <w:r w:rsidRPr="00781112">
              <w:rPr>
                <w:rFonts w:cs="Arial"/>
                <w:color w:val="000000" w:themeColor="text1"/>
                <w:szCs w:val="16"/>
              </w:rPr>
              <w:t>SY 2021-22 Child Count/Educational Environment Data Groups (EDFacts file spec FS002; Data group 74)</w:t>
            </w:r>
          </w:p>
        </w:tc>
        <w:tc>
          <w:tcPr>
            <w:tcW w:w="1376" w:type="pct"/>
            <w:shd w:val="clear" w:color="auto" w:fill="auto"/>
            <w:vAlign w:val="center"/>
          </w:tcPr>
          <w:p w14:paraId="598C9B67" w14:textId="1DDD1ECD" w:rsidR="008A3DC6" w:rsidRPr="00781112" w:rsidRDefault="00FB785D">
            <w:pPr>
              <w:jc w:val="center"/>
              <w:rPr>
                <w:rFonts w:cs="Arial"/>
                <w:color w:val="000000" w:themeColor="text1"/>
                <w:szCs w:val="16"/>
              </w:rPr>
            </w:pPr>
            <w:r w:rsidRPr="00781112">
              <w:rPr>
                <w:rFonts w:cs="Arial"/>
                <w:color w:val="000000" w:themeColor="text1"/>
                <w:szCs w:val="16"/>
              </w:rPr>
              <w:t>07/06/2022</w:t>
            </w:r>
          </w:p>
        </w:tc>
        <w:tc>
          <w:tcPr>
            <w:tcW w:w="1544" w:type="pct"/>
            <w:shd w:val="clear" w:color="auto" w:fill="auto"/>
            <w:vAlign w:val="center"/>
          </w:tcPr>
          <w:p w14:paraId="02329530" w14:textId="7C955459" w:rsidR="008A3DC6" w:rsidRPr="00781112" w:rsidRDefault="008A3DC6" w:rsidP="00E0321D">
            <w:pPr>
              <w:jc w:val="center"/>
              <w:rPr>
                <w:rFonts w:cs="Arial"/>
                <w:color w:val="000000" w:themeColor="text1"/>
                <w:szCs w:val="16"/>
              </w:rPr>
            </w:pPr>
            <w:r w:rsidRPr="00781112">
              <w:rPr>
                <w:rFonts w:cs="Arial"/>
                <w:color w:val="000000" w:themeColor="text1"/>
                <w:szCs w:val="16"/>
              </w:rPr>
              <w:t xml:space="preserve">A. Number of children with IEPs aged </w:t>
            </w:r>
            <w:r w:rsidR="00185BA9" w:rsidRPr="00781112">
              <w:rPr>
                <w:rFonts w:cs="Arial"/>
                <w:szCs w:val="16"/>
              </w:rPr>
              <w:t>5 (kindergarten)</w:t>
            </w:r>
            <w:r w:rsidRPr="00781112">
              <w:rPr>
                <w:rFonts w:cs="Arial"/>
                <w:color w:val="000000" w:themeColor="text1"/>
                <w:szCs w:val="16"/>
              </w:rPr>
              <w:t xml:space="preserve"> through 21 inside the regular class 80% or more of the day</w:t>
            </w:r>
          </w:p>
        </w:tc>
        <w:tc>
          <w:tcPr>
            <w:tcW w:w="873" w:type="pct"/>
            <w:shd w:val="clear" w:color="auto" w:fill="auto"/>
            <w:vAlign w:val="center"/>
          </w:tcPr>
          <w:p w14:paraId="699212F3" w14:textId="450EBDBF" w:rsidR="008A3DC6" w:rsidRPr="00781112" w:rsidRDefault="002B7490" w:rsidP="00E0321D">
            <w:pPr>
              <w:jc w:val="center"/>
              <w:rPr>
                <w:rFonts w:cs="Arial"/>
                <w:color w:val="000000" w:themeColor="text1"/>
                <w:szCs w:val="16"/>
              </w:rPr>
            </w:pPr>
            <w:r w:rsidRPr="00781112">
              <w:rPr>
                <w:rFonts w:cs="Arial"/>
                <w:color w:val="000000" w:themeColor="text1"/>
                <w:szCs w:val="16"/>
              </w:rPr>
              <w:t>58,801</w:t>
            </w:r>
          </w:p>
        </w:tc>
      </w:tr>
      <w:tr w:rsidR="005C29F8" w:rsidRPr="00781112" w14:paraId="1BE24412" w14:textId="77777777" w:rsidTr="00AB0D6A">
        <w:trPr>
          <w:trHeight w:val="380"/>
        </w:trPr>
        <w:tc>
          <w:tcPr>
            <w:tcW w:w="1207" w:type="pct"/>
            <w:shd w:val="clear" w:color="auto" w:fill="auto"/>
            <w:vAlign w:val="center"/>
          </w:tcPr>
          <w:p w14:paraId="13D524C0" w14:textId="46F357A5" w:rsidR="008A3DC6" w:rsidRPr="00781112" w:rsidRDefault="00FB785D">
            <w:pPr>
              <w:jc w:val="center"/>
              <w:rPr>
                <w:rFonts w:cs="Arial"/>
                <w:color w:val="000000" w:themeColor="text1"/>
                <w:szCs w:val="16"/>
              </w:rPr>
            </w:pPr>
            <w:r w:rsidRPr="00781112">
              <w:rPr>
                <w:rFonts w:cs="Arial"/>
                <w:color w:val="000000" w:themeColor="text1"/>
                <w:szCs w:val="16"/>
              </w:rPr>
              <w:t>SY 2021-22 Child Count/Educational Environment Data Groups (EDFacts file spec FS002; Data group 74)</w:t>
            </w:r>
          </w:p>
        </w:tc>
        <w:tc>
          <w:tcPr>
            <w:tcW w:w="1376" w:type="pct"/>
            <w:shd w:val="clear" w:color="auto" w:fill="auto"/>
            <w:vAlign w:val="center"/>
          </w:tcPr>
          <w:p w14:paraId="72EFA773" w14:textId="00761F20" w:rsidR="008A3DC6" w:rsidRPr="00781112" w:rsidRDefault="00FB785D">
            <w:pPr>
              <w:jc w:val="center"/>
              <w:rPr>
                <w:rFonts w:cs="Arial"/>
                <w:color w:val="000000" w:themeColor="text1"/>
                <w:szCs w:val="16"/>
              </w:rPr>
            </w:pPr>
            <w:r w:rsidRPr="00781112">
              <w:rPr>
                <w:rFonts w:cs="Arial"/>
                <w:color w:val="000000" w:themeColor="text1"/>
                <w:szCs w:val="16"/>
              </w:rPr>
              <w:t>07/06/2022</w:t>
            </w:r>
          </w:p>
        </w:tc>
        <w:tc>
          <w:tcPr>
            <w:tcW w:w="1544" w:type="pct"/>
            <w:shd w:val="clear" w:color="auto" w:fill="auto"/>
            <w:vAlign w:val="center"/>
          </w:tcPr>
          <w:p w14:paraId="6EF7CE7A" w14:textId="07D1D751" w:rsidR="008A3DC6" w:rsidRPr="00781112" w:rsidRDefault="008A3DC6" w:rsidP="00E0321D">
            <w:pPr>
              <w:jc w:val="center"/>
              <w:rPr>
                <w:rFonts w:cs="Arial"/>
                <w:color w:val="000000" w:themeColor="text1"/>
                <w:szCs w:val="16"/>
              </w:rPr>
            </w:pPr>
            <w:r w:rsidRPr="00781112">
              <w:rPr>
                <w:rFonts w:cs="Arial"/>
                <w:color w:val="000000" w:themeColor="text1"/>
                <w:szCs w:val="16"/>
              </w:rPr>
              <w:t xml:space="preserve">B. Number of children with IEPs aged </w:t>
            </w:r>
            <w:r w:rsidR="00185BA9" w:rsidRPr="00781112">
              <w:rPr>
                <w:rFonts w:cs="Arial"/>
                <w:szCs w:val="16"/>
              </w:rPr>
              <w:t>5 (kindergarten)</w:t>
            </w:r>
            <w:r w:rsidR="00185BA9" w:rsidRPr="00781112">
              <w:rPr>
                <w:rFonts w:cs="Arial"/>
                <w:color w:val="000000" w:themeColor="text1"/>
                <w:szCs w:val="16"/>
              </w:rPr>
              <w:t xml:space="preserve"> </w:t>
            </w:r>
            <w:r w:rsidRPr="00781112">
              <w:rPr>
                <w:rFonts w:cs="Arial"/>
                <w:color w:val="000000" w:themeColor="text1"/>
                <w:szCs w:val="16"/>
              </w:rPr>
              <w:t>through 21 inside the regular class less than 40% of the day</w:t>
            </w:r>
          </w:p>
        </w:tc>
        <w:tc>
          <w:tcPr>
            <w:tcW w:w="873" w:type="pct"/>
            <w:shd w:val="clear" w:color="auto" w:fill="auto"/>
            <w:vAlign w:val="center"/>
          </w:tcPr>
          <w:p w14:paraId="33B90725" w14:textId="1FBE54FE" w:rsidR="008A3DC6" w:rsidRPr="00781112" w:rsidRDefault="002B7490" w:rsidP="00E0321D">
            <w:pPr>
              <w:jc w:val="center"/>
              <w:rPr>
                <w:rFonts w:cs="Arial"/>
                <w:color w:val="000000" w:themeColor="text1"/>
                <w:szCs w:val="16"/>
              </w:rPr>
            </w:pPr>
            <w:r w:rsidRPr="00781112">
              <w:rPr>
                <w:rFonts w:cs="Arial"/>
                <w:color w:val="000000" w:themeColor="text1"/>
                <w:szCs w:val="16"/>
              </w:rPr>
              <w:t>6,879</w:t>
            </w:r>
          </w:p>
        </w:tc>
      </w:tr>
      <w:tr w:rsidR="005C29F8" w:rsidRPr="00781112" w14:paraId="17A5A2B3" w14:textId="77777777" w:rsidTr="00AB0D6A">
        <w:trPr>
          <w:trHeight w:val="380"/>
        </w:trPr>
        <w:tc>
          <w:tcPr>
            <w:tcW w:w="1207" w:type="pct"/>
            <w:shd w:val="clear" w:color="auto" w:fill="auto"/>
            <w:vAlign w:val="center"/>
          </w:tcPr>
          <w:p w14:paraId="525A2ED8" w14:textId="4E94BB5B" w:rsidR="008A3DC6" w:rsidRPr="00781112" w:rsidRDefault="00FB785D">
            <w:pPr>
              <w:jc w:val="center"/>
              <w:rPr>
                <w:rFonts w:cs="Arial"/>
                <w:color w:val="000000" w:themeColor="text1"/>
                <w:szCs w:val="16"/>
              </w:rPr>
            </w:pPr>
            <w:r w:rsidRPr="00781112">
              <w:rPr>
                <w:rFonts w:cs="Arial"/>
                <w:color w:val="000000" w:themeColor="text1"/>
                <w:szCs w:val="16"/>
              </w:rPr>
              <w:t>SY 2021-22 Child Count/Educational Environment Data Groups (EDFacts file spec FS002; Data group 74)</w:t>
            </w:r>
          </w:p>
        </w:tc>
        <w:tc>
          <w:tcPr>
            <w:tcW w:w="1376" w:type="pct"/>
            <w:shd w:val="clear" w:color="auto" w:fill="auto"/>
            <w:vAlign w:val="center"/>
          </w:tcPr>
          <w:p w14:paraId="68C3F92C" w14:textId="3AE47CC2" w:rsidR="008A3DC6" w:rsidRPr="00781112" w:rsidRDefault="00FB785D">
            <w:pPr>
              <w:jc w:val="center"/>
              <w:rPr>
                <w:rFonts w:cs="Arial"/>
                <w:color w:val="000000" w:themeColor="text1"/>
                <w:szCs w:val="16"/>
              </w:rPr>
            </w:pPr>
            <w:r w:rsidRPr="00781112">
              <w:rPr>
                <w:rFonts w:cs="Arial"/>
                <w:color w:val="000000" w:themeColor="text1"/>
                <w:szCs w:val="16"/>
              </w:rPr>
              <w:t>07/06/2022</w:t>
            </w:r>
          </w:p>
        </w:tc>
        <w:tc>
          <w:tcPr>
            <w:tcW w:w="1544" w:type="pct"/>
            <w:shd w:val="clear" w:color="auto" w:fill="auto"/>
            <w:vAlign w:val="center"/>
          </w:tcPr>
          <w:p w14:paraId="413AEB9E" w14:textId="1B537E25" w:rsidR="008A3DC6" w:rsidRPr="00781112" w:rsidRDefault="008A3DC6" w:rsidP="00E0321D">
            <w:pPr>
              <w:jc w:val="center"/>
              <w:rPr>
                <w:rFonts w:cs="Arial"/>
                <w:color w:val="000000" w:themeColor="text1"/>
                <w:szCs w:val="16"/>
              </w:rPr>
            </w:pPr>
            <w:r w:rsidRPr="00781112">
              <w:rPr>
                <w:rFonts w:cs="Arial"/>
                <w:color w:val="000000" w:themeColor="text1"/>
                <w:szCs w:val="16"/>
              </w:rPr>
              <w:t xml:space="preserve">c1. Number of children with IEPs aged </w:t>
            </w:r>
            <w:r w:rsidR="00185BA9" w:rsidRPr="00781112">
              <w:rPr>
                <w:rFonts w:cs="Arial"/>
                <w:szCs w:val="16"/>
              </w:rPr>
              <w:t>5 (kindergarten)</w:t>
            </w:r>
            <w:r w:rsidRPr="00781112">
              <w:rPr>
                <w:rFonts w:cs="Arial"/>
                <w:color w:val="000000" w:themeColor="text1"/>
                <w:szCs w:val="16"/>
              </w:rPr>
              <w:t xml:space="preserve"> through 21 in separate </w:t>
            </w:r>
            <w:r w:rsidR="00185BA9" w:rsidRPr="00781112">
              <w:rPr>
                <w:rFonts w:cs="Arial"/>
                <w:color w:val="000000" w:themeColor="text1"/>
                <w:szCs w:val="16"/>
              </w:rPr>
              <w:t>s</w:t>
            </w:r>
            <w:r w:rsidRPr="00781112">
              <w:rPr>
                <w:rFonts w:cs="Arial"/>
                <w:color w:val="000000" w:themeColor="text1"/>
                <w:szCs w:val="16"/>
              </w:rPr>
              <w:t>chools</w:t>
            </w:r>
          </w:p>
        </w:tc>
        <w:tc>
          <w:tcPr>
            <w:tcW w:w="873" w:type="pct"/>
            <w:shd w:val="clear" w:color="auto" w:fill="auto"/>
            <w:vAlign w:val="center"/>
          </w:tcPr>
          <w:p w14:paraId="0C6DF60D" w14:textId="1A57B1C5" w:rsidR="008A3DC6" w:rsidRPr="00781112" w:rsidRDefault="002B7490" w:rsidP="00E0321D">
            <w:pPr>
              <w:jc w:val="center"/>
              <w:rPr>
                <w:rFonts w:cs="Arial"/>
                <w:color w:val="000000" w:themeColor="text1"/>
                <w:szCs w:val="16"/>
              </w:rPr>
            </w:pPr>
            <w:r w:rsidRPr="00781112">
              <w:rPr>
                <w:rFonts w:cs="Arial"/>
                <w:color w:val="000000" w:themeColor="text1"/>
                <w:szCs w:val="16"/>
              </w:rPr>
              <w:t>1,946</w:t>
            </w:r>
          </w:p>
        </w:tc>
      </w:tr>
      <w:tr w:rsidR="005C29F8" w:rsidRPr="00781112" w14:paraId="7C327020" w14:textId="77777777" w:rsidTr="00AB0D6A">
        <w:trPr>
          <w:trHeight w:val="380"/>
        </w:trPr>
        <w:tc>
          <w:tcPr>
            <w:tcW w:w="1207" w:type="pct"/>
            <w:shd w:val="clear" w:color="auto" w:fill="auto"/>
            <w:vAlign w:val="center"/>
          </w:tcPr>
          <w:p w14:paraId="485F7D93" w14:textId="6A92F697" w:rsidR="008A3DC6" w:rsidRPr="00781112" w:rsidRDefault="00FB785D">
            <w:pPr>
              <w:jc w:val="center"/>
              <w:rPr>
                <w:rFonts w:cs="Arial"/>
                <w:color w:val="000000" w:themeColor="text1"/>
                <w:szCs w:val="16"/>
              </w:rPr>
            </w:pPr>
            <w:r w:rsidRPr="00781112">
              <w:rPr>
                <w:rFonts w:cs="Arial"/>
                <w:color w:val="000000" w:themeColor="text1"/>
                <w:szCs w:val="16"/>
              </w:rPr>
              <w:t>SY 2021-22 Child Count/Educational Environment Data Groups (EDFacts file spec FS002; Data group 74)</w:t>
            </w:r>
          </w:p>
        </w:tc>
        <w:tc>
          <w:tcPr>
            <w:tcW w:w="1376" w:type="pct"/>
            <w:shd w:val="clear" w:color="auto" w:fill="auto"/>
            <w:vAlign w:val="center"/>
          </w:tcPr>
          <w:p w14:paraId="1261545C" w14:textId="230AF013" w:rsidR="008A3DC6" w:rsidRPr="00781112" w:rsidRDefault="00FB785D">
            <w:pPr>
              <w:jc w:val="center"/>
              <w:rPr>
                <w:rFonts w:cs="Arial"/>
                <w:color w:val="000000" w:themeColor="text1"/>
                <w:szCs w:val="16"/>
              </w:rPr>
            </w:pPr>
            <w:r w:rsidRPr="00781112">
              <w:rPr>
                <w:rFonts w:cs="Arial"/>
                <w:color w:val="000000" w:themeColor="text1"/>
                <w:szCs w:val="16"/>
              </w:rPr>
              <w:t>07/06/2022</w:t>
            </w:r>
          </w:p>
        </w:tc>
        <w:tc>
          <w:tcPr>
            <w:tcW w:w="1544" w:type="pct"/>
            <w:shd w:val="clear" w:color="auto" w:fill="auto"/>
            <w:vAlign w:val="center"/>
          </w:tcPr>
          <w:p w14:paraId="3AEE0CBD" w14:textId="6D1B0F8E" w:rsidR="008A3DC6" w:rsidRPr="00781112" w:rsidRDefault="008A3DC6" w:rsidP="00E0321D">
            <w:pPr>
              <w:jc w:val="center"/>
              <w:rPr>
                <w:rFonts w:cs="Arial"/>
                <w:color w:val="000000" w:themeColor="text1"/>
                <w:szCs w:val="16"/>
              </w:rPr>
            </w:pPr>
            <w:r w:rsidRPr="00781112">
              <w:rPr>
                <w:rFonts w:cs="Arial"/>
                <w:color w:val="000000" w:themeColor="text1"/>
                <w:szCs w:val="16"/>
              </w:rPr>
              <w:t xml:space="preserve">c2. Number of children with IEPs aged </w:t>
            </w:r>
            <w:r w:rsidR="00185BA9" w:rsidRPr="00781112">
              <w:rPr>
                <w:rFonts w:cs="Arial"/>
                <w:szCs w:val="16"/>
              </w:rPr>
              <w:t>5 (kindergarten)</w:t>
            </w:r>
            <w:r w:rsidR="00185BA9" w:rsidRPr="00781112">
              <w:rPr>
                <w:rFonts w:cs="Arial"/>
                <w:color w:val="000000" w:themeColor="text1"/>
                <w:szCs w:val="16"/>
              </w:rPr>
              <w:t xml:space="preserve"> </w:t>
            </w:r>
            <w:r w:rsidRPr="00781112">
              <w:rPr>
                <w:rFonts w:cs="Arial"/>
                <w:color w:val="000000" w:themeColor="text1"/>
                <w:szCs w:val="16"/>
              </w:rPr>
              <w:t>through 21 in residential facilities</w:t>
            </w:r>
          </w:p>
        </w:tc>
        <w:tc>
          <w:tcPr>
            <w:tcW w:w="873" w:type="pct"/>
            <w:shd w:val="clear" w:color="auto" w:fill="auto"/>
            <w:vAlign w:val="center"/>
          </w:tcPr>
          <w:p w14:paraId="596B74CB" w14:textId="6136D9E8" w:rsidR="008A3DC6" w:rsidRPr="00781112" w:rsidRDefault="002B7490" w:rsidP="00E0321D">
            <w:pPr>
              <w:jc w:val="center"/>
              <w:rPr>
                <w:rFonts w:cs="Arial"/>
                <w:color w:val="000000" w:themeColor="text1"/>
                <w:szCs w:val="16"/>
              </w:rPr>
            </w:pPr>
            <w:r w:rsidRPr="00781112">
              <w:rPr>
                <w:rFonts w:cs="Arial"/>
                <w:color w:val="000000" w:themeColor="text1"/>
                <w:szCs w:val="16"/>
              </w:rPr>
              <w:t>12</w:t>
            </w:r>
          </w:p>
        </w:tc>
      </w:tr>
      <w:tr w:rsidR="005C29F8" w:rsidRPr="00781112" w14:paraId="16FD0FC0" w14:textId="77777777" w:rsidTr="00AB0D6A">
        <w:trPr>
          <w:trHeight w:val="380"/>
        </w:trPr>
        <w:tc>
          <w:tcPr>
            <w:tcW w:w="1207" w:type="pct"/>
            <w:shd w:val="clear" w:color="auto" w:fill="auto"/>
            <w:vAlign w:val="center"/>
          </w:tcPr>
          <w:p w14:paraId="59885F77" w14:textId="75A8CDFC" w:rsidR="008A3DC6" w:rsidRPr="00781112" w:rsidRDefault="00FB785D">
            <w:pPr>
              <w:jc w:val="center"/>
              <w:rPr>
                <w:rFonts w:cs="Arial"/>
                <w:color w:val="000000" w:themeColor="text1"/>
                <w:szCs w:val="16"/>
              </w:rPr>
            </w:pPr>
            <w:r w:rsidRPr="00781112">
              <w:rPr>
                <w:rFonts w:cs="Arial"/>
                <w:color w:val="000000" w:themeColor="text1"/>
                <w:szCs w:val="16"/>
              </w:rPr>
              <w:t>SY 2021-22 Child Count/Educational Environment Data Groups (EDFacts file spec FS002; Data group 74)</w:t>
            </w:r>
          </w:p>
        </w:tc>
        <w:tc>
          <w:tcPr>
            <w:tcW w:w="1376" w:type="pct"/>
            <w:shd w:val="clear" w:color="auto" w:fill="auto"/>
            <w:vAlign w:val="center"/>
          </w:tcPr>
          <w:p w14:paraId="5FC32D0C" w14:textId="67F32884" w:rsidR="008A3DC6" w:rsidRPr="00781112" w:rsidRDefault="00FB785D">
            <w:pPr>
              <w:jc w:val="center"/>
              <w:rPr>
                <w:rFonts w:cs="Arial"/>
                <w:color w:val="000000" w:themeColor="text1"/>
                <w:szCs w:val="16"/>
              </w:rPr>
            </w:pPr>
            <w:r w:rsidRPr="00781112">
              <w:rPr>
                <w:rFonts w:cs="Arial"/>
                <w:color w:val="000000" w:themeColor="text1"/>
                <w:szCs w:val="16"/>
              </w:rPr>
              <w:t>07/06/2022</w:t>
            </w:r>
          </w:p>
        </w:tc>
        <w:tc>
          <w:tcPr>
            <w:tcW w:w="1544" w:type="pct"/>
            <w:shd w:val="clear" w:color="auto" w:fill="auto"/>
            <w:vAlign w:val="center"/>
          </w:tcPr>
          <w:p w14:paraId="5DA416E0" w14:textId="4230AAAE" w:rsidR="008A3DC6" w:rsidRPr="00781112" w:rsidRDefault="008A3DC6" w:rsidP="00E0321D">
            <w:pPr>
              <w:jc w:val="center"/>
              <w:rPr>
                <w:rFonts w:cs="Arial"/>
                <w:color w:val="000000" w:themeColor="text1"/>
                <w:szCs w:val="16"/>
              </w:rPr>
            </w:pPr>
            <w:r w:rsidRPr="00781112">
              <w:rPr>
                <w:rFonts w:cs="Arial"/>
                <w:color w:val="000000" w:themeColor="text1"/>
                <w:szCs w:val="16"/>
              </w:rPr>
              <w:t xml:space="preserve">c3. Number of children with IEPs aged </w:t>
            </w:r>
            <w:r w:rsidR="00185BA9" w:rsidRPr="00781112">
              <w:rPr>
                <w:rFonts w:cs="Arial"/>
                <w:szCs w:val="16"/>
              </w:rPr>
              <w:t>5 (kindergarten)</w:t>
            </w:r>
            <w:r w:rsidRPr="00781112">
              <w:rPr>
                <w:rFonts w:cs="Arial"/>
                <w:color w:val="000000" w:themeColor="text1"/>
                <w:szCs w:val="16"/>
              </w:rPr>
              <w:t xml:space="preserve"> through 21 in homebound/hospital placements</w:t>
            </w:r>
          </w:p>
        </w:tc>
        <w:tc>
          <w:tcPr>
            <w:tcW w:w="873" w:type="pct"/>
            <w:shd w:val="clear" w:color="auto" w:fill="auto"/>
            <w:vAlign w:val="center"/>
          </w:tcPr>
          <w:p w14:paraId="7B0E7054" w14:textId="49D56445" w:rsidR="008A3DC6" w:rsidRPr="00781112" w:rsidRDefault="002B7490" w:rsidP="00E0321D">
            <w:pPr>
              <w:jc w:val="center"/>
              <w:rPr>
                <w:rFonts w:cs="Arial"/>
                <w:color w:val="000000" w:themeColor="text1"/>
                <w:szCs w:val="16"/>
              </w:rPr>
            </w:pPr>
            <w:r w:rsidRPr="00781112">
              <w:rPr>
                <w:rFonts w:cs="Arial"/>
                <w:color w:val="000000" w:themeColor="text1"/>
                <w:szCs w:val="16"/>
              </w:rPr>
              <w:t>110</w:t>
            </w:r>
          </w:p>
        </w:tc>
      </w:tr>
    </w:tbl>
    <w:p w14:paraId="5475FEBE" w14:textId="3E3663D3" w:rsidR="004A4803" w:rsidRPr="00781112" w:rsidRDefault="004A4803">
      <w:pPr>
        <w:rPr>
          <w:color w:val="000000" w:themeColor="text1"/>
        </w:rPr>
      </w:pPr>
    </w:p>
    <w:p w14:paraId="47A0647A" w14:textId="20BD9700" w:rsidR="00D60B5F" w:rsidRPr="00781112" w:rsidRDefault="00055C7A">
      <w:pPr>
        <w:rPr>
          <w:b/>
          <w:color w:val="000000" w:themeColor="text1"/>
        </w:rPr>
      </w:pPr>
      <w:r w:rsidRPr="00781112">
        <w:rPr>
          <w:b/>
          <w:color w:val="000000" w:themeColor="text1"/>
        </w:rPr>
        <w:t>Select yes if the data reported in this indicator are not the same as the State’s data reported under section 618 of the IDEA.</w:t>
      </w:r>
    </w:p>
    <w:p w14:paraId="7B71CB67" w14:textId="6BBC3C80" w:rsidR="00D60B5F" w:rsidRPr="00781112" w:rsidRDefault="00D60B5F">
      <w:pPr>
        <w:rPr>
          <w:color w:val="000000" w:themeColor="text1"/>
        </w:rPr>
      </w:pPr>
      <w:r w:rsidRPr="00781112">
        <w:rPr>
          <w:color w:val="000000" w:themeColor="text1"/>
        </w:rPr>
        <w:t>NO</w:t>
      </w:r>
    </w:p>
    <w:p w14:paraId="14F4B2C8" w14:textId="77777777" w:rsidR="0037431B" w:rsidRPr="00781112" w:rsidRDefault="0037431B" w:rsidP="004369B2">
      <w:pPr>
        <w:rPr>
          <w:color w:val="000000" w:themeColor="text1"/>
        </w:rPr>
      </w:pPr>
    </w:p>
    <w:p w14:paraId="7EFB6535" w14:textId="051974A1" w:rsidR="00805DD3" w:rsidRPr="00781112" w:rsidRDefault="0047313F">
      <w:pPr>
        <w:rPr>
          <w:b/>
          <w:color w:val="000000" w:themeColor="text1"/>
        </w:rPr>
      </w:pPr>
      <w:r>
        <w:rPr>
          <w:b/>
          <w:color w:val="000000" w:themeColor="text1"/>
        </w:rPr>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5CFFYAPRDATA1"/>
      </w:tblPr>
      <w:tblGrid>
        <w:gridCol w:w="2245"/>
        <w:gridCol w:w="1395"/>
        <w:gridCol w:w="1397"/>
        <w:gridCol w:w="1151"/>
        <w:gridCol w:w="1151"/>
        <w:gridCol w:w="1151"/>
        <w:gridCol w:w="1150"/>
        <w:gridCol w:w="1150"/>
      </w:tblGrid>
      <w:tr w:rsidR="00740CBC" w:rsidRPr="00781112" w14:paraId="0324DF77" w14:textId="01438934" w:rsidTr="00360DD6">
        <w:trPr>
          <w:trHeight w:val="440"/>
          <w:tblHeader/>
        </w:trPr>
        <w:tc>
          <w:tcPr>
            <w:tcW w:w="1040" w:type="pct"/>
            <w:shd w:val="clear" w:color="auto" w:fill="auto"/>
            <w:vAlign w:val="bottom"/>
          </w:tcPr>
          <w:p w14:paraId="0D668D1B" w14:textId="6BB38C6B" w:rsidR="00740CBC" w:rsidRPr="00781112" w:rsidRDefault="00740CBC" w:rsidP="00740CBC">
            <w:pPr>
              <w:jc w:val="center"/>
              <w:rPr>
                <w:b/>
                <w:color w:val="000000" w:themeColor="text1"/>
              </w:rPr>
            </w:pPr>
            <w:r w:rsidRPr="00781112">
              <w:rPr>
                <w:b/>
                <w:color w:val="000000" w:themeColor="text1"/>
              </w:rPr>
              <w:t>Education Environments</w:t>
            </w:r>
          </w:p>
        </w:tc>
        <w:tc>
          <w:tcPr>
            <w:tcW w:w="646" w:type="pct"/>
            <w:shd w:val="clear" w:color="auto" w:fill="auto"/>
            <w:vAlign w:val="bottom"/>
          </w:tcPr>
          <w:p w14:paraId="323FF92F" w14:textId="6010A4DC" w:rsidR="00740CBC" w:rsidRPr="00781112" w:rsidRDefault="00740CBC" w:rsidP="00740CBC">
            <w:pPr>
              <w:jc w:val="center"/>
              <w:rPr>
                <w:b/>
                <w:color w:val="000000" w:themeColor="text1"/>
              </w:rPr>
            </w:pPr>
            <w:r w:rsidRPr="00781112">
              <w:rPr>
                <w:b/>
                <w:color w:val="000000" w:themeColor="text1"/>
              </w:rPr>
              <w:t xml:space="preserve">Number of children with IEPs aged </w:t>
            </w:r>
            <w:r w:rsidRPr="00781112">
              <w:rPr>
                <w:rFonts w:cs="Arial"/>
                <w:b/>
                <w:bCs/>
                <w:szCs w:val="16"/>
              </w:rPr>
              <w:t>5 (kindergarten)</w:t>
            </w:r>
            <w:r w:rsidRPr="00781112">
              <w:rPr>
                <w:b/>
                <w:color w:val="000000" w:themeColor="text1"/>
              </w:rPr>
              <w:t xml:space="preserve"> through 21 served</w:t>
            </w:r>
          </w:p>
        </w:tc>
        <w:tc>
          <w:tcPr>
            <w:tcW w:w="647" w:type="pct"/>
            <w:shd w:val="clear" w:color="auto" w:fill="auto"/>
            <w:vAlign w:val="bottom"/>
          </w:tcPr>
          <w:p w14:paraId="5B4758A3" w14:textId="799168FB" w:rsidR="00740CBC" w:rsidRPr="00781112" w:rsidRDefault="00740CBC" w:rsidP="00740CBC">
            <w:pPr>
              <w:jc w:val="center"/>
              <w:rPr>
                <w:b/>
                <w:color w:val="000000" w:themeColor="text1"/>
              </w:rPr>
            </w:pPr>
            <w:r w:rsidRPr="00781112">
              <w:rPr>
                <w:b/>
                <w:color w:val="000000" w:themeColor="text1"/>
              </w:rPr>
              <w:t xml:space="preserve">Total number of children with IEPs aged </w:t>
            </w:r>
            <w:r w:rsidRPr="00781112">
              <w:rPr>
                <w:rFonts w:cs="Arial"/>
                <w:b/>
                <w:bCs/>
                <w:szCs w:val="16"/>
              </w:rPr>
              <w:t>5 (kindergarten)</w:t>
            </w:r>
            <w:r w:rsidRPr="00781112">
              <w:rPr>
                <w:b/>
                <w:color w:val="000000" w:themeColor="text1"/>
              </w:rPr>
              <w:t xml:space="preserve"> through 21</w:t>
            </w:r>
          </w:p>
        </w:tc>
        <w:tc>
          <w:tcPr>
            <w:tcW w:w="533" w:type="pct"/>
            <w:shd w:val="clear" w:color="auto" w:fill="auto"/>
            <w:vAlign w:val="bottom"/>
          </w:tcPr>
          <w:p w14:paraId="5B2059E0" w14:textId="3C9C0574" w:rsidR="00740CBC" w:rsidRPr="00CC1061" w:rsidRDefault="00740CBC" w:rsidP="00740CBC">
            <w:pPr>
              <w:jc w:val="center"/>
              <w:rPr>
                <w:b/>
                <w:bCs/>
                <w:color w:val="000000" w:themeColor="text1"/>
              </w:rPr>
            </w:pPr>
            <w:r w:rsidRPr="00CC1061">
              <w:rPr>
                <w:b/>
                <w:bCs/>
              </w:rPr>
              <w:t>FFY 2020 Data</w:t>
            </w:r>
          </w:p>
        </w:tc>
        <w:tc>
          <w:tcPr>
            <w:tcW w:w="533" w:type="pct"/>
            <w:shd w:val="clear" w:color="auto" w:fill="auto"/>
            <w:vAlign w:val="bottom"/>
          </w:tcPr>
          <w:p w14:paraId="320127EA" w14:textId="4889F920" w:rsidR="00740CBC" w:rsidRPr="00CC1061" w:rsidRDefault="00740CBC" w:rsidP="00740CBC">
            <w:pPr>
              <w:jc w:val="center"/>
              <w:rPr>
                <w:b/>
                <w:bCs/>
                <w:color w:val="000000" w:themeColor="text1"/>
              </w:rPr>
            </w:pPr>
            <w:r w:rsidRPr="00CC1061">
              <w:rPr>
                <w:b/>
                <w:bCs/>
              </w:rPr>
              <w:t>FFY 2021 Target</w:t>
            </w:r>
          </w:p>
        </w:tc>
        <w:tc>
          <w:tcPr>
            <w:tcW w:w="533" w:type="pct"/>
            <w:shd w:val="clear" w:color="auto" w:fill="auto"/>
            <w:vAlign w:val="bottom"/>
          </w:tcPr>
          <w:p w14:paraId="150C2675" w14:textId="70270D20" w:rsidR="00740CBC" w:rsidRPr="00CC1061" w:rsidRDefault="00740CBC" w:rsidP="00740CBC">
            <w:pPr>
              <w:jc w:val="center"/>
              <w:rPr>
                <w:b/>
                <w:bCs/>
                <w:color w:val="000000" w:themeColor="text1"/>
              </w:rPr>
            </w:pPr>
            <w:r w:rsidRPr="00CC1061">
              <w:rPr>
                <w:b/>
                <w:bCs/>
              </w:rPr>
              <w:t>FFY 2021 Data</w:t>
            </w:r>
          </w:p>
        </w:tc>
        <w:tc>
          <w:tcPr>
            <w:tcW w:w="533" w:type="pct"/>
            <w:shd w:val="clear" w:color="auto" w:fill="auto"/>
            <w:vAlign w:val="bottom"/>
          </w:tcPr>
          <w:p w14:paraId="08F715E4" w14:textId="7BB096AF" w:rsidR="00740CBC" w:rsidRPr="00781112" w:rsidRDefault="00740CBC" w:rsidP="00740CBC">
            <w:pPr>
              <w:jc w:val="center"/>
              <w:rPr>
                <w:b/>
                <w:color w:val="000000" w:themeColor="text1"/>
              </w:rPr>
            </w:pPr>
            <w:r w:rsidRPr="00781112">
              <w:rPr>
                <w:b/>
                <w:color w:val="000000" w:themeColor="text1"/>
              </w:rPr>
              <w:t>Status</w:t>
            </w:r>
          </w:p>
        </w:tc>
        <w:tc>
          <w:tcPr>
            <w:tcW w:w="533" w:type="pct"/>
            <w:shd w:val="clear" w:color="auto" w:fill="auto"/>
            <w:vAlign w:val="bottom"/>
          </w:tcPr>
          <w:p w14:paraId="16F336C8" w14:textId="693FB9B1" w:rsidR="00740CBC" w:rsidRPr="00781112" w:rsidRDefault="00740CBC" w:rsidP="00740CBC">
            <w:pPr>
              <w:jc w:val="center"/>
              <w:rPr>
                <w:b/>
                <w:color w:val="000000" w:themeColor="text1"/>
              </w:rPr>
            </w:pPr>
            <w:r w:rsidRPr="00781112">
              <w:rPr>
                <w:b/>
                <w:color w:val="000000" w:themeColor="text1"/>
              </w:rPr>
              <w:t>Slippage</w:t>
            </w:r>
          </w:p>
        </w:tc>
      </w:tr>
      <w:tr w:rsidR="005C29F8" w:rsidRPr="00781112" w14:paraId="0CF0446C" w14:textId="0B89548D" w:rsidTr="00360DD6">
        <w:trPr>
          <w:trHeight w:val="361"/>
        </w:trPr>
        <w:tc>
          <w:tcPr>
            <w:tcW w:w="1040" w:type="pct"/>
            <w:shd w:val="clear" w:color="auto" w:fill="auto"/>
            <w:vAlign w:val="center"/>
          </w:tcPr>
          <w:p w14:paraId="389D79B9" w14:textId="5A7555F3" w:rsidR="00631963" w:rsidRPr="00781112" w:rsidRDefault="00631963" w:rsidP="00631963">
            <w:pPr>
              <w:rPr>
                <w:rFonts w:cs="Arial"/>
                <w:color w:val="000000" w:themeColor="text1"/>
                <w:szCs w:val="16"/>
              </w:rPr>
            </w:pPr>
            <w:r w:rsidRPr="00781112">
              <w:rPr>
                <w:rFonts w:cs="Arial"/>
                <w:color w:val="000000" w:themeColor="text1"/>
                <w:szCs w:val="16"/>
              </w:rPr>
              <w:t>A.</w:t>
            </w:r>
            <w:r w:rsidRPr="00781112">
              <w:rPr>
                <w:rFonts w:cs="Arial"/>
                <w:color w:val="000000" w:themeColor="text1"/>
                <w:szCs w:val="16"/>
                <w:shd w:val="clear" w:color="auto" w:fill="FFFFFF"/>
              </w:rPr>
              <w:t xml:space="preserve"> Number of children with IEPs aged </w:t>
            </w:r>
            <w:r w:rsidR="00D362C5" w:rsidRPr="00781112">
              <w:rPr>
                <w:rFonts w:cs="Arial"/>
                <w:szCs w:val="16"/>
              </w:rPr>
              <w:t>5 (kindergarten)</w:t>
            </w:r>
            <w:r w:rsidRPr="00781112">
              <w:rPr>
                <w:rFonts w:cs="Arial"/>
                <w:color w:val="000000" w:themeColor="text1"/>
                <w:szCs w:val="16"/>
                <w:shd w:val="clear" w:color="auto" w:fill="FFFFFF"/>
              </w:rPr>
              <w:t xml:space="preserve"> through 21 inside the regular class 80% or more of the day</w:t>
            </w:r>
          </w:p>
        </w:tc>
        <w:tc>
          <w:tcPr>
            <w:tcW w:w="646" w:type="pct"/>
            <w:shd w:val="clear" w:color="auto" w:fill="auto"/>
            <w:vAlign w:val="center"/>
          </w:tcPr>
          <w:p w14:paraId="0C538F78" w14:textId="211A39AD" w:rsidR="00631963" w:rsidRPr="00781112" w:rsidRDefault="002B7490" w:rsidP="00A018D4">
            <w:pPr>
              <w:jc w:val="center"/>
              <w:rPr>
                <w:rFonts w:cs="Arial"/>
                <w:color w:val="000000" w:themeColor="text1"/>
                <w:szCs w:val="16"/>
              </w:rPr>
            </w:pPr>
            <w:r w:rsidRPr="00781112">
              <w:rPr>
                <w:rFonts w:cs="Arial"/>
                <w:color w:val="000000" w:themeColor="text1"/>
                <w:szCs w:val="16"/>
              </w:rPr>
              <w:t>58,801</w:t>
            </w:r>
          </w:p>
        </w:tc>
        <w:tc>
          <w:tcPr>
            <w:tcW w:w="647" w:type="pct"/>
            <w:shd w:val="clear" w:color="auto" w:fill="auto"/>
            <w:vAlign w:val="center"/>
          </w:tcPr>
          <w:p w14:paraId="7CB3B03A" w14:textId="4A5E294F" w:rsidR="00631963" w:rsidRPr="00781112" w:rsidRDefault="002B7490" w:rsidP="00A018D4">
            <w:pPr>
              <w:jc w:val="center"/>
              <w:rPr>
                <w:rFonts w:cs="Arial"/>
                <w:color w:val="000000" w:themeColor="text1"/>
                <w:szCs w:val="16"/>
              </w:rPr>
            </w:pPr>
            <w:r w:rsidRPr="00781112">
              <w:rPr>
                <w:rFonts w:cs="Arial"/>
                <w:color w:val="000000" w:themeColor="text1"/>
                <w:szCs w:val="16"/>
              </w:rPr>
              <w:t>81,520</w:t>
            </w:r>
          </w:p>
        </w:tc>
        <w:tc>
          <w:tcPr>
            <w:tcW w:w="533" w:type="pct"/>
            <w:shd w:val="clear" w:color="auto" w:fill="auto"/>
            <w:vAlign w:val="center"/>
          </w:tcPr>
          <w:p w14:paraId="147CA5C5" w14:textId="139C91CB" w:rsidR="00631963" w:rsidRPr="00781112" w:rsidRDefault="002B7490" w:rsidP="00A018D4">
            <w:pPr>
              <w:jc w:val="center"/>
              <w:rPr>
                <w:rFonts w:cs="Arial"/>
                <w:color w:val="000000" w:themeColor="text1"/>
                <w:szCs w:val="16"/>
              </w:rPr>
            </w:pPr>
            <w:r w:rsidRPr="00781112">
              <w:rPr>
                <w:rFonts w:cs="Arial"/>
                <w:color w:val="000000" w:themeColor="text1"/>
                <w:szCs w:val="16"/>
              </w:rPr>
              <w:t>70.54%</w:t>
            </w:r>
          </w:p>
        </w:tc>
        <w:tc>
          <w:tcPr>
            <w:tcW w:w="533" w:type="pct"/>
            <w:shd w:val="clear" w:color="auto" w:fill="auto"/>
            <w:vAlign w:val="center"/>
          </w:tcPr>
          <w:p w14:paraId="497D8B9F" w14:textId="585C0A39" w:rsidR="00631963" w:rsidRPr="00781112" w:rsidRDefault="002B7490" w:rsidP="00A018D4">
            <w:pPr>
              <w:jc w:val="center"/>
              <w:rPr>
                <w:rFonts w:cs="Arial"/>
                <w:color w:val="000000" w:themeColor="text1"/>
                <w:szCs w:val="16"/>
              </w:rPr>
            </w:pPr>
            <w:r w:rsidRPr="00781112">
              <w:rPr>
                <w:rFonts w:cs="Arial"/>
                <w:color w:val="000000" w:themeColor="text1"/>
                <w:szCs w:val="16"/>
              </w:rPr>
              <w:t>65.12%</w:t>
            </w:r>
          </w:p>
        </w:tc>
        <w:tc>
          <w:tcPr>
            <w:tcW w:w="533" w:type="pct"/>
            <w:shd w:val="clear" w:color="auto" w:fill="auto"/>
            <w:vAlign w:val="center"/>
          </w:tcPr>
          <w:p w14:paraId="4B6AC9A3" w14:textId="0D7F6AEF" w:rsidR="00631963" w:rsidRPr="00781112" w:rsidRDefault="002B7490" w:rsidP="00A018D4">
            <w:pPr>
              <w:jc w:val="center"/>
              <w:rPr>
                <w:rFonts w:cs="Arial"/>
                <w:color w:val="000000" w:themeColor="text1"/>
                <w:szCs w:val="16"/>
              </w:rPr>
            </w:pPr>
            <w:r w:rsidRPr="00781112">
              <w:rPr>
                <w:rFonts w:cs="Arial"/>
                <w:color w:val="000000" w:themeColor="text1"/>
                <w:szCs w:val="16"/>
              </w:rPr>
              <w:t>72.13%</w:t>
            </w:r>
          </w:p>
        </w:tc>
        <w:tc>
          <w:tcPr>
            <w:tcW w:w="533" w:type="pct"/>
            <w:shd w:val="clear" w:color="auto" w:fill="auto"/>
            <w:vAlign w:val="center"/>
          </w:tcPr>
          <w:p w14:paraId="0D12A1DA" w14:textId="6C35FF67" w:rsidR="00631963"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533" w:type="pct"/>
            <w:shd w:val="clear" w:color="auto" w:fill="auto"/>
            <w:vAlign w:val="center"/>
          </w:tcPr>
          <w:p w14:paraId="2E7D658D" w14:textId="6E94158A" w:rsidR="00631963"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r w:rsidR="005C29F8" w:rsidRPr="00781112" w14:paraId="0FEF5E26" w14:textId="1BAD9686" w:rsidTr="00360DD6">
        <w:trPr>
          <w:trHeight w:val="361"/>
        </w:trPr>
        <w:tc>
          <w:tcPr>
            <w:tcW w:w="1040" w:type="pct"/>
            <w:shd w:val="clear" w:color="auto" w:fill="auto"/>
            <w:vAlign w:val="center"/>
          </w:tcPr>
          <w:p w14:paraId="787D8C24" w14:textId="626F335A" w:rsidR="00631963" w:rsidRPr="00781112" w:rsidRDefault="00631963" w:rsidP="00631963">
            <w:pPr>
              <w:rPr>
                <w:rFonts w:cs="Arial"/>
                <w:color w:val="000000" w:themeColor="text1"/>
                <w:szCs w:val="16"/>
              </w:rPr>
            </w:pPr>
            <w:r w:rsidRPr="00781112">
              <w:rPr>
                <w:rFonts w:cs="Arial"/>
                <w:color w:val="000000" w:themeColor="text1"/>
                <w:szCs w:val="16"/>
                <w:shd w:val="clear" w:color="auto" w:fill="FFFFFF"/>
              </w:rPr>
              <w:t xml:space="preserve">B. Number of children with IEPs aged </w:t>
            </w:r>
            <w:r w:rsidR="00D362C5" w:rsidRPr="00781112">
              <w:rPr>
                <w:rFonts w:cs="Arial"/>
                <w:szCs w:val="16"/>
              </w:rPr>
              <w:t>5 (kindergarten)</w:t>
            </w:r>
            <w:r w:rsidRPr="00781112">
              <w:rPr>
                <w:rFonts w:cs="Arial"/>
                <w:color w:val="000000" w:themeColor="text1"/>
                <w:szCs w:val="16"/>
                <w:shd w:val="clear" w:color="auto" w:fill="FFFFFF"/>
              </w:rPr>
              <w:t xml:space="preserve"> through 21 inside the regular class less than 40% of the day</w:t>
            </w:r>
          </w:p>
        </w:tc>
        <w:tc>
          <w:tcPr>
            <w:tcW w:w="646" w:type="pct"/>
            <w:shd w:val="clear" w:color="auto" w:fill="auto"/>
            <w:vAlign w:val="center"/>
          </w:tcPr>
          <w:p w14:paraId="03764807" w14:textId="322EE6A5" w:rsidR="00631963" w:rsidRPr="00781112" w:rsidRDefault="002B7490" w:rsidP="00A018D4">
            <w:pPr>
              <w:jc w:val="center"/>
              <w:rPr>
                <w:rFonts w:cs="Arial"/>
                <w:color w:val="000000" w:themeColor="text1"/>
                <w:szCs w:val="16"/>
              </w:rPr>
            </w:pPr>
            <w:r w:rsidRPr="00781112">
              <w:rPr>
                <w:rFonts w:cs="Arial"/>
                <w:color w:val="000000" w:themeColor="text1"/>
                <w:szCs w:val="16"/>
              </w:rPr>
              <w:t>6,879</w:t>
            </w:r>
          </w:p>
        </w:tc>
        <w:tc>
          <w:tcPr>
            <w:tcW w:w="647" w:type="pct"/>
            <w:shd w:val="clear" w:color="auto" w:fill="auto"/>
            <w:vAlign w:val="center"/>
          </w:tcPr>
          <w:p w14:paraId="6BB5ED43" w14:textId="72BAFF29" w:rsidR="00631963" w:rsidRPr="00781112" w:rsidRDefault="002B7490" w:rsidP="00A018D4">
            <w:pPr>
              <w:jc w:val="center"/>
              <w:rPr>
                <w:rFonts w:cs="Arial"/>
                <w:color w:val="000000" w:themeColor="text1"/>
                <w:szCs w:val="16"/>
              </w:rPr>
            </w:pPr>
            <w:r w:rsidRPr="00781112">
              <w:rPr>
                <w:rFonts w:cs="Arial"/>
                <w:color w:val="000000" w:themeColor="text1"/>
                <w:szCs w:val="16"/>
              </w:rPr>
              <w:t>81,520</w:t>
            </w:r>
          </w:p>
        </w:tc>
        <w:tc>
          <w:tcPr>
            <w:tcW w:w="533" w:type="pct"/>
            <w:shd w:val="clear" w:color="auto" w:fill="auto"/>
            <w:vAlign w:val="center"/>
          </w:tcPr>
          <w:p w14:paraId="3D5C1070" w14:textId="57DABC44" w:rsidR="00631963" w:rsidRPr="00781112" w:rsidRDefault="002B7490" w:rsidP="00A018D4">
            <w:pPr>
              <w:jc w:val="center"/>
              <w:rPr>
                <w:rFonts w:cs="Arial"/>
                <w:color w:val="000000" w:themeColor="text1"/>
                <w:szCs w:val="16"/>
              </w:rPr>
            </w:pPr>
            <w:r w:rsidRPr="00781112">
              <w:rPr>
                <w:rFonts w:cs="Arial"/>
                <w:color w:val="000000" w:themeColor="text1"/>
                <w:szCs w:val="16"/>
              </w:rPr>
              <w:t>8.43%</w:t>
            </w:r>
          </w:p>
        </w:tc>
        <w:tc>
          <w:tcPr>
            <w:tcW w:w="533" w:type="pct"/>
            <w:shd w:val="clear" w:color="auto" w:fill="auto"/>
            <w:vAlign w:val="center"/>
          </w:tcPr>
          <w:p w14:paraId="02F3CF00" w14:textId="6A81B00C" w:rsidR="00631963" w:rsidRPr="00781112" w:rsidRDefault="002B7490" w:rsidP="00A018D4">
            <w:pPr>
              <w:jc w:val="center"/>
              <w:rPr>
                <w:rFonts w:cs="Arial"/>
                <w:color w:val="000000" w:themeColor="text1"/>
                <w:szCs w:val="16"/>
              </w:rPr>
            </w:pPr>
            <w:r w:rsidRPr="00781112">
              <w:rPr>
                <w:rFonts w:cs="Arial"/>
                <w:color w:val="000000" w:themeColor="text1"/>
                <w:szCs w:val="16"/>
              </w:rPr>
              <w:t>9.71%</w:t>
            </w:r>
          </w:p>
        </w:tc>
        <w:tc>
          <w:tcPr>
            <w:tcW w:w="533" w:type="pct"/>
            <w:shd w:val="clear" w:color="auto" w:fill="auto"/>
            <w:vAlign w:val="center"/>
          </w:tcPr>
          <w:p w14:paraId="07434586" w14:textId="19522680" w:rsidR="00631963" w:rsidRPr="00781112" w:rsidRDefault="002B7490" w:rsidP="00A018D4">
            <w:pPr>
              <w:jc w:val="center"/>
              <w:rPr>
                <w:rFonts w:cs="Arial"/>
                <w:color w:val="000000" w:themeColor="text1"/>
                <w:szCs w:val="16"/>
              </w:rPr>
            </w:pPr>
            <w:r w:rsidRPr="00781112">
              <w:rPr>
                <w:rFonts w:cs="Arial"/>
                <w:color w:val="000000" w:themeColor="text1"/>
                <w:szCs w:val="16"/>
              </w:rPr>
              <w:t>8.44%</w:t>
            </w:r>
          </w:p>
        </w:tc>
        <w:tc>
          <w:tcPr>
            <w:tcW w:w="533" w:type="pct"/>
            <w:shd w:val="clear" w:color="auto" w:fill="auto"/>
            <w:vAlign w:val="center"/>
          </w:tcPr>
          <w:p w14:paraId="59BFCAE8" w14:textId="7F9BACFA" w:rsidR="00631963"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533" w:type="pct"/>
            <w:shd w:val="clear" w:color="auto" w:fill="auto"/>
            <w:vAlign w:val="center"/>
          </w:tcPr>
          <w:p w14:paraId="6D7448AA" w14:textId="1247E0AB" w:rsidR="00631963"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r w:rsidR="005C29F8" w:rsidRPr="00781112" w14:paraId="18A60D9F" w14:textId="211489DF" w:rsidTr="00360DD6">
        <w:trPr>
          <w:trHeight w:val="361"/>
        </w:trPr>
        <w:tc>
          <w:tcPr>
            <w:tcW w:w="1040" w:type="pct"/>
            <w:shd w:val="clear" w:color="auto" w:fill="auto"/>
            <w:vAlign w:val="center"/>
          </w:tcPr>
          <w:p w14:paraId="0B4BA19D" w14:textId="5F11E8FF" w:rsidR="00631963" w:rsidRPr="00781112" w:rsidRDefault="00631963" w:rsidP="00631963">
            <w:pPr>
              <w:pStyle w:val="Explanation"/>
              <w:rPr>
                <w:rFonts w:cs="Arial"/>
                <w:color w:val="000000" w:themeColor="text1"/>
                <w:szCs w:val="16"/>
              </w:rPr>
            </w:pPr>
            <w:r w:rsidRPr="00781112">
              <w:rPr>
                <w:rFonts w:cs="Arial"/>
                <w:i w:val="0"/>
                <w:color w:val="000000" w:themeColor="text1"/>
                <w:szCs w:val="16"/>
                <w:shd w:val="clear" w:color="auto" w:fill="FFFFFF"/>
              </w:rPr>
              <w:t xml:space="preserve">C. Number of children with IEPs aged 5 (kindergarten) through 21 inside separate schools, residential facilities, or homebound/hospital placements </w:t>
            </w:r>
            <w:r w:rsidR="00163FA7" w:rsidRPr="00781112">
              <w:rPr>
                <w:rFonts w:cs="Arial"/>
                <w:color w:val="000000" w:themeColor="text1"/>
                <w:szCs w:val="16"/>
              </w:rPr>
              <w:t>[</w:t>
            </w:r>
            <w:r w:rsidRPr="00781112">
              <w:rPr>
                <w:rFonts w:cs="Arial"/>
                <w:color w:val="000000" w:themeColor="text1"/>
                <w:szCs w:val="16"/>
              </w:rPr>
              <w:t>c1+c2+c3</w:t>
            </w:r>
            <w:r w:rsidR="00163FA7" w:rsidRPr="00781112">
              <w:rPr>
                <w:rFonts w:cs="Arial"/>
                <w:color w:val="000000" w:themeColor="text1"/>
                <w:szCs w:val="16"/>
              </w:rPr>
              <w:t>]</w:t>
            </w:r>
          </w:p>
        </w:tc>
        <w:tc>
          <w:tcPr>
            <w:tcW w:w="646" w:type="pct"/>
            <w:shd w:val="clear" w:color="auto" w:fill="auto"/>
            <w:vAlign w:val="center"/>
          </w:tcPr>
          <w:p w14:paraId="6F83B928" w14:textId="3C12179B" w:rsidR="00631963" w:rsidRPr="00781112" w:rsidRDefault="002B7490" w:rsidP="00A018D4">
            <w:pPr>
              <w:jc w:val="center"/>
              <w:rPr>
                <w:rFonts w:cs="Arial"/>
                <w:color w:val="000000" w:themeColor="text1"/>
                <w:szCs w:val="16"/>
              </w:rPr>
            </w:pPr>
            <w:r w:rsidRPr="00781112">
              <w:rPr>
                <w:rFonts w:cs="Arial"/>
                <w:color w:val="000000" w:themeColor="text1"/>
                <w:szCs w:val="16"/>
              </w:rPr>
              <w:t>2,068</w:t>
            </w:r>
          </w:p>
        </w:tc>
        <w:tc>
          <w:tcPr>
            <w:tcW w:w="647" w:type="pct"/>
            <w:shd w:val="clear" w:color="auto" w:fill="auto"/>
            <w:vAlign w:val="center"/>
          </w:tcPr>
          <w:p w14:paraId="2B632B6B" w14:textId="0ADBABA1" w:rsidR="00631963" w:rsidRPr="00781112" w:rsidRDefault="002B7490" w:rsidP="00A018D4">
            <w:pPr>
              <w:jc w:val="center"/>
              <w:rPr>
                <w:rFonts w:cs="Arial"/>
                <w:color w:val="000000" w:themeColor="text1"/>
                <w:szCs w:val="16"/>
              </w:rPr>
            </w:pPr>
            <w:r w:rsidRPr="00781112">
              <w:rPr>
                <w:rFonts w:cs="Arial"/>
                <w:color w:val="000000" w:themeColor="text1"/>
                <w:szCs w:val="16"/>
              </w:rPr>
              <w:t>81,520</w:t>
            </w:r>
          </w:p>
        </w:tc>
        <w:tc>
          <w:tcPr>
            <w:tcW w:w="533" w:type="pct"/>
            <w:shd w:val="clear" w:color="auto" w:fill="auto"/>
            <w:vAlign w:val="center"/>
          </w:tcPr>
          <w:p w14:paraId="16857354" w14:textId="17E80039" w:rsidR="00631963" w:rsidRPr="00781112" w:rsidRDefault="002B7490" w:rsidP="00A018D4">
            <w:pPr>
              <w:jc w:val="center"/>
              <w:rPr>
                <w:rFonts w:cs="Arial"/>
                <w:color w:val="000000" w:themeColor="text1"/>
                <w:szCs w:val="16"/>
              </w:rPr>
            </w:pPr>
            <w:r w:rsidRPr="00781112">
              <w:rPr>
                <w:rFonts w:cs="Arial"/>
                <w:color w:val="000000" w:themeColor="text1"/>
                <w:szCs w:val="16"/>
              </w:rPr>
              <w:t>2.68%</w:t>
            </w:r>
          </w:p>
        </w:tc>
        <w:tc>
          <w:tcPr>
            <w:tcW w:w="533" w:type="pct"/>
            <w:shd w:val="clear" w:color="auto" w:fill="auto"/>
            <w:vAlign w:val="center"/>
          </w:tcPr>
          <w:p w14:paraId="10D1478E" w14:textId="0F36466F" w:rsidR="00631963" w:rsidRPr="00781112" w:rsidRDefault="002B7490" w:rsidP="00A018D4">
            <w:pPr>
              <w:jc w:val="center"/>
              <w:rPr>
                <w:rFonts w:cs="Arial"/>
                <w:color w:val="000000" w:themeColor="text1"/>
                <w:szCs w:val="16"/>
              </w:rPr>
            </w:pPr>
            <w:r w:rsidRPr="00781112">
              <w:rPr>
                <w:rFonts w:cs="Arial"/>
                <w:color w:val="000000" w:themeColor="text1"/>
                <w:szCs w:val="16"/>
              </w:rPr>
              <w:t>2.78%</w:t>
            </w:r>
          </w:p>
        </w:tc>
        <w:tc>
          <w:tcPr>
            <w:tcW w:w="533" w:type="pct"/>
            <w:shd w:val="clear" w:color="auto" w:fill="auto"/>
            <w:vAlign w:val="center"/>
          </w:tcPr>
          <w:p w14:paraId="2E9E2BFC" w14:textId="26FEF90C" w:rsidR="00631963" w:rsidRPr="00781112" w:rsidRDefault="002B7490" w:rsidP="00A018D4">
            <w:pPr>
              <w:jc w:val="center"/>
              <w:rPr>
                <w:rFonts w:cs="Arial"/>
                <w:color w:val="000000" w:themeColor="text1"/>
                <w:szCs w:val="16"/>
              </w:rPr>
            </w:pPr>
            <w:r w:rsidRPr="00781112">
              <w:rPr>
                <w:rFonts w:cs="Arial"/>
                <w:color w:val="000000" w:themeColor="text1"/>
                <w:szCs w:val="16"/>
              </w:rPr>
              <w:t>2.54%</w:t>
            </w:r>
          </w:p>
        </w:tc>
        <w:tc>
          <w:tcPr>
            <w:tcW w:w="533" w:type="pct"/>
            <w:shd w:val="clear" w:color="auto" w:fill="auto"/>
            <w:vAlign w:val="center"/>
          </w:tcPr>
          <w:p w14:paraId="5321D014" w14:textId="1EA51894" w:rsidR="00631963"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533" w:type="pct"/>
            <w:shd w:val="clear" w:color="auto" w:fill="auto"/>
            <w:vAlign w:val="center"/>
          </w:tcPr>
          <w:p w14:paraId="2BFA05A8" w14:textId="3EACA9BA" w:rsidR="00631963"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p w14:paraId="0B7E5CD7" w14:textId="141E2AD6" w:rsidR="004A4803" w:rsidRPr="007123A2" w:rsidRDefault="006C575D" w:rsidP="004369B2">
      <w:pPr>
        <w:rPr>
          <w:b/>
          <w:color w:val="000000" w:themeColor="text1"/>
        </w:rPr>
      </w:pPr>
      <w:r w:rsidRPr="00781112">
        <w:rPr>
          <w:b/>
          <w:color w:val="000000" w:themeColor="text1"/>
        </w:rPr>
        <w:t>Provide additional information about this indicator (optional)</w:t>
      </w:r>
    </w:p>
    <w:p w14:paraId="68DA7415" w14:textId="0FE711BA" w:rsidR="000A2C83" w:rsidRPr="00781112" w:rsidRDefault="007B5383" w:rsidP="008645AD">
      <w:pPr>
        <w:pStyle w:val="Heading2"/>
      </w:pPr>
      <w:r w:rsidRPr="00781112">
        <w:t>5</w:t>
      </w:r>
      <w:r w:rsidR="002203FA" w:rsidRPr="00781112">
        <w:t xml:space="preserve"> </w:t>
      </w:r>
      <w:r w:rsidRPr="00781112">
        <w:t xml:space="preserve">- </w:t>
      </w:r>
      <w:r w:rsidR="000A2C83" w:rsidRPr="00781112">
        <w:t>Prior FFY Required Actions</w:t>
      </w:r>
    </w:p>
    <w:p w14:paraId="2C73DADD" w14:textId="6039179B" w:rsidR="00163FA7" w:rsidRPr="00781112" w:rsidRDefault="002B7490" w:rsidP="000A2C83">
      <w:pPr>
        <w:rPr>
          <w:rFonts w:cs="Arial"/>
          <w:color w:val="000000" w:themeColor="text1"/>
          <w:szCs w:val="16"/>
        </w:rPr>
      </w:pPr>
      <w:r w:rsidRPr="00781112">
        <w:rPr>
          <w:rFonts w:cs="Arial"/>
          <w:color w:val="000000" w:themeColor="text1"/>
          <w:szCs w:val="16"/>
        </w:rPr>
        <w:t>None</w:t>
      </w:r>
    </w:p>
    <w:p w14:paraId="63E8B575" w14:textId="645E165A" w:rsidR="003C308E" w:rsidRPr="007123A2" w:rsidRDefault="007B5383" w:rsidP="007123A2">
      <w:pPr>
        <w:pStyle w:val="Heading2"/>
      </w:pPr>
      <w:r w:rsidRPr="00781112">
        <w:t>5 - OSEP Response</w:t>
      </w:r>
    </w:p>
    <w:p w14:paraId="66CCD9C9" w14:textId="435D8999" w:rsidR="006C575D" w:rsidRPr="00781112" w:rsidRDefault="007B5383" w:rsidP="008645AD">
      <w:pPr>
        <w:pStyle w:val="Heading2"/>
      </w:pPr>
      <w:r w:rsidRPr="00781112">
        <w:t>5 - Required Actions</w:t>
      </w:r>
    </w:p>
    <w:p w14:paraId="140EB887" w14:textId="21164854" w:rsidR="003C308E" w:rsidRPr="00781112" w:rsidRDefault="003C308E" w:rsidP="001F692C">
      <w:pPr>
        <w:rPr>
          <w:rFonts w:cs="Arial"/>
          <w:color w:val="000000" w:themeColor="text1"/>
          <w:szCs w:val="16"/>
        </w:rPr>
      </w:pPr>
    </w:p>
    <w:p w14:paraId="11AF7B69" w14:textId="77777777" w:rsidR="007123A2" w:rsidRDefault="007123A2">
      <w:pPr>
        <w:spacing w:before="0" w:after="200" w:line="276" w:lineRule="auto"/>
        <w:rPr>
          <w:rFonts w:eastAsiaTheme="majorEastAsia" w:cstheme="majorBidi"/>
          <w:b/>
          <w:bCs/>
          <w:color w:val="000000" w:themeColor="text1"/>
          <w:sz w:val="22"/>
          <w:szCs w:val="28"/>
        </w:rPr>
      </w:pPr>
      <w:r>
        <w:rPr>
          <w:color w:val="000000" w:themeColor="text1"/>
          <w:sz w:val="22"/>
        </w:rPr>
        <w:br w:type="page"/>
      </w:r>
    </w:p>
    <w:p w14:paraId="35527AAE" w14:textId="4F1FCAAF" w:rsidR="00D21EAA" w:rsidRPr="00781112" w:rsidRDefault="00D21EAA" w:rsidP="000444E2">
      <w:pPr>
        <w:pStyle w:val="Heading1"/>
        <w:rPr>
          <w:color w:val="000000" w:themeColor="text1"/>
          <w:sz w:val="22"/>
        </w:rPr>
      </w:pPr>
      <w:r w:rsidRPr="00781112">
        <w:rPr>
          <w:color w:val="000000" w:themeColor="text1"/>
          <w:sz w:val="22"/>
        </w:rPr>
        <w:lastRenderedPageBreak/>
        <w:t>Indicator 6: Preschool Environments</w:t>
      </w:r>
    </w:p>
    <w:p w14:paraId="0EEB38B7" w14:textId="59C9FCA0" w:rsidR="00897094" w:rsidRPr="00781112" w:rsidRDefault="00897094" w:rsidP="00A018D4">
      <w:pPr>
        <w:rPr>
          <w:color w:val="000000" w:themeColor="text1"/>
          <w:szCs w:val="20"/>
        </w:rPr>
      </w:pPr>
      <w:bookmarkStart w:id="41" w:name="_Toc392159299"/>
      <w:r w:rsidRPr="00781112">
        <w:rPr>
          <w:b/>
          <w:color w:val="000000" w:themeColor="text1"/>
          <w:sz w:val="20"/>
          <w:szCs w:val="20"/>
        </w:rPr>
        <w:t>Instructions and Measurement</w:t>
      </w:r>
    </w:p>
    <w:p w14:paraId="38394246" w14:textId="27FF79AA" w:rsidR="00CC634E" w:rsidRPr="00781112" w:rsidRDefault="00CC634E" w:rsidP="004369B2">
      <w:pPr>
        <w:rPr>
          <w:color w:val="000000" w:themeColor="text1"/>
        </w:rPr>
      </w:pPr>
      <w:r w:rsidRPr="00781112">
        <w:rPr>
          <w:b/>
          <w:color w:val="000000" w:themeColor="text1"/>
        </w:rPr>
        <w:t xml:space="preserve">Monitoring Priority: </w:t>
      </w:r>
      <w:r w:rsidRPr="00781112">
        <w:rPr>
          <w:color w:val="000000" w:themeColor="text1"/>
        </w:rPr>
        <w:t>FAPE in the LRE</w:t>
      </w:r>
    </w:p>
    <w:p w14:paraId="07B041D6" w14:textId="3EA0507C" w:rsidR="00CC634E" w:rsidRPr="00781112" w:rsidRDefault="00CC634E" w:rsidP="0011074D">
      <w:pPr>
        <w:rPr>
          <w:rFonts w:cs="Arial"/>
          <w:color w:val="000000" w:themeColor="text1"/>
          <w:szCs w:val="16"/>
        </w:rPr>
      </w:pPr>
      <w:r w:rsidRPr="00781112">
        <w:rPr>
          <w:rFonts w:cs="Arial"/>
          <w:b/>
          <w:color w:val="000000" w:themeColor="text1"/>
          <w:szCs w:val="16"/>
        </w:rPr>
        <w:t>Results indicator:</w:t>
      </w:r>
      <w:r w:rsidR="00131842" w:rsidRPr="00781112">
        <w:rPr>
          <w:rFonts w:cs="Arial"/>
          <w:color w:val="000000" w:themeColor="text1"/>
          <w:szCs w:val="16"/>
        </w:rPr>
        <w:t xml:space="preserve"> </w:t>
      </w:r>
      <w:r w:rsidRPr="00781112">
        <w:rPr>
          <w:rFonts w:cs="Arial"/>
          <w:color w:val="000000" w:themeColor="text1"/>
          <w:szCs w:val="16"/>
        </w:rPr>
        <w:t>Percent of children</w:t>
      </w:r>
      <w:r w:rsidR="00BE028C" w:rsidRPr="00781112">
        <w:rPr>
          <w:rFonts w:cs="Arial"/>
          <w:color w:val="000000" w:themeColor="text1"/>
          <w:szCs w:val="16"/>
        </w:rPr>
        <w:t xml:space="preserve"> </w:t>
      </w:r>
      <w:r w:rsidRPr="00781112">
        <w:rPr>
          <w:rFonts w:cs="Arial"/>
          <w:color w:val="000000" w:themeColor="text1"/>
          <w:szCs w:val="16"/>
        </w:rPr>
        <w:t xml:space="preserve">with IEPs </w:t>
      </w:r>
      <w:r w:rsidR="000B1A1B" w:rsidRPr="00781112">
        <w:rPr>
          <w:rFonts w:cs="Arial"/>
          <w:color w:val="000000" w:themeColor="text1"/>
          <w:szCs w:val="16"/>
        </w:rPr>
        <w:t xml:space="preserve">aged 3, 4, and aged 5 who are enrolled in a preschool program </w:t>
      </w:r>
      <w:r w:rsidRPr="00781112">
        <w:rPr>
          <w:rFonts w:cs="Arial"/>
          <w:color w:val="000000" w:themeColor="text1"/>
          <w:szCs w:val="16"/>
        </w:rPr>
        <w:t>attending a:</w:t>
      </w:r>
    </w:p>
    <w:p w14:paraId="0FDA7062" w14:textId="4CA83104" w:rsidR="00CC634E" w:rsidRPr="00781112" w:rsidRDefault="005F3399" w:rsidP="006A01BD">
      <w:pPr>
        <w:ind w:left="720"/>
        <w:rPr>
          <w:rFonts w:cs="Arial"/>
          <w:color w:val="000000" w:themeColor="text1"/>
          <w:szCs w:val="16"/>
        </w:rPr>
      </w:pPr>
      <w:r w:rsidRPr="00781112">
        <w:rPr>
          <w:rFonts w:cs="Arial"/>
          <w:color w:val="000000" w:themeColor="text1"/>
          <w:szCs w:val="16"/>
        </w:rPr>
        <w:t xml:space="preserve">A. Regular early childhood program and receiving </w:t>
      </w:r>
      <w:proofErr w:type="gramStart"/>
      <w:r w:rsidRPr="00781112">
        <w:rPr>
          <w:rFonts w:cs="Arial"/>
          <w:color w:val="000000" w:themeColor="text1"/>
          <w:szCs w:val="16"/>
        </w:rPr>
        <w:t>the majority of</w:t>
      </w:r>
      <w:proofErr w:type="gramEnd"/>
      <w:r w:rsidRPr="00781112">
        <w:rPr>
          <w:rFonts w:cs="Arial"/>
          <w:color w:val="000000" w:themeColor="text1"/>
          <w:szCs w:val="16"/>
        </w:rPr>
        <w:t xml:space="preserve"> special education and related services in the regular early childhood program; and</w:t>
      </w:r>
    </w:p>
    <w:p w14:paraId="4A161793" w14:textId="6574C625" w:rsidR="00CC634E" w:rsidRPr="00781112" w:rsidRDefault="005F3399" w:rsidP="006A01BD">
      <w:pPr>
        <w:ind w:firstLine="720"/>
        <w:rPr>
          <w:rFonts w:cs="Arial"/>
          <w:color w:val="000000" w:themeColor="text1"/>
          <w:szCs w:val="16"/>
        </w:rPr>
      </w:pPr>
      <w:r w:rsidRPr="00781112">
        <w:rPr>
          <w:rFonts w:cs="Arial"/>
          <w:color w:val="000000" w:themeColor="text1"/>
          <w:szCs w:val="16"/>
        </w:rPr>
        <w:t xml:space="preserve">B. Separate special education class, separate </w:t>
      </w:r>
      <w:proofErr w:type="gramStart"/>
      <w:r w:rsidRPr="00781112">
        <w:rPr>
          <w:rFonts w:cs="Arial"/>
          <w:color w:val="000000" w:themeColor="text1"/>
          <w:szCs w:val="16"/>
        </w:rPr>
        <w:t>school</w:t>
      </w:r>
      <w:proofErr w:type="gramEnd"/>
      <w:r w:rsidRPr="00781112">
        <w:rPr>
          <w:rFonts w:cs="Arial"/>
          <w:color w:val="000000" w:themeColor="text1"/>
          <w:szCs w:val="16"/>
        </w:rPr>
        <w:t xml:space="preserve"> or residential facility.</w:t>
      </w:r>
    </w:p>
    <w:p w14:paraId="797114DB" w14:textId="5A0252FB" w:rsidR="003608F9" w:rsidRPr="00781112" w:rsidRDefault="003608F9" w:rsidP="00360DD6">
      <w:pPr>
        <w:ind w:left="360"/>
        <w:rPr>
          <w:rFonts w:cs="Arial"/>
          <w:szCs w:val="16"/>
        </w:rPr>
      </w:pPr>
      <w:r w:rsidRPr="00781112">
        <w:rPr>
          <w:rFonts w:cs="Arial"/>
          <w:color w:val="000000" w:themeColor="text1"/>
          <w:szCs w:val="16"/>
        </w:rPr>
        <w:tab/>
        <w:t xml:space="preserve">C. </w:t>
      </w:r>
      <w:r w:rsidRPr="00781112">
        <w:rPr>
          <w:rFonts w:cs="Arial"/>
          <w:szCs w:val="16"/>
        </w:rPr>
        <w:t>Receiving special education and related services in the home.</w:t>
      </w:r>
    </w:p>
    <w:p w14:paraId="1AC955CF" w14:textId="38EDB6BF" w:rsidR="0011074D" w:rsidRPr="00781112" w:rsidRDefault="0011074D" w:rsidP="0011074D">
      <w:pPr>
        <w:rPr>
          <w:rFonts w:cs="Arial"/>
          <w:color w:val="000000" w:themeColor="text1"/>
          <w:szCs w:val="16"/>
        </w:rPr>
      </w:pPr>
      <w:r w:rsidRPr="00781112">
        <w:rPr>
          <w:rFonts w:cs="Arial"/>
          <w:color w:val="000000" w:themeColor="text1"/>
          <w:szCs w:val="16"/>
        </w:rPr>
        <w:t>(20 U.S.C. 1416(a)(3)(A))</w:t>
      </w:r>
    </w:p>
    <w:p w14:paraId="47FA9AD7" w14:textId="77777777" w:rsidR="005322B8" w:rsidRPr="00781112" w:rsidRDefault="005322B8" w:rsidP="004369B2">
      <w:pPr>
        <w:rPr>
          <w:color w:val="000000" w:themeColor="text1"/>
        </w:rPr>
      </w:pPr>
      <w:r w:rsidRPr="00781112">
        <w:rPr>
          <w:b/>
          <w:color w:val="000000" w:themeColor="text1"/>
        </w:rPr>
        <w:t>Data Source</w:t>
      </w:r>
    </w:p>
    <w:p w14:paraId="7412FE19" w14:textId="736BCFC9" w:rsidR="005322B8" w:rsidRPr="00781112" w:rsidRDefault="005322B8" w:rsidP="00BB7BC9">
      <w:pPr>
        <w:rPr>
          <w:rFonts w:cs="Arial"/>
          <w:color w:val="000000" w:themeColor="text1"/>
          <w:szCs w:val="16"/>
        </w:rPr>
      </w:pPr>
      <w:r w:rsidRPr="00781112">
        <w:rPr>
          <w:rFonts w:cs="Arial"/>
          <w:color w:val="000000" w:themeColor="text1"/>
          <w:szCs w:val="16"/>
        </w:rPr>
        <w:t>S</w:t>
      </w:r>
      <w:r w:rsidRPr="00781112">
        <w:rPr>
          <w:rFonts w:cs="Arial"/>
          <w:color w:val="000000" w:themeColor="text1"/>
          <w:szCs w:val="16"/>
          <w:shd w:val="clear" w:color="auto" w:fill="FFFFFF"/>
        </w:rPr>
        <w:t xml:space="preserve">ame data as used for reporting to the Department under section 618 of the IDEA, using the definitions in EDFacts file specification </w:t>
      </w:r>
      <w:r w:rsidR="00A95280" w:rsidRPr="00781112">
        <w:rPr>
          <w:rFonts w:cs="Arial"/>
          <w:color w:val="000000" w:themeColor="text1"/>
          <w:szCs w:val="16"/>
          <w:shd w:val="clear" w:color="auto" w:fill="FFFFFF"/>
        </w:rPr>
        <w:t>FS</w:t>
      </w:r>
      <w:r w:rsidRPr="00781112">
        <w:rPr>
          <w:rFonts w:cs="Arial"/>
          <w:color w:val="000000" w:themeColor="text1"/>
          <w:szCs w:val="16"/>
          <w:shd w:val="clear" w:color="auto" w:fill="FFFFFF"/>
        </w:rPr>
        <w:t>089.</w:t>
      </w:r>
    </w:p>
    <w:p w14:paraId="17AAF6AD" w14:textId="77777777" w:rsidR="005322B8" w:rsidRPr="00781112" w:rsidRDefault="005322B8" w:rsidP="004369B2">
      <w:pPr>
        <w:rPr>
          <w:color w:val="000000" w:themeColor="text1"/>
        </w:rPr>
      </w:pPr>
      <w:r w:rsidRPr="00781112">
        <w:rPr>
          <w:b/>
          <w:color w:val="000000" w:themeColor="text1"/>
        </w:rPr>
        <w:t>Measurement</w:t>
      </w:r>
    </w:p>
    <w:p w14:paraId="14C60C6A" w14:textId="3C4928BE" w:rsidR="005322B8" w:rsidRPr="00781112" w:rsidRDefault="00724BCB" w:rsidP="00286BDF">
      <w:pPr>
        <w:rPr>
          <w:rFonts w:cs="Arial"/>
          <w:color w:val="000000" w:themeColor="text1"/>
          <w:szCs w:val="16"/>
        </w:rPr>
      </w:pPr>
      <w:r w:rsidRPr="00781112">
        <w:rPr>
          <w:rFonts w:cs="Arial"/>
          <w:color w:val="000000" w:themeColor="text1"/>
          <w:szCs w:val="16"/>
        </w:rPr>
        <w:tab/>
        <w:t>A. Percent</w:t>
      </w:r>
      <w:r w:rsidR="005322B8" w:rsidRPr="00781112">
        <w:rPr>
          <w:rFonts w:cs="Arial"/>
          <w:color w:val="000000" w:themeColor="text1"/>
          <w:szCs w:val="16"/>
          <w:shd w:val="clear" w:color="auto" w:fill="FFFFFF"/>
        </w:rPr>
        <w:t xml:space="preserve"> = </w:t>
      </w:r>
      <w:r w:rsidR="00B2497F" w:rsidRPr="00781112">
        <w:rPr>
          <w:rFonts w:cs="Arial"/>
          <w:color w:val="000000" w:themeColor="text1"/>
          <w:szCs w:val="16"/>
          <w:shd w:val="clear" w:color="auto" w:fill="FFFFFF"/>
        </w:rPr>
        <w:t xml:space="preserve">[(# </w:t>
      </w:r>
      <w:r w:rsidR="005322B8" w:rsidRPr="00781112">
        <w:rPr>
          <w:rFonts w:cs="Arial"/>
          <w:color w:val="000000" w:themeColor="text1"/>
          <w:szCs w:val="16"/>
          <w:shd w:val="clear" w:color="auto" w:fill="FFFFFF"/>
        </w:rPr>
        <w:t>of children age</w:t>
      </w:r>
      <w:r w:rsidRPr="00781112">
        <w:rPr>
          <w:rFonts w:cs="Arial"/>
          <w:color w:val="000000" w:themeColor="text1"/>
          <w:szCs w:val="16"/>
          <w:shd w:val="clear" w:color="auto" w:fill="FFFFFF"/>
        </w:rPr>
        <w:t>s</w:t>
      </w:r>
      <w:r w:rsidR="005322B8" w:rsidRPr="00781112">
        <w:rPr>
          <w:rFonts w:cs="Arial"/>
          <w:color w:val="000000" w:themeColor="text1"/>
          <w:szCs w:val="16"/>
          <w:shd w:val="clear" w:color="auto" w:fill="FFFFFF"/>
        </w:rPr>
        <w:t xml:space="preserve"> 3</w:t>
      </w:r>
      <w:r w:rsidRPr="00781112">
        <w:rPr>
          <w:rFonts w:cs="Arial"/>
          <w:color w:val="000000" w:themeColor="text1"/>
          <w:szCs w:val="16"/>
          <w:shd w:val="clear" w:color="auto" w:fill="FFFFFF"/>
        </w:rPr>
        <w:t>, 4, and</w:t>
      </w:r>
      <w:r w:rsidR="005322B8" w:rsidRPr="00781112">
        <w:rPr>
          <w:rFonts w:cs="Arial"/>
          <w:color w:val="000000" w:themeColor="text1"/>
          <w:szCs w:val="16"/>
          <w:shd w:val="clear" w:color="auto" w:fill="FFFFFF"/>
        </w:rPr>
        <w:t xml:space="preserve"> 5 with IEPs attending a regular early childhood program and receiving </w:t>
      </w:r>
      <w:proofErr w:type="gramStart"/>
      <w:r w:rsidR="005322B8" w:rsidRPr="00781112">
        <w:rPr>
          <w:rFonts w:cs="Arial"/>
          <w:color w:val="000000" w:themeColor="text1"/>
          <w:szCs w:val="16"/>
          <w:shd w:val="clear" w:color="auto" w:fill="FFFFFF"/>
        </w:rPr>
        <w:t>the majority of</w:t>
      </w:r>
      <w:proofErr w:type="gramEnd"/>
      <w:r w:rsidR="005322B8" w:rsidRPr="00781112">
        <w:rPr>
          <w:rFonts w:cs="Arial"/>
          <w:color w:val="000000" w:themeColor="text1"/>
          <w:szCs w:val="16"/>
          <w:shd w:val="clear" w:color="auto" w:fill="FFFFFF"/>
        </w:rPr>
        <w:t xml:space="preserve"> special </w:t>
      </w:r>
      <w:r w:rsidR="00774DE0" w:rsidRPr="00781112">
        <w:rPr>
          <w:rFonts w:cs="Arial"/>
          <w:color w:val="000000" w:themeColor="text1"/>
          <w:szCs w:val="16"/>
          <w:shd w:val="clear" w:color="auto" w:fill="FFFFFF"/>
        </w:rPr>
        <w:tab/>
      </w:r>
      <w:r w:rsidR="005322B8" w:rsidRPr="00781112">
        <w:rPr>
          <w:rFonts w:cs="Arial"/>
          <w:color w:val="000000" w:themeColor="text1"/>
          <w:szCs w:val="16"/>
          <w:shd w:val="clear" w:color="auto" w:fill="FFFFFF"/>
        </w:rPr>
        <w:t>education and related services in the regular early childhood program) divided by the (total # of children age</w:t>
      </w:r>
      <w:r w:rsidR="00774DE0" w:rsidRPr="00781112">
        <w:rPr>
          <w:rFonts w:cs="Arial"/>
          <w:color w:val="000000" w:themeColor="text1"/>
          <w:szCs w:val="16"/>
          <w:shd w:val="clear" w:color="auto" w:fill="FFFFFF"/>
        </w:rPr>
        <w:t>s</w:t>
      </w:r>
      <w:r w:rsidR="005322B8" w:rsidRPr="00781112">
        <w:rPr>
          <w:rFonts w:cs="Arial"/>
          <w:color w:val="000000" w:themeColor="text1"/>
          <w:szCs w:val="16"/>
          <w:shd w:val="clear" w:color="auto" w:fill="FFFFFF"/>
        </w:rPr>
        <w:t xml:space="preserve"> 3</w:t>
      </w:r>
      <w:r w:rsidR="00774DE0" w:rsidRPr="00781112">
        <w:rPr>
          <w:rFonts w:cs="Arial"/>
          <w:color w:val="000000" w:themeColor="text1"/>
          <w:szCs w:val="16"/>
          <w:shd w:val="clear" w:color="auto" w:fill="FFFFFF"/>
        </w:rPr>
        <w:t>, 4, and</w:t>
      </w:r>
      <w:r w:rsidR="005322B8" w:rsidRPr="00781112">
        <w:rPr>
          <w:rFonts w:cs="Arial"/>
          <w:color w:val="000000" w:themeColor="text1"/>
          <w:szCs w:val="16"/>
          <w:shd w:val="clear" w:color="auto" w:fill="FFFFFF"/>
        </w:rPr>
        <w:t xml:space="preserve"> 5 with IEPs)</w:t>
      </w:r>
      <w:r w:rsidR="00B2497F" w:rsidRPr="00781112">
        <w:rPr>
          <w:rFonts w:cs="Arial"/>
          <w:color w:val="000000" w:themeColor="text1"/>
          <w:szCs w:val="16"/>
          <w:shd w:val="clear" w:color="auto" w:fill="FFFFFF"/>
        </w:rPr>
        <w:t>]</w:t>
      </w:r>
      <w:r w:rsidR="005322B8" w:rsidRPr="00781112">
        <w:rPr>
          <w:rFonts w:cs="Arial"/>
          <w:color w:val="000000" w:themeColor="text1"/>
          <w:szCs w:val="16"/>
          <w:shd w:val="clear" w:color="auto" w:fill="FFFFFF"/>
        </w:rPr>
        <w:t xml:space="preserve"> times </w:t>
      </w:r>
      <w:r w:rsidR="00774DE0" w:rsidRPr="00781112">
        <w:rPr>
          <w:rFonts w:cs="Arial"/>
          <w:color w:val="000000" w:themeColor="text1"/>
          <w:szCs w:val="16"/>
          <w:shd w:val="clear" w:color="auto" w:fill="FFFFFF"/>
        </w:rPr>
        <w:tab/>
      </w:r>
      <w:r w:rsidR="005322B8" w:rsidRPr="00781112">
        <w:rPr>
          <w:rFonts w:cs="Arial"/>
          <w:color w:val="000000" w:themeColor="text1"/>
          <w:szCs w:val="16"/>
          <w:shd w:val="clear" w:color="auto" w:fill="FFFFFF"/>
        </w:rPr>
        <w:t>100.</w:t>
      </w:r>
    </w:p>
    <w:p w14:paraId="0CD6EF84" w14:textId="4020B61A" w:rsidR="005322B8" w:rsidRPr="00781112" w:rsidRDefault="00774DE0" w:rsidP="00286BDF">
      <w:pPr>
        <w:rPr>
          <w:rFonts w:cs="Arial"/>
          <w:color w:val="000000" w:themeColor="text1"/>
          <w:szCs w:val="16"/>
          <w:shd w:val="clear" w:color="auto" w:fill="FFFFFF"/>
        </w:rPr>
      </w:pPr>
      <w:r w:rsidRPr="00781112">
        <w:rPr>
          <w:rFonts w:cs="Arial"/>
          <w:color w:val="000000" w:themeColor="text1"/>
          <w:szCs w:val="16"/>
        </w:rPr>
        <w:tab/>
        <w:t xml:space="preserve">B. Percent </w:t>
      </w:r>
      <w:r w:rsidR="00DB1150" w:rsidRPr="00781112">
        <w:rPr>
          <w:rFonts w:cs="Arial"/>
          <w:color w:val="000000" w:themeColor="text1"/>
          <w:szCs w:val="16"/>
          <w:shd w:val="clear" w:color="auto" w:fill="FFFFFF"/>
        </w:rPr>
        <w:t>=</w:t>
      </w:r>
      <w:r w:rsidR="005322B8" w:rsidRPr="00781112">
        <w:rPr>
          <w:rFonts w:cs="Arial"/>
          <w:color w:val="000000" w:themeColor="text1"/>
          <w:szCs w:val="16"/>
          <w:shd w:val="clear" w:color="auto" w:fill="FFFFFF"/>
        </w:rPr>
        <w:t xml:space="preserve"> </w:t>
      </w:r>
      <w:r w:rsidR="00B2497F" w:rsidRPr="00781112">
        <w:rPr>
          <w:rFonts w:cs="Arial"/>
          <w:color w:val="000000" w:themeColor="text1"/>
          <w:szCs w:val="16"/>
          <w:shd w:val="clear" w:color="auto" w:fill="FFFFFF"/>
        </w:rPr>
        <w:t>[</w:t>
      </w:r>
      <w:r w:rsidR="005322B8" w:rsidRPr="00781112">
        <w:rPr>
          <w:rFonts w:cs="Arial"/>
          <w:color w:val="000000" w:themeColor="text1"/>
          <w:szCs w:val="16"/>
          <w:shd w:val="clear" w:color="auto" w:fill="FFFFFF"/>
        </w:rPr>
        <w:t>(# of children age</w:t>
      </w:r>
      <w:r w:rsidR="00633044" w:rsidRPr="00781112">
        <w:rPr>
          <w:rFonts w:cs="Arial"/>
          <w:color w:val="000000" w:themeColor="text1"/>
          <w:szCs w:val="16"/>
          <w:shd w:val="clear" w:color="auto" w:fill="FFFFFF"/>
        </w:rPr>
        <w:t>s</w:t>
      </w:r>
      <w:r w:rsidR="005322B8" w:rsidRPr="00781112">
        <w:rPr>
          <w:rFonts w:cs="Arial"/>
          <w:color w:val="000000" w:themeColor="text1"/>
          <w:szCs w:val="16"/>
          <w:shd w:val="clear" w:color="auto" w:fill="FFFFFF"/>
        </w:rPr>
        <w:t xml:space="preserve"> 3</w:t>
      </w:r>
      <w:r w:rsidR="00633044" w:rsidRPr="00781112">
        <w:rPr>
          <w:rFonts w:cs="Arial"/>
          <w:color w:val="000000" w:themeColor="text1"/>
          <w:szCs w:val="16"/>
          <w:shd w:val="clear" w:color="auto" w:fill="FFFFFF"/>
        </w:rPr>
        <w:t>, 4, and</w:t>
      </w:r>
      <w:r w:rsidR="005322B8" w:rsidRPr="00781112">
        <w:rPr>
          <w:rFonts w:cs="Arial"/>
          <w:color w:val="000000" w:themeColor="text1"/>
          <w:szCs w:val="16"/>
          <w:shd w:val="clear" w:color="auto" w:fill="FFFFFF"/>
        </w:rPr>
        <w:t xml:space="preserve"> 5 with IEPs attending a separate special education class, separate </w:t>
      </w:r>
      <w:proofErr w:type="gramStart"/>
      <w:r w:rsidR="005322B8" w:rsidRPr="00781112">
        <w:rPr>
          <w:rFonts w:cs="Arial"/>
          <w:color w:val="000000" w:themeColor="text1"/>
          <w:szCs w:val="16"/>
          <w:shd w:val="clear" w:color="auto" w:fill="FFFFFF"/>
        </w:rPr>
        <w:t>school</w:t>
      </w:r>
      <w:proofErr w:type="gramEnd"/>
      <w:r w:rsidR="005322B8" w:rsidRPr="00781112">
        <w:rPr>
          <w:rFonts w:cs="Arial"/>
          <w:color w:val="000000" w:themeColor="text1"/>
          <w:szCs w:val="16"/>
          <w:shd w:val="clear" w:color="auto" w:fill="FFFFFF"/>
        </w:rPr>
        <w:t xml:space="preserve"> or residential facility) </w:t>
      </w:r>
      <w:r w:rsidRPr="00781112">
        <w:rPr>
          <w:rFonts w:cs="Arial"/>
          <w:color w:val="000000" w:themeColor="text1"/>
          <w:szCs w:val="16"/>
          <w:shd w:val="clear" w:color="auto" w:fill="FFFFFF"/>
        </w:rPr>
        <w:tab/>
      </w:r>
      <w:r w:rsidR="005322B8" w:rsidRPr="00781112">
        <w:rPr>
          <w:rFonts w:cs="Arial"/>
          <w:color w:val="000000" w:themeColor="text1"/>
          <w:szCs w:val="16"/>
          <w:shd w:val="clear" w:color="auto" w:fill="FFFFFF"/>
        </w:rPr>
        <w:t>divided by the (total # of children age</w:t>
      </w:r>
      <w:r w:rsidR="00633044" w:rsidRPr="00781112">
        <w:rPr>
          <w:rFonts w:cs="Arial"/>
          <w:color w:val="000000" w:themeColor="text1"/>
          <w:szCs w:val="16"/>
          <w:shd w:val="clear" w:color="auto" w:fill="FFFFFF"/>
        </w:rPr>
        <w:t>s</w:t>
      </w:r>
      <w:r w:rsidR="005322B8" w:rsidRPr="00781112">
        <w:rPr>
          <w:rFonts w:cs="Arial"/>
          <w:color w:val="000000" w:themeColor="text1"/>
          <w:szCs w:val="16"/>
          <w:shd w:val="clear" w:color="auto" w:fill="FFFFFF"/>
        </w:rPr>
        <w:t xml:space="preserve"> 3</w:t>
      </w:r>
      <w:r w:rsidR="00633044" w:rsidRPr="00781112">
        <w:rPr>
          <w:rFonts w:cs="Arial"/>
          <w:color w:val="000000" w:themeColor="text1"/>
          <w:szCs w:val="16"/>
          <w:shd w:val="clear" w:color="auto" w:fill="FFFFFF"/>
        </w:rPr>
        <w:t>, 4, and</w:t>
      </w:r>
      <w:r w:rsidR="005322B8" w:rsidRPr="00781112">
        <w:rPr>
          <w:rFonts w:cs="Arial"/>
          <w:color w:val="000000" w:themeColor="text1"/>
          <w:szCs w:val="16"/>
          <w:shd w:val="clear" w:color="auto" w:fill="FFFFFF"/>
        </w:rPr>
        <w:t xml:space="preserve"> 5 with IEPs)</w:t>
      </w:r>
      <w:r w:rsidR="00B2497F" w:rsidRPr="00781112">
        <w:rPr>
          <w:rFonts w:cs="Arial"/>
          <w:color w:val="000000" w:themeColor="text1"/>
          <w:szCs w:val="16"/>
          <w:shd w:val="clear" w:color="auto" w:fill="FFFFFF"/>
        </w:rPr>
        <w:t>]</w:t>
      </w:r>
      <w:r w:rsidR="005322B8" w:rsidRPr="00781112">
        <w:rPr>
          <w:rFonts w:cs="Arial"/>
          <w:color w:val="000000" w:themeColor="text1"/>
          <w:szCs w:val="16"/>
          <w:shd w:val="clear" w:color="auto" w:fill="FFFFFF"/>
        </w:rPr>
        <w:t xml:space="preserve"> times 100.</w:t>
      </w:r>
    </w:p>
    <w:p w14:paraId="48F03EFA" w14:textId="54A1E7EC" w:rsidR="00774DE0" w:rsidRPr="00781112" w:rsidRDefault="002C5A1B" w:rsidP="00360DD6">
      <w:pPr>
        <w:ind w:left="360"/>
        <w:rPr>
          <w:rFonts w:cs="Arial"/>
          <w:szCs w:val="16"/>
        </w:rPr>
      </w:pPr>
      <w:r w:rsidRPr="00781112">
        <w:rPr>
          <w:rFonts w:cs="Arial"/>
          <w:color w:val="000000" w:themeColor="text1"/>
          <w:szCs w:val="16"/>
          <w:shd w:val="clear" w:color="auto" w:fill="FFFFFF"/>
        </w:rPr>
        <w:tab/>
      </w:r>
      <w:r w:rsidR="007E77D6" w:rsidRPr="00781112">
        <w:rPr>
          <w:rFonts w:cs="Arial"/>
          <w:color w:val="000000" w:themeColor="text1"/>
          <w:szCs w:val="16"/>
          <w:shd w:val="clear" w:color="auto" w:fill="FFFFFF"/>
        </w:rPr>
        <w:t xml:space="preserve">C. </w:t>
      </w:r>
      <w:r w:rsidRPr="00781112">
        <w:rPr>
          <w:rFonts w:cs="Arial"/>
          <w:szCs w:val="16"/>
        </w:rPr>
        <w:t xml:space="preserve">Percent = [(# of children ages 3, 4, and 5 with IEPs receiving special education and related services in the home) divided by the (total # of </w:t>
      </w:r>
      <w:r w:rsidRPr="00781112">
        <w:rPr>
          <w:rFonts w:cs="Arial"/>
          <w:szCs w:val="16"/>
        </w:rPr>
        <w:tab/>
        <w:t>children ages 3, 4, and 5 with IEPs)] times 100.</w:t>
      </w:r>
    </w:p>
    <w:p w14:paraId="2CAF467D" w14:textId="77777777" w:rsidR="005322B8" w:rsidRPr="00781112" w:rsidRDefault="005322B8" w:rsidP="004369B2">
      <w:pPr>
        <w:rPr>
          <w:color w:val="000000" w:themeColor="text1"/>
        </w:rPr>
      </w:pPr>
      <w:r w:rsidRPr="00781112">
        <w:rPr>
          <w:b/>
          <w:color w:val="000000" w:themeColor="text1"/>
        </w:rPr>
        <w:t>Instructions</w:t>
      </w:r>
    </w:p>
    <w:p w14:paraId="5B2FF157" w14:textId="6FABC6E7" w:rsidR="005322B8" w:rsidRPr="00781112" w:rsidRDefault="005322B8" w:rsidP="00BB7BC9">
      <w:pPr>
        <w:rPr>
          <w:rFonts w:cs="Arial"/>
          <w:i/>
          <w:iCs/>
          <w:color w:val="000000" w:themeColor="text1"/>
          <w:szCs w:val="16"/>
        </w:rPr>
      </w:pPr>
      <w:r w:rsidRPr="00781112">
        <w:rPr>
          <w:rFonts w:cs="Arial"/>
          <w:i/>
          <w:iCs/>
          <w:color w:val="000000" w:themeColor="text1"/>
          <w:szCs w:val="16"/>
        </w:rPr>
        <w:t>Sampling from the State’s 618 data is not allowed.</w:t>
      </w:r>
    </w:p>
    <w:p w14:paraId="4451A4DB" w14:textId="77777777" w:rsidR="00426EC6" w:rsidRPr="00781112" w:rsidRDefault="00426EC6" w:rsidP="00426EC6">
      <w:pPr>
        <w:rPr>
          <w:rFonts w:cs="Arial"/>
          <w:szCs w:val="16"/>
        </w:rPr>
      </w:pPr>
      <w:r w:rsidRPr="00781112">
        <w:rPr>
          <w:rFonts w:cs="Arial"/>
          <w:szCs w:val="16"/>
        </w:rPr>
        <w:t xml:space="preserve">States must report </w:t>
      </w:r>
      <w:proofErr w:type="gramStart"/>
      <w:r w:rsidRPr="00781112">
        <w:rPr>
          <w:rFonts w:cs="Arial"/>
          <w:szCs w:val="16"/>
        </w:rPr>
        <w:t>five</w:t>
      </w:r>
      <w:proofErr w:type="gramEnd"/>
      <w:r w:rsidRPr="00781112">
        <w:rPr>
          <w:rFonts w:cs="Arial"/>
          <w:szCs w:val="16"/>
        </w:rPr>
        <w:t>-year-old children with disabilities who are enrolled in preschool programs in this indicator. Five-year-old children with disabilities who are enrolled in kindergarten are included in Indicator 5.</w:t>
      </w:r>
    </w:p>
    <w:p w14:paraId="0B2E3F2D" w14:textId="77777777" w:rsidR="00426EC6" w:rsidRPr="00781112" w:rsidRDefault="00426EC6" w:rsidP="00426EC6">
      <w:pPr>
        <w:rPr>
          <w:rFonts w:cs="Arial"/>
          <w:szCs w:val="16"/>
        </w:rPr>
      </w:pPr>
      <w:r w:rsidRPr="00781112">
        <w:rPr>
          <w:rFonts w:cs="Arial"/>
          <w:szCs w:val="16"/>
        </w:rPr>
        <w:t>States may choose to set one target that is inclusive of children ages 3, 4, and 5, or set individual targets for each age.</w:t>
      </w:r>
    </w:p>
    <w:p w14:paraId="7F82A520" w14:textId="77777777" w:rsidR="00633044" w:rsidRPr="00781112" w:rsidRDefault="00633044" w:rsidP="00633044">
      <w:pPr>
        <w:rPr>
          <w:rFonts w:cs="Arial"/>
          <w:szCs w:val="16"/>
        </w:rPr>
      </w:pPr>
      <w:r w:rsidRPr="00781112">
        <w:rPr>
          <w:rFonts w:cs="Arial"/>
          <w:szCs w:val="16"/>
        </w:rPr>
        <w:t xml:space="preserve">For Indicator 6C: States are not required to establish a baseline or targets if the number of children receiving special education and related services in the home is less than 10, regardless of whether the State chooses to set one target that is inclusive of children ages 3, 4, and 5, or set individual targets for each age. In a reporting period during which the number of children receiving special education and related services in the home reaches 10 or greater, States are required to develop </w:t>
      </w:r>
      <w:proofErr w:type="gramStart"/>
      <w:r w:rsidRPr="00781112">
        <w:rPr>
          <w:rFonts w:cs="Arial"/>
          <w:szCs w:val="16"/>
        </w:rPr>
        <w:t>baseline</w:t>
      </w:r>
      <w:proofErr w:type="gramEnd"/>
      <w:r w:rsidRPr="00781112">
        <w:rPr>
          <w:rFonts w:cs="Arial"/>
          <w:szCs w:val="16"/>
        </w:rPr>
        <w:t xml:space="preserve"> and targets and report on them in the corresponding SPP/APR.</w:t>
      </w:r>
    </w:p>
    <w:p w14:paraId="594A7ED4" w14:textId="41F6D87D" w:rsidR="005322B8" w:rsidRPr="00781112" w:rsidRDefault="00633044" w:rsidP="00BB7BC9">
      <w:pPr>
        <w:rPr>
          <w:rFonts w:cs="Arial"/>
          <w:color w:val="000000" w:themeColor="text1"/>
          <w:szCs w:val="16"/>
        </w:rPr>
      </w:pPr>
      <w:r w:rsidRPr="00781112">
        <w:rPr>
          <w:rFonts w:cs="Arial"/>
          <w:szCs w:val="16"/>
        </w:rPr>
        <w:t xml:space="preserve">For Indicator 6C: </w:t>
      </w:r>
      <w:r w:rsidRPr="00781112">
        <w:rPr>
          <w:rFonts w:cs="Arial"/>
          <w:iCs/>
          <w:szCs w:val="16"/>
        </w:rPr>
        <w:t>States may express their targets in a range (</w:t>
      </w:r>
      <w:r w:rsidRPr="00781112">
        <w:rPr>
          <w:rFonts w:cs="Arial"/>
          <w:i/>
          <w:iCs/>
          <w:szCs w:val="16"/>
        </w:rPr>
        <w:t>e.g.</w:t>
      </w:r>
      <w:r w:rsidRPr="00781112">
        <w:rPr>
          <w:rFonts w:cs="Arial"/>
          <w:iCs/>
          <w:szCs w:val="16"/>
        </w:rPr>
        <w:t>, 75-85%).</w:t>
      </w:r>
      <w:r w:rsidR="005322B8" w:rsidRPr="00781112">
        <w:rPr>
          <w:rFonts w:cs="Arial"/>
          <w:color w:val="000000" w:themeColor="text1"/>
          <w:szCs w:val="16"/>
        </w:rPr>
        <w:t>Describe the results of the calculations and compare the results to the target.</w:t>
      </w:r>
    </w:p>
    <w:p w14:paraId="19F07E42" w14:textId="35DC1378" w:rsidR="005322B8" w:rsidRPr="00781112" w:rsidRDefault="005322B8" w:rsidP="00BB7BC9">
      <w:pPr>
        <w:rPr>
          <w:rFonts w:cs="Arial"/>
          <w:color w:val="000000" w:themeColor="text1"/>
          <w:szCs w:val="16"/>
        </w:rPr>
      </w:pPr>
      <w:r w:rsidRPr="00781112">
        <w:rPr>
          <w:rFonts w:cs="Arial"/>
          <w:color w:val="000000" w:themeColor="text1"/>
          <w:szCs w:val="16"/>
        </w:rPr>
        <w:t>If the data reported in this indicator are not the same as the State’s data reported under IDEA section 618, explain.</w:t>
      </w:r>
    </w:p>
    <w:bookmarkEnd w:id="41"/>
    <w:p w14:paraId="1489816D" w14:textId="2F10D57A" w:rsidR="008D3484" w:rsidRPr="00781112" w:rsidRDefault="00C96236" w:rsidP="008645AD">
      <w:pPr>
        <w:pStyle w:val="Heading2"/>
      </w:pPr>
      <w:r w:rsidRPr="00781112">
        <w:t>6</w:t>
      </w:r>
      <w:r w:rsidR="00C91B94" w:rsidRPr="00781112">
        <w:t xml:space="preserve"> </w:t>
      </w:r>
      <w:r w:rsidRPr="00781112">
        <w:t xml:space="preserve">- </w:t>
      </w:r>
      <w:r w:rsidR="008D3484" w:rsidRPr="00781112">
        <w:t>Indicator Data</w:t>
      </w:r>
    </w:p>
    <w:p w14:paraId="625E607A" w14:textId="77777777" w:rsidR="0091098C" w:rsidRPr="00781112" w:rsidRDefault="0091098C" w:rsidP="004369B2">
      <w:pPr>
        <w:rPr>
          <w:color w:val="000000" w:themeColor="text1"/>
        </w:rPr>
      </w:pPr>
      <w:r w:rsidRPr="00781112">
        <w:rPr>
          <w:b/>
          <w:color w:val="000000" w:themeColor="text1"/>
        </w:rPr>
        <w:t>Not Applicable</w:t>
      </w:r>
    </w:p>
    <w:p w14:paraId="5333465D" w14:textId="3F1EC485" w:rsidR="004B75EC" w:rsidRPr="00781112" w:rsidRDefault="003229FA">
      <w:pPr>
        <w:rPr>
          <w:b/>
          <w:color w:val="000000" w:themeColor="text1"/>
        </w:rPr>
      </w:pPr>
      <w:r w:rsidRPr="00781112">
        <w:rPr>
          <w:b/>
          <w:color w:val="000000" w:themeColor="text1"/>
        </w:rPr>
        <w:t xml:space="preserve">Select yes if this indicator is not applicable. </w:t>
      </w:r>
    </w:p>
    <w:p w14:paraId="2FEE6491" w14:textId="58E763AD" w:rsidR="00043AC9" w:rsidRPr="00781112" w:rsidRDefault="00043AC9" w:rsidP="004369B2">
      <w:pPr>
        <w:rPr>
          <w:rFonts w:cs="Arial"/>
          <w:color w:val="000000" w:themeColor="text1"/>
          <w:szCs w:val="16"/>
        </w:rPr>
      </w:pPr>
      <w:r w:rsidRPr="00781112">
        <w:rPr>
          <w:rFonts w:cs="Arial"/>
          <w:color w:val="000000" w:themeColor="text1"/>
          <w:szCs w:val="16"/>
        </w:rPr>
        <w:t>NO</w:t>
      </w:r>
    </w:p>
    <w:p w14:paraId="6D4C5D02" w14:textId="77777777" w:rsidR="002441FF" w:rsidRPr="00781112" w:rsidRDefault="002441FF" w:rsidP="002441FF">
      <w:pPr>
        <w:rPr>
          <w:color w:val="000000" w:themeColor="text1"/>
        </w:rPr>
      </w:pPr>
    </w:p>
    <w:p w14:paraId="2DFC3658" w14:textId="20467DA4" w:rsidR="006309D0" w:rsidRPr="00781112" w:rsidRDefault="006309D0" w:rsidP="006309D0">
      <w:pPr>
        <w:rPr>
          <w:b/>
          <w:color w:val="000000" w:themeColor="text1"/>
        </w:rPr>
      </w:pPr>
      <w:r w:rsidRPr="00781112">
        <w:rPr>
          <w:b/>
          <w:color w:val="000000" w:themeColor="text1"/>
        </w:rPr>
        <w:t>Historical Data – 6A, 6B</w:t>
      </w:r>
    </w:p>
    <w:tbl>
      <w:tblPr>
        <w:tblW w:w="45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B06HISTDATA"/>
      </w:tblPr>
      <w:tblGrid>
        <w:gridCol w:w="625"/>
        <w:gridCol w:w="1036"/>
        <w:gridCol w:w="1618"/>
        <w:gridCol w:w="1619"/>
        <w:gridCol w:w="1618"/>
        <w:gridCol w:w="1619"/>
        <w:gridCol w:w="1619"/>
      </w:tblGrid>
      <w:tr w:rsidR="001F2C34" w:rsidRPr="00781112" w14:paraId="10B8D4E0" w14:textId="65C4ABC5" w:rsidTr="005F5FE9">
        <w:trPr>
          <w:trHeight w:val="485"/>
        </w:trPr>
        <w:tc>
          <w:tcPr>
            <w:tcW w:w="625" w:type="dxa"/>
            <w:tcBorders>
              <w:top w:val="single" w:sz="4" w:space="0" w:color="auto"/>
              <w:left w:val="single" w:sz="4" w:space="0" w:color="auto"/>
              <w:bottom w:val="single" w:sz="4" w:space="0" w:color="auto"/>
              <w:right w:val="single" w:sz="4" w:space="0" w:color="auto"/>
            </w:tcBorders>
            <w:shd w:val="clear" w:color="auto" w:fill="auto"/>
          </w:tcPr>
          <w:p w14:paraId="2D5DFCFC" w14:textId="199152DC"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Part</w:t>
            </w:r>
          </w:p>
        </w:tc>
        <w:tc>
          <w:tcPr>
            <w:tcW w:w="1036" w:type="dxa"/>
            <w:tcBorders>
              <w:top w:val="single" w:sz="4" w:space="0" w:color="auto"/>
              <w:left w:val="single" w:sz="4" w:space="0" w:color="auto"/>
              <w:bottom w:val="single" w:sz="4" w:space="0" w:color="auto"/>
              <w:right w:val="single" w:sz="4" w:space="0" w:color="auto"/>
            </w:tcBorders>
            <w:shd w:val="clear" w:color="auto" w:fill="auto"/>
          </w:tcPr>
          <w:p w14:paraId="0195DB54" w14:textId="77777777"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FFY</w:t>
            </w:r>
          </w:p>
        </w:tc>
        <w:tc>
          <w:tcPr>
            <w:tcW w:w="1618" w:type="dxa"/>
            <w:tcBorders>
              <w:top w:val="single" w:sz="4" w:space="0" w:color="auto"/>
              <w:left w:val="single" w:sz="4" w:space="0" w:color="auto"/>
              <w:bottom w:val="single" w:sz="4" w:space="0" w:color="auto"/>
              <w:right w:val="single" w:sz="4" w:space="0" w:color="auto"/>
            </w:tcBorders>
            <w:shd w:val="clear" w:color="auto" w:fill="auto"/>
            <w:hideMark/>
          </w:tcPr>
          <w:p w14:paraId="6D0BD013" w14:textId="2E725702"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2016</w:t>
            </w:r>
          </w:p>
        </w:tc>
        <w:tc>
          <w:tcPr>
            <w:tcW w:w="1619" w:type="dxa"/>
            <w:tcBorders>
              <w:top w:val="single" w:sz="4" w:space="0" w:color="auto"/>
              <w:left w:val="single" w:sz="4" w:space="0" w:color="auto"/>
              <w:bottom w:val="single" w:sz="4" w:space="0" w:color="auto"/>
              <w:right w:val="single" w:sz="4" w:space="0" w:color="auto"/>
            </w:tcBorders>
            <w:shd w:val="clear" w:color="auto" w:fill="auto"/>
            <w:hideMark/>
          </w:tcPr>
          <w:p w14:paraId="793A4955" w14:textId="7857A3E8"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2017</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4C1C44EE" w14:textId="0FBA6B8E"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2018</w:t>
            </w:r>
          </w:p>
        </w:tc>
        <w:tc>
          <w:tcPr>
            <w:tcW w:w="1619" w:type="dxa"/>
            <w:tcBorders>
              <w:top w:val="single" w:sz="4" w:space="0" w:color="auto"/>
              <w:left w:val="single" w:sz="4" w:space="0" w:color="auto"/>
              <w:bottom w:val="single" w:sz="4" w:space="0" w:color="auto"/>
              <w:right w:val="single" w:sz="4" w:space="0" w:color="auto"/>
            </w:tcBorders>
            <w:shd w:val="clear" w:color="auto" w:fill="auto"/>
            <w:hideMark/>
          </w:tcPr>
          <w:p w14:paraId="738D2C75" w14:textId="09B12609"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2019</w:t>
            </w:r>
          </w:p>
        </w:tc>
        <w:tc>
          <w:tcPr>
            <w:tcW w:w="1619" w:type="dxa"/>
            <w:tcBorders>
              <w:top w:val="single" w:sz="4" w:space="0" w:color="auto"/>
              <w:left w:val="single" w:sz="4" w:space="0" w:color="auto"/>
              <w:bottom w:val="single" w:sz="4" w:space="0" w:color="auto"/>
              <w:right w:val="single" w:sz="4" w:space="0" w:color="auto"/>
            </w:tcBorders>
            <w:shd w:val="clear" w:color="auto" w:fill="auto"/>
            <w:hideMark/>
          </w:tcPr>
          <w:p w14:paraId="09EF8815" w14:textId="0E900FD9"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2020</w:t>
            </w:r>
          </w:p>
        </w:tc>
      </w:tr>
      <w:tr w:rsidR="001F2C34" w:rsidRPr="00781112" w14:paraId="12643853" w14:textId="714409A9" w:rsidTr="005F5FE9">
        <w:trPr>
          <w:trHeight w:val="357"/>
        </w:trPr>
        <w:tc>
          <w:tcPr>
            <w:tcW w:w="625" w:type="dxa"/>
            <w:tcBorders>
              <w:top w:val="single" w:sz="4" w:space="0" w:color="auto"/>
              <w:left w:val="single" w:sz="4" w:space="0" w:color="auto"/>
              <w:right w:val="single" w:sz="4" w:space="0" w:color="auto"/>
            </w:tcBorders>
            <w:shd w:val="clear" w:color="auto" w:fill="auto"/>
            <w:vAlign w:val="center"/>
          </w:tcPr>
          <w:p w14:paraId="1DCB50CC" w14:textId="77777777" w:rsidR="001F2C34" w:rsidRPr="00781112" w:rsidRDefault="001F2C34">
            <w:pPr>
              <w:spacing w:line="276" w:lineRule="auto"/>
              <w:jc w:val="center"/>
              <w:rPr>
                <w:rFonts w:cs="Arial"/>
                <w:b/>
                <w:bCs/>
                <w:color w:val="000000" w:themeColor="text1"/>
                <w:szCs w:val="16"/>
              </w:rPr>
            </w:pPr>
            <w:r w:rsidRPr="00781112">
              <w:rPr>
                <w:rFonts w:cs="Arial"/>
                <w:b/>
                <w:bCs/>
                <w:color w:val="000000" w:themeColor="text1"/>
                <w:szCs w:val="16"/>
              </w:rPr>
              <w:t>A</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078A73" w14:textId="4E273194" w:rsidR="001F2C34" w:rsidRPr="00781112" w:rsidRDefault="001F2C34">
            <w:pPr>
              <w:spacing w:line="276" w:lineRule="auto"/>
              <w:rPr>
                <w:rFonts w:cs="Arial"/>
                <w:color w:val="000000" w:themeColor="text1"/>
                <w:szCs w:val="16"/>
              </w:rPr>
            </w:pPr>
            <w:r w:rsidRPr="00781112">
              <w:rPr>
                <w:rFonts w:cs="Arial"/>
                <w:color w:val="000000" w:themeColor="text1"/>
                <w:szCs w:val="16"/>
              </w:rPr>
              <w:t>Target &gt;=</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5D572D5A" w14:textId="187A2156" w:rsidR="001F2C34" w:rsidRPr="00781112" w:rsidRDefault="001F2C34" w:rsidP="00A018D4">
            <w:pPr>
              <w:jc w:val="center"/>
              <w:rPr>
                <w:rFonts w:cs="Arial"/>
                <w:color w:val="000000" w:themeColor="text1"/>
                <w:szCs w:val="16"/>
              </w:rPr>
            </w:pPr>
            <w:r w:rsidRPr="00781112">
              <w:rPr>
                <w:rFonts w:cs="Arial"/>
                <w:color w:val="000000" w:themeColor="text1"/>
                <w:szCs w:val="16"/>
              </w:rPr>
              <w:t>33.62%</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7473ABC9" w14:textId="69DF669C" w:rsidR="001F2C34" w:rsidRPr="00781112" w:rsidRDefault="001F2C34" w:rsidP="00A018D4">
            <w:pPr>
              <w:jc w:val="center"/>
              <w:rPr>
                <w:rFonts w:cs="Arial"/>
                <w:color w:val="000000" w:themeColor="text1"/>
                <w:szCs w:val="16"/>
              </w:rPr>
            </w:pPr>
            <w:r w:rsidRPr="00781112">
              <w:rPr>
                <w:rFonts w:cs="Arial"/>
                <w:color w:val="000000" w:themeColor="text1"/>
                <w:szCs w:val="16"/>
              </w:rPr>
              <w:t>33.82%</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149232E9" w14:textId="6EBFCFBD" w:rsidR="001F2C34" w:rsidRPr="00781112" w:rsidRDefault="001F2C34" w:rsidP="00A018D4">
            <w:pPr>
              <w:jc w:val="center"/>
              <w:rPr>
                <w:rFonts w:cs="Arial"/>
                <w:color w:val="000000" w:themeColor="text1"/>
                <w:szCs w:val="16"/>
              </w:rPr>
            </w:pPr>
            <w:r w:rsidRPr="00781112">
              <w:rPr>
                <w:rFonts w:cs="Arial"/>
                <w:color w:val="000000" w:themeColor="text1"/>
                <w:szCs w:val="16"/>
              </w:rPr>
              <w:t>36.32%</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47B7D5E8" w14:textId="6AF11356" w:rsidR="001F2C34" w:rsidRPr="00781112" w:rsidRDefault="001F2C34" w:rsidP="00A018D4">
            <w:pPr>
              <w:jc w:val="center"/>
              <w:rPr>
                <w:rFonts w:cs="Arial"/>
                <w:color w:val="000000" w:themeColor="text1"/>
                <w:szCs w:val="16"/>
              </w:rPr>
            </w:pPr>
            <w:r w:rsidRPr="00781112">
              <w:rPr>
                <w:rFonts w:cs="Arial"/>
                <w:color w:val="000000" w:themeColor="text1"/>
                <w:szCs w:val="16"/>
              </w:rPr>
              <w:t>36.52%</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72960723" w14:textId="6EE6EB41" w:rsidR="001F2C34" w:rsidRPr="00781112" w:rsidRDefault="001F2C34" w:rsidP="00A018D4">
            <w:pPr>
              <w:jc w:val="center"/>
              <w:rPr>
                <w:rFonts w:cs="Arial"/>
                <w:color w:val="000000" w:themeColor="text1"/>
                <w:szCs w:val="16"/>
              </w:rPr>
            </w:pPr>
            <w:r w:rsidRPr="00781112">
              <w:rPr>
                <w:rFonts w:cs="Arial"/>
                <w:color w:val="000000" w:themeColor="text1"/>
                <w:szCs w:val="16"/>
              </w:rPr>
              <w:t>46.86%</w:t>
            </w:r>
          </w:p>
        </w:tc>
      </w:tr>
      <w:tr w:rsidR="001F2C34" w:rsidRPr="00781112" w14:paraId="24AB409F" w14:textId="3963C8DA" w:rsidTr="005F5FE9">
        <w:trPr>
          <w:trHeight w:val="85"/>
        </w:trPr>
        <w:tc>
          <w:tcPr>
            <w:tcW w:w="625" w:type="dxa"/>
            <w:tcBorders>
              <w:left w:val="single" w:sz="4" w:space="0" w:color="auto"/>
              <w:right w:val="single" w:sz="4" w:space="0" w:color="auto"/>
            </w:tcBorders>
            <w:shd w:val="clear" w:color="auto" w:fill="auto"/>
            <w:vAlign w:val="center"/>
          </w:tcPr>
          <w:p w14:paraId="29D181B3" w14:textId="5F8E2E42" w:rsidR="001F2C34" w:rsidRPr="00781112" w:rsidRDefault="001F2C34" w:rsidP="004369B2">
            <w:pPr>
              <w:spacing w:line="276" w:lineRule="auto"/>
              <w:jc w:val="center"/>
              <w:rPr>
                <w:rFonts w:cs="Arial"/>
                <w:b/>
                <w:bCs/>
                <w:color w:val="000000" w:themeColor="text1"/>
                <w:szCs w:val="16"/>
              </w:rPr>
            </w:pPr>
            <w:r w:rsidRPr="00781112">
              <w:rPr>
                <w:rFonts w:cs="Arial"/>
                <w:b/>
                <w:bCs/>
                <w:color w:val="000000" w:themeColor="text1"/>
                <w:szCs w:val="16"/>
              </w:rPr>
              <w:t>A</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FAFC6E" w14:textId="77777777" w:rsidR="001F2C34" w:rsidRPr="00781112" w:rsidRDefault="001F2C34">
            <w:pPr>
              <w:spacing w:line="276" w:lineRule="auto"/>
              <w:rPr>
                <w:rFonts w:cs="Arial"/>
                <w:color w:val="000000" w:themeColor="text1"/>
                <w:szCs w:val="16"/>
              </w:rPr>
            </w:pPr>
            <w:r w:rsidRPr="00781112">
              <w:rPr>
                <w:rFonts w:cs="Arial"/>
                <w:color w:val="000000" w:themeColor="text1"/>
                <w:szCs w:val="16"/>
              </w:rPr>
              <w:t>Data</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4CB2CE2B" w14:textId="24BBB7A6" w:rsidR="001F2C34" w:rsidRPr="00781112" w:rsidRDefault="001F2C34" w:rsidP="00A018D4">
            <w:pPr>
              <w:jc w:val="center"/>
              <w:rPr>
                <w:rFonts w:cs="Arial"/>
                <w:color w:val="000000" w:themeColor="text1"/>
                <w:szCs w:val="16"/>
              </w:rPr>
            </w:pPr>
            <w:r w:rsidRPr="00781112">
              <w:rPr>
                <w:rFonts w:cs="Arial"/>
                <w:color w:val="000000" w:themeColor="text1"/>
                <w:szCs w:val="16"/>
              </w:rPr>
              <w:t>37.19%</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029C2908" w14:textId="5081117A" w:rsidR="001F2C34" w:rsidRPr="00781112" w:rsidRDefault="001F2C34" w:rsidP="00A018D4">
            <w:pPr>
              <w:jc w:val="center"/>
              <w:rPr>
                <w:rFonts w:cs="Arial"/>
                <w:color w:val="000000" w:themeColor="text1"/>
                <w:szCs w:val="16"/>
              </w:rPr>
            </w:pPr>
            <w:r w:rsidRPr="00781112">
              <w:rPr>
                <w:rFonts w:cs="Arial"/>
                <w:color w:val="000000" w:themeColor="text1"/>
                <w:szCs w:val="16"/>
              </w:rPr>
              <w:t>39.90%</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3BDED07A" w14:textId="02885BAD" w:rsidR="001F2C34" w:rsidRPr="00781112" w:rsidRDefault="001F2C34" w:rsidP="00A018D4">
            <w:pPr>
              <w:jc w:val="center"/>
              <w:rPr>
                <w:rFonts w:cs="Arial"/>
                <w:color w:val="000000" w:themeColor="text1"/>
                <w:szCs w:val="16"/>
              </w:rPr>
            </w:pPr>
            <w:r w:rsidRPr="00781112">
              <w:rPr>
                <w:rFonts w:cs="Arial"/>
                <w:color w:val="000000" w:themeColor="text1"/>
                <w:szCs w:val="16"/>
              </w:rPr>
              <w:t>48.09%</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6DF0B77B" w14:textId="4431B3F8" w:rsidR="001F2C34" w:rsidRPr="00781112" w:rsidRDefault="001F2C34" w:rsidP="00A018D4">
            <w:pPr>
              <w:jc w:val="center"/>
              <w:rPr>
                <w:rFonts w:cs="Arial"/>
                <w:color w:val="000000" w:themeColor="text1"/>
                <w:szCs w:val="16"/>
              </w:rPr>
            </w:pPr>
            <w:r w:rsidRPr="00781112">
              <w:rPr>
                <w:rFonts w:cs="Arial"/>
                <w:color w:val="000000" w:themeColor="text1"/>
                <w:szCs w:val="16"/>
              </w:rPr>
              <w:t>52.05%</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46BBCE63" w14:textId="41D20CCF" w:rsidR="001F2C34" w:rsidRPr="00781112" w:rsidRDefault="001F2C34" w:rsidP="00A018D4">
            <w:pPr>
              <w:jc w:val="center"/>
              <w:rPr>
                <w:rFonts w:cs="Arial"/>
                <w:color w:val="000000" w:themeColor="text1"/>
                <w:szCs w:val="16"/>
              </w:rPr>
            </w:pPr>
            <w:r w:rsidRPr="00781112">
              <w:rPr>
                <w:rFonts w:cs="Arial"/>
                <w:color w:val="000000" w:themeColor="text1"/>
                <w:szCs w:val="16"/>
              </w:rPr>
              <w:t>50.69%</w:t>
            </w:r>
          </w:p>
        </w:tc>
      </w:tr>
      <w:tr w:rsidR="001F2C34" w:rsidRPr="00781112" w14:paraId="734556E7" w14:textId="7880148D" w:rsidTr="005F5FE9">
        <w:trPr>
          <w:trHeight w:val="357"/>
        </w:trPr>
        <w:tc>
          <w:tcPr>
            <w:tcW w:w="625" w:type="dxa"/>
            <w:tcBorders>
              <w:top w:val="single" w:sz="4" w:space="0" w:color="auto"/>
              <w:left w:val="single" w:sz="4" w:space="0" w:color="auto"/>
              <w:right w:val="single" w:sz="4" w:space="0" w:color="auto"/>
            </w:tcBorders>
            <w:shd w:val="clear" w:color="auto" w:fill="auto"/>
            <w:vAlign w:val="center"/>
          </w:tcPr>
          <w:p w14:paraId="58DAD373" w14:textId="77777777" w:rsidR="001F2C34" w:rsidRPr="00781112" w:rsidRDefault="001F2C34">
            <w:pPr>
              <w:spacing w:line="276" w:lineRule="auto"/>
              <w:jc w:val="center"/>
              <w:rPr>
                <w:rFonts w:cs="Arial"/>
                <w:b/>
                <w:bCs/>
                <w:color w:val="000000" w:themeColor="text1"/>
                <w:szCs w:val="16"/>
              </w:rPr>
            </w:pPr>
            <w:r w:rsidRPr="00781112">
              <w:rPr>
                <w:rFonts w:cs="Arial"/>
                <w:b/>
                <w:bCs/>
                <w:color w:val="000000" w:themeColor="text1"/>
                <w:szCs w:val="16"/>
              </w:rPr>
              <w:t>B</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0B70F3" w14:textId="4BE0D72F" w:rsidR="001F2C34" w:rsidRPr="00781112" w:rsidRDefault="001F2C34">
            <w:pPr>
              <w:spacing w:line="276" w:lineRule="auto"/>
              <w:rPr>
                <w:rFonts w:cs="Arial"/>
                <w:color w:val="000000" w:themeColor="text1"/>
                <w:szCs w:val="16"/>
              </w:rPr>
            </w:pPr>
            <w:r w:rsidRPr="00781112">
              <w:rPr>
                <w:rFonts w:cs="Arial"/>
                <w:color w:val="000000" w:themeColor="text1"/>
                <w:szCs w:val="16"/>
              </w:rPr>
              <w:t>Target &lt;=</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2AF8D8D8" w14:textId="73E1A0AF" w:rsidR="001F2C34" w:rsidRPr="00781112" w:rsidRDefault="001F2C34" w:rsidP="00A018D4">
            <w:pPr>
              <w:jc w:val="center"/>
              <w:rPr>
                <w:rFonts w:cs="Arial"/>
                <w:color w:val="000000" w:themeColor="text1"/>
                <w:szCs w:val="16"/>
              </w:rPr>
            </w:pPr>
            <w:r w:rsidRPr="00781112">
              <w:rPr>
                <w:rFonts w:cs="Arial"/>
                <w:color w:val="000000" w:themeColor="text1"/>
                <w:szCs w:val="16"/>
              </w:rPr>
              <w:t>43.16%</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27A3A3A6" w14:textId="38FA47E9" w:rsidR="001F2C34" w:rsidRPr="00781112" w:rsidRDefault="001F2C34" w:rsidP="00A018D4">
            <w:pPr>
              <w:jc w:val="center"/>
              <w:rPr>
                <w:rFonts w:cs="Arial"/>
                <w:color w:val="000000" w:themeColor="text1"/>
                <w:szCs w:val="16"/>
              </w:rPr>
            </w:pPr>
            <w:r w:rsidRPr="00781112">
              <w:rPr>
                <w:rFonts w:cs="Arial"/>
                <w:color w:val="000000" w:themeColor="text1"/>
                <w:szCs w:val="16"/>
              </w:rPr>
              <w:t>42.96%</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4BC9CE3A" w14:textId="269EBDC7" w:rsidR="001F2C34" w:rsidRPr="00781112" w:rsidRDefault="001F2C34" w:rsidP="00A018D4">
            <w:pPr>
              <w:jc w:val="center"/>
              <w:rPr>
                <w:rFonts w:cs="Arial"/>
                <w:color w:val="000000" w:themeColor="text1"/>
                <w:szCs w:val="16"/>
              </w:rPr>
            </w:pPr>
            <w:r w:rsidRPr="00781112">
              <w:rPr>
                <w:rFonts w:cs="Arial"/>
                <w:color w:val="000000" w:themeColor="text1"/>
                <w:szCs w:val="16"/>
              </w:rPr>
              <w:t>41.35%</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17F96662" w14:textId="3E673D09" w:rsidR="001F2C34" w:rsidRPr="00781112" w:rsidRDefault="001F2C34">
            <w:pPr>
              <w:jc w:val="center"/>
              <w:rPr>
                <w:color w:val="000000" w:themeColor="text1"/>
              </w:rPr>
            </w:pPr>
            <w:r w:rsidRPr="00781112">
              <w:rPr>
                <w:color w:val="000000" w:themeColor="text1"/>
              </w:rPr>
              <w:t>41.15%</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55D972E0" w14:textId="0A302924" w:rsidR="001F2C34" w:rsidRPr="00781112" w:rsidRDefault="001F2C34" w:rsidP="00A018D4">
            <w:pPr>
              <w:jc w:val="center"/>
              <w:rPr>
                <w:rFonts w:cs="Arial"/>
                <w:color w:val="000000" w:themeColor="text1"/>
                <w:szCs w:val="16"/>
              </w:rPr>
            </w:pPr>
            <w:r w:rsidRPr="00781112">
              <w:rPr>
                <w:rFonts w:cs="Arial"/>
                <w:color w:val="000000" w:themeColor="text1"/>
                <w:szCs w:val="16"/>
              </w:rPr>
              <w:t>32.67%</w:t>
            </w:r>
          </w:p>
        </w:tc>
      </w:tr>
      <w:tr w:rsidR="001F2C34" w:rsidRPr="00781112" w14:paraId="3B42BE2A" w14:textId="601B062F" w:rsidTr="005F5FE9">
        <w:trPr>
          <w:trHeight w:val="85"/>
        </w:trPr>
        <w:tc>
          <w:tcPr>
            <w:tcW w:w="625" w:type="dxa"/>
            <w:tcBorders>
              <w:left w:val="single" w:sz="4" w:space="0" w:color="auto"/>
              <w:right w:val="single" w:sz="4" w:space="0" w:color="auto"/>
            </w:tcBorders>
            <w:shd w:val="clear" w:color="auto" w:fill="auto"/>
            <w:vAlign w:val="center"/>
          </w:tcPr>
          <w:p w14:paraId="4623D633" w14:textId="276C317C" w:rsidR="001F2C34" w:rsidRPr="00781112" w:rsidRDefault="001F2C34" w:rsidP="004369B2">
            <w:pPr>
              <w:spacing w:line="276" w:lineRule="auto"/>
              <w:jc w:val="center"/>
              <w:rPr>
                <w:rFonts w:cs="Arial"/>
                <w:b/>
                <w:bCs/>
                <w:color w:val="000000" w:themeColor="text1"/>
                <w:szCs w:val="16"/>
              </w:rPr>
            </w:pPr>
            <w:r w:rsidRPr="00781112">
              <w:rPr>
                <w:rFonts w:cs="Arial"/>
                <w:b/>
                <w:bCs/>
                <w:color w:val="000000" w:themeColor="text1"/>
                <w:szCs w:val="16"/>
              </w:rPr>
              <w:t>B</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E596DA" w14:textId="77777777" w:rsidR="001F2C34" w:rsidRPr="00781112" w:rsidRDefault="001F2C34">
            <w:pPr>
              <w:spacing w:line="276" w:lineRule="auto"/>
              <w:rPr>
                <w:rFonts w:cs="Arial"/>
                <w:color w:val="000000" w:themeColor="text1"/>
                <w:szCs w:val="16"/>
              </w:rPr>
            </w:pPr>
            <w:r w:rsidRPr="00781112">
              <w:rPr>
                <w:rFonts w:cs="Arial"/>
                <w:color w:val="000000" w:themeColor="text1"/>
                <w:szCs w:val="16"/>
              </w:rPr>
              <w:t>Data</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15D90031" w14:textId="3012CDE0" w:rsidR="001F2C34" w:rsidRPr="00781112" w:rsidRDefault="001F2C34" w:rsidP="00A018D4">
            <w:pPr>
              <w:jc w:val="center"/>
              <w:rPr>
                <w:rFonts w:cs="Arial"/>
                <w:color w:val="000000" w:themeColor="text1"/>
                <w:szCs w:val="16"/>
              </w:rPr>
            </w:pPr>
            <w:r w:rsidRPr="00781112">
              <w:rPr>
                <w:rFonts w:cs="Arial"/>
                <w:color w:val="000000" w:themeColor="text1"/>
                <w:szCs w:val="16"/>
              </w:rPr>
              <w:t>38.36%</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40E906DB" w14:textId="5C70E2DD" w:rsidR="001F2C34" w:rsidRPr="00781112" w:rsidRDefault="001F2C34" w:rsidP="00A018D4">
            <w:pPr>
              <w:jc w:val="center"/>
              <w:rPr>
                <w:rFonts w:cs="Arial"/>
                <w:color w:val="000000" w:themeColor="text1"/>
                <w:szCs w:val="16"/>
              </w:rPr>
            </w:pPr>
            <w:r w:rsidRPr="00781112">
              <w:rPr>
                <w:rFonts w:cs="Arial"/>
                <w:color w:val="000000" w:themeColor="text1"/>
                <w:szCs w:val="16"/>
              </w:rPr>
              <w:t>34.68%</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46B8DC18" w14:textId="71BC25FA" w:rsidR="001F2C34" w:rsidRPr="00781112" w:rsidRDefault="001F2C34" w:rsidP="00A018D4">
            <w:pPr>
              <w:jc w:val="center"/>
              <w:rPr>
                <w:rFonts w:cs="Arial"/>
                <w:color w:val="000000" w:themeColor="text1"/>
                <w:szCs w:val="16"/>
              </w:rPr>
            </w:pPr>
            <w:r w:rsidRPr="00781112">
              <w:rPr>
                <w:rFonts w:cs="Arial"/>
                <w:color w:val="000000" w:themeColor="text1"/>
                <w:szCs w:val="16"/>
              </w:rPr>
              <w:t>28.50%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3CE06B12" w14:textId="5A09E506" w:rsidR="001F2C34" w:rsidRPr="00781112" w:rsidRDefault="001F2C34" w:rsidP="00A018D4">
            <w:pPr>
              <w:jc w:val="center"/>
              <w:rPr>
                <w:rFonts w:cs="Arial"/>
                <w:color w:val="000000" w:themeColor="text1"/>
                <w:szCs w:val="16"/>
              </w:rPr>
            </w:pPr>
            <w:r w:rsidRPr="00781112">
              <w:rPr>
                <w:rFonts w:cs="Arial"/>
                <w:color w:val="000000" w:themeColor="text1"/>
                <w:szCs w:val="16"/>
              </w:rPr>
              <w:t>29.76%</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08787007" w14:textId="48A40519" w:rsidR="001F2C34" w:rsidRPr="00781112" w:rsidRDefault="001F2C34" w:rsidP="00A018D4">
            <w:pPr>
              <w:jc w:val="center"/>
              <w:rPr>
                <w:rFonts w:cs="Arial"/>
                <w:color w:val="000000" w:themeColor="text1"/>
                <w:szCs w:val="16"/>
              </w:rPr>
            </w:pPr>
            <w:r w:rsidRPr="00781112">
              <w:rPr>
                <w:rFonts w:cs="Arial"/>
                <w:color w:val="000000" w:themeColor="text1"/>
                <w:szCs w:val="16"/>
              </w:rPr>
              <w:t>31.14%</w:t>
            </w:r>
          </w:p>
        </w:tc>
      </w:tr>
    </w:tbl>
    <w:p w14:paraId="1E340B65" w14:textId="749176D6" w:rsidR="001C2B29" w:rsidRPr="00781112" w:rsidRDefault="001C2B29" w:rsidP="004369B2">
      <w:pPr>
        <w:rPr>
          <w:color w:val="000000" w:themeColor="text1"/>
        </w:rPr>
      </w:pPr>
    </w:p>
    <w:p w14:paraId="34B0E047" w14:textId="77777777" w:rsidR="0059735F" w:rsidRPr="00781112" w:rsidRDefault="0059735F" w:rsidP="0059735F">
      <w:pPr>
        <w:rPr>
          <w:b/>
          <w:color w:val="000000" w:themeColor="text1"/>
        </w:rPr>
      </w:pPr>
      <w:r w:rsidRPr="00781112">
        <w:rPr>
          <w:b/>
          <w:color w:val="000000" w:themeColor="text1"/>
        </w:rPr>
        <w:t xml:space="preserve">Targets: Description of Stakeholder Input </w:t>
      </w:r>
    </w:p>
    <w:p w14:paraId="02A3CB3A" w14:textId="77777777" w:rsidR="0059735F" w:rsidRPr="00781112" w:rsidRDefault="0059735F" w:rsidP="0059735F">
      <w:pPr>
        <w:rPr>
          <w:rFonts w:cs="Arial"/>
          <w:color w:val="000000" w:themeColor="text1"/>
          <w:szCs w:val="16"/>
        </w:rPr>
      </w:pPr>
      <w:r w:rsidRPr="00781112">
        <w:rPr>
          <w:rFonts w:cs="Arial"/>
          <w:color w:val="000000" w:themeColor="text1"/>
          <w:szCs w:val="16"/>
        </w:rPr>
        <w:t>The USBE SES values stakeholder engagement and input and solicits ongoing feedback and review. Stakeholders consistently provide input through collaborative meetings, public comment, written communication, survey data, data analysis, and informal conversations. To share data and information and collect feedback on areas such as SPP/APR targets, the USBE SES employs meetings, newsletters, emails, surveys, and social media with stakeholder groups:</w:t>
      </w:r>
      <w:r w:rsidRPr="00781112">
        <w:rPr>
          <w:rFonts w:cs="Arial"/>
          <w:color w:val="000000" w:themeColor="text1"/>
          <w:szCs w:val="16"/>
        </w:rPr>
        <w:br/>
        <w:t>• LEA Special Education Directors</w:t>
      </w:r>
      <w:r w:rsidRPr="00781112">
        <w:rPr>
          <w:rFonts w:cs="Arial"/>
          <w:color w:val="000000" w:themeColor="text1"/>
          <w:szCs w:val="16"/>
        </w:rPr>
        <w:br/>
        <w:t>• Utah Special Education Advisory Panel (USEAP)</w:t>
      </w:r>
      <w:r w:rsidRPr="00781112">
        <w:rPr>
          <w:rFonts w:cs="Arial"/>
          <w:color w:val="000000" w:themeColor="text1"/>
          <w:szCs w:val="16"/>
        </w:rPr>
        <w:br/>
        <w:t>• USBE Committees</w:t>
      </w:r>
      <w:r w:rsidRPr="00781112">
        <w:rPr>
          <w:rFonts w:cs="Arial"/>
          <w:color w:val="000000" w:themeColor="text1"/>
          <w:szCs w:val="16"/>
        </w:rPr>
        <w:br/>
        <w:t>• Utah Legislative Committees</w:t>
      </w:r>
      <w:r w:rsidRPr="00781112">
        <w:rPr>
          <w:rFonts w:cs="Arial"/>
          <w:color w:val="000000" w:themeColor="text1"/>
          <w:szCs w:val="16"/>
        </w:rPr>
        <w:br/>
        <w:t>• Utah Parent Center (UPC)</w:t>
      </w:r>
      <w:r w:rsidRPr="00781112">
        <w:rPr>
          <w:rFonts w:cs="Arial"/>
          <w:color w:val="000000" w:themeColor="text1"/>
          <w:szCs w:val="16"/>
        </w:rPr>
        <w:br/>
        <w:t>• LEA Curriculum and Assessment Directors</w:t>
      </w:r>
      <w:r w:rsidRPr="00781112">
        <w:rPr>
          <w:rFonts w:cs="Arial"/>
          <w:color w:val="000000" w:themeColor="text1"/>
          <w:szCs w:val="16"/>
        </w:rPr>
        <w:br/>
        <w:t>• LEA Preschool Coordinators</w:t>
      </w:r>
      <w:r w:rsidRPr="00781112">
        <w:rPr>
          <w:rFonts w:cs="Arial"/>
          <w:color w:val="000000" w:themeColor="text1"/>
          <w:szCs w:val="16"/>
        </w:rPr>
        <w:br/>
        <w:t>• LEA Administrators</w:t>
      </w:r>
      <w:r w:rsidRPr="00781112">
        <w:rPr>
          <w:rFonts w:cs="Arial"/>
          <w:color w:val="000000" w:themeColor="text1"/>
          <w:szCs w:val="16"/>
        </w:rPr>
        <w:br/>
        <w:t>•Utah Institutes of Higher Education (IHEs)</w:t>
      </w:r>
      <w:r w:rsidRPr="00781112">
        <w:rPr>
          <w:rFonts w:cs="Arial"/>
          <w:color w:val="000000" w:themeColor="text1"/>
          <w:szCs w:val="16"/>
        </w:rPr>
        <w:br/>
        <w:t>• Baby Watch/Early Intervention (Utah’s Part C agency)</w:t>
      </w:r>
      <w:r w:rsidRPr="00781112">
        <w:rPr>
          <w:rFonts w:cs="Arial"/>
          <w:color w:val="000000" w:themeColor="text1"/>
          <w:szCs w:val="16"/>
        </w:rPr>
        <w:br/>
        <w:t>• Agencies and non-profit organizations that provide services to SWD</w:t>
      </w:r>
      <w:r w:rsidRPr="00781112">
        <w:rPr>
          <w:rFonts w:cs="Arial"/>
          <w:color w:val="000000" w:themeColor="text1"/>
          <w:szCs w:val="16"/>
        </w:rPr>
        <w:br/>
        <w:t>• Utah Educators</w:t>
      </w:r>
      <w:r w:rsidRPr="00781112">
        <w:rPr>
          <w:rFonts w:cs="Arial"/>
          <w:color w:val="000000" w:themeColor="text1"/>
          <w:szCs w:val="16"/>
        </w:rPr>
        <w:br/>
      </w:r>
      <w:r w:rsidRPr="00781112">
        <w:rPr>
          <w:rFonts w:cs="Arial"/>
          <w:color w:val="000000" w:themeColor="text1"/>
          <w:szCs w:val="16"/>
        </w:rPr>
        <w:lastRenderedPageBreak/>
        <w:t>• Advocacy groups throughout the State</w:t>
      </w:r>
      <w:r w:rsidRPr="00781112">
        <w:rPr>
          <w:rFonts w:cs="Arial"/>
          <w:color w:val="000000" w:themeColor="text1"/>
          <w:szCs w:val="16"/>
        </w:rPr>
        <w:br/>
        <w:t>During FFY 2021, no changes were made to the SPP/APR targets. The USBE SES reviewed the progress of the implementation of the Theory of Action for the SSIP and SPP/APR data with USEAM, USEAP, and the Coordinating Council for People with Disabilities (CCPD) (which includes all state agencies that serve individuals with disabilities and all nonprofit organizations that receive any state funding and/or grants).</w:t>
      </w:r>
      <w:r w:rsidRPr="00781112">
        <w:rPr>
          <w:rFonts w:cs="Arial"/>
          <w:color w:val="000000" w:themeColor="text1"/>
          <w:szCs w:val="16"/>
        </w:rPr>
        <w:br/>
        <w:t>The APR summit was held virtually on July 30, 2021. Over 100 participants attended from the stakeholder groups and those with individual interests. Participants reviewed data and projections for the State in 2025–2026. Participants were provided with an overview of the advantages and disadvantages of predictive models as well as an overview of the mindset for target-setting. Participants were asked to select the end targets (2025–2026) for indicators. The USBE SES would then calculate intervening targets between FFY 2020 and FFY 2025 whereby there would be no increase in the target the first year, followed by small increases, then large increases near the end. This is to allow enough time for LEAs to implement initiatives and change practices to realistically meet targets along their way to the rigorous end targets. After this overview, participants determined challenging and achievable end targets. The USBE SES calculated intervening targets and shared these intervening targets with the participants and additional stakeholders to get final approval for all the targets.</w:t>
      </w:r>
      <w:r w:rsidRPr="00781112">
        <w:rPr>
          <w:rFonts w:cs="Arial"/>
          <w:color w:val="000000" w:themeColor="text1"/>
          <w:szCs w:val="16"/>
        </w:rPr>
        <w:br/>
        <w:t>A survey was sent out and 101 individuals participated. Most participants identified as white females in suburban parts of Utah. American Indian/Native Alaskan, Hispanic/Latino, and individuals who identified as multiracial also participated. As a result of this additional feedback, the USBE SES revised Indicator 5 targets to maintain rigor and develop reasonable targets manageable by the LEAs. Targets for all indicators were developed after review of historical indicator and trend data, recommendations from the USBE statistician, the impact of COVID-19, APR summit and APR survey review. All targets were subsequently reviewed and adopted by USBE staff, USEAP, and LEAs. OSEP approved SPP/APR targets in the FFY 2020 SPP/APR.</w:t>
      </w:r>
      <w:r w:rsidRPr="00781112">
        <w:rPr>
          <w:rFonts w:cs="Arial"/>
          <w:color w:val="000000" w:themeColor="text1"/>
          <w:szCs w:val="16"/>
        </w:rPr>
        <w:br/>
        <w:t>During FFY 2021, the SPP/APR and SSIP were discussed regularly with LEA special education directors, USEAP, UPC, the state Parent Teacher Association (PTA), and other parent groups focused on inclusionary practices in Utah schools. Regular meetings are held with all these groups typically on a quarterly basis. Emails, phone calls, and in-person meetings provide for informal opportunities to gain insight and adjust.</w:t>
      </w:r>
      <w:r w:rsidRPr="00781112">
        <w:rPr>
          <w:rFonts w:cs="Arial"/>
          <w:color w:val="000000" w:themeColor="text1"/>
          <w:szCs w:val="16"/>
        </w:rPr>
        <w:br/>
        <w:t>The UPC works closely with USBE to increase the capacity of diverse groups of parents. Meetings at UPC are held in Spanish as the second highest language in the State. Refugee populations are connected through UPC staff assigned to specific LEAs with large populations of refugees.</w:t>
      </w:r>
      <w:r w:rsidRPr="00781112">
        <w:rPr>
          <w:rFonts w:cs="Arial"/>
          <w:color w:val="000000" w:themeColor="text1"/>
          <w:szCs w:val="16"/>
        </w:rPr>
        <w:br/>
        <w:t>The USBE family engagement specialist seeks to increase capacity through cross collaboration with other parent and family engagement programs provided in LEAs that we will continue to target.</w:t>
      </w:r>
      <w:r w:rsidRPr="00781112">
        <w:rPr>
          <w:rFonts w:cs="Arial"/>
          <w:color w:val="000000" w:themeColor="text1"/>
          <w:szCs w:val="16"/>
        </w:rPr>
        <w:br/>
        <w:t>INDICATOR 1</w:t>
      </w:r>
      <w:r w:rsidRPr="00781112">
        <w:rPr>
          <w:rFonts w:cs="Arial"/>
          <w:color w:val="000000" w:themeColor="text1"/>
          <w:szCs w:val="16"/>
        </w:rPr>
        <w:br/>
        <w:t>Data from 2018 was determined to be an appropriate baseline. With a baseline of 67.90%, targets will increase with consideration for COVID-19 impacts.</w:t>
      </w:r>
      <w:r w:rsidRPr="00781112">
        <w:rPr>
          <w:rFonts w:cs="Arial"/>
          <w:color w:val="000000" w:themeColor="text1"/>
          <w:szCs w:val="16"/>
        </w:rPr>
        <w:br/>
        <w:t>INDICATOR 2</w:t>
      </w:r>
      <w:r w:rsidRPr="00781112">
        <w:rPr>
          <w:rFonts w:cs="Arial"/>
          <w:color w:val="000000" w:themeColor="text1"/>
          <w:szCs w:val="16"/>
        </w:rPr>
        <w:br/>
        <w:t>Data from 2018 was determined to be an appropriate baseline. With a baseline of 25.81%, targets will decrease with consideration for COVID-19 impacts.</w:t>
      </w:r>
      <w:r w:rsidRPr="00781112">
        <w:rPr>
          <w:rFonts w:cs="Arial"/>
          <w:color w:val="000000" w:themeColor="text1"/>
          <w:szCs w:val="16"/>
        </w:rPr>
        <w:br/>
        <w:t>INDICATOR 3A</w:t>
      </w:r>
      <w:r w:rsidRPr="00781112">
        <w:rPr>
          <w:rFonts w:cs="Arial"/>
          <w:color w:val="000000" w:themeColor="text1"/>
          <w:szCs w:val="16"/>
        </w:rPr>
        <w:br/>
        <w:t>This target is set by OSEP. Stakeholders discussed ways to improve participation.</w:t>
      </w:r>
      <w:r w:rsidRPr="00781112">
        <w:rPr>
          <w:rFonts w:cs="Arial"/>
          <w:color w:val="000000" w:themeColor="text1"/>
          <w:szCs w:val="16"/>
        </w:rPr>
        <w:br/>
        <w:t>INDICATORS 3B, C, D</w:t>
      </w:r>
      <w:r w:rsidRPr="00781112">
        <w:rPr>
          <w:rFonts w:cs="Arial"/>
          <w:color w:val="000000" w:themeColor="text1"/>
          <w:szCs w:val="16"/>
        </w:rPr>
        <w:br/>
        <w:t>Participants looked at the average mean from the previous four years of data in conjunction with the linear trend and forecasting. This process allowed participants to analyze the best statistical guess of where Utah’s data would most likely be in six years while also seeing the forecasting of possible error over time for predicting far into the future.</w:t>
      </w:r>
      <w:r w:rsidRPr="00781112">
        <w:rPr>
          <w:rFonts w:cs="Arial"/>
          <w:color w:val="000000" w:themeColor="text1"/>
          <w:szCs w:val="16"/>
        </w:rPr>
        <w:br/>
        <w:t>INDICATOR 5</w:t>
      </w:r>
      <w:r w:rsidRPr="00781112">
        <w:rPr>
          <w:rFonts w:cs="Arial"/>
          <w:color w:val="000000" w:themeColor="text1"/>
          <w:szCs w:val="16"/>
        </w:rPr>
        <w:br/>
        <w:t>During FFY 2020, the Indicator 5 baseline was reset. In FFY 2021, all targets were met. A comprehensive approach was taken to provide informative learning sessions to support special education directors who are accountable for reviewing Indicator 5 outcome data. Recognizing the need to differentiate support, the USBE SES offered individual LEA data analysis and problem-solving sessions.</w:t>
      </w:r>
      <w:r w:rsidRPr="00781112">
        <w:rPr>
          <w:rFonts w:cs="Arial"/>
          <w:color w:val="000000" w:themeColor="text1"/>
          <w:szCs w:val="16"/>
        </w:rPr>
        <w:br/>
        <w:t>INDICATOR 6</w:t>
      </w:r>
      <w:r w:rsidRPr="00781112">
        <w:rPr>
          <w:rFonts w:cs="Arial"/>
          <w:color w:val="000000" w:themeColor="text1"/>
          <w:szCs w:val="16"/>
        </w:rPr>
        <w:br/>
        <w:t>Data from 2018 was determined to be an appropriate baseline. With baselines of (A) 46.86%, (B) 32.67%, (C) 0.25%, targets will gradually increase and decrease with consideration for COVID-19 impacts.</w:t>
      </w:r>
      <w:r w:rsidRPr="00781112">
        <w:rPr>
          <w:rFonts w:cs="Arial"/>
          <w:color w:val="000000" w:themeColor="text1"/>
          <w:szCs w:val="16"/>
        </w:rPr>
        <w:br/>
        <w:t>INDICATOR 7</w:t>
      </w:r>
      <w:r w:rsidRPr="00781112">
        <w:rPr>
          <w:rFonts w:cs="Arial"/>
          <w:color w:val="000000" w:themeColor="text1"/>
          <w:szCs w:val="16"/>
        </w:rPr>
        <w:br/>
        <w:t>Data from 2018 was determined to be an appropriate baseline. The USBE predicts outcomes for this indicator are still being largely impacted by COVID-19, and targets are currently set below the baseline. With baselines of (A1) 88.86%, (A2) 58.94%, (B1) 88.41%, (B2) 50.48%, (C1) 89.86%, (C2) 70.52%, targets will increase with consideration for COVID-19 impacts.</w:t>
      </w:r>
      <w:r w:rsidRPr="00781112">
        <w:rPr>
          <w:rFonts w:cs="Arial"/>
          <w:color w:val="000000" w:themeColor="text1"/>
          <w:szCs w:val="16"/>
        </w:rPr>
        <w:br/>
        <w:t>INDICATOR 8</w:t>
      </w:r>
      <w:r w:rsidRPr="00781112">
        <w:rPr>
          <w:rFonts w:cs="Arial"/>
          <w:color w:val="000000" w:themeColor="text1"/>
          <w:szCs w:val="16"/>
        </w:rPr>
        <w:br/>
        <w:t>Data from 2018 was determined to be an appropriate baseline. With a baseline of 78.38%, targets will gradually increase with consideration for COVID-19 impacts.</w:t>
      </w:r>
      <w:r w:rsidRPr="00781112">
        <w:rPr>
          <w:rFonts w:cs="Arial"/>
          <w:color w:val="000000" w:themeColor="text1"/>
          <w:szCs w:val="16"/>
        </w:rPr>
        <w:br/>
        <w:t>INDICATORS 4, 9, 10</w:t>
      </w:r>
      <w:r w:rsidRPr="00781112">
        <w:rPr>
          <w:rFonts w:cs="Arial"/>
          <w:color w:val="000000" w:themeColor="text1"/>
          <w:szCs w:val="16"/>
        </w:rPr>
        <w:br/>
        <w:t>During the APR Summit, stakeholders reviewed current data trends and ways to improve outcomes. Although targets cannot be changed, stakeholder input has been instrumental in meeting targets for these indicators. The calculations and data collection process for these indicators has been updated to improve outcomes for SWD. Stakeholder input has been utilized to determine processes, PL, and support provided to bridge the gap between current performance and targets.</w:t>
      </w:r>
      <w:r w:rsidRPr="00781112">
        <w:rPr>
          <w:rFonts w:cs="Arial"/>
          <w:color w:val="000000" w:themeColor="text1"/>
          <w:szCs w:val="16"/>
        </w:rPr>
        <w:br/>
        <w:t>INDICATORS 11, 12</w:t>
      </w:r>
      <w:r w:rsidRPr="00781112">
        <w:rPr>
          <w:rFonts w:cs="Arial"/>
          <w:color w:val="000000" w:themeColor="text1"/>
          <w:szCs w:val="16"/>
        </w:rPr>
        <w:br/>
        <w:t>During the APR Summit, stakeholders reviewed current data trends and ways to improve outcomes. Although targets cannot be changed, stakeholder input has been instrumental in meeting targets for these indicators. Input has been utilized to determine PL and support provided to bridge the gap between current performance and targets.</w:t>
      </w:r>
      <w:r w:rsidRPr="00781112">
        <w:rPr>
          <w:rFonts w:cs="Arial"/>
          <w:color w:val="000000" w:themeColor="text1"/>
          <w:szCs w:val="16"/>
        </w:rPr>
        <w:br/>
        <w:t>INDICATOR 13</w:t>
      </w:r>
      <w:r w:rsidRPr="00781112">
        <w:rPr>
          <w:rFonts w:cs="Arial"/>
          <w:color w:val="000000" w:themeColor="text1"/>
          <w:szCs w:val="16"/>
        </w:rPr>
        <w:br/>
        <w:t>The USBE SES recognizes this is an area requiring improvement. During the APR Summit, stakeholders reviewed current data trends and ways to improve outcomes. Although targets cannot be changed, stakeholder input has been instrumental in the progression toward meeting the target.</w:t>
      </w:r>
      <w:r w:rsidRPr="00781112">
        <w:rPr>
          <w:rFonts w:cs="Arial"/>
          <w:color w:val="000000" w:themeColor="text1"/>
          <w:szCs w:val="16"/>
        </w:rPr>
        <w:br/>
        <w:t>INDICATOR 14</w:t>
      </w:r>
      <w:r w:rsidRPr="00781112">
        <w:rPr>
          <w:rFonts w:cs="Arial"/>
          <w:color w:val="000000" w:themeColor="text1"/>
          <w:szCs w:val="16"/>
        </w:rPr>
        <w:br/>
        <w:t>Data from 2018 was determined to be an appropriate baseline. The USBE predicts outcomes for this indicator are still being largely impacted by COVID-19, and targets are currently set below the baseline. With baselines of (A) 19.62%, (B) 67.60%, (C) 84.37%, targets will increase with consideration for COVID-19 impacts.</w:t>
      </w:r>
      <w:r w:rsidRPr="00781112">
        <w:rPr>
          <w:rFonts w:cs="Arial"/>
          <w:color w:val="000000" w:themeColor="text1"/>
          <w:szCs w:val="16"/>
        </w:rPr>
        <w:br/>
        <w:t xml:space="preserve">INDICATOR 15 </w:t>
      </w:r>
      <w:r w:rsidRPr="00781112">
        <w:rPr>
          <w:rFonts w:cs="Arial"/>
          <w:color w:val="000000" w:themeColor="text1"/>
          <w:szCs w:val="16"/>
        </w:rPr>
        <w:br/>
        <w:t>The USBE continues to experience relatively low levels of due process hearing requests and resolution meetings and is not required to set a target.</w:t>
      </w:r>
      <w:r w:rsidRPr="00781112">
        <w:rPr>
          <w:rFonts w:cs="Arial"/>
          <w:color w:val="000000" w:themeColor="text1"/>
          <w:szCs w:val="16"/>
        </w:rPr>
        <w:br/>
        <w:t xml:space="preserve">INDICATOR 16 </w:t>
      </w:r>
      <w:r w:rsidRPr="00781112">
        <w:rPr>
          <w:rFonts w:cs="Arial"/>
          <w:color w:val="000000" w:themeColor="text1"/>
          <w:szCs w:val="16"/>
        </w:rPr>
        <w:br/>
        <w:t>The USBE continues to experience relatively low levels of dispute resolution requests, including mediation. Targets have been set based on the low level of mediation requests.</w:t>
      </w:r>
    </w:p>
    <w:p w14:paraId="137AAC0F" w14:textId="77777777" w:rsidR="0059735F" w:rsidRPr="00781112" w:rsidRDefault="0059735F" w:rsidP="0059735F">
      <w:pPr>
        <w:rPr>
          <w:rFonts w:cs="Arial"/>
          <w:color w:val="000000" w:themeColor="text1"/>
          <w:szCs w:val="16"/>
        </w:rPr>
      </w:pPr>
    </w:p>
    <w:p w14:paraId="0B88D679" w14:textId="77777777" w:rsidR="0059735F" w:rsidRPr="00781112" w:rsidRDefault="0059735F" w:rsidP="004369B2">
      <w:pPr>
        <w:rPr>
          <w:color w:val="000000" w:themeColor="text1"/>
        </w:rPr>
      </w:pPr>
    </w:p>
    <w:p w14:paraId="5CC249BC" w14:textId="12B8F79F" w:rsidR="00AA04BD" w:rsidRPr="00781112" w:rsidRDefault="00AA04BD" w:rsidP="004369B2">
      <w:pPr>
        <w:rPr>
          <w:b/>
          <w:color w:val="000000" w:themeColor="text1"/>
        </w:rPr>
      </w:pPr>
      <w:r w:rsidRPr="00781112">
        <w:rPr>
          <w:b/>
          <w:color w:val="000000" w:themeColor="text1"/>
        </w:rPr>
        <w:t>Targets</w:t>
      </w:r>
    </w:p>
    <w:p w14:paraId="1C259A9C" w14:textId="233315C1" w:rsidR="001C2B29" w:rsidRPr="001C443D" w:rsidRDefault="007F67C7" w:rsidP="001C443D">
      <w:pPr>
        <w:rPr>
          <w:b/>
          <w:bCs/>
        </w:rPr>
      </w:pPr>
      <w:r w:rsidRPr="001C443D">
        <w:rPr>
          <w:b/>
          <w:bCs/>
        </w:rPr>
        <w:t xml:space="preserve">Please select if the State wants to set </w:t>
      </w:r>
      <w:proofErr w:type="gramStart"/>
      <w:r w:rsidRPr="001C443D">
        <w:rPr>
          <w:b/>
          <w:bCs/>
        </w:rPr>
        <w:t>baseline</w:t>
      </w:r>
      <w:proofErr w:type="gramEnd"/>
      <w:r w:rsidRPr="001C443D">
        <w:rPr>
          <w:b/>
          <w:bCs/>
        </w:rPr>
        <w:t xml:space="preserve"> and targets based on individual age ranges (</w:t>
      </w:r>
      <w:proofErr w:type="gramStart"/>
      <w:r w:rsidRPr="001C443D">
        <w:rPr>
          <w:b/>
          <w:bCs/>
        </w:rPr>
        <w:t>i.e.</w:t>
      </w:r>
      <w:proofErr w:type="gramEnd"/>
      <w:r w:rsidRPr="001C443D">
        <w:rPr>
          <w:b/>
          <w:bCs/>
        </w:rPr>
        <w:t xml:space="preserve"> separate baseline and targets for each age), or inclusive of all children ages 3, 4, and 5. </w:t>
      </w:r>
    </w:p>
    <w:p w14:paraId="0237921B" w14:textId="17150ECF" w:rsidR="00794672" w:rsidRPr="00781112" w:rsidRDefault="00794672" w:rsidP="00794672">
      <w:pPr>
        <w:rPr>
          <w:color w:val="000000" w:themeColor="text1"/>
        </w:rPr>
      </w:pPr>
      <w:r w:rsidRPr="00781112">
        <w:rPr>
          <w:rFonts w:cs="Arial"/>
          <w:color w:val="000000" w:themeColor="text1"/>
          <w:szCs w:val="16"/>
        </w:rPr>
        <w:lastRenderedPageBreak/>
        <w:t>Inclusive Targets</w:t>
      </w:r>
    </w:p>
    <w:p w14:paraId="647A8A68" w14:textId="7712D124" w:rsidR="00794672" w:rsidRPr="001C443D" w:rsidRDefault="00E20E93" w:rsidP="001C443D">
      <w:pPr>
        <w:rPr>
          <w:b/>
          <w:bCs/>
        </w:rPr>
      </w:pPr>
      <w:r w:rsidRPr="001C443D">
        <w:rPr>
          <w:b/>
          <w:bCs/>
        </w:rPr>
        <w:t>Please select if the State wants to use target ranges for 6C.</w:t>
      </w:r>
    </w:p>
    <w:p w14:paraId="4C1CAE3E" w14:textId="29D1D533" w:rsidR="00794672" w:rsidRDefault="00794672" w:rsidP="00794672">
      <w:pPr>
        <w:rPr>
          <w:rFonts w:cs="Arial"/>
          <w:color w:val="000000" w:themeColor="text1"/>
          <w:szCs w:val="16"/>
        </w:rPr>
      </w:pPr>
      <w:r w:rsidRPr="00781112">
        <w:rPr>
          <w:rFonts w:cs="Arial"/>
          <w:color w:val="000000" w:themeColor="text1"/>
          <w:szCs w:val="16"/>
        </w:rPr>
        <w:t>Target Range not used</w:t>
      </w:r>
    </w:p>
    <w:p w14:paraId="5C7F1365" w14:textId="570192EE" w:rsidR="0073461B" w:rsidRDefault="0073461B" w:rsidP="0073461B">
      <w:pPr>
        <w:pStyle w:val="Subhed"/>
        <w:rPr>
          <w:b w:val="0"/>
          <w:bCs/>
          <w:color w:val="C00000"/>
        </w:rPr>
      </w:pPr>
    </w:p>
    <w:p w14:paraId="770D6443" w14:textId="39B3F3FD" w:rsidR="004D796B" w:rsidRPr="00781112" w:rsidRDefault="004D796B" w:rsidP="004369B2">
      <w:pPr>
        <w:rPr>
          <w:color w:val="000000" w:themeColor="text1"/>
        </w:rPr>
      </w:pPr>
    </w:p>
    <w:p w14:paraId="7D77C5FC" w14:textId="77777777" w:rsidR="008C34A2" w:rsidRPr="0075451F" w:rsidRDefault="008C34A2" w:rsidP="008C34A2">
      <w:pPr>
        <w:pStyle w:val="Subhed"/>
        <w:rPr>
          <w:b w:val="0"/>
        </w:rPr>
      </w:pPr>
      <w:r>
        <w:t>Baselines for Inclusive Targets option (A, B, C)</w:t>
      </w:r>
    </w:p>
    <w:tbl>
      <w:tblPr>
        <w:tblW w:w="25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B06BASELINEDATAINCL"/>
      </w:tblPr>
      <w:tblGrid>
        <w:gridCol w:w="1436"/>
        <w:gridCol w:w="2025"/>
        <w:gridCol w:w="2025"/>
      </w:tblGrid>
      <w:tr w:rsidR="008C34A2" w:rsidRPr="00781112" w14:paraId="76A746DF" w14:textId="77777777" w:rsidTr="00DF5DC9">
        <w:trPr>
          <w:trHeight w:val="485"/>
          <w:tblHeader/>
        </w:trPr>
        <w:tc>
          <w:tcPr>
            <w:tcW w:w="1436" w:type="dxa"/>
            <w:tcBorders>
              <w:top w:val="single" w:sz="4" w:space="0" w:color="auto"/>
              <w:left w:val="single" w:sz="4" w:space="0" w:color="auto"/>
              <w:bottom w:val="single" w:sz="4" w:space="0" w:color="auto"/>
              <w:right w:val="single" w:sz="4" w:space="0" w:color="auto"/>
            </w:tcBorders>
            <w:shd w:val="clear" w:color="auto" w:fill="auto"/>
          </w:tcPr>
          <w:p w14:paraId="76F354AC" w14:textId="77777777" w:rsidR="008C34A2" w:rsidRPr="00781112" w:rsidRDefault="008C34A2" w:rsidP="00DF5DC9">
            <w:pPr>
              <w:spacing w:line="276" w:lineRule="auto"/>
              <w:jc w:val="center"/>
              <w:rPr>
                <w:rFonts w:cs="Arial"/>
                <w:b/>
                <w:color w:val="000000" w:themeColor="text1"/>
                <w:szCs w:val="16"/>
              </w:rPr>
            </w:pPr>
            <w:r w:rsidRPr="00781112">
              <w:rPr>
                <w:rFonts w:cs="Arial"/>
                <w:b/>
                <w:color w:val="000000" w:themeColor="text1"/>
                <w:szCs w:val="16"/>
              </w:rPr>
              <w:t>Part</w:t>
            </w:r>
          </w:p>
        </w:tc>
        <w:tc>
          <w:tcPr>
            <w:tcW w:w="2025" w:type="dxa"/>
            <w:tcBorders>
              <w:top w:val="single" w:sz="4" w:space="0" w:color="auto"/>
              <w:left w:val="single" w:sz="4" w:space="0" w:color="auto"/>
              <w:bottom w:val="single" w:sz="4" w:space="0" w:color="auto"/>
              <w:right w:val="single" w:sz="4" w:space="0" w:color="auto"/>
            </w:tcBorders>
            <w:shd w:val="clear" w:color="auto" w:fill="auto"/>
          </w:tcPr>
          <w:p w14:paraId="70043BB3" w14:textId="77777777" w:rsidR="008C34A2" w:rsidRPr="00781112" w:rsidRDefault="008C34A2" w:rsidP="00DF5DC9">
            <w:pPr>
              <w:spacing w:line="276" w:lineRule="auto"/>
              <w:jc w:val="center"/>
              <w:rPr>
                <w:rFonts w:cs="Arial"/>
                <w:b/>
                <w:color w:val="000000" w:themeColor="text1"/>
                <w:szCs w:val="16"/>
              </w:rPr>
            </w:pPr>
            <w:r w:rsidRPr="00781112">
              <w:rPr>
                <w:rFonts w:cs="Arial"/>
                <w:b/>
                <w:color w:val="000000" w:themeColor="text1"/>
                <w:szCs w:val="16"/>
              </w:rPr>
              <w:t>Baseline  Year</w:t>
            </w:r>
          </w:p>
        </w:tc>
        <w:tc>
          <w:tcPr>
            <w:tcW w:w="2025" w:type="dxa"/>
            <w:tcBorders>
              <w:top w:val="single" w:sz="4" w:space="0" w:color="auto"/>
              <w:left w:val="single" w:sz="4" w:space="0" w:color="auto"/>
              <w:bottom w:val="single" w:sz="4" w:space="0" w:color="auto"/>
              <w:right w:val="single" w:sz="4" w:space="0" w:color="auto"/>
            </w:tcBorders>
          </w:tcPr>
          <w:p w14:paraId="6D732D8C" w14:textId="77777777" w:rsidR="008C34A2" w:rsidRPr="00781112" w:rsidRDefault="008C34A2" w:rsidP="00DF5DC9">
            <w:pPr>
              <w:spacing w:line="276" w:lineRule="auto"/>
              <w:jc w:val="center"/>
              <w:rPr>
                <w:rFonts w:cs="Arial"/>
                <w:b/>
                <w:color w:val="000000" w:themeColor="text1"/>
                <w:szCs w:val="16"/>
              </w:rPr>
            </w:pPr>
            <w:r w:rsidRPr="00781112">
              <w:rPr>
                <w:rFonts w:cs="Arial"/>
                <w:b/>
                <w:color w:val="000000" w:themeColor="text1"/>
                <w:szCs w:val="16"/>
              </w:rPr>
              <w:t>Baseline Data</w:t>
            </w:r>
          </w:p>
        </w:tc>
      </w:tr>
      <w:tr w:rsidR="008C34A2" w:rsidRPr="00781112" w14:paraId="3EC108E9" w14:textId="77777777" w:rsidTr="00DF5DC9">
        <w:trPr>
          <w:trHeight w:val="357"/>
        </w:trPr>
        <w:tc>
          <w:tcPr>
            <w:tcW w:w="1436" w:type="dxa"/>
            <w:tcBorders>
              <w:top w:val="single" w:sz="4" w:space="0" w:color="auto"/>
              <w:left w:val="single" w:sz="4" w:space="0" w:color="auto"/>
              <w:right w:val="single" w:sz="4" w:space="0" w:color="auto"/>
            </w:tcBorders>
            <w:shd w:val="clear" w:color="auto" w:fill="auto"/>
            <w:vAlign w:val="center"/>
          </w:tcPr>
          <w:p w14:paraId="0A56D253" w14:textId="77777777" w:rsidR="008C34A2" w:rsidRPr="00781112" w:rsidRDefault="008C34A2" w:rsidP="00DF5DC9">
            <w:pPr>
              <w:spacing w:line="276" w:lineRule="auto"/>
              <w:jc w:val="center"/>
              <w:rPr>
                <w:rFonts w:cs="Arial"/>
                <w:b/>
                <w:bCs/>
                <w:color w:val="000000" w:themeColor="text1"/>
                <w:szCs w:val="16"/>
              </w:rPr>
            </w:pPr>
            <w:r w:rsidRPr="00781112">
              <w:rPr>
                <w:rFonts w:cs="Arial"/>
                <w:b/>
                <w:bCs/>
                <w:color w:val="000000" w:themeColor="text1"/>
                <w:szCs w:val="16"/>
              </w:rPr>
              <w:t>A</w:t>
            </w:r>
          </w:p>
        </w:tc>
        <w:tc>
          <w:tcPr>
            <w:tcW w:w="2025" w:type="dxa"/>
            <w:tcBorders>
              <w:top w:val="single" w:sz="4" w:space="0" w:color="auto"/>
              <w:left w:val="single" w:sz="4" w:space="0" w:color="auto"/>
              <w:right w:val="single" w:sz="4" w:space="0" w:color="auto"/>
            </w:tcBorders>
            <w:shd w:val="clear" w:color="auto" w:fill="auto"/>
          </w:tcPr>
          <w:p w14:paraId="3FCF70A0"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2018</w:t>
            </w:r>
          </w:p>
        </w:tc>
        <w:tc>
          <w:tcPr>
            <w:tcW w:w="2025" w:type="dxa"/>
            <w:tcBorders>
              <w:top w:val="single" w:sz="4" w:space="0" w:color="auto"/>
              <w:left w:val="single" w:sz="4" w:space="0" w:color="auto"/>
              <w:right w:val="single" w:sz="4" w:space="0" w:color="auto"/>
            </w:tcBorders>
          </w:tcPr>
          <w:p w14:paraId="142085FD"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46.86%</w:t>
            </w:r>
          </w:p>
        </w:tc>
      </w:tr>
      <w:tr w:rsidR="008C34A2" w:rsidRPr="00781112" w14:paraId="6C0A9325" w14:textId="77777777" w:rsidTr="00DF5DC9">
        <w:trPr>
          <w:trHeight w:val="357"/>
        </w:trPr>
        <w:tc>
          <w:tcPr>
            <w:tcW w:w="1436" w:type="dxa"/>
            <w:tcBorders>
              <w:top w:val="single" w:sz="4" w:space="0" w:color="auto"/>
              <w:left w:val="single" w:sz="4" w:space="0" w:color="auto"/>
              <w:right w:val="single" w:sz="4" w:space="0" w:color="auto"/>
            </w:tcBorders>
            <w:shd w:val="clear" w:color="auto" w:fill="auto"/>
            <w:vAlign w:val="center"/>
          </w:tcPr>
          <w:p w14:paraId="0E7FAFDC" w14:textId="77777777" w:rsidR="008C34A2" w:rsidRPr="00781112" w:rsidRDefault="008C34A2" w:rsidP="00DF5DC9">
            <w:pPr>
              <w:spacing w:line="276" w:lineRule="auto"/>
              <w:jc w:val="center"/>
              <w:rPr>
                <w:rFonts w:cs="Arial"/>
                <w:b/>
                <w:bCs/>
                <w:color w:val="000000" w:themeColor="text1"/>
                <w:szCs w:val="16"/>
              </w:rPr>
            </w:pPr>
            <w:r w:rsidRPr="00781112">
              <w:rPr>
                <w:rFonts w:cs="Arial"/>
                <w:b/>
                <w:bCs/>
                <w:color w:val="000000" w:themeColor="text1"/>
                <w:szCs w:val="16"/>
              </w:rPr>
              <w:t>B</w:t>
            </w:r>
          </w:p>
        </w:tc>
        <w:tc>
          <w:tcPr>
            <w:tcW w:w="2025" w:type="dxa"/>
            <w:tcBorders>
              <w:top w:val="single" w:sz="4" w:space="0" w:color="auto"/>
              <w:left w:val="single" w:sz="4" w:space="0" w:color="auto"/>
              <w:right w:val="single" w:sz="4" w:space="0" w:color="auto"/>
            </w:tcBorders>
            <w:shd w:val="clear" w:color="auto" w:fill="auto"/>
          </w:tcPr>
          <w:p w14:paraId="538A3CE6"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2018</w:t>
            </w:r>
          </w:p>
        </w:tc>
        <w:tc>
          <w:tcPr>
            <w:tcW w:w="2025" w:type="dxa"/>
            <w:tcBorders>
              <w:top w:val="single" w:sz="4" w:space="0" w:color="auto"/>
              <w:left w:val="single" w:sz="4" w:space="0" w:color="auto"/>
              <w:right w:val="single" w:sz="4" w:space="0" w:color="auto"/>
            </w:tcBorders>
          </w:tcPr>
          <w:p w14:paraId="794F234F"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32.67%</w:t>
            </w:r>
          </w:p>
        </w:tc>
      </w:tr>
      <w:tr w:rsidR="008C34A2" w:rsidRPr="00781112" w14:paraId="2DFA9728" w14:textId="77777777" w:rsidTr="00DF5DC9">
        <w:trPr>
          <w:trHeight w:val="85"/>
        </w:trPr>
        <w:tc>
          <w:tcPr>
            <w:tcW w:w="1436" w:type="dxa"/>
            <w:tcBorders>
              <w:left w:val="single" w:sz="4" w:space="0" w:color="auto"/>
              <w:right w:val="single" w:sz="4" w:space="0" w:color="auto"/>
            </w:tcBorders>
            <w:shd w:val="clear" w:color="auto" w:fill="auto"/>
            <w:vAlign w:val="center"/>
          </w:tcPr>
          <w:p w14:paraId="6CBBDF9C" w14:textId="77777777" w:rsidR="008C34A2" w:rsidRPr="00781112" w:rsidRDefault="008C34A2" w:rsidP="00DF5DC9">
            <w:pPr>
              <w:spacing w:line="276" w:lineRule="auto"/>
              <w:jc w:val="center"/>
              <w:rPr>
                <w:rFonts w:cs="Arial"/>
                <w:b/>
                <w:bCs/>
                <w:color w:val="000000" w:themeColor="text1"/>
                <w:szCs w:val="16"/>
              </w:rPr>
            </w:pPr>
            <w:r w:rsidRPr="00781112">
              <w:rPr>
                <w:rFonts w:cs="Arial"/>
                <w:b/>
                <w:bCs/>
                <w:color w:val="000000" w:themeColor="text1"/>
                <w:szCs w:val="16"/>
              </w:rPr>
              <w:t>C</w:t>
            </w:r>
          </w:p>
        </w:tc>
        <w:tc>
          <w:tcPr>
            <w:tcW w:w="2025" w:type="dxa"/>
            <w:tcBorders>
              <w:left w:val="single" w:sz="4" w:space="0" w:color="auto"/>
              <w:right w:val="single" w:sz="4" w:space="0" w:color="auto"/>
            </w:tcBorders>
            <w:shd w:val="clear" w:color="auto" w:fill="auto"/>
          </w:tcPr>
          <w:p w14:paraId="7E7E5689"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2018</w:t>
            </w:r>
          </w:p>
        </w:tc>
        <w:tc>
          <w:tcPr>
            <w:tcW w:w="2025" w:type="dxa"/>
            <w:tcBorders>
              <w:left w:val="single" w:sz="4" w:space="0" w:color="auto"/>
              <w:right w:val="single" w:sz="4" w:space="0" w:color="auto"/>
            </w:tcBorders>
          </w:tcPr>
          <w:p w14:paraId="4FCAB124"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0.25%</w:t>
            </w:r>
          </w:p>
        </w:tc>
      </w:tr>
    </w:tbl>
    <w:p w14:paraId="3CB9A2A8" w14:textId="77777777" w:rsidR="008C34A2" w:rsidRPr="00992ACE" w:rsidRDefault="008C34A2" w:rsidP="00992ACE">
      <w:pPr>
        <w:rPr>
          <w:rFonts w:cs="Arial"/>
          <w:color w:val="000000" w:themeColor="text1"/>
          <w:szCs w:val="16"/>
        </w:rPr>
      </w:pPr>
    </w:p>
    <w:p w14:paraId="47A40AAD" w14:textId="088A53BD" w:rsidR="0059735F" w:rsidRPr="00781112" w:rsidRDefault="0059735F" w:rsidP="0059735F">
      <w:pPr>
        <w:rPr>
          <w:b/>
          <w:bCs/>
          <w:color w:val="000000" w:themeColor="text1"/>
        </w:rPr>
      </w:pPr>
      <w:r w:rsidRPr="00781112">
        <w:rPr>
          <w:b/>
          <w:bCs/>
        </w:rPr>
        <w:t>Inclusive Targets – 6A, 6B</w:t>
      </w:r>
    </w:p>
    <w:tbl>
      <w:tblPr>
        <w:tblW w:w="42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6ABTARGETSINCL"/>
      </w:tblPr>
      <w:tblGrid>
        <w:gridCol w:w="1076"/>
        <w:gridCol w:w="1617"/>
        <w:gridCol w:w="1617"/>
        <w:gridCol w:w="1621"/>
        <w:gridCol w:w="1619"/>
        <w:gridCol w:w="1619"/>
      </w:tblGrid>
      <w:tr w:rsidR="00B14519" w:rsidRPr="00781112" w14:paraId="502A05CF" w14:textId="31F34C5E" w:rsidTr="00451D7E">
        <w:trPr>
          <w:trHeight w:val="297"/>
        </w:trPr>
        <w:tc>
          <w:tcPr>
            <w:tcW w:w="586" w:type="pct"/>
            <w:tcBorders>
              <w:bottom w:val="single" w:sz="4" w:space="0" w:color="auto"/>
            </w:tcBorders>
            <w:shd w:val="clear" w:color="auto" w:fill="auto"/>
          </w:tcPr>
          <w:p w14:paraId="24938C30" w14:textId="77777777" w:rsidR="00B14519" w:rsidRPr="00781112" w:rsidRDefault="00B14519" w:rsidP="00D62058">
            <w:pPr>
              <w:jc w:val="center"/>
              <w:rPr>
                <w:b/>
                <w:color w:val="000000" w:themeColor="text1"/>
              </w:rPr>
            </w:pPr>
            <w:r w:rsidRPr="00781112">
              <w:rPr>
                <w:b/>
                <w:color w:val="000000" w:themeColor="text1"/>
              </w:rPr>
              <w:t>FFY</w:t>
            </w:r>
          </w:p>
        </w:tc>
        <w:tc>
          <w:tcPr>
            <w:tcW w:w="882" w:type="pct"/>
            <w:shd w:val="clear" w:color="auto" w:fill="auto"/>
          </w:tcPr>
          <w:p w14:paraId="4B75D90A" w14:textId="04FBCB48" w:rsidR="00B14519" w:rsidRPr="00781112" w:rsidRDefault="00B14519" w:rsidP="00D62058">
            <w:pPr>
              <w:jc w:val="center"/>
              <w:rPr>
                <w:b/>
                <w:color w:val="000000" w:themeColor="text1"/>
              </w:rPr>
            </w:pPr>
            <w:r w:rsidRPr="00781112">
              <w:rPr>
                <w:b/>
                <w:color w:val="000000" w:themeColor="text1"/>
              </w:rPr>
              <w:t>2021</w:t>
            </w:r>
          </w:p>
        </w:tc>
        <w:tc>
          <w:tcPr>
            <w:tcW w:w="882" w:type="pct"/>
          </w:tcPr>
          <w:p w14:paraId="5DC58FF5" w14:textId="7CBB0832" w:rsidR="00B14519" w:rsidRPr="00781112" w:rsidRDefault="00B14519" w:rsidP="00360DD6">
            <w:pPr>
              <w:jc w:val="center"/>
              <w:rPr>
                <w:b/>
                <w:color w:val="000000" w:themeColor="text1"/>
              </w:rPr>
            </w:pPr>
            <w:r w:rsidRPr="00781112">
              <w:rPr>
                <w:b/>
                <w:color w:val="000000" w:themeColor="text1"/>
              </w:rPr>
              <w:t>2022</w:t>
            </w:r>
          </w:p>
        </w:tc>
        <w:tc>
          <w:tcPr>
            <w:tcW w:w="884" w:type="pct"/>
          </w:tcPr>
          <w:p w14:paraId="7F3093B9" w14:textId="2E366C4A" w:rsidR="00B14519" w:rsidRPr="00781112" w:rsidRDefault="00B14519" w:rsidP="00360DD6">
            <w:pPr>
              <w:jc w:val="center"/>
              <w:rPr>
                <w:b/>
                <w:color w:val="000000" w:themeColor="text1"/>
              </w:rPr>
            </w:pPr>
            <w:r w:rsidRPr="00781112">
              <w:rPr>
                <w:b/>
                <w:color w:val="000000" w:themeColor="text1"/>
              </w:rPr>
              <w:t>2023</w:t>
            </w:r>
          </w:p>
        </w:tc>
        <w:tc>
          <w:tcPr>
            <w:tcW w:w="883" w:type="pct"/>
          </w:tcPr>
          <w:p w14:paraId="05A02BBA" w14:textId="78E50BC0" w:rsidR="00B14519" w:rsidRPr="00781112" w:rsidRDefault="00B14519" w:rsidP="00360DD6">
            <w:pPr>
              <w:jc w:val="center"/>
              <w:rPr>
                <w:b/>
                <w:color w:val="000000" w:themeColor="text1"/>
              </w:rPr>
            </w:pPr>
            <w:r w:rsidRPr="00781112">
              <w:rPr>
                <w:b/>
                <w:color w:val="000000" w:themeColor="text1"/>
              </w:rPr>
              <w:t>2024</w:t>
            </w:r>
          </w:p>
        </w:tc>
        <w:tc>
          <w:tcPr>
            <w:tcW w:w="883" w:type="pct"/>
          </w:tcPr>
          <w:p w14:paraId="6CBA3A70" w14:textId="0600BFC9" w:rsidR="00B14519" w:rsidRPr="00781112" w:rsidRDefault="00B14519" w:rsidP="00360DD6">
            <w:pPr>
              <w:jc w:val="center"/>
              <w:rPr>
                <w:b/>
                <w:color w:val="000000" w:themeColor="text1"/>
              </w:rPr>
            </w:pPr>
            <w:r w:rsidRPr="00781112">
              <w:rPr>
                <w:b/>
                <w:color w:val="000000" w:themeColor="text1"/>
              </w:rPr>
              <w:t>2025</w:t>
            </w:r>
          </w:p>
        </w:tc>
      </w:tr>
      <w:tr w:rsidR="00B14519" w:rsidRPr="00781112" w14:paraId="19DCE246" w14:textId="1AEE89BD" w:rsidTr="00451D7E">
        <w:trPr>
          <w:trHeight w:val="303"/>
        </w:trPr>
        <w:tc>
          <w:tcPr>
            <w:tcW w:w="586" w:type="pct"/>
            <w:shd w:val="clear" w:color="auto" w:fill="auto"/>
            <w:vAlign w:val="center"/>
          </w:tcPr>
          <w:p w14:paraId="772DAD56" w14:textId="1540F97B" w:rsidR="00B14519" w:rsidRPr="00781112" w:rsidRDefault="00B14519" w:rsidP="00D62058">
            <w:pPr>
              <w:rPr>
                <w:rFonts w:cs="Arial"/>
                <w:color w:val="000000" w:themeColor="text1"/>
                <w:szCs w:val="16"/>
              </w:rPr>
            </w:pPr>
            <w:r w:rsidRPr="00781112">
              <w:rPr>
                <w:rFonts w:cs="Arial"/>
                <w:color w:val="000000" w:themeColor="text1"/>
                <w:szCs w:val="16"/>
              </w:rPr>
              <w:t>Target A &gt;=</w:t>
            </w:r>
          </w:p>
        </w:tc>
        <w:tc>
          <w:tcPr>
            <w:tcW w:w="882" w:type="pct"/>
            <w:shd w:val="clear" w:color="auto" w:fill="auto"/>
            <w:vAlign w:val="center"/>
          </w:tcPr>
          <w:p w14:paraId="2E5FC5F6" w14:textId="4C6B8E64" w:rsidR="00B14519" w:rsidRPr="00781112" w:rsidRDefault="00B14519" w:rsidP="00D62058">
            <w:pPr>
              <w:jc w:val="center"/>
              <w:rPr>
                <w:rFonts w:cs="Arial"/>
                <w:color w:val="000000" w:themeColor="text1"/>
                <w:szCs w:val="16"/>
              </w:rPr>
            </w:pPr>
            <w:r w:rsidRPr="00781112">
              <w:rPr>
                <w:rFonts w:cs="Arial"/>
                <w:color w:val="000000" w:themeColor="text1"/>
                <w:szCs w:val="16"/>
              </w:rPr>
              <w:t>46.86%</w:t>
            </w:r>
          </w:p>
        </w:tc>
        <w:tc>
          <w:tcPr>
            <w:tcW w:w="882" w:type="pct"/>
          </w:tcPr>
          <w:p w14:paraId="4C26EA28" w14:textId="691A218F" w:rsidR="00B14519" w:rsidRPr="00781112" w:rsidRDefault="00B14519" w:rsidP="00360DD6">
            <w:pPr>
              <w:jc w:val="center"/>
              <w:rPr>
                <w:rFonts w:cs="Arial"/>
                <w:color w:val="000000" w:themeColor="text1"/>
                <w:szCs w:val="16"/>
              </w:rPr>
            </w:pPr>
            <w:r w:rsidRPr="00781112">
              <w:rPr>
                <w:rFonts w:cs="Arial"/>
                <w:color w:val="000000" w:themeColor="text1"/>
                <w:szCs w:val="16"/>
              </w:rPr>
              <w:t>47.75%</w:t>
            </w:r>
          </w:p>
        </w:tc>
        <w:tc>
          <w:tcPr>
            <w:tcW w:w="884" w:type="pct"/>
          </w:tcPr>
          <w:p w14:paraId="0BF1D9D9" w14:textId="482D9F05" w:rsidR="00B14519" w:rsidRPr="00781112" w:rsidRDefault="00B14519" w:rsidP="00360DD6">
            <w:pPr>
              <w:jc w:val="center"/>
              <w:rPr>
                <w:rFonts w:cs="Arial"/>
                <w:color w:val="000000" w:themeColor="text1"/>
                <w:szCs w:val="16"/>
              </w:rPr>
            </w:pPr>
            <w:r w:rsidRPr="00781112">
              <w:rPr>
                <w:rFonts w:cs="Arial"/>
                <w:color w:val="000000" w:themeColor="text1"/>
                <w:szCs w:val="16"/>
              </w:rPr>
              <w:t>48.65%</w:t>
            </w:r>
          </w:p>
        </w:tc>
        <w:tc>
          <w:tcPr>
            <w:tcW w:w="883" w:type="pct"/>
          </w:tcPr>
          <w:p w14:paraId="583F2116" w14:textId="7106D36C" w:rsidR="00B14519" w:rsidRPr="00781112" w:rsidRDefault="00B14519" w:rsidP="00360DD6">
            <w:pPr>
              <w:jc w:val="center"/>
              <w:rPr>
                <w:rFonts w:cs="Arial"/>
                <w:color w:val="000000" w:themeColor="text1"/>
                <w:szCs w:val="16"/>
              </w:rPr>
            </w:pPr>
            <w:r w:rsidRPr="00781112">
              <w:rPr>
                <w:rFonts w:cs="Arial"/>
                <w:color w:val="000000" w:themeColor="text1"/>
                <w:szCs w:val="16"/>
              </w:rPr>
              <w:t>50.43%</w:t>
            </w:r>
          </w:p>
        </w:tc>
        <w:tc>
          <w:tcPr>
            <w:tcW w:w="883" w:type="pct"/>
          </w:tcPr>
          <w:p w14:paraId="08E53F3C" w14:textId="7CD4AF73" w:rsidR="00B14519" w:rsidRPr="00781112" w:rsidRDefault="00B14519" w:rsidP="00360DD6">
            <w:pPr>
              <w:jc w:val="center"/>
              <w:rPr>
                <w:rFonts w:cs="Arial"/>
                <w:color w:val="000000" w:themeColor="text1"/>
                <w:szCs w:val="16"/>
              </w:rPr>
            </w:pPr>
            <w:r w:rsidRPr="00781112">
              <w:rPr>
                <w:rFonts w:cs="Arial"/>
                <w:color w:val="000000" w:themeColor="text1"/>
                <w:szCs w:val="16"/>
              </w:rPr>
              <w:t>54.00%</w:t>
            </w:r>
          </w:p>
        </w:tc>
      </w:tr>
      <w:tr w:rsidR="00B14519" w:rsidRPr="00781112" w14:paraId="3AA5E8F7" w14:textId="085D0F95" w:rsidTr="00451D7E">
        <w:trPr>
          <w:trHeight w:val="303"/>
        </w:trPr>
        <w:tc>
          <w:tcPr>
            <w:tcW w:w="586" w:type="pct"/>
            <w:shd w:val="clear" w:color="auto" w:fill="auto"/>
            <w:vAlign w:val="center"/>
          </w:tcPr>
          <w:p w14:paraId="49E152B3" w14:textId="4DC08CD2" w:rsidR="00B14519" w:rsidRPr="00781112" w:rsidRDefault="00B14519" w:rsidP="00D62058">
            <w:pPr>
              <w:rPr>
                <w:rFonts w:cs="Arial"/>
                <w:color w:val="000000" w:themeColor="text1"/>
                <w:szCs w:val="16"/>
              </w:rPr>
            </w:pPr>
            <w:r w:rsidRPr="00781112">
              <w:rPr>
                <w:rFonts w:cs="Arial"/>
                <w:color w:val="000000" w:themeColor="text1"/>
                <w:szCs w:val="16"/>
              </w:rPr>
              <w:t>Target B &lt;=</w:t>
            </w:r>
          </w:p>
        </w:tc>
        <w:tc>
          <w:tcPr>
            <w:tcW w:w="882" w:type="pct"/>
            <w:shd w:val="clear" w:color="auto" w:fill="auto"/>
            <w:vAlign w:val="center"/>
          </w:tcPr>
          <w:p w14:paraId="642E6A80" w14:textId="7A6AF652" w:rsidR="00B14519" w:rsidRPr="00781112" w:rsidRDefault="00B14519" w:rsidP="00D62058">
            <w:pPr>
              <w:jc w:val="center"/>
              <w:rPr>
                <w:rFonts w:cs="Arial"/>
                <w:color w:val="000000" w:themeColor="text1"/>
                <w:szCs w:val="16"/>
              </w:rPr>
            </w:pPr>
            <w:r w:rsidRPr="00781112">
              <w:rPr>
                <w:rFonts w:cs="Arial"/>
                <w:color w:val="000000" w:themeColor="text1"/>
                <w:szCs w:val="16"/>
              </w:rPr>
              <w:t>32.67%</w:t>
            </w:r>
          </w:p>
        </w:tc>
        <w:tc>
          <w:tcPr>
            <w:tcW w:w="882" w:type="pct"/>
          </w:tcPr>
          <w:p w14:paraId="752B6B9E" w14:textId="3979D870" w:rsidR="00B14519" w:rsidRPr="00781112" w:rsidRDefault="00B14519" w:rsidP="00360DD6">
            <w:pPr>
              <w:jc w:val="center"/>
              <w:rPr>
                <w:rFonts w:cs="Arial"/>
                <w:color w:val="000000" w:themeColor="text1"/>
                <w:szCs w:val="16"/>
              </w:rPr>
            </w:pPr>
            <w:r w:rsidRPr="00781112">
              <w:rPr>
                <w:rFonts w:cs="Arial"/>
                <w:color w:val="000000" w:themeColor="text1"/>
                <w:szCs w:val="16"/>
              </w:rPr>
              <w:t>32.34%</w:t>
            </w:r>
          </w:p>
        </w:tc>
        <w:tc>
          <w:tcPr>
            <w:tcW w:w="884" w:type="pct"/>
          </w:tcPr>
          <w:p w14:paraId="1DCC77D9" w14:textId="4B30FDBE" w:rsidR="00B14519" w:rsidRPr="00781112" w:rsidRDefault="00B14519" w:rsidP="00360DD6">
            <w:pPr>
              <w:jc w:val="center"/>
              <w:rPr>
                <w:rFonts w:cs="Arial"/>
                <w:color w:val="000000" w:themeColor="text1"/>
                <w:szCs w:val="16"/>
              </w:rPr>
            </w:pPr>
            <w:r w:rsidRPr="00781112">
              <w:rPr>
                <w:rFonts w:cs="Arial"/>
                <w:color w:val="000000" w:themeColor="text1"/>
                <w:szCs w:val="16"/>
              </w:rPr>
              <w:t>32.00%</w:t>
            </w:r>
          </w:p>
        </w:tc>
        <w:tc>
          <w:tcPr>
            <w:tcW w:w="883" w:type="pct"/>
          </w:tcPr>
          <w:p w14:paraId="481E8597" w14:textId="10A83577" w:rsidR="00B14519" w:rsidRPr="00781112" w:rsidRDefault="00B14519" w:rsidP="00360DD6">
            <w:pPr>
              <w:jc w:val="center"/>
              <w:rPr>
                <w:rFonts w:cs="Arial"/>
                <w:color w:val="000000" w:themeColor="text1"/>
                <w:szCs w:val="16"/>
              </w:rPr>
            </w:pPr>
            <w:r w:rsidRPr="00781112">
              <w:rPr>
                <w:rFonts w:cs="Arial"/>
                <w:color w:val="000000" w:themeColor="text1"/>
                <w:szCs w:val="16"/>
              </w:rPr>
              <w:t>31.34%</w:t>
            </w:r>
          </w:p>
        </w:tc>
        <w:tc>
          <w:tcPr>
            <w:tcW w:w="883" w:type="pct"/>
          </w:tcPr>
          <w:p w14:paraId="55F7CFD1" w14:textId="49CA8BA3" w:rsidR="00B14519" w:rsidRPr="00781112" w:rsidRDefault="00B14519" w:rsidP="00360DD6">
            <w:pPr>
              <w:jc w:val="center"/>
              <w:rPr>
                <w:rFonts w:cs="Arial"/>
                <w:color w:val="000000" w:themeColor="text1"/>
                <w:szCs w:val="16"/>
              </w:rPr>
            </w:pPr>
            <w:r w:rsidRPr="00781112">
              <w:rPr>
                <w:rFonts w:cs="Arial"/>
                <w:color w:val="000000" w:themeColor="text1"/>
                <w:szCs w:val="16"/>
              </w:rPr>
              <w:t>30.00%</w:t>
            </w:r>
          </w:p>
        </w:tc>
      </w:tr>
    </w:tbl>
    <w:p w14:paraId="27170CED" w14:textId="772C81FC" w:rsidR="00E428BD" w:rsidRDefault="00E428BD" w:rsidP="004369B2">
      <w:pPr>
        <w:rPr>
          <w:color w:val="000000" w:themeColor="text1"/>
        </w:rPr>
      </w:pPr>
      <w:bookmarkStart w:id="42" w:name="_Toc382082378"/>
      <w:bookmarkStart w:id="43" w:name="_Toc392159302"/>
    </w:p>
    <w:p w14:paraId="38AC4E98" w14:textId="77777777" w:rsidR="0040181B" w:rsidRPr="00781112" w:rsidRDefault="0040181B" w:rsidP="0040181B">
      <w:pPr>
        <w:rPr>
          <w:b/>
          <w:bCs/>
          <w:color w:val="000000" w:themeColor="text1"/>
        </w:rPr>
      </w:pPr>
      <w:r w:rsidRPr="00781112">
        <w:rPr>
          <w:b/>
          <w:bCs/>
        </w:rPr>
        <w:t>Inclusive Targets – 6C</w:t>
      </w:r>
    </w:p>
    <w:tbl>
      <w:tblPr>
        <w:tblW w:w="42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6CTARGETSINCL"/>
      </w:tblPr>
      <w:tblGrid>
        <w:gridCol w:w="1076"/>
        <w:gridCol w:w="1617"/>
        <w:gridCol w:w="1617"/>
        <w:gridCol w:w="1621"/>
        <w:gridCol w:w="1619"/>
        <w:gridCol w:w="1619"/>
      </w:tblGrid>
      <w:tr w:rsidR="00B14519" w:rsidRPr="00781112" w14:paraId="6B43903F" w14:textId="77777777" w:rsidTr="00451D7E">
        <w:trPr>
          <w:trHeight w:val="297"/>
        </w:trPr>
        <w:tc>
          <w:tcPr>
            <w:tcW w:w="586" w:type="pct"/>
            <w:tcBorders>
              <w:bottom w:val="single" w:sz="4" w:space="0" w:color="auto"/>
            </w:tcBorders>
            <w:shd w:val="clear" w:color="auto" w:fill="auto"/>
          </w:tcPr>
          <w:p w14:paraId="454FDD0F" w14:textId="77777777" w:rsidR="00B14519" w:rsidRPr="00781112" w:rsidRDefault="00B14519" w:rsidP="00992ACE">
            <w:pPr>
              <w:jc w:val="center"/>
              <w:rPr>
                <w:b/>
                <w:color w:val="000000" w:themeColor="text1"/>
              </w:rPr>
            </w:pPr>
            <w:r w:rsidRPr="00781112">
              <w:rPr>
                <w:b/>
                <w:color w:val="000000" w:themeColor="text1"/>
              </w:rPr>
              <w:t>FFY</w:t>
            </w:r>
          </w:p>
        </w:tc>
        <w:tc>
          <w:tcPr>
            <w:tcW w:w="882" w:type="pct"/>
            <w:shd w:val="clear" w:color="auto" w:fill="auto"/>
          </w:tcPr>
          <w:p w14:paraId="23E06477" w14:textId="77777777" w:rsidR="00B14519" w:rsidRPr="00781112" w:rsidRDefault="00B14519" w:rsidP="00992ACE">
            <w:pPr>
              <w:jc w:val="center"/>
              <w:rPr>
                <w:b/>
                <w:color w:val="000000" w:themeColor="text1"/>
              </w:rPr>
            </w:pPr>
            <w:r w:rsidRPr="00781112">
              <w:rPr>
                <w:b/>
                <w:color w:val="000000" w:themeColor="text1"/>
              </w:rPr>
              <w:t>2021</w:t>
            </w:r>
          </w:p>
        </w:tc>
        <w:tc>
          <w:tcPr>
            <w:tcW w:w="882" w:type="pct"/>
          </w:tcPr>
          <w:p w14:paraId="727ADECD" w14:textId="77777777" w:rsidR="00B14519" w:rsidRPr="00781112" w:rsidRDefault="00B14519" w:rsidP="00992ACE">
            <w:pPr>
              <w:jc w:val="center"/>
              <w:rPr>
                <w:b/>
                <w:color w:val="000000" w:themeColor="text1"/>
              </w:rPr>
            </w:pPr>
            <w:r w:rsidRPr="00781112">
              <w:rPr>
                <w:b/>
                <w:color w:val="000000" w:themeColor="text1"/>
              </w:rPr>
              <w:t>2022</w:t>
            </w:r>
          </w:p>
        </w:tc>
        <w:tc>
          <w:tcPr>
            <w:tcW w:w="884" w:type="pct"/>
          </w:tcPr>
          <w:p w14:paraId="6EC259CD" w14:textId="77777777" w:rsidR="00B14519" w:rsidRPr="00781112" w:rsidRDefault="00B14519" w:rsidP="00992ACE">
            <w:pPr>
              <w:jc w:val="center"/>
              <w:rPr>
                <w:b/>
                <w:color w:val="000000" w:themeColor="text1"/>
              </w:rPr>
            </w:pPr>
            <w:r w:rsidRPr="00781112">
              <w:rPr>
                <w:b/>
                <w:color w:val="000000" w:themeColor="text1"/>
              </w:rPr>
              <w:t>2023</w:t>
            </w:r>
          </w:p>
        </w:tc>
        <w:tc>
          <w:tcPr>
            <w:tcW w:w="883" w:type="pct"/>
          </w:tcPr>
          <w:p w14:paraId="30FC0D14" w14:textId="77777777" w:rsidR="00B14519" w:rsidRPr="00781112" w:rsidRDefault="00B14519" w:rsidP="00992ACE">
            <w:pPr>
              <w:jc w:val="center"/>
              <w:rPr>
                <w:b/>
                <w:color w:val="000000" w:themeColor="text1"/>
              </w:rPr>
            </w:pPr>
            <w:r w:rsidRPr="00781112">
              <w:rPr>
                <w:b/>
                <w:color w:val="000000" w:themeColor="text1"/>
              </w:rPr>
              <w:t>2024</w:t>
            </w:r>
          </w:p>
        </w:tc>
        <w:tc>
          <w:tcPr>
            <w:tcW w:w="883" w:type="pct"/>
          </w:tcPr>
          <w:p w14:paraId="508E78A1" w14:textId="77777777" w:rsidR="00B14519" w:rsidRPr="00781112" w:rsidRDefault="00B14519" w:rsidP="00992ACE">
            <w:pPr>
              <w:jc w:val="center"/>
              <w:rPr>
                <w:b/>
                <w:color w:val="000000" w:themeColor="text1"/>
              </w:rPr>
            </w:pPr>
            <w:r w:rsidRPr="00781112">
              <w:rPr>
                <w:b/>
                <w:color w:val="000000" w:themeColor="text1"/>
              </w:rPr>
              <w:t>2025</w:t>
            </w:r>
          </w:p>
        </w:tc>
      </w:tr>
      <w:tr w:rsidR="00B14519" w:rsidRPr="00781112" w14:paraId="38A2A2D3" w14:textId="77777777" w:rsidTr="00451D7E">
        <w:trPr>
          <w:trHeight w:val="303"/>
        </w:trPr>
        <w:tc>
          <w:tcPr>
            <w:tcW w:w="586" w:type="pct"/>
            <w:shd w:val="clear" w:color="auto" w:fill="auto"/>
            <w:vAlign w:val="center"/>
          </w:tcPr>
          <w:p w14:paraId="1A01A931" w14:textId="77777777" w:rsidR="00B14519" w:rsidRPr="00781112" w:rsidRDefault="00B14519" w:rsidP="00992ACE">
            <w:pPr>
              <w:rPr>
                <w:rFonts w:cs="Arial"/>
                <w:color w:val="000000" w:themeColor="text1"/>
                <w:szCs w:val="16"/>
              </w:rPr>
            </w:pPr>
            <w:r w:rsidRPr="00781112">
              <w:rPr>
                <w:rFonts w:cs="Arial"/>
                <w:color w:val="000000" w:themeColor="text1"/>
                <w:szCs w:val="16"/>
              </w:rPr>
              <w:t>Target C &lt;=</w:t>
            </w:r>
          </w:p>
        </w:tc>
        <w:tc>
          <w:tcPr>
            <w:tcW w:w="882" w:type="pct"/>
            <w:shd w:val="clear" w:color="auto" w:fill="auto"/>
            <w:vAlign w:val="center"/>
          </w:tcPr>
          <w:p w14:paraId="4CC46A48" w14:textId="77777777" w:rsidR="00B14519" w:rsidRPr="00781112" w:rsidRDefault="00B14519" w:rsidP="00992ACE">
            <w:pPr>
              <w:jc w:val="center"/>
              <w:rPr>
                <w:rFonts w:cs="Arial"/>
                <w:color w:val="000000" w:themeColor="text1"/>
                <w:szCs w:val="16"/>
              </w:rPr>
            </w:pPr>
            <w:r w:rsidRPr="00781112">
              <w:rPr>
                <w:rFonts w:cs="Arial"/>
                <w:color w:val="000000" w:themeColor="text1"/>
                <w:szCs w:val="16"/>
              </w:rPr>
              <w:t>0.31%</w:t>
            </w:r>
          </w:p>
        </w:tc>
        <w:tc>
          <w:tcPr>
            <w:tcW w:w="882" w:type="pct"/>
          </w:tcPr>
          <w:p w14:paraId="262E2FD0" w14:textId="77777777" w:rsidR="00B14519" w:rsidRPr="00781112" w:rsidRDefault="00B14519" w:rsidP="00992ACE">
            <w:pPr>
              <w:jc w:val="center"/>
              <w:rPr>
                <w:rFonts w:cs="Arial"/>
                <w:color w:val="000000" w:themeColor="text1"/>
                <w:szCs w:val="16"/>
              </w:rPr>
            </w:pPr>
            <w:r w:rsidRPr="00781112">
              <w:rPr>
                <w:rFonts w:cs="Arial"/>
                <w:color w:val="000000" w:themeColor="text1"/>
                <w:szCs w:val="16"/>
              </w:rPr>
              <w:t>0.30%</w:t>
            </w:r>
          </w:p>
        </w:tc>
        <w:tc>
          <w:tcPr>
            <w:tcW w:w="884" w:type="pct"/>
          </w:tcPr>
          <w:p w14:paraId="54ED085E" w14:textId="77777777" w:rsidR="00B14519" w:rsidRPr="00781112" w:rsidRDefault="00B14519" w:rsidP="00992ACE">
            <w:pPr>
              <w:jc w:val="center"/>
              <w:rPr>
                <w:rFonts w:cs="Arial"/>
                <w:color w:val="000000" w:themeColor="text1"/>
                <w:szCs w:val="16"/>
              </w:rPr>
            </w:pPr>
            <w:r w:rsidRPr="00781112">
              <w:rPr>
                <w:rFonts w:cs="Arial"/>
                <w:color w:val="000000" w:themeColor="text1"/>
                <w:szCs w:val="16"/>
              </w:rPr>
              <w:t>0.29%</w:t>
            </w:r>
          </w:p>
        </w:tc>
        <w:tc>
          <w:tcPr>
            <w:tcW w:w="883" w:type="pct"/>
          </w:tcPr>
          <w:p w14:paraId="2466D4C4" w14:textId="77777777" w:rsidR="00B14519" w:rsidRPr="00781112" w:rsidRDefault="00B14519" w:rsidP="00992ACE">
            <w:pPr>
              <w:jc w:val="center"/>
              <w:rPr>
                <w:rFonts w:cs="Arial"/>
                <w:color w:val="000000" w:themeColor="text1"/>
                <w:szCs w:val="16"/>
              </w:rPr>
            </w:pPr>
            <w:r w:rsidRPr="00781112">
              <w:rPr>
                <w:rFonts w:cs="Arial"/>
                <w:color w:val="000000" w:themeColor="text1"/>
                <w:szCs w:val="16"/>
              </w:rPr>
              <w:t>0.28%</w:t>
            </w:r>
          </w:p>
        </w:tc>
        <w:tc>
          <w:tcPr>
            <w:tcW w:w="883" w:type="pct"/>
          </w:tcPr>
          <w:p w14:paraId="17FD3C25" w14:textId="77777777" w:rsidR="00B14519" w:rsidRPr="00781112" w:rsidRDefault="00B14519" w:rsidP="00992ACE">
            <w:pPr>
              <w:jc w:val="center"/>
              <w:rPr>
                <w:rFonts w:cs="Arial"/>
                <w:color w:val="000000" w:themeColor="text1"/>
                <w:szCs w:val="16"/>
              </w:rPr>
            </w:pPr>
            <w:r w:rsidRPr="00781112">
              <w:rPr>
                <w:rFonts w:cs="Arial"/>
                <w:color w:val="000000" w:themeColor="text1"/>
                <w:szCs w:val="16"/>
              </w:rPr>
              <w:t>0.24%</w:t>
            </w:r>
          </w:p>
        </w:tc>
      </w:tr>
    </w:tbl>
    <w:p w14:paraId="6F4455E5" w14:textId="77777777" w:rsidR="0040181B" w:rsidRPr="00781112" w:rsidRDefault="0040181B" w:rsidP="0040181B">
      <w:pPr>
        <w:rPr>
          <w:color w:val="000000" w:themeColor="text1"/>
        </w:rPr>
      </w:pPr>
    </w:p>
    <w:p w14:paraId="50508AD8" w14:textId="0C71BBD3" w:rsidR="008751D3" w:rsidRPr="00781112" w:rsidRDefault="008751D3" w:rsidP="004369B2">
      <w:pPr>
        <w:rPr>
          <w:b/>
          <w:color w:val="000000" w:themeColor="text1"/>
        </w:rPr>
      </w:pPr>
      <w:r w:rsidRPr="00781112">
        <w:rPr>
          <w:b/>
          <w:color w:val="000000" w:themeColor="text1"/>
        </w:rPr>
        <w:t>Prepopulated Data</w:t>
      </w:r>
    </w:p>
    <w:p w14:paraId="4FE8FE34" w14:textId="77777777" w:rsidR="004F4564" w:rsidRPr="00781112" w:rsidRDefault="004F4564" w:rsidP="004F4564">
      <w:pPr>
        <w:rPr>
          <w:rFonts w:cs="Arial"/>
          <w:b/>
          <w:color w:val="000000" w:themeColor="text1"/>
          <w:szCs w:val="16"/>
        </w:rPr>
      </w:pPr>
      <w:r w:rsidRPr="00781112">
        <w:rPr>
          <w:rFonts w:cs="Arial"/>
          <w:b/>
          <w:color w:val="000000" w:themeColor="text1"/>
          <w:szCs w:val="16"/>
        </w:rPr>
        <w:t xml:space="preserve">Data Source:  </w:t>
      </w:r>
    </w:p>
    <w:p w14:paraId="386CE8B6" w14:textId="365EFD16" w:rsidR="004F4564" w:rsidRPr="00781112" w:rsidRDefault="004F4564" w:rsidP="004F4564">
      <w:pPr>
        <w:rPr>
          <w:rFonts w:cs="Arial"/>
          <w:color w:val="000000" w:themeColor="text1"/>
          <w:szCs w:val="16"/>
        </w:rPr>
      </w:pPr>
      <w:r w:rsidRPr="00781112">
        <w:rPr>
          <w:rFonts w:cs="Arial"/>
          <w:color w:val="000000" w:themeColor="text1"/>
          <w:szCs w:val="16"/>
        </w:rPr>
        <w:t>SY 2021-22 Child Count/Educational Environment Data Groups (EDFacts file spec FS089; Data group 613)</w:t>
      </w:r>
    </w:p>
    <w:p w14:paraId="4528541A" w14:textId="77777777" w:rsidR="004F4564" w:rsidRPr="00781112" w:rsidRDefault="004F4564" w:rsidP="004F4564">
      <w:pPr>
        <w:rPr>
          <w:rFonts w:cs="Arial"/>
          <w:b/>
          <w:color w:val="000000" w:themeColor="text1"/>
          <w:szCs w:val="16"/>
        </w:rPr>
      </w:pPr>
      <w:r w:rsidRPr="00781112">
        <w:rPr>
          <w:rFonts w:cs="Arial"/>
          <w:b/>
          <w:color w:val="000000" w:themeColor="text1"/>
          <w:szCs w:val="16"/>
        </w:rPr>
        <w:t xml:space="preserve">Date: </w:t>
      </w:r>
    </w:p>
    <w:p w14:paraId="372F35F3" w14:textId="3C0B439F" w:rsidR="004F4564" w:rsidRPr="00781112" w:rsidRDefault="004F4564" w:rsidP="004F4564">
      <w:pPr>
        <w:rPr>
          <w:rFonts w:cs="Arial"/>
          <w:color w:val="000000" w:themeColor="text1"/>
          <w:szCs w:val="16"/>
        </w:rPr>
      </w:pPr>
      <w:r w:rsidRPr="00781112">
        <w:rPr>
          <w:rFonts w:cs="Arial"/>
          <w:color w:val="000000" w:themeColor="text1"/>
          <w:szCs w:val="16"/>
        </w:rPr>
        <w:t>07/06/2022</w:t>
      </w:r>
    </w:p>
    <w:p w14:paraId="023F428E" w14:textId="77777777" w:rsidR="004F4564" w:rsidRPr="00781112" w:rsidRDefault="004F4564"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Caption w:val="B06PREPOPDATA"/>
      </w:tblPr>
      <w:tblGrid>
        <w:gridCol w:w="3348"/>
        <w:gridCol w:w="1862"/>
        <w:gridCol w:w="1862"/>
        <w:gridCol w:w="1862"/>
        <w:gridCol w:w="1856"/>
      </w:tblGrid>
      <w:tr w:rsidR="00E25159" w:rsidRPr="00781112" w14:paraId="08E6335C" w14:textId="3E29B965" w:rsidTr="00360DD6">
        <w:trPr>
          <w:cantSplit/>
          <w:tblHeader/>
        </w:trPr>
        <w:tc>
          <w:tcPr>
            <w:tcW w:w="1551" w:type="pct"/>
            <w:shd w:val="clear" w:color="auto" w:fill="auto"/>
          </w:tcPr>
          <w:p w14:paraId="47ECA16E" w14:textId="77777777" w:rsidR="00E25159" w:rsidRPr="00781112" w:rsidRDefault="00E25159" w:rsidP="009C613A">
            <w:pPr>
              <w:spacing w:after="0"/>
              <w:jc w:val="center"/>
              <w:rPr>
                <w:rFonts w:cs="Arial"/>
                <w:b/>
                <w:color w:val="000000" w:themeColor="text1"/>
                <w:szCs w:val="16"/>
              </w:rPr>
            </w:pPr>
            <w:r w:rsidRPr="00781112">
              <w:rPr>
                <w:rFonts w:cs="Arial"/>
                <w:b/>
                <w:color w:val="000000" w:themeColor="text1"/>
                <w:szCs w:val="16"/>
              </w:rPr>
              <w:t>Description</w:t>
            </w:r>
          </w:p>
        </w:tc>
        <w:tc>
          <w:tcPr>
            <w:tcW w:w="863" w:type="pct"/>
          </w:tcPr>
          <w:p w14:paraId="06AF5DE5" w14:textId="64A96718" w:rsidR="00E25159" w:rsidRPr="00781112" w:rsidRDefault="002E763A" w:rsidP="009C613A">
            <w:pPr>
              <w:spacing w:after="0"/>
              <w:jc w:val="center"/>
              <w:rPr>
                <w:rFonts w:cs="Arial"/>
                <w:b/>
                <w:color w:val="000000" w:themeColor="text1"/>
                <w:szCs w:val="16"/>
              </w:rPr>
            </w:pPr>
            <w:r w:rsidRPr="00781112">
              <w:rPr>
                <w:rFonts w:cs="Arial"/>
                <w:b/>
                <w:color w:val="000000" w:themeColor="text1"/>
                <w:szCs w:val="16"/>
              </w:rPr>
              <w:t>3</w:t>
            </w:r>
          </w:p>
        </w:tc>
        <w:tc>
          <w:tcPr>
            <w:tcW w:w="863" w:type="pct"/>
          </w:tcPr>
          <w:p w14:paraId="43D1389C" w14:textId="51E4E6FF" w:rsidR="00E25159" w:rsidRPr="00781112" w:rsidRDefault="002E763A" w:rsidP="009C613A">
            <w:pPr>
              <w:spacing w:after="0"/>
              <w:jc w:val="center"/>
              <w:rPr>
                <w:rFonts w:cs="Arial"/>
                <w:b/>
                <w:color w:val="000000" w:themeColor="text1"/>
                <w:szCs w:val="16"/>
              </w:rPr>
            </w:pPr>
            <w:r w:rsidRPr="00781112">
              <w:rPr>
                <w:rFonts w:cs="Arial"/>
                <w:b/>
                <w:color w:val="000000" w:themeColor="text1"/>
                <w:szCs w:val="16"/>
              </w:rPr>
              <w:t>4</w:t>
            </w:r>
          </w:p>
        </w:tc>
        <w:tc>
          <w:tcPr>
            <w:tcW w:w="863" w:type="pct"/>
            <w:shd w:val="clear" w:color="auto" w:fill="auto"/>
          </w:tcPr>
          <w:p w14:paraId="5BF9C35D" w14:textId="53AE3D4B" w:rsidR="00E25159" w:rsidRPr="00781112" w:rsidRDefault="002E763A" w:rsidP="009C613A">
            <w:pPr>
              <w:spacing w:after="0"/>
              <w:jc w:val="center"/>
              <w:rPr>
                <w:rFonts w:cs="Arial"/>
                <w:b/>
                <w:color w:val="000000" w:themeColor="text1"/>
                <w:szCs w:val="16"/>
              </w:rPr>
            </w:pPr>
            <w:r w:rsidRPr="00781112">
              <w:rPr>
                <w:rFonts w:cs="Arial"/>
                <w:b/>
                <w:color w:val="000000" w:themeColor="text1"/>
                <w:szCs w:val="16"/>
              </w:rPr>
              <w:t>5</w:t>
            </w:r>
          </w:p>
        </w:tc>
        <w:tc>
          <w:tcPr>
            <w:tcW w:w="860" w:type="pct"/>
          </w:tcPr>
          <w:p w14:paraId="61BA1D5F" w14:textId="4D953D5F" w:rsidR="00E25159" w:rsidRPr="00781112" w:rsidRDefault="00BB48E9" w:rsidP="009C613A">
            <w:pPr>
              <w:spacing w:after="0"/>
              <w:jc w:val="center"/>
              <w:rPr>
                <w:rFonts w:cs="Arial"/>
                <w:b/>
                <w:color w:val="000000" w:themeColor="text1"/>
                <w:szCs w:val="16"/>
              </w:rPr>
            </w:pPr>
            <w:r w:rsidRPr="00781112">
              <w:rPr>
                <w:rFonts w:cs="Arial"/>
                <w:b/>
                <w:szCs w:val="16"/>
              </w:rPr>
              <w:t>3 through 5 - Total</w:t>
            </w:r>
          </w:p>
        </w:tc>
      </w:tr>
      <w:tr w:rsidR="00DC09CA" w:rsidRPr="00781112" w14:paraId="4FFA6181" w14:textId="716A2CB6" w:rsidTr="00360DD6">
        <w:trPr>
          <w:cantSplit/>
        </w:trPr>
        <w:tc>
          <w:tcPr>
            <w:tcW w:w="1551" w:type="pct"/>
            <w:shd w:val="clear" w:color="auto" w:fill="auto"/>
            <w:vAlign w:val="bottom"/>
          </w:tcPr>
          <w:p w14:paraId="0C7ED212" w14:textId="5E72519E" w:rsidR="00DC09CA" w:rsidRPr="00781112" w:rsidRDefault="00DC09CA" w:rsidP="00DC09CA">
            <w:pPr>
              <w:rPr>
                <w:rFonts w:cs="Arial"/>
                <w:color w:val="000000" w:themeColor="text1"/>
                <w:szCs w:val="16"/>
              </w:rPr>
            </w:pPr>
            <w:r w:rsidRPr="00781112">
              <w:rPr>
                <w:rFonts w:cs="Arial"/>
                <w:color w:val="000000" w:themeColor="text1"/>
                <w:szCs w:val="16"/>
              </w:rPr>
              <w:t>Total number of children with IEPs</w:t>
            </w:r>
          </w:p>
        </w:tc>
        <w:tc>
          <w:tcPr>
            <w:tcW w:w="863" w:type="pct"/>
            <w:vAlign w:val="bottom"/>
          </w:tcPr>
          <w:p w14:paraId="20DD7859" w14:textId="2613E52D" w:rsidR="00DC09CA" w:rsidRPr="00781112" w:rsidRDefault="00DC09CA" w:rsidP="00DC09CA">
            <w:pPr>
              <w:jc w:val="center"/>
              <w:rPr>
                <w:rFonts w:cs="Arial"/>
                <w:color w:val="000000" w:themeColor="text1"/>
                <w:szCs w:val="16"/>
              </w:rPr>
            </w:pPr>
            <w:r w:rsidRPr="00781112">
              <w:rPr>
                <w:rFonts w:cs="Arial"/>
                <w:color w:val="000000" w:themeColor="text1"/>
                <w:szCs w:val="16"/>
              </w:rPr>
              <w:t>2,569</w:t>
            </w:r>
          </w:p>
        </w:tc>
        <w:tc>
          <w:tcPr>
            <w:tcW w:w="863" w:type="pct"/>
          </w:tcPr>
          <w:p w14:paraId="05D687A1" w14:textId="615962C4" w:rsidR="00DC09CA" w:rsidRPr="00781112" w:rsidRDefault="00DC09CA" w:rsidP="00DC09CA">
            <w:pPr>
              <w:jc w:val="center"/>
              <w:rPr>
                <w:rFonts w:cs="Arial"/>
                <w:color w:val="000000" w:themeColor="text1"/>
                <w:szCs w:val="16"/>
              </w:rPr>
            </w:pPr>
            <w:r w:rsidRPr="00781112">
              <w:rPr>
                <w:rFonts w:cs="Arial"/>
                <w:color w:val="000000" w:themeColor="text1"/>
                <w:szCs w:val="16"/>
              </w:rPr>
              <w:t>3,668</w:t>
            </w:r>
          </w:p>
        </w:tc>
        <w:tc>
          <w:tcPr>
            <w:tcW w:w="863" w:type="pct"/>
            <w:shd w:val="clear" w:color="auto" w:fill="auto"/>
          </w:tcPr>
          <w:p w14:paraId="784DA572" w14:textId="619FE690" w:rsidR="00DC09CA" w:rsidRPr="00781112" w:rsidRDefault="00DC09CA" w:rsidP="00DC09CA">
            <w:pPr>
              <w:jc w:val="center"/>
              <w:rPr>
                <w:rFonts w:cs="Arial"/>
                <w:color w:val="000000" w:themeColor="text1"/>
                <w:szCs w:val="16"/>
              </w:rPr>
            </w:pPr>
            <w:r w:rsidRPr="00781112">
              <w:rPr>
                <w:rFonts w:cs="Arial"/>
                <w:color w:val="000000" w:themeColor="text1"/>
                <w:szCs w:val="16"/>
              </w:rPr>
              <w:t>1,074</w:t>
            </w:r>
          </w:p>
        </w:tc>
        <w:tc>
          <w:tcPr>
            <w:tcW w:w="860" w:type="pct"/>
            <w:vAlign w:val="bottom"/>
          </w:tcPr>
          <w:p w14:paraId="11422879" w14:textId="0ABA0049" w:rsidR="00DC09CA" w:rsidRPr="00781112" w:rsidRDefault="00DC09CA" w:rsidP="00DC09CA">
            <w:pPr>
              <w:jc w:val="center"/>
              <w:rPr>
                <w:rFonts w:cs="Arial"/>
                <w:color w:val="000000" w:themeColor="text1"/>
                <w:szCs w:val="16"/>
              </w:rPr>
            </w:pPr>
            <w:r w:rsidRPr="00781112">
              <w:rPr>
                <w:rFonts w:cs="Arial"/>
                <w:color w:val="000000" w:themeColor="text1"/>
                <w:szCs w:val="16"/>
              </w:rPr>
              <w:t>7,311</w:t>
            </w:r>
          </w:p>
        </w:tc>
      </w:tr>
      <w:tr w:rsidR="00AA6D68" w:rsidRPr="00781112" w14:paraId="60B80599" w14:textId="5C935507" w:rsidTr="00360DD6">
        <w:trPr>
          <w:cantSplit/>
        </w:trPr>
        <w:tc>
          <w:tcPr>
            <w:tcW w:w="1551" w:type="pct"/>
            <w:shd w:val="clear" w:color="auto" w:fill="auto"/>
            <w:vAlign w:val="bottom"/>
          </w:tcPr>
          <w:p w14:paraId="143C4F1B" w14:textId="07512ED2" w:rsidR="00AA6D68" w:rsidRPr="00781112" w:rsidRDefault="00AA6D68" w:rsidP="00AA6D68">
            <w:pPr>
              <w:rPr>
                <w:rFonts w:cs="Arial"/>
                <w:color w:val="000000" w:themeColor="text1"/>
                <w:szCs w:val="16"/>
              </w:rPr>
            </w:pPr>
            <w:r w:rsidRPr="00781112">
              <w:rPr>
                <w:rFonts w:cs="Arial"/>
                <w:color w:val="000000" w:themeColor="text1"/>
                <w:szCs w:val="16"/>
              </w:rPr>
              <w:t xml:space="preserve">a1. Number of children attending a regular early childhood program and receiving </w:t>
            </w:r>
            <w:proofErr w:type="gramStart"/>
            <w:r w:rsidRPr="00781112">
              <w:rPr>
                <w:rFonts w:cs="Arial"/>
                <w:color w:val="000000" w:themeColor="text1"/>
                <w:szCs w:val="16"/>
              </w:rPr>
              <w:t>the majority of</w:t>
            </w:r>
            <w:proofErr w:type="gramEnd"/>
            <w:r w:rsidRPr="00781112">
              <w:rPr>
                <w:rFonts w:cs="Arial"/>
                <w:color w:val="000000" w:themeColor="text1"/>
                <w:szCs w:val="16"/>
              </w:rPr>
              <w:t xml:space="preserve"> special education and related services in the regular early childhood program</w:t>
            </w:r>
          </w:p>
        </w:tc>
        <w:tc>
          <w:tcPr>
            <w:tcW w:w="863" w:type="pct"/>
            <w:vAlign w:val="bottom"/>
          </w:tcPr>
          <w:p w14:paraId="659D2B47" w14:textId="4A180B03" w:rsidR="00AA6D68" w:rsidRPr="00781112" w:rsidRDefault="00AA6D68" w:rsidP="00AA6D68">
            <w:pPr>
              <w:jc w:val="center"/>
              <w:rPr>
                <w:rFonts w:cs="Arial"/>
                <w:color w:val="000000" w:themeColor="text1"/>
                <w:szCs w:val="16"/>
              </w:rPr>
            </w:pPr>
            <w:r w:rsidRPr="00781112">
              <w:rPr>
                <w:rFonts w:cs="Arial"/>
                <w:color w:val="000000" w:themeColor="text1"/>
                <w:szCs w:val="16"/>
              </w:rPr>
              <w:t>1,168</w:t>
            </w:r>
          </w:p>
        </w:tc>
        <w:tc>
          <w:tcPr>
            <w:tcW w:w="863" w:type="pct"/>
            <w:vAlign w:val="bottom"/>
          </w:tcPr>
          <w:p w14:paraId="2D2F33A9" w14:textId="09F0EE8B" w:rsidR="00AA6D68" w:rsidRPr="00781112" w:rsidRDefault="00AA6D68" w:rsidP="00AA6D68">
            <w:pPr>
              <w:jc w:val="center"/>
              <w:rPr>
                <w:rFonts w:cs="Arial"/>
                <w:color w:val="000000" w:themeColor="text1"/>
                <w:szCs w:val="16"/>
              </w:rPr>
            </w:pPr>
            <w:r w:rsidRPr="00781112">
              <w:rPr>
                <w:rFonts w:cs="Arial"/>
                <w:color w:val="000000" w:themeColor="text1"/>
                <w:szCs w:val="16"/>
              </w:rPr>
              <w:t>1,925</w:t>
            </w:r>
          </w:p>
        </w:tc>
        <w:tc>
          <w:tcPr>
            <w:tcW w:w="863" w:type="pct"/>
            <w:shd w:val="clear" w:color="auto" w:fill="auto"/>
            <w:vAlign w:val="bottom"/>
          </w:tcPr>
          <w:p w14:paraId="68B37A39" w14:textId="60285701" w:rsidR="00AA6D68" w:rsidRPr="00781112" w:rsidRDefault="00AA6D68" w:rsidP="00AA6D68">
            <w:pPr>
              <w:jc w:val="center"/>
              <w:rPr>
                <w:rFonts w:cs="Arial"/>
                <w:color w:val="000000" w:themeColor="text1"/>
                <w:szCs w:val="16"/>
              </w:rPr>
            </w:pPr>
            <w:r w:rsidRPr="00781112">
              <w:rPr>
                <w:rFonts w:cs="Arial"/>
                <w:color w:val="000000" w:themeColor="text1"/>
                <w:szCs w:val="16"/>
              </w:rPr>
              <w:t>616</w:t>
            </w:r>
          </w:p>
        </w:tc>
        <w:tc>
          <w:tcPr>
            <w:tcW w:w="860" w:type="pct"/>
            <w:vAlign w:val="bottom"/>
          </w:tcPr>
          <w:p w14:paraId="1B31D3BF" w14:textId="343E52C8" w:rsidR="00AA6D68" w:rsidRPr="00781112" w:rsidRDefault="00AA6D68" w:rsidP="00AA6D68">
            <w:pPr>
              <w:jc w:val="center"/>
              <w:rPr>
                <w:rFonts w:cs="Arial"/>
                <w:color w:val="000000" w:themeColor="text1"/>
                <w:szCs w:val="16"/>
              </w:rPr>
            </w:pPr>
            <w:r w:rsidRPr="00781112">
              <w:rPr>
                <w:rFonts w:cs="Arial"/>
                <w:color w:val="000000" w:themeColor="text1"/>
                <w:szCs w:val="16"/>
              </w:rPr>
              <w:t>3,709</w:t>
            </w:r>
          </w:p>
        </w:tc>
      </w:tr>
      <w:tr w:rsidR="00AA6D68" w:rsidRPr="00781112" w14:paraId="582B62E7" w14:textId="4FE061F8" w:rsidTr="00360DD6">
        <w:trPr>
          <w:cantSplit/>
        </w:trPr>
        <w:tc>
          <w:tcPr>
            <w:tcW w:w="1551" w:type="pct"/>
            <w:shd w:val="clear" w:color="auto" w:fill="auto"/>
            <w:vAlign w:val="bottom"/>
          </w:tcPr>
          <w:p w14:paraId="446012AB" w14:textId="507DD720" w:rsidR="00AA6D68" w:rsidRPr="00781112" w:rsidRDefault="00AA6D68" w:rsidP="00AA6D68">
            <w:pPr>
              <w:rPr>
                <w:rFonts w:cs="Arial"/>
                <w:color w:val="000000" w:themeColor="text1"/>
                <w:szCs w:val="16"/>
              </w:rPr>
            </w:pPr>
            <w:r w:rsidRPr="00781112">
              <w:rPr>
                <w:rFonts w:cs="Arial"/>
                <w:color w:val="000000" w:themeColor="text1"/>
                <w:szCs w:val="16"/>
              </w:rPr>
              <w:t>b1. Number of children attending separate special education class</w:t>
            </w:r>
          </w:p>
        </w:tc>
        <w:tc>
          <w:tcPr>
            <w:tcW w:w="863" w:type="pct"/>
            <w:vAlign w:val="bottom"/>
          </w:tcPr>
          <w:p w14:paraId="5B37B0B3" w14:textId="176B3EE5" w:rsidR="00AA6D68" w:rsidRPr="00781112" w:rsidRDefault="00AA6D68" w:rsidP="00AA6D68">
            <w:pPr>
              <w:jc w:val="center"/>
              <w:rPr>
                <w:rFonts w:cs="Arial"/>
                <w:color w:val="000000" w:themeColor="text1"/>
                <w:szCs w:val="16"/>
              </w:rPr>
            </w:pPr>
            <w:r w:rsidRPr="00781112">
              <w:rPr>
                <w:rFonts w:cs="Arial"/>
                <w:color w:val="000000" w:themeColor="text1"/>
                <w:szCs w:val="16"/>
              </w:rPr>
              <w:t>937</w:t>
            </w:r>
          </w:p>
        </w:tc>
        <w:tc>
          <w:tcPr>
            <w:tcW w:w="863" w:type="pct"/>
            <w:vAlign w:val="bottom"/>
          </w:tcPr>
          <w:p w14:paraId="649C86D1" w14:textId="317BBD6C" w:rsidR="00AA6D68" w:rsidRPr="00781112" w:rsidRDefault="00AA6D68" w:rsidP="00AA6D68">
            <w:pPr>
              <w:jc w:val="center"/>
              <w:rPr>
                <w:rFonts w:cs="Arial"/>
                <w:color w:val="000000" w:themeColor="text1"/>
                <w:szCs w:val="16"/>
              </w:rPr>
            </w:pPr>
            <w:r w:rsidRPr="00781112">
              <w:rPr>
                <w:rFonts w:cs="Arial"/>
                <w:color w:val="000000" w:themeColor="text1"/>
                <w:szCs w:val="16"/>
              </w:rPr>
              <w:t>1,004</w:t>
            </w:r>
          </w:p>
        </w:tc>
        <w:tc>
          <w:tcPr>
            <w:tcW w:w="863" w:type="pct"/>
            <w:shd w:val="clear" w:color="auto" w:fill="auto"/>
            <w:vAlign w:val="bottom"/>
          </w:tcPr>
          <w:p w14:paraId="34B911BF" w14:textId="069E997C" w:rsidR="00AA6D68" w:rsidRPr="00781112" w:rsidRDefault="00AA6D68" w:rsidP="00AA6D68">
            <w:pPr>
              <w:jc w:val="center"/>
              <w:rPr>
                <w:rFonts w:cs="Arial"/>
                <w:color w:val="000000" w:themeColor="text1"/>
                <w:szCs w:val="16"/>
              </w:rPr>
            </w:pPr>
            <w:r w:rsidRPr="00781112">
              <w:rPr>
                <w:rFonts w:cs="Arial"/>
                <w:color w:val="000000" w:themeColor="text1"/>
                <w:szCs w:val="16"/>
              </w:rPr>
              <w:t>270</w:t>
            </w:r>
          </w:p>
        </w:tc>
        <w:tc>
          <w:tcPr>
            <w:tcW w:w="860" w:type="pct"/>
            <w:vAlign w:val="bottom"/>
          </w:tcPr>
          <w:p w14:paraId="6E1B5396" w14:textId="55FA87AA" w:rsidR="00AA6D68" w:rsidRPr="00781112" w:rsidRDefault="00AA6D68" w:rsidP="00AA6D68">
            <w:pPr>
              <w:jc w:val="center"/>
              <w:rPr>
                <w:rFonts w:cs="Arial"/>
                <w:color w:val="000000" w:themeColor="text1"/>
                <w:szCs w:val="16"/>
              </w:rPr>
            </w:pPr>
            <w:r w:rsidRPr="00781112">
              <w:rPr>
                <w:rFonts w:cs="Arial"/>
                <w:color w:val="000000" w:themeColor="text1"/>
                <w:szCs w:val="16"/>
              </w:rPr>
              <w:t>2,211</w:t>
            </w:r>
          </w:p>
        </w:tc>
      </w:tr>
      <w:tr w:rsidR="00AA6D68" w:rsidRPr="00781112" w14:paraId="5F08FCEF" w14:textId="35AA1AA1" w:rsidTr="00360DD6">
        <w:trPr>
          <w:cantSplit/>
        </w:trPr>
        <w:tc>
          <w:tcPr>
            <w:tcW w:w="1551" w:type="pct"/>
            <w:shd w:val="clear" w:color="auto" w:fill="auto"/>
            <w:vAlign w:val="bottom"/>
          </w:tcPr>
          <w:p w14:paraId="3C415E88" w14:textId="06B2C03E" w:rsidR="00AA6D68" w:rsidRPr="00781112" w:rsidRDefault="00AA6D68" w:rsidP="00AA6D68">
            <w:pPr>
              <w:rPr>
                <w:rFonts w:cs="Arial"/>
                <w:color w:val="000000" w:themeColor="text1"/>
                <w:szCs w:val="16"/>
              </w:rPr>
            </w:pPr>
            <w:r w:rsidRPr="00781112">
              <w:rPr>
                <w:rFonts w:cs="Arial"/>
                <w:color w:val="000000" w:themeColor="text1"/>
                <w:szCs w:val="16"/>
              </w:rPr>
              <w:t>b2. Number of children attending separate school</w:t>
            </w:r>
          </w:p>
        </w:tc>
        <w:tc>
          <w:tcPr>
            <w:tcW w:w="863" w:type="pct"/>
            <w:vAlign w:val="bottom"/>
          </w:tcPr>
          <w:p w14:paraId="0B0C493F" w14:textId="085891A4" w:rsidR="00AA6D68" w:rsidRPr="00781112" w:rsidRDefault="00AA6D68" w:rsidP="00AA6D68">
            <w:pPr>
              <w:jc w:val="center"/>
              <w:rPr>
                <w:rFonts w:cs="Arial"/>
                <w:color w:val="000000" w:themeColor="text1"/>
                <w:szCs w:val="16"/>
              </w:rPr>
            </w:pPr>
            <w:r w:rsidRPr="00781112">
              <w:rPr>
                <w:rFonts w:cs="Arial"/>
                <w:color w:val="000000" w:themeColor="text1"/>
                <w:szCs w:val="16"/>
              </w:rPr>
              <w:t>43</w:t>
            </w:r>
          </w:p>
        </w:tc>
        <w:tc>
          <w:tcPr>
            <w:tcW w:w="863" w:type="pct"/>
            <w:vAlign w:val="bottom"/>
          </w:tcPr>
          <w:p w14:paraId="7F83F331" w14:textId="1A8FD76D" w:rsidR="00AA6D68" w:rsidRPr="00781112" w:rsidRDefault="00AA6D68" w:rsidP="00AA6D68">
            <w:pPr>
              <w:jc w:val="center"/>
              <w:rPr>
                <w:rFonts w:cs="Arial"/>
                <w:color w:val="000000" w:themeColor="text1"/>
                <w:szCs w:val="16"/>
              </w:rPr>
            </w:pPr>
            <w:r w:rsidRPr="00781112">
              <w:rPr>
                <w:rFonts w:cs="Arial"/>
                <w:color w:val="000000" w:themeColor="text1"/>
                <w:szCs w:val="16"/>
              </w:rPr>
              <w:t>50</w:t>
            </w:r>
          </w:p>
        </w:tc>
        <w:tc>
          <w:tcPr>
            <w:tcW w:w="863" w:type="pct"/>
            <w:shd w:val="clear" w:color="auto" w:fill="auto"/>
            <w:vAlign w:val="bottom"/>
          </w:tcPr>
          <w:p w14:paraId="32D467B1" w14:textId="0D72CE8A" w:rsidR="00AA6D68" w:rsidRPr="00781112" w:rsidRDefault="00AA6D68" w:rsidP="00AA6D68">
            <w:pPr>
              <w:jc w:val="center"/>
              <w:rPr>
                <w:rFonts w:cs="Arial"/>
                <w:color w:val="000000" w:themeColor="text1"/>
                <w:szCs w:val="16"/>
              </w:rPr>
            </w:pPr>
            <w:r w:rsidRPr="00781112">
              <w:rPr>
                <w:rFonts w:cs="Arial"/>
                <w:color w:val="000000" w:themeColor="text1"/>
                <w:szCs w:val="16"/>
              </w:rPr>
              <w:t>11</w:t>
            </w:r>
          </w:p>
        </w:tc>
        <w:tc>
          <w:tcPr>
            <w:tcW w:w="860" w:type="pct"/>
            <w:vAlign w:val="bottom"/>
          </w:tcPr>
          <w:p w14:paraId="59CC5F97" w14:textId="073369C4" w:rsidR="00AA6D68" w:rsidRPr="00781112" w:rsidRDefault="00AA6D68" w:rsidP="00AA6D68">
            <w:pPr>
              <w:jc w:val="center"/>
              <w:rPr>
                <w:rFonts w:cs="Arial"/>
                <w:color w:val="000000" w:themeColor="text1"/>
                <w:szCs w:val="16"/>
              </w:rPr>
            </w:pPr>
            <w:r w:rsidRPr="00781112">
              <w:rPr>
                <w:rFonts w:cs="Arial"/>
                <w:color w:val="000000" w:themeColor="text1"/>
                <w:szCs w:val="16"/>
              </w:rPr>
              <w:t>104</w:t>
            </w:r>
          </w:p>
        </w:tc>
      </w:tr>
      <w:tr w:rsidR="00AA6D68" w:rsidRPr="00781112" w14:paraId="285801C1" w14:textId="545BB6C5" w:rsidTr="00360DD6">
        <w:trPr>
          <w:cantSplit/>
        </w:trPr>
        <w:tc>
          <w:tcPr>
            <w:tcW w:w="1551" w:type="pct"/>
            <w:shd w:val="clear" w:color="auto" w:fill="auto"/>
            <w:vAlign w:val="bottom"/>
          </w:tcPr>
          <w:p w14:paraId="4D90BA5B" w14:textId="1285C74B" w:rsidR="00AA6D68" w:rsidRPr="00781112" w:rsidRDefault="00AA6D68" w:rsidP="00AA6D68">
            <w:pPr>
              <w:rPr>
                <w:rFonts w:cs="Arial"/>
                <w:color w:val="000000" w:themeColor="text1"/>
                <w:szCs w:val="16"/>
              </w:rPr>
            </w:pPr>
            <w:r w:rsidRPr="00781112">
              <w:rPr>
                <w:rFonts w:cs="Arial"/>
                <w:color w:val="000000" w:themeColor="text1"/>
                <w:szCs w:val="16"/>
              </w:rPr>
              <w:t>b3. Number of children attending residential facility</w:t>
            </w:r>
          </w:p>
        </w:tc>
        <w:tc>
          <w:tcPr>
            <w:tcW w:w="863" w:type="pct"/>
            <w:vAlign w:val="bottom"/>
          </w:tcPr>
          <w:p w14:paraId="10FA71B8" w14:textId="48D7E7C4" w:rsidR="00AA6D68" w:rsidRPr="00781112" w:rsidRDefault="00AA6D68" w:rsidP="00AA6D68">
            <w:pPr>
              <w:jc w:val="center"/>
              <w:rPr>
                <w:rFonts w:cs="Arial"/>
                <w:color w:val="000000" w:themeColor="text1"/>
                <w:szCs w:val="16"/>
              </w:rPr>
            </w:pPr>
            <w:r w:rsidRPr="00781112">
              <w:rPr>
                <w:rFonts w:cs="Arial"/>
                <w:color w:val="000000" w:themeColor="text1"/>
                <w:szCs w:val="16"/>
              </w:rPr>
              <w:t>0</w:t>
            </w:r>
          </w:p>
        </w:tc>
        <w:tc>
          <w:tcPr>
            <w:tcW w:w="863" w:type="pct"/>
            <w:vAlign w:val="bottom"/>
          </w:tcPr>
          <w:p w14:paraId="3DF044A6" w14:textId="3BE72431" w:rsidR="00AA6D68" w:rsidRPr="00781112" w:rsidRDefault="00AA6D68" w:rsidP="00AA6D68">
            <w:pPr>
              <w:jc w:val="center"/>
              <w:rPr>
                <w:rFonts w:cs="Arial"/>
                <w:color w:val="000000" w:themeColor="text1"/>
                <w:szCs w:val="16"/>
              </w:rPr>
            </w:pPr>
            <w:r w:rsidRPr="00781112">
              <w:rPr>
                <w:rFonts w:cs="Arial"/>
                <w:color w:val="000000" w:themeColor="text1"/>
                <w:szCs w:val="16"/>
              </w:rPr>
              <w:t>0</w:t>
            </w:r>
          </w:p>
        </w:tc>
        <w:tc>
          <w:tcPr>
            <w:tcW w:w="863" w:type="pct"/>
            <w:shd w:val="clear" w:color="auto" w:fill="auto"/>
            <w:vAlign w:val="bottom"/>
          </w:tcPr>
          <w:p w14:paraId="444A24A0" w14:textId="086A4938" w:rsidR="00AA6D68" w:rsidRPr="00781112" w:rsidRDefault="00AA6D68" w:rsidP="00AA6D68">
            <w:pPr>
              <w:jc w:val="center"/>
              <w:rPr>
                <w:rFonts w:cs="Arial"/>
                <w:color w:val="000000" w:themeColor="text1"/>
                <w:szCs w:val="16"/>
              </w:rPr>
            </w:pPr>
            <w:r w:rsidRPr="00781112">
              <w:rPr>
                <w:rFonts w:cs="Arial"/>
                <w:color w:val="000000" w:themeColor="text1"/>
                <w:szCs w:val="16"/>
              </w:rPr>
              <w:t>0</w:t>
            </w:r>
          </w:p>
        </w:tc>
        <w:tc>
          <w:tcPr>
            <w:tcW w:w="860" w:type="pct"/>
            <w:vAlign w:val="bottom"/>
          </w:tcPr>
          <w:p w14:paraId="5D7F86B2" w14:textId="5A6D31FC" w:rsidR="00AA6D68" w:rsidRPr="00781112" w:rsidRDefault="00AA6D68" w:rsidP="00AA6D68">
            <w:pPr>
              <w:jc w:val="center"/>
              <w:rPr>
                <w:rFonts w:cs="Arial"/>
                <w:color w:val="000000" w:themeColor="text1"/>
                <w:szCs w:val="16"/>
              </w:rPr>
            </w:pPr>
            <w:r w:rsidRPr="00781112">
              <w:rPr>
                <w:rFonts w:cs="Arial"/>
                <w:color w:val="000000" w:themeColor="text1"/>
                <w:szCs w:val="16"/>
              </w:rPr>
              <w:t>0</w:t>
            </w:r>
          </w:p>
        </w:tc>
      </w:tr>
      <w:tr w:rsidR="00AA6D68" w:rsidRPr="00781112" w14:paraId="162FD575" w14:textId="77777777" w:rsidTr="00360DD6">
        <w:trPr>
          <w:cantSplit/>
        </w:trPr>
        <w:tc>
          <w:tcPr>
            <w:tcW w:w="1551" w:type="pct"/>
            <w:shd w:val="clear" w:color="auto" w:fill="auto"/>
          </w:tcPr>
          <w:p w14:paraId="469B81A7" w14:textId="048681D7" w:rsidR="00AA6D68" w:rsidRPr="00781112" w:rsidRDefault="00AA6D68" w:rsidP="00AA6D68">
            <w:pPr>
              <w:rPr>
                <w:rFonts w:cs="Arial"/>
                <w:color w:val="000000" w:themeColor="text1"/>
                <w:szCs w:val="16"/>
              </w:rPr>
            </w:pPr>
            <w:r w:rsidRPr="00781112">
              <w:rPr>
                <w:rFonts w:cs="Arial"/>
                <w:color w:val="000000"/>
                <w:szCs w:val="16"/>
              </w:rPr>
              <w:t>c1</w:t>
            </w:r>
            <w:r w:rsidRPr="00781112">
              <w:rPr>
                <w:rFonts w:cs="Arial"/>
                <w:b/>
                <w:bCs/>
                <w:color w:val="000000"/>
                <w:szCs w:val="16"/>
              </w:rPr>
              <w:t xml:space="preserve">. </w:t>
            </w:r>
            <w:r w:rsidRPr="00781112">
              <w:rPr>
                <w:rFonts w:cs="Arial"/>
                <w:color w:val="000000"/>
                <w:szCs w:val="16"/>
              </w:rPr>
              <w:t>Number</w:t>
            </w:r>
            <w:r w:rsidRPr="00781112">
              <w:rPr>
                <w:rFonts w:cs="Arial"/>
                <w:b/>
                <w:bCs/>
                <w:color w:val="000000"/>
                <w:szCs w:val="16"/>
              </w:rPr>
              <w:t xml:space="preserve"> </w:t>
            </w:r>
            <w:r w:rsidRPr="00781112">
              <w:rPr>
                <w:rFonts w:cs="Arial"/>
                <w:color w:val="000000"/>
                <w:szCs w:val="16"/>
              </w:rPr>
              <w:t xml:space="preserve">of children receiving </w:t>
            </w:r>
            <w:r w:rsidRPr="00781112">
              <w:rPr>
                <w:rFonts w:cs="Arial"/>
                <w:szCs w:val="16"/>
              </w:rPr>
              <w:t>special education and related services in the home</w:t>
            </w:r>
          </w:p>
        </w:tc>
        <w:tc>
          <w:tcPr>
            <w:tcW w:w="863" w:type="pct"/>
            <w:vAlign w:val="bottom"/>
          </w:tcPr>
          <w:p w14:paraId="56C9B5B7" w14:textId="065E27FB" w:rsidR="00AA6D68" w:rsidRPr="00781112" w:rsidRDefault="00AA6D68" w:rsidP="00AA6D68">
            <w:pPr>
              <w:jc w:val="center"/>
              <w:rPr>
                <w:rFonts w:cs="Arial"/>
                <w:color w:val="000000" w:themeColor="text1"/>
                <w:szCs w:val="16"/>
              </w:rPr>
            </w:pPr>
            <w:r w:rsidRPr="00781112">
              <w:rPr>
                <w:rFonts w:cs="Arial"/>
                <w:color w:val="000000" w:themeColor="text1"/>
                <w:szCs w:val="16"/>
              </w:rPr>
              <w:t>6</w:t>
            </w:r>
          </w:p>
        </w:tc>
        <w:tc>
          <w:tcPr>
            <w:tcW w:w="863" w:type="pct"/>
            <w:vAlign w:val="bottom"/>
          </w:tcPr>
          <w:p w14:paraId="134D035A" w14:textId="14186034" w:rsidR="00AA6D68" w:rsidRPr="00781112" w:rsidRDefault="00AA6D68" w:rsidP="00AA6D68">
            <w:pPr>
              <w:jc w:val="center"/>
              <w:rPr>
                <w:rFonts w:cs="Arial"/>
                <w:color w:val="000000" w:themeColor="text1"/>
                <w:szCs w:val="16"/>
              </w:rPr>
            </w:pPr>
            <w:r w:rsidRPr="00781112">
              <w:rPr>
                <w:rFonts w:cs="Arial"/>
                <w:color w:val="000000" w:themeColor="text1"/>
                <w:szCs w:val="16"/>
              </w:rPr>
              <w:t>12</w:t>
            </w:r>
          </w:p>
        </w:tc>
        <w:tc>
          <w:tcPr>
            <w:tcW w:w="863" w:type="pct"/>
            <w:shd w:val="clear" w:color="auto" w:fill="auto"/>
            <w:vAlign w:val="bottom"/>
          </w:tcPr>
          <w:p w14:paraId="0C864D52" w14:textId="38992EC2" w:rsidR="00AA6D68" w:rsidRPr="00781112" w:rsidDel="00E25159" w:rsidRDefault="00AA6D68" w:rsidP="00AA6D68">
            <w:pPr>
              <w:jc w:val="center"/>
              <w:rPr>
                <w:rFonts w:cs="Arial"/>
                <w:color w:val="000000" w:themeColor="text1"/>
                <w:szCs w:val="16"/>
              </w:rPr>
            </w:pPr>
            <w:r w:rsidRPr="00781112">
              <w:rPr>
                <w:rFonts w:cs="Arial"/>
                <w:color w:val="000000" w:themeColor="text1"/>
                <w:szCs w:val="16"/>
              </w:rPr>
              <w:t>2</w:t>
            </w:r>
          </w:p>
        </w:tc>
        <w:tc>
          <w:tcPr>
            <w:tcW w:w="860" w:type="pct"/>
            <w:vAlign w:val="bottom"/>
          </w:tcPr>
          <w:p w14:paraId="1750EA0E" w14:textId="2B34BC50" w:rsidR="00AA6D68" w:rsidRPr="00781112" w:rsidRDefault="00AA6D68" w:rsidP="00AA6D68">
            <w:pPr>
              <w:jc w:val="center"/>
              <w:rPr>
                <w:rFonts w:cs="Arial"/>
                <w:color w:val="000000" w:themeColor="text1"/>
                <w:szCs w:val="16"/>
              </w:rPr>
            </w:pPr>
            <w:r w:rsidRPr="00781112">
              <w:rPr>
                <w:rFonts w:cs="Arial"/>
                <w:color w:val="000000" w:themeColor="text1"/>
                <w:szCs w:val="16"/>
              </w:rPr>
              <w:t>20</w:t>
            </w:r>
          </w:p>
        </w:tc>
      </w:tr>
    </w:tbl>
    <w:p w14:paraId="68A2C8C5" w14:textId="4EBE62FD" w:rsidR="00AB2A39" w:rsidRPr="00781112" w:rsidRDefault="00AB2A39" w:rsidP="004369B2">
      <w:pPr>
        <w:rPr>
          <w:color w:val="000000" w:themeColor="text1"/>
        </w:rPr>
      </w:pPr>
    </w:p>
    <w:p w14:paraId="051F4366" w14:textId="77777777" w:rsidR="00C910BC" w:rsidRPr="00781112" w:rsidRDefault="00C910BC" w:rsidP="00C910BC">
      <w:pPr>
        <w:rPr>
          <w:b/>
          <w:color w:val="000000" w:themeColor="text1"/>
        </w:rPr>
      </w:pPr>
      <w:r w:rsidRPr="00781112">
        <w:rPr>
          <w:b/>
          <w:color w:val="000000" w:themeColor="text1"/>
        </w:rPr>
        <w:t>Select yes if the data reported in this indicator are not the same as the State’s data reported under section 618 of the IDEA.</w:t>
      </w:r>
    </w:p>
    <w:p w14:paraId="1B696537" w14:textId="29C6B4ED" w:rsidR="00C910BC" w:rsidRPr="00781112" w:rsidRDefault="00C910BC" w:rsidP="00C910BC">
      <w:pPr>
        <w:rPr>
          <w:color w:val="000000" w:themeColor="text1"/>
        </w:rPr>
      </w:pPr>
      <w:r w:rsidRPr="00781112">
        <w:rPr>
          <w:color w:val="000000" w:themeColor="text1"/>
        </w:rPr>
        <w:t>NO</w:t>
      </w:r>
    </w:p>
    <w:p w14:paraId="0D541DC3" w14:textId="77777777" w:rsidR="007123A2" w:rsidRDefault="007123A2" w:rsidP="004369B2">
      <w:pPr>
        <w:rPr>
          <w:b/>
          <w:color w:val="000000" w:themeColor="text1"/>
        </w:rPr>
      </w:pPr>
    </w:p>
    <w:p w14:paraId="63E9ABF4" w14:textId="77777777" w:rsidR="007123A2" w:rsidRDefault="007123A2" w:rsidP="004369B2">
      <w:pPr>
        <w:rPr>
          <w:b/>
          <w:bCs/>
          <w:color w:val="000000" w:themeColor="text1"/>
        </w:rPr>
      </w:pPr>
    </w:p>
    <w:p w14:paraId="6A563201" w14:textId="77777777" w:rsidR="007123A2" w:rsidRDefault="007123A2">
      <w:pPr>
        <w:spacing w:before="0" w:after="200" w:line="276" w:lineRule="auto"/>
        <w:rPr>
          <w:b/>
          <w:bCs/>
          <w:color w:val="000000" w:themeColor="text1"/>
        </w:rPr>
      </w:pPr>
      <w:r>
        <w:rPr>
          <w:b/>
          <w:bCs/>
          <w:color w:val="000000" w:themeColor="text1"/>
        </w:rPr>
        <w:br w:type="page"/>
      </w:r>
    </w:p>
    <w:p w14:paraId="0F42B2F6" w14:textId="5685E95B" w:rsidR="00E60622" w:rsidRPr="00781112" w:rsidRDefault="0047313F" w:rsidP="004369B2">
      <w:pPr>
        <w:rPr>
          <w:b/>
          <w:bCs/>
          <w:color w:val="000000" w:themeColor="text1"/>
        </w:rPr>
      </w:pPr>
      <w:r>
        <w:rPr>
          <w:b/>
          <w:bCs/>
          <w:color w:val="000000" w:themeColor="text1"/>
        </w:rPr>
        <w:lastRenderedPageBreak/>
        <w:t xml:space="preserve">FFY 2021 SPP/APR Data - </w:t>
      </w:r>
      <w:r w:rsidR="00A6295C" w:rsidRPr="00781112">
        <w:rPr>
          <w:rFonts w:cs="Arial"/>
          <w:b/>
          <w:color w:val="000000" w:themeColor="text1"/>
          <w:szCs w:val="16"/>
        </w:rPr>
        <w:t>Aged 3 through 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6AGE3TO5CFFYAPRDATA618"/>
      </w:tblPr>
      <w:tblGrid>
        <w:gridCol w:w="2964"/>
        <w:gridCol w:w="1118"/>
        <w:gridCol w:w="1118"/>
        <w:gridCol w:w="1118"/>
        <w:gridCol w:w="1118"/>
        <w:gridCol w:w="1118"/>
        <w:gridCol w:w="1118"/>
        <w:gridCol w:w="1118"/>
      </w:tblGrid>
      <w:tr w:rsidR="00CC1061" w:rsidRPr="00781112" w14:paraId="38300B51" w14:textId="77777777" w:rsidTr="007239EC">
        <w:trPr>
          <w:trHeight w:val="354"/>
          <w:tblHeader/>
        </w:trPr>
        <w:tc>
          <w:tcPr>
            <w:tcW w:w="1373" w:type="pct"/>
            <w:shd w:val="clear" w:color="auto" w:fill="auto"/>
            <w:vAlign w:val="bottom"/>
          </w:tcPr>
          <w:p w14:paraId="0F38A3C5" w14:textId="3D46820E" w:rsidR="00CC1061" w:rsidRPr="00781112" w:rsidRDefault="00CC1061" w:rsidP="00CC1061">
            <w:pPr>
              <w:jc w:val="center"/>
              <w:rPr>
                <w:rFonts w:cs="Arial"/>
                <w:b/>
                <w:color w:val="000000" w:themeColor="text1"/>
                <w:szCs w:val="16"/>
              </w:rPr>
            </w:pPr>
            <w:r w:rsidRPr="00781112">
              <w:rPr>
                <w:rFonts w:cs="Arial"/>
                <w:b/>
                <w:color w:val="000000" w:themeColor="text1"/>
                <w:szCs w:val="16"/>
              </w:rPr>
              <w:t>Preschool Environments</w:t>
            </w:r>
          </w:p>
        </w:tc>
        <w:tc>
          <w:tcPr>
            <w:tcW w:w="518" w:type="pct"/>
            <w:shd w:val="clear" w:color="auto" w:fill="auto"/>
            <w:vAlign w:val="bottom"/>
          </w:tcPr>
          <w:p w14:paraId="0AEF809B" w14:textId="4D8F18F7" w:rsidR="00CC1061" w:rsidRPr="00781112" w:rsidRDefault="00CC1061" w:rsidP="00CC1061">
            <w:pPr>
              <w:jc w:val="center"/>
              <w:rPr>
                <w:rFonts w:cs="Arial"/>
                <w:b/>
                <w:color w:val="000000" w:themeColor="text1"/>
                <w:szCs w:val="16"/>
              </w:rPr>
            </w:pPr>
            <w:r w:rsidRPr="00781112">
              <w:rPr>
                <w:rFonts w:cs="Arial"/>
                <w:b/>
                <w:color w:val="000000" w:themeColor="text1"/>
                <w:szCs w:val="16"/>
              </w:rPr>
              <w:t>Number of children with IEPs aged 3 through 5 served</w:t>
            </w:r>
          </w:p>
        </w:tc>
        <w:tc>
          <w:tcPr>
            <w:tcW w:w="518" w:type="pct"/>
            <w:shd w:val="clear" w:color="auto" w:fill="auto"/>
            <w:vAlign w:val="bottom"/>
          </w:tcPr>
          <w:p w14:paraId="21256B17" w14:textId="12840CBA" w:rsidR="00CC1061" w:rsidRPr="00781112" w:rsidRDefault="00CC1061" w:rsidP="00CC1061">
            <w:pPr>
              <w:jc w:val="center"/>
              <w:rPr>
                <w:rFonts w:cs="Arial"/>
                <w:b/>
                <w:color w:val="000000" w:themeColor="text1"/>
                <w:szCs w:val="16"/>
              </w:rPr>
            </w:pPr>
            <w:r w:rsidRPr="00781112">
              <w:rPr>
                <w:rFonts w:cs="Arial"/>
                <w:b/>
                <w:color w:val="000000" w:themeColor="text1"/>
                <w:szCs w:val="16"/>
              </w:rPr>
              <w:t>Total number of children with IEPs aged 3 through 5</w:t>
            </w:r>
          </w:p>
        </w:tc>
        <w:tc>
          <w:tcPr>
            <w:tcW w:w="518" w:type="pct"/>
            <w:shd w:val="clear" w:color="auto" w:fill="auto"/>
            <w:vAlign w:val="bottom"/>
          </w:tcPr>
          <w:p w14:paraId="338A0E59" w14:textId="1BD6525B" w:rsidR="00CC1061" w:rsidRPr="00781112" w:rsidRDefault="00CC1061" w:rsidP="00CC1061">
            <w:pPr>
              <w:jc w:val="center"/>
              <w:rPr>
                <w:rFonts w:cs="Arial"/>
                <w:b/>
                <w:color w:val="000000" w:themeColor="text1"/>
                <w:szCs w:val="16"/>
              </w:rPr>
            </w:pPr>
            <w:r w:rsidRPr="00073BD7">
              <w:rPr>
                <w:b/>
                <w:bCs/>
              </w:rPr>
              <w:t>FFY 2020 Data</w:t>
            </w:r>
          </w:p>
        </w:tc>
        <w:tc>
          <w:tcPr>
            <w:tcW w:w="518" w:type="pct"/>
            <w:shd w:val="clear" w:color="auto" w:fill="auto"/>
            <w:vAlign w:val="bottom"/>
          </w:tcPr>
          <w:p w14:paraId="525540A0" w14:textId="08223658" w:rsidR="00CC1061" w:rsidRPr="00781112" w:rsidRDefault="00CC1061" w:rsidP="00CC1061">
            <w:pPr>
              <w:jc w:val="center"/>
              <w:rPr>
                <w:rFonts w:cs="Arial"/>
                <w:b/>
                <w:color w:val="000000" w:themeColor="text1"/>
                <w:szCs w:val="16"/>
              </w:rPr>
            </w:pPr>
            <w:r w:rsidRPr="00073BD7">
              <w:rPr>
                <w:b/>
                <w:bCs/>
              </w:rPr>
              <w:t>FFY 2021 Target</w:t>
            </w:r>
          </w:p>
        </w:tc>
        <w:tc>
          <w:tcPr>
            <w:tcW w:w="518" w:type="pct"/>
            <w:shd w:val="clear" w:color="auto" w:fill="auto"/>
            <w:vAlign w:val="bottom"/>
          </w:tcPr>
          <w:p w14:paraId="2B9D213A" w14:textId="238B73CF" w:rsidR="00CC1061" w:rsidRPr="00781112" w:rsidRDefault="00CC1061" w:rsidP="00CC1061">
            <w:pPr>
              <w:jc w:val="center"/>
              <w:rPr>
                <w:rFonts w:cs="Arial"/>
                <w:b/>
                <w:color w:val="000000" w:themeColor="text1"/>
                <w:szCs w:val="16"/>
              </w:rPr>
            </w:pPr>
            <w:r w:rsidRPr="00073BD7">
              <w:rPr>
                <w:b/>
                <w:bCs/>
              </w:rPr>
              <w:t>FFY 2021 Data</w:t>
            </w:r>
          </w:p>
        </w:tc>
        <w:tc>
          <w:tcPr>
            <w:tcW w:w="518" w:type="pct"/>
            <w:shd w:val="clear" w:color="auto" w:fill="auto"/>
            <w:vAlign w:val="bottom"/>
          </w:tcPr>
          <w:p w14:paraId="46108583" w14:textId="77777777" w:rsidR="00CC1061" w:rsidRPr="00781112" w:rsidRDefault="00CC1061" w:rsidP="00CC1061">
            <w:pPr>
              <w:jc w:val="center"/>
              <w:rPr>
                <w:rFonts w:cs="Arial"/>
                <w:b/>
                <w:color w:val="000000" w:themeColor="text1"/>
                <w:szCs w:val="16"/>
              </w:rPr>
            </w:pPr>
            <w:r w:rsidRPr="00781112">
              <w:rPr>
                <w:rFonts w:cs="Arial"/>
                <w:b/>
                <w:color w:val="000000" w:themeColor="text1"/>
                <w:szCs w:val="16"/>
              </w:rPr>
              <w:t>Status</w:t>
            </w:r>
          </w:p>
        </w:tc>
        <w:tc>
          <w:tcPr>
            <w:tcW w:w="518" w:type="pct"/>
            <w:shd w:val="clear" w:color="auto" w:fill="auto"/>
            <w:vAlign w:val="bottom"/>
          </w:tcPr>
          <w:p w14:paraId="02DECB75" w14:textId="77777777" w:rsidR="00CC1061" w:rsidRPr="00781112" w:rsidRDefault="00CC1061" w:rsidP="00CC1061">
            <w:pPr>
              <w:jc w:val="center"/>
              <w:rPr>
                <w:rFonts w:cs="Arial"/>
                <w:b/>
                <w:color w:val="000000" w:themeColor="text1"/>
                <w:szCs w:val="16"/>
              </w:rPr>
            </w:pPr>
            <w:r w:rsidRPr="00781112">
              <w:rPr>
                <w:rFonts w:cs="Arial"/>
                <w:b/>
                <w:color w:val="000000" w:themeColor="text1"/>
                <w:szCs w:val="16"/>
              </w:rPr>
              <w:t>Slippage</w:t>
            </w:r>
          </w:p>
        </w:tc>
      </w:tr>
      <w:tr w:rsidR="005C29F8" w:rsidRPr="00781112" w14:paraId="57F8AB2C" w14:textId="77777777" w:rsidTr="007239EC">
        <w:trPr>
          <w:trHeight w:val="917"/>
        </w:trPr>
        <w:tc>
          <w:tcPr>
            <w:tcW w:w="1373" w:type="pct"/>
            <w:shd w:val="clear" w:color="auto" w:fill="auto"/>
            <w:vAlign w:val="center"/>
          </w:tcPr>
          <w:p w14:paraId="262EE4AB" w14:textId="15267873" w:rsidR="00CF6742" w:rsidRPr="00781112" w:rsidRDefault="00CF6742" w:rsidP="00CF6742">
            <w:pPr>
              <w:rPr>
                <w:rFonts w:cs="Arial"/>
                <w:color w:val="000000" w:themeColor="text1"/>
                <w:szCs w:val="16"/>
              </w:rPr>
            </w:pPr>
            <w:r w:rsidRPr="00781112">
              <w:rPr>
                <w:rFonts w:cs="Arial"/>
                <w:color w:val="000000" w:themeColor="text1"/>
                <w:szCs w:val="16"/>
                <w:shd w:val="clear" w:color="auto" w:fill="FFFFFF"/>
              </w:rPr>
              <w:t xml:space="preserve">A. A regular early childhood program and receiving </w:t>
            </w:r>
            <w:proofErr w:type="gramStart"/>
            <w:r w:rsidRPr="00781112">
              <w:rPr>
                <w:rFonts w:cs="Arial"/>
                <w:color w:val="000000" w:themeColor="text1"/>
                <w:szCs w:val="16"/>
                <w:shd w:val="clear" w:color="auto" w:fill="FFFFFF"/>
              </w:rPr>
              <w:t>the majority of</w:t>
            </w:r>
            <w:proofErr w:type="gramEnd"/>
            <w:r w:rsidRPr="00781112">
              <w:rPr>
                <w:rFonts w:cs="Arial"/>
                <w:color w:val="000000" w:themeColor="text1"/>
                <w:szCs w:val="16"/>
                <w:shd w:val="clear" w:color="auto" w:fill="FFFFFF"/>
              </w:rPr>
              <w:t xml:space="preserve"> special education and related services in the regular early childhood program</w:t>
            </w:r>
          </w:p>
        </w:tc>
        <w:tc>
          <w:tcPr>
            <w:tcW w:w="518" w:type="pct"/>
            <w:shd w:val="clear" w:color="auto" w:fill="auto"/>
            <w:vAlign w:val="center"/>
          </w:tcPr>
          <w:p w14:paraId="251726D2" w14:textId="038B4D14" w:rsidR="00CF6742" w:rsidRPr="00781112" w:rsidRDefault="002B7490" w:rsidP="00A018D4">
            <w:pPr>
              <w:jc w:val="center"/>
              <w:rPr>
                <w:rFonts w:cs="Arial"/>
                <w:color w:val="000000" w:themeColor="text1"/>
                <w:szCs w:val="16"/>
              </w:rPr>
            </w:pPr>
            <w:r w:rsidRPr="00781112">
              <w:rPr>
                <w:rFonts w:cs="Arial"/>
                <w:color w:val="000000" w:themeColor="text1"/>
                <w:szCs w:val="16"/>
              </w:rPr>
              <w:t>3,709</w:t>
            </w:r>
          </w:p>
          <w:p w14:paraId="70072E1D" w14:textId="45212F0F" w:rsidR="00CC3A85" w:rsidRPr="00781112" w:rsidRDefault="00CC3A85" w:rsidP="00A018D4">
            <w:pPr>
              <w:jc w:val="center"/>
              <w:rPr>
                <w:rFonts w:cs="Arial"/>
                <w:color w:val="000000" w:themeColor="text1"/>
                <w:szCs w:val="16"/>
              </w:rPr>
            </w:pPr>
          </w:p>
        </w:tc>
        <w:tc>
          <w:tcPr>
            <w:tcW w:w="518" w:type="pct"/>
            <w:shd w:val="clear" w:color="auto" w:fill="auto"/>
            <w:vAlign w:val="center"/>
          </w:tcPr>
          <w:p w14:paraId="5E80FF00" w14:textId="1218B9E8" w:rsidR="00CF6742" w:rsidRPr="00781112" w:rsidRDefault="002B7490" w:rsidP="00A018D4">
            <w:pPr>
              <w:jc w:val="center"/>
              <w:rPr>
                <w:rFonts w:cs="Arial"/>
                <w:color w:val="000000" w:themeColor="text1"/>
                <w:szCs w:val="16"/>
              </w:rPr>
            </w:pPr>
            <w:r w:rsidRPr="00781112">
              <w:rPr>
                <w:rFonts w:cs="Arial"/>
                <w:color w:val="000000" w:themeColor="text1"/>
                <w:szCs w:val="16"/>
              </w:rPr>
              <w:t>7,311</w:t>
            </w:r>
          </w:p>
        </w:tc>
        <w:tc>
          <w:tcPr>
            <w:tcW w:w="518" w:type="pct"/>
            <w:shd w:val="clear" w:color="auto" w:fill="auto"/>
            <w:vAlign w:val="center"/>
          </w:tcPr>
          <w:p w14:paraId="15C39591" w14:textId="59A0B140" w:rsidR="00CF6742" w:rsidRPr="00781112" w:rsidRDefault="002B7490" w:rsidP="00A018D4">
            <w:pPr>
              <w:jc w:val="center"/>
              <w:rPr>
                <w:rFonts w:cs="Arial"/>
                <w:color w:val="000000" w:themeColor="text1"/>
                <w:szCs w:val="16"/>
              </w:rPr>
            </w:pPr>
            <w:r w:rsidRPr="00781112">
              <w:rPr>
                <w:rFonts w:cs="Arial"/>
                <w:color w:val="000000" w:themeColor="text1"/>
                <w:szCs w:val="16"/>
              </w:rPr>
              <w:t>50.69%</w:t>
            </w:r>
          </w:p>
        </w:tc>
        <w:tc>
          <w:tcPr>
            <w:tcW w:w="518" w:type="pct"/>
            <w:shd w:val="clear" w:color="auto" w:fill="auto"/>
            <w:vAlign w:val="center"/>
          </w:tcPr>
          <w:p w14:paraId="0B4DAB1A" w14:textId="6A306EF5" w:rsidR="00CF6742" w:rsidRPr="00781112" w:rsidRDefault="002B7490" w:rsidP="00A018D4">
            <w:pPr>
              <w:jc w:val="center"/>
              <w:rPr>
                <w:rFonts w:cs="Arial"/>
                <w:color w:val="000000" w:themeColor="text1"/>
                <w:szCs w:val="16"/>
              </w:rPr>
            </w:pPr>
            <w:r w:rsidRPr="00781112">
              <w:rPr>
                <w:rFonts w:cs="Arial"/>
                <w:color w:val="000000" w:themeColor="text1"/>
                <w:szCs w:val="16"/>
              </w:rPr>
              <w:t>46.86%</w:t>
            </w:r>
          </w:p>
        </w:tc>
        <w:tc>
          <w:tcPr>
            <w:tcW w:w="518" w:type="pct"/>
            <w:shd w:val="clear" w:color="auto" w:fill="auto"/>
            <w:vAlign w:val="center"/>
          </w:tcPr>
          <w:p w14:paraId="3DA9CC9A" w14:textId="5BC63CA2" w:rsidR="00CF6742" w:rsidRPr="00781112" w:rsidRDefault="002B7490" w:rsidP="00A018D4">
            <w:pPr>
              <w:jc w:val="center"/>
              <w:rPr>
                <w:rFonts w:cs="Arial"/>
                <w:color w:val="000000" w:themeColor="text1"/>
                <w:szCs w:val="16"/>
              </w:rPr>
            </w:pPr>
            <w:r w:rsidRPr="00781112">
              <w:rPr>
                <w:rFonts w:cs="Arial"/>
                <w:color w:val="000000" w:themeColor="text1"/>
                <w:szCs w:val="16"/>
              </w:rPr>
              <w:t>50.73%</w:t>
            </w:r>
          </w:p>
        </w:tc>
        <w:tc>
          <w:tcPr>
            <w:tcW w:w="518" w:type="pct"/>
            <w:shd w:val="clear" w:color="auto" w:fill="auto"/>
            <w:vAlign w:val="center"/>
          </w:tcPr>
          <w:p w14:paraId="361B06B7" w14:textId="5F10F78E" w:rsidR="00CF6742"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518" w:type="pct"/>
            <w:shd w:val="clear" w:color="auto" w:fill="auto"/>
            <w:vAlign w:val="center"/>
          </w:tcPr>
          <w:p w14:paraId="45DD5AFE" w14:textId="28F5E139" w:rsidR="00CF6742"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r w:rsidR="005C29F8" w:rsidRPr="00781112" w14:paraId="203C22FB" w14:textId="77777777" w:rsidTr="007239EC">
        <w:trPr>
          <w:trHeight w:val="361"/>
        </w:trPr>
        <w:tc>
          <w:tcPr>
            <w:tcW w:w="1373" w:type="pct"/>
            <w:shd w:val="clear" w:color="auto" w:fill="auto"/>
            <w:vAlign w:val="center"/>
          </w:tcPr>
          <w:p w14:paraId="79CB9C36" w14:textId="6C0925E8" w:rsidR="00CF6742" w:rsidRPr="00781112" w:rsidRDefault="00CF6742" w:rsidP="00CF6742">
            <w:pPr>
              <w:rPr>
                <w:rFonts w:cs="Arial"/>
                <w:color w:val="000000" w:themeColor="text1"/>
                <w:szCs w:val="16"/>
              </w:rPr>
            </w:pPr>
            <w:r w:rsidRPr="00781112">
              <w:rPr>
                <w:rFonts w:cs="Arial"/>
                <w:color w:val="000000" w:themeColor="text1"/>
                <w:szCs w:val="16"/>
                <w:shd w:val="clear" w:color="auto" w:fill="FFFFFF"/>
              </w:rPr>
              <w:t xml:space="preserve">B. Separate special education class, separate </w:t>
            </w:r>
            <w:proofErr w:type="gramStart"/>
            <w:r w:rsidRPr="00781112">
              <w:rPr>
                <w:rFonts w:cs="Arial"/>
                <w:color w:val="000000" w:themeColor="text1"/>
                <w:szCs w:val="16"/>
                <w:shd w:val="clear" w:color="auto" w:fill="FFFFFF"/>
              </w:rPr>
              <w:t>school</w:t>
            </w:r>
            <w:proofErr w:type="gramEnd"/>
            <w:r w:rsidRPr="00781112">
              <w:rPr>
                <w:rFonts w:cs="Arial"/>
                <w:color w:val="000000" w:themeColor="text1"/>
                <w:szCs w:val="16"/>
                <w:shd w:val="clear" w:color="auto" w:fill="FFFFFF"/>
              </w:rPr>
              <w:t xml:space="preserve"> or residential facility</w:t>
            </w:r>
          </w:p>
        </w:tc>
        <w:tc>
          <w:tcPr>
            <w:tcW w:w="518" w:type="pct"/>
            <w:shd w:val="clear" w:color="auto" w:fill="auto"/>
            <w:vAlign w:val="center"/>
          </w:tcPr>
          <w:p w14:paraId="1334ACAB" w14:textId="7BCE0AFD" w:rsidR="00CF6742" w:rsidRPr="00781112" w:rsidRDefault="002B7490" w:rsidP="00A018D4">
            <w:pPr>
              <w:jc w:val="center"/>
              <w:rPr>
                <w:rFonts w:cs="Arial"/>
                <w:color w:val="000000" w:themeColor="text1"/>
                <w:szCs w:val="16"/>
              </w:rPr>
            </w:pPr>
            <w:r w:rsidRPr="00781112">
              <w:rPr>
                <w:rFonts w:cs="Arial"/>
                <w:color w:val="000000" w:themeColor="text1"/>
                <w:szCs w:val="16"/>
              </w:rPr>
              <w:t>2,315</w:t>
            </w:r>
          </w:p>
        </w:tc>
        <w:tc>
          <w:tcPr>
            <w:tcW w:w="518" w:type="pct"/>
            <w:shd w:val="clear" w:color="auto" w:fill="auto"/>
            <w:vAlign w:val="center"/>
          </w:tcPr>
          <w:p w14:paraId="66D0E912" w14:textId="2A889076" w:rsidR="00CF6742" w:rsidRPr="00781112" w:rsidRDefault="002B7490" w:rsidP="00A018D4">
            <w:pPr>
              <w:jc w:val="center"/>
              <w:rPr>
                <w:rFonts w:cs="Arial"/>
                <w:color w:val="000000" w:themeColor="text1"/>
                <w:szCs w:val="16"/>
              </w:rPr>
            </w:pPr>
            <w:r w:rsidRPr="00781112">
              <w:rPr>
                <w:rFonts w:cs="Arial"/>
                <w:color w:val="000000" w:themeColor="text1"/>
                <w:szCs w:val="16"/>
              </w:rPr>
              <w:t>7,311</w:t>
            </w:r>
          </w:p>
        </w:tc>
        <w:tc>
          <w:tcPr>
            <w:tcW w:w="518" w:type="pct"/>
            <w:shd w:val="clear" w:color="auto" w:fill="auto"/>
            <w:vAlign w:val="center"/>
          </w:tcPr>
          <w:p w14:paraId="778A4648" w14:textId="541ABEC8" w:rsidR="00CF6742" w:rsidRPr="00781112" w:rsidRDefault="002B7490" w:rsidP="00A018D4">
            <w:pPr>
              <w:jc w:val="center"/>
              <w:rPr>
                <w:rFonts w:cs="Arial"/>
                <w:color w:val="000000" w:themeColor="text1"/>
                <w:szCs w:val="16"/>
              </w:rPr>
            </w:pPr>
            <w:r w:rsidRPr="00781112">
              <w:rPr>
                <w:rFonts w:cs="Arial"/>
                <w:color w:val="000000" w:themeColor="text1"/>
                <w:szCs w:val="16"/>
              </w:rPr>
              <w:t>31.14%</w:t>
            </w:r>
          </w:p>
        </w:tc>
        <w:tc>
          <w:tcPr>
            <w:tcW w:w="518" w:type="pct"/>
            <w:shd w:val="clear" w:color="auto" w:fill="auto"/>
            <w:vAlign w:val="center"/>
          </w:tcPr>
          <w:p w14:paraId="0EB723D5" w14:textId="782750AE" w:rsidR="00CF6742" w:rsidRPr="00781112" w:rsidRDefault="002B7490" w:rsidP="00A018D4">
            <w:pPr>
              <w:jc w:val="center"/>
              <w:rPr>
                <w:rFonts w:cs="Arial"/>
                <w:color w:val="000000" w:themeColor="text1"/>
                <w:szCs w:val="16"/>
              </w:rPr>
            </w:pPr>
            <w:r w:rsidRPr="00781112">
              <w:rPr>
                <w:rFonts w:cs="Arial"/>
                <w:color w:val="000000" w:themeColor="text1"/>
                <w:szCs w:val="16"/>
              </w:rPr>
              <w:t>32.67%</w:t>
            </w:r>
          </w:p>
        </w:tc>
        <w:tc>
          <w:tcPr>
            <w:tcW w:w="518" w:type="pct"/>
            <w:shd w:val="clear" w:color="auto" w:fill="auto"/>
            <w:vAlign w:val="center"/>
          </w:tcPr>
          <w:p w14:paraId="22E6569B" w14:textId="5DC635D1" w:rsidR="00CF6742" w:rsidRPr="00781112" w:rsidRDefault="002B7490" w:rsidP="00A018D4">
            <w:pPr>
              <w:jc w:val="center"/>
              <w:rPr>
                <w:rFonts w:cs="Arial"/>
                <w:color w:val="000000" w:themeColor="text1"/>
                <w:szCs w:val="16"/>
              </w:rPr>
            </w:pPr>
            <w:r w:rsidRPr="00781112">
              <w:rPr>
                <w:rFonts w:cs="Arial"/>
                <w:color w:val="000000" w:themeColor="text1"/>
                <w:szCs w:val="16"/>
              </w:rPr>
              <w:t>31.66%</w:t>
            </w:r>
          </w:p>
        </w:tc>
        <w:tc>
          <w:tcPr>
            <w:tcW w:w="518" w:type="pct"/>
            <w:shd w:val="clear" w:color="auto" w:fill="auto"/>
            <w:vAlign w:val="center"/>
          </w:tcPr>
          <w:p w14:paraId="799542EF" w14:textId="180B78FB" w:rsidR="00CF6742"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518" w:type="pct"/>
            <w:shd w:val="clear" w:color="auto" w:fill="auto"/>
            <w:vAlign w:val="center"/>
          </w:tcPr>
          <w:p w14:paraId="6E35C7BA" w14:textId="0B2CF7CC" w:rsidR="00CF6742"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r w:rsidR="007419E3" w:rsidRPr="00781112" w14:paraId="70135A14" w14:textId="77777777" w:rsidTr="007239EC">
        <w:trPr>
          <w:trHeight w:val="361"/>
        </w:trPr>
        <w:tc>
          <w:tcPr>
            <w:tcW w:w="1373" w:type="pct"/>
            <w:shd w:val="clear" w:color="auto" w:fill="auto"/>
            <w:vAlign w:val="center"/>
          </w:tcPr>
          <w:p w14:paraId="72DCC796" w14:textId="256E58C0" w:rsidR="007419E3" w:rsidRPr="00781112" w:rsidRDefault="007419E3" w:rsidP="007419E3">
            <w:pPr>
              <w:rPr>
                <w:rFonts w:cs="Arial"/>
                <w:color w:val="000000" w:themeColor="text1"/>
                <w:szCs w:val="16"/>
                <w:shd w:val="clear" w:color="auto" w:fill="FFFFFF"/>
              </w:rPr>
            </w:pPr>
            <w:r w:rsidRPr="00781112">
              <w:rPr>
                <w:rFonts w:cs="Arial"/>
                <w:color w:val="000000" w:themeColor="text1"/>
                <w:szCs w:val="16"/>
                <w:shd w:val="clear" w:color="auto" w:fill="FFFFFF"/>
              </w:rPr>
              <w:t>C. Home</w:t>
            </w:r>
          </w:p>
        </w:tc>
        <w:tc>
          <w:tcPr>
            <w:tcW w:w="518" w:type="pct"/>
            <w:shd w:val="clear" w:color="auto" w:fill="auto"/>
            <w:vAlign w:val="center"/>
          </w:tcPr>
          <w:p w14:paraId="1AE1B656" w14:textId="4AA764F4" w:rsidR="007419E3" w:rsidRPr="00781112" w:rsidRDefault="007419E3" w:rsidP="007419E3">
            <w:pPr>
              <w:jc w:val="center"/>
              <w:rPr>
                <w:rFonts w:cs="Arial"/>
                <w:color w:val="000000" w:themeColor="text1"/>
                <w:szCs w:val="16"/>
              </w:rPr>
            </w:pPr>
            <w:r w:rsidRPr="00781112">
              <w:rPr>
                <w:rFonts w:cs="Arial"/>
                <w:color w:val="000000" w:themeColor="text1"/>
                <w:szCs w:val="16"/>
              </w:rPr>
              <w:t>20</w:t>
            </w:r>
          </w:p>
        </w:tc>
        <w:tc>
          <w:tcPr>
            <w:tcW w:w="518" w:type="pct"/>
            <w:shd w:val="clear" w:color="auto" w:fill="auto"/>
            <w:vAlign w:val="center"/>
          </w:tcPr>
          <w:p w14:paraId="601CC9FF" w14:textId="0C166449" w:rsidR="007419E3" w:rsidRPr="00781112" w:rsidRDefault="007419E3" w:rsidP="007419E3">
            <w:pPr>
              <w:jc w:val="center"/>
              <w:rPr>
                <w:rFonts w:cs="Arial"/>
                <w:color w:val="000000" w:themeColor="text1"/>
                <w:szCs w:val="16"/>
              </w:rPr>
            </w:pPr>
            <w:r w:rsidRPr="00781112">
              <w:rPr>
                <w:rFonts w:cs="Arial"/>
                <w:color w:val="000000" w:themeColor="text1"/>
                <w:szCs w:val="16"/>
              </w:rPr>
              <w:t>7,311</w:t>
            </w:r>
          </w:p>
        </w:tc>
        <w:tc>
          <w:tcPr>
            <w:tcW w:w="518" w:type="pct"/>
            <w:shd w:val="clear" w:color="auto" w:fill="auto"/>
            <w:vAlign w:val="center"/>
          </w:tcPr>
          <w:p w14:paraId="4B7E23C9" w14:textId="2143D885" w:rsidR="007419E3" w:rsidRPr="00781112" w:rsidRDefault="007419E3" w:rsidP="007419E3">
            <w:pPr>
              <w:jc w:val="center"/>
              <w:rPr>
                <w:rFonts w:cs="Arial"/>
                <w:color w:val="000000" w:themeColor="text1"/>
                <w:szCs w:val="16"/>
              </w:rPr>
            </w:pPr>
            <w:r w:rsidRPr="00781112">
              <w:rPr>
                <w:rFonts w:cs="Arial"/>
                <w:color w:val="000000" w:themeColor="text1"/>
                <w:szCs w:val="16"/>
              </w:rPr>
              <w:t>0.31%</w:t>
            </w:r>
          </w:p>
        </w:tc>
        <w:tc>
          <w:tcPr>
            <w:tcW w:w="518" w:type="pct"/>
            <w:shd w:val="clear" w:color="auto" w:fill="auto"/>
            <w:vAlign w:val="center"/>
          </w:tcPr>
          <w:p w14:paraId="412FC24B" w14:textId="2D7F91B3" w:rsidR="007419E3" w:rsidRPr="00781112" w:rsidRDefault="007419E3" w:rsidP="007419E3">
            <w:pPr>
              <w:jc w:val="center"/>
              <w:rPr>
                <w:rFonts w:cs="Arial"/>
                <w:color w:val="000000" w:themeColor="text1"/>
                <w:szCs w:val="16"/>
              </w:rPr>
            </w:pPr>
            <w:r w:rsidRPr="00781112">
              <w:rPr>
                <w:rFonts w:cs="Arial"/>
                <w:color w:val="000000" w:themeColor="text1"/>
                <w:szCs w:val="16"/>
              </w:rPr>
              <w:t>0.31%</w:t>
            </w:r>
          </w:p>
        </w:tc>
        <w:tc>
          <w:tcPr>
            <w:tcW w:w="518" w:type="pct"/>
            <w:shd w:val="clear" w:color="auto" w:fill="auto"/>
            <w:vAlign w:val="center"/>
          </w:tcPr>
          <w:p w14:paraId="603D7CC7" w14:textId="713E97DD" w:rsidR="007419E3" w:rsidRPr="00781112" w:rsidRDefault="007419E3" w:rsidP="007419E3">
            <w:pPr>
              <w:jc w:val="center"/>
              <w:rPr>
                <w:rFonts w:cs="Arial"/>
                <w:color w:val="000000" w:themeColor="text1"/>
                <w:szCs w:val="16"/>
              </w:rPr>
            </w:pPr>
            <w:r w:rsidRPr="00781112">
              <w:rPr>
                <w:rFonts w:cs="Arial"/>
                <w:color w:val="000000" w:themeColor="text1"/>
                <w:szCs w:val="16"/>
              </w:rPr>
              <w:t>0.27%</w:t>
            </w:r>
          </w:p>
        </w:tc>
        <w:tc>
          <w:tcPr>
            <w:tcW w:w="518" w:type="pct"/>
            <w:shd w:val="clear" w:color="auto" w:fill="auto"/>
            <w:vAlign w:val="center"/>
          </w:tcPr>
          <w:p w14:paraId="31E8CDB6" w14:textId="7E73D59A" w:rsidR="007419E3" w:rsidRPr="00781112" w:rsidRDefault="007419E3" w:rsidP="007419E3">
            <w:pPr>
              <w:jc w:val="center"/>
              <w:rPr>
                <w:rFonts w:cs="Arial"/>
                <w:color w:val="000000" w:themeColor="text1"/>
                <w:szCs w:val="16"/>
              </w:rPr>
            </w:pPr>
            <w:r w:rsidRPr="00781112">
              <w:rPr>
                <w:rFonts w:cs="Arial"/>
                <w:color w:val="000000" w:themeColor="text1"/>
                <w:szCs w:val="16"/>
              </w:rPr>
              <w:t>Met target</w:t>
            </w:r>
          </w:p>
        </w:tc>
        <w:tc>
          <w:tcPr>
            <w:tcW w:w="518" w:type="pct"/>
            <w:shd w:val="clear" w:color="auto" w:fill="auto"/>
            <w:vAlign w:val="center"/>
          </w:tcPr>
          <w:p w14:paraId="4B289CC7" w14:textId="072E6906" w:rsidR="007419E3" w:rsidRPr="00781112" w:rsidRDefault="007419E3" w:rsidP="007419E3">
            <w:pPr>
              <w:jc w:val="center"/>
              <w:rPr>
                <w:rFonts w:cs="Arial"/>
                <w:color w:val="000000" w:themeColor="text1"/>
                <w:szCs w:val="16"/>
              </w:rPr>
            </w:pPr>
            <w:r w:rsidRPr="00781112">
              <w:rPr>
                <w:rFonts w:cs="Arial"/>
                <w:color w:val="000000" w:themeColor="text1"/>
                <w:szCs w:val="16"/>
              </w:rPr>
              <w:t>No Slippage</w:t>
            </w:r>
          </w:p>
        </w:tc>
      </w:tr>
    </w:tbl>
    <w:p w14:paraId="21FD52FD" w14:textId="53DF3EF1" w:rsidR="002441FF" w:rsidRDefault="002441FF" w:rsidP="004369B2">
      <w:pPr>
        <w:rPr>
          <w:b/>
          <w:color w:val="000000" w:themeColor="text1"/>
        </w:rPr>
      </w:pPr>
    </w:p>
    <w:p w14:paraId="1157162F" w14:textId="77777777" w:rsidR="002441FF" w:rsidRPr="00781112" w:rsidRDefault="002441FF" w:rsidP="002441FF">
      <w:pPr>
        <w:rPr>
          <w:rFonts w:cs="Arial"/>
          <w:color w:val="000000" w:themeColor="text1"/>
          <w:szCs w:val="16"/>
        </w:rPr>
      </w:pPr>
    </w:p>
    <w:p w14:paraId="11B24ABD" w14:textId="77777777" w:rsidR="00221EC9" w:rsidRPr="00781112" w:rsidRDefault="00221EC9" w:rsidP="004369B2">
      <w:pPr>
        <w:rPr>
          <w:b/>
          <w:color w:val="000000" w:themeColor="text1"/>
        </w:rPr>
      </w:pPr>
      <w:r w:rsidRPr="00781112">
        <w:rPr>
          <w:b/>
          <w:color w:val="000000" w:themeColor="text1"/>
        </w:rPr>
        <w:t>Provide additional information about this indicator (optional)</w:t>
      </w:r>
    </w:p>
    <w:p w14:paraId="05D7B4D4" w14:textId="54FAD054" w:rsidR="003C308E" w:rsidRPr="00781112" w:rsidRDefault="002B7490" w:rsidP="007D435F">
      <w:pPr>
        <w:rPr>
          <w:rFonts w:cs="Arial"/>
          <w:color w:val="000000" w:themeColor="text1"/>
          <w:szCs w:val="16"/>
        </w:rPr>
      </w:pPr>
      <w:r w:rsidRPr="00781112">
        <w:rPr>
          <w:rFonts w:cs="Arial"/>
          <w:color w:val="000000" w:themeColor="text1"/>
          <w:szCs w:val="16"/>
        </w:rPr>
        <w:t>The baseline data is reflective of measurement with the exclusion of five-year-old students in kindergarten since they are now included in Indicator 5. It is different than the data outlined in the historical data which was based on the measurement including five-year-old students in kindergarten.</w:t>
      </w:r>
      <w:r w:rsidRPr="00781112">
        <w:rPr>
          <w:rFonts w:cs="Arial"/>
          <w:color w:val="000000" w:themeColor="text1"/>
          <w:szCs w:val="16"/>
        </w:rPr>
        <w:br/>
      </w:r>
      <w:r w:rsidRPr="00781112">
        <w:rPr>
          <w:rFonts w:cs="Arial"/>
          <w:color w:val="000000" w:themeColor="text1"/>
          <w:szCs w:val="16"/>
        </w:rPr>
        <w:br/>
        <w:t xml:space="preserve">During the 2021 APR Summit, a review of baselines for Indicator 6 was conducted to determine if baselines should remain or be updated to correlate with changing targets. Consideration was given </w:t>
      </w:r>
      <w:proofErr w:type="gramStart"/>
      <w:r w:rsidRPr="00781112">
        <w:rPr>
          <w:rFonts w:cs="Arial"/>
          <w:color w:val="000000" w:themeColor="text1"/>
          <w:szCs w:val="16"/>
        </w:rPr>
        <w:t>for</w:t>
      </w:r>
      <w:proofErr w:type="gramEnd"/>
      <w:r w:rsidRPr="00781112">
        <w:rPr>
          <w:rFonts w:cs="Arial"/>
          <w:color w:val="000000" w:themeColor="text1"/>
          <w:szCs w:val="16"/>
        </w:rPr>
        <w:t xml:space="preserve"> the impacts of COVID-19 and changes in the students being reported. Stakeholders reviewed the historical data excluding five-year-old kindergartners and the projections for where the State would be in 2025–2026 if all things stayed the same. Choosing baselines in a year prior to COVID-19 reflects Utah student abilities in a typical school year and was determined to be an appropriate baseline.</w:t>
      </w:r>
    </w:p>
    <w:p w14:paraId="7DD4BC1C" w14:textId="33DA668A" w:rsidR="000A2C83" w:rsidRPr="00781112" w:rsidRDefault="00C96236" w:rsidP="008645AD">
      <w:pPr>
        <w:pStyle w:val="Heading2"/>
      </w:pPr>
      <w:r w:rsidRPr="00781112">
        <w:t>6</w:t>
      </w:r>
      <w:r w:rsidR="00C91B94" w:rsidRPr="00781112">
        <w:t xml:space="preserve"> </w:t>
      </w:r>
      <w:r w:rsidRPr="00781112">
        <w:t xml:space="preserve">- </w:t>
      </w:r>
      <w:r w:rsidR="000A2C83" w:rsidRPr="00781112">
        <w:t>Prior FFY Required Actions</w:t>
      </w:r>
    </w:p>
    <w:p w14:paraId="566E0CF8" w14:textId="64232129" w:rsidR="00B1280F" w:rsidRPr="00781112" w:rsidRDefault="002B7490" w:rsidP="000A2C83">
      <w:pPr>
        <w:rPr>
          <w:rFonts w:cs="Arial"/>
          <w:color w:val="000000" w:themeColor="text1"/>
          <w:szCs w:val="16"/>
        </w:rPr>
      </w:pPr>
      <w:r w:rsidRPr="00781112">
        <w:rPr>
          <w:rFonts w:cs="Arial"/>
          <w:color w:val="000000" w:themeColor="text1"/>
          <w:szCs w:val="16"/>
        </w:rPr>
        <w:t>None</w:t>
      </w:r>
    </w:p>
    <w:p w14:paraId="7B71DC87" w14:textId="5C9C7EF8" w:rsidR="00221EC9" w:rsidRPr="00781112" w:rsidRDefault="00C96236" w:rsidP="008645AD">
      <w:pPr>
        <w:pStyle w:val="Heading2"/>
      </w:pPr>
      <w:r w:rsidRPr="00781112">
        <w:t>6 - OSEP Response</w:t>
      </w:r>
    </w:p>
    <w:p w14:paraId="39CF981B" w14:textId="16EA9F6F" w:rsidR="003C308E" w:rsidRPr="00781112" w:rsidRDefault="003C308E" w:rsidP="001F692C">
      <w:pPr>
        <w:rPr>
          <w:rFonts w:cs="Arial"/>
          <w:color w:val="000000" w:themeColor="text1"/>
          <w:szCs w:val="16"/>
        </w:rPr>
      </w:pPr>
    </w:p>
    <w:p w14:paraId="6337E261" w14:textId="7ABFCAD4" w:rsidR="00221EC9" w:rsidRPr="00781112" w:rsidRDefault="00C96236" w:rsidP="008645AD">
      <w:pPr>
        <w:pStyle w:val="Heading2"/>
      </w:pPr>
      <w:r w:rsidRPr="00781112">
        <w:t>6 - Required Actions</w:t>
      </w:r>
    </w:p>
    <w:p w14:paraId="4D0B397A" w14:textId="4B808E74" w:rsidR="003C308E" w:rsidRPr="00781112" w:rsidRDefault="003C308E" w:rsidP="001F692C">
      <w:pPr>
        <w:rPr>
          <w:rFonts w:cs="Arial"/>
          <w:color w:val="000000" w:themeColor="text1"/>
          <w:szCs w:val="16"/>
        </w:rPr>
      </w:pPr>
    </w:p>
    <w:p w14:paraId="2AA7BDE7" w14:textId="77777777" w:rsidR="00600E15" w:rsidRPr="00781112" w:rsidRDefault="00600E15">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26B1B256" w14:textId="288D5BD8" w:rsidR="00D21EAA" w:rsidRPr="00781112" w:rsidRDefault="00D21EAA" w:rsidP="000444E2">
      <w:pPr>
        <w:pStyle w:val="Heading1"/>
        <w:rPr>
          <w:color w:val="000000" w:themeColor="text1"/>
          <w:sz w:val="22"/>
        </w:rPr>
      </w:pPr>
      <w:r w:rsidRPr="00781112">
        <w:rPr>
          <w:color w:val="000000" w:themeColor="text1"/>
          <w:sz w:val="22"/>
        </w:rPr>
        <w:lastRenderedPageBreak/>
        <w:t>Indicator 7: Preschool Outcomes</w:t>
      </w:r>
      <w:bookmarkEnd w:id="42"/>
      <w:bookmarkEnd w:id="43"/>
    </w:p>
    <w:p w14:paraId="1404DCF9" w14:textId="77777777" w:rsidR="00531E54" w:rsidRPr="00781112" w:rsidRDefault="00531E54" w:rsidP="00A018D4">
      <w:pPr>
        <w:rPr>
          <w:color w:val="000000" w:themeColor="text1"/>
          <w:szCs w:val="20"/>
        </w:rPr>
      </w:pPr>
      <w:bookmarkStart w:id="44" w:name="_Toc392159303"/>
      <w:r w:rsidRPr="00781112">
        <w:rPr>
          <w:b/>
          <w:color w:val="000000" w:themeColor="text1"/>
          <w:sz w:val="20"/>
          <w:szCs w:val="20"/>
        </w:rPr>
        <w:t>Instructions and Measurement</w:t>
      </w:r>
    </w:p>
    <w:p w14:paraId="0A136297" w14:textId="4837554F" w:rsidR="00CC634E" w:rsidRPr="00781112" w:rsidRDefault="00CC634E"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24B9EA10" w14:textId="77777777" w:rsidR="00CC634E" w:rsidRPr="00781112" w:rsidRDefault="00CC634E" w:rsidP="0011074D">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xml:space="preserve"> Percent of preschool children aged 3 through 5 with IEPs who demonstrate improved:</w:t>
      </w:r>
    </w:p>
    <w:p w14:paraId="0B552BED" w14:textId="43FF9A0A" w:rsidR="00CC634E" w:rsidRPr="00781112" w:rsidRDefault="00F006BC" w:rsidP="006A01BD">
      <w:pPr>
        <w:ind w:firstLine="720"/>
        <w:rPr>
          <w:rFonts w:cs="Arial"/>
          <w:color w:val="000000" w:themeColor="text1"/>
          <w:szCs w:val="16"/>
        </w:rPr>
      </w:pPr>
      <w:r w:rsidRPr="00781112">
        <w:rPr>
          <w:rFonts w:cs="Arial"/>
          <w:color w:val="000000" w:themeColor="text1"/>
          <w:szCs w:val="16"/>
        </w:rPr>
        <w:t>A. Positive social-emotional skills (including social relationships</w:t>
      </w:r>
      <w:proofErr w:type="gramStart"/>
      <w:r w:rsidRPr="00781112">
        <w:rPr>
          <w:rFonts w:cs="Arial"/>
          <w:color w:val="000000" w:themeColor="text1"/>
          <w:szCs w:val="16"/>
        </w:rPr>
        <w:t>);</w:t>
      </w:r>
      <w:proofErr w:type="gramEnd"/>
    </w:p>
    <w:p w14:paraId="5D82DAD8" w14:textId="740E047B" w:rsidR="00CC634E" w:rsidRPr="00781112" w:rsidRDefault="00F006BC" w:rsidP="006A01BD">
      <w:pPr>
        <w:ind w:firstLine="720"/>
        <w:rPr>
          <w:rFonts w:cs="Arial"/>
          <w:color w:val="000000" w:themeColor="text1"/>
          <w:szCs w:val="16"/>
        </w:rPr>
      </w:pPr>
      <w:r w:rsidRPr="00781112">
        <w:rPr>
          <w:rFonts w:cs="Arial"/>
          <w:color w:val="000000" w:themeColor="text1"/>
          <w:szCs w:val="16"/>
        </w:rPr>
        <w:t>B. Acquisition and use of knowledge and skills (including early language/ communication and early literacy); and</w:t>
      </w:r>
    </w:p>
    <w:p w14:paraId="00126FB5" w14:textId="7254CF8C" w:rsidR="00CC634E" w:rsidRPr="00781112" w:rsidRDefault="00F020B0" w:rsidP="006A01BD">
      <w:pPr>
        <w:ind w:firstLine="720"/>
        <w:rPr>
          <w:rFonts w:cs="Arial"/>
          <w:color w:val="000000" w:themeColor="text1"/>
          <w:szCs w:val="16"/>
        </w:rPr>
      </w:pPr>
      <w:r w:rsidRPr="00781112">
        <w:rPr>
          <w:rFonts w:cs="Arial"/>
          <w:color w:val="000000" w:themeColor="text1"/>
          <w:szCs w:val="16"/>
        </w:rPr>
        <w:t>C. Use of appropriate behaviors to meet their needs.</w:t>
      </w:r>
    </w:p>
    <w:p w14:paraId="5E54210F" w14:textId="77777777" w:rsidR="00CC634E" w:rsidRPr="00781112" w:rsidRDefault="00CC634E" w:rsidP="0011074D">
      <w:pPr>
        <w:rPr>
          <w:rFonts w:cs="Arial"/>
          <w:color w:val="000000" w:themeColor="text1"/>
          <w:szCs w:val="16"/>
        </w:rPr>
      </w:pPr>
      <w:r w:rsidRPr="00781112">
        <w:rPr>
          <w:rFonts w:cs="Arial"/>
          <w:color w:val="000000" w:themeColor="text1"/>
          <w:szCs w:val="16"/>
        </w:rPr>
        <w:t>(20 U.S.C. 1416 (a)(3)(A))</w:t>
      </w:r>
    </w:p>
    <w:p w14:paraId="64F847A6" w14:textId="77777777" w:rsidR="008751D3" w:rsidRPr="00781112" w:rsidRDefault="008751D3" w:rsidP="004369B2">
      <w:pPr>
        <w:rPr>
          <w:color w:val="000000" w:themeColor="text1"/>
        </w:rPr>
      </w:pPr>
      <w:r w:rsidRPr="00781112">
        <w:rPr>
          <w:b/>
          <w:color w:val="000000" w:themeColor="text1"/>
        </w:rPr>
        <w:t>Data Source</w:t>
      </w:r>
    </w:p>
    <w:p w14:paraId="23E18A51" w14:textId="0FC94A9E" w:rsidR="008751D3" w:rsidRPr="00781112" w:rsidRDefault="008751D3" w:rsidP="00286BDF">
      <w:pPr>
        <w:rPr>
          <w:rFonts w:cs="Arial"/>
          <w:color w:val="000000" w:themeColor="text1"/>
          <w:szCs w:val="16"/>
        </w:rPr>
      </w:pPr>
      <w:r w:rsidRPr="00781112">
        <w:rPr>
          <w:rFonts w:cs="Arial"/>
          <w:color w:val="000000" w:themeColor="text1"/>
          <w:szCs w:val="16"/>
        </w:rPr>
        <w:t>State selected data source.</w:t>
      </w:r>
    </w:p>
    <w:p w14:paraId="1E840531" w14:textId="77777777" w:rsidR="008751D3" w:rsidRPr="00781112" w:rsidRDefault="008751D3" w:rsidP="004369B2">
      <w:pPr>
        <w:rPr>
          <w:color w:val="000000" w:themeColor="text1"/>
        </w:rPr>
      </w:pPr>
      <w:r w:rsidRPr="00781112">
        <w:rPr>
          <w:b/>
          <w:color w:val="000000" w:themeColor="text1"/>
        </w:rPr>
        <w:t>Measurement</w:t>
      </w:r>
    </w:p>
    <w:p w14:paraId="1FF326CF" w14:textId="77777777" w:rsidR="008751D3" w:rsidRPr="00781112" w:rsidRDefault="008751D3" w:rsidP="0011074D">
      <w:pPr>
        <w:rPr>
          <w:rFonts w:cs="Arial"/>
          <w:color w:val="000000" w:themeColor="text1"/>
          <w:szCs w:val="16"/>
        </w:rPr>
      </w:pPr>
      <w:r w:rsidRPr="00781112">
        <w:rPr>
          <w:rFonts w:cs="Arial"/>
          <w:color w:val="000000" w:themeColor="text1"/>
          <w:szCs w:val="16"/>
        </w:rPr>
        <w:t>Outcomes:</w:t>
      </w:r>
    </w:p>
    <w:p w14:paraId="4E248912" w14:textId="66BBE7EE" w:rsidR="008751D3" w:rsidRPr="00781112" w:rsidRDefault="00D92169" w:rsidP="006A01BD">
      <w:pPr>
        <w:spacing w:before="0" w:after="0"/>
        <w:ind w:firstLine="720"/>
        <w:rPr>
          <w:rFonts w:eastAsia="Times New Roman" w:cs="Arial"/>
          <w:color w:val="000000" w:themeColor="text1"/>
          <w:szCs w:val="16"/>
        </w:rPr>
      </w:pPr>
      <w:r w:rsidRPr="00781112">
        <w:rPr>
          <w:rFonts w:eastAsia="Times New Roman" w:cs="Arial"/>
          <w:color w:val="000000" w:themeColor="text1"/>
          <w:szCs w:val="16"/>
        </w:rPr>
        <w:t>A. Positive social-emotional skills (including social relationships</w:t>
      </w:r>
      <w:proofErr w:type="gramStart"/>
      <w:r w:rsidRPr="00781112">
        <w:rPr>
          <w:rFonts w:eastAsia="Times New Roman" w:cs="Arial"/>
          <w:color w:val="000000" w:themeColor="text1"/>
          <w:szCs w:val="16"/>
        </w:rPr>
        <w:t>);</w:t>
      </w:r>
      <w:proofErr w:type="gramEnd"/>
    </w:p>
    <w:p w14:paraId="6AAB6861" w14:textId="71AC3C7A" w:rsidR="008751D3" w:rsidRPr="00781112" w:rsidRDefault="00D92169" w:rsidP="006A01BD">
      <w:pPr>
        <w:spacing w:before="0" w:after="0"/>
        <w:ind w:firstLine="720"/>
        <w:rPr>
          <w:rFonts w:eastAsia="Times New Roman" w:cs="Arial"/>
          <w:color w:val="000000" w:themeColor="text1"/>
          <w:szCs w:val="16"/>
        </w:rPr>
      </w:pPr>
      <w:r w:rsidRPr="00781112">
        <w:rPr>
          <w:rFonts w:eastAsia="Times New Roman" w:cs="Arial"/>
          <w:color w:val="000000" w:themeColor="text1"/>
          <w:szCs w:val="16"/>
        </w:rPr>
        <w:t>B. Acquisition and use of knowledge and skills (including early language/communication and early literacy); and</w:t>
      </w:r>
    </w:p>
    <w:p w14:paraId="4CD04035" w14:textId="52DADE76" w:rsidR="008751D3" w:rsidRPr="00781112" w:rsidRDefault="00D92169" w:rsidP="006A01BD">
      <w:pPr>
        <w:spacing w:before="0"/>
        <w:ind w:firstLine="720"/>
        <w:rPr>
          <w:rFonts w:eastAsia="Times New Roman" w:cs="Arial"/>
          <w:color w:val="000000" w:themeColor="text1"/>
          <w:szCs w:val="16"/>
        </w:rPr>
      </w:pPr>
      <w:r w:rsidRPr="00781112">
        <w:rPr>
          <w:rFonts w:eastAsia="Times New Roman" w:cs="Arial"/>
          <w:color w:val="000000" w:themeColor="text1"/>
          <w:szCs w:val="16"/>
        </w:rPr>
        <w:t>C. Use of appropriate behaviors to meet their needs.</w:t>
      </w:r>
    </w:p>
    <w:p w14:paraId="6C3C0B77" w14:textId="77777777" w:rsidR="008751D3" w:rsidRPr="00781112" w:rsidRDefault="008751D3" w:rsidP="0011074D">
      <w:pPr>
        <w:rPr>
          <w:rFonts w:cs="Arial"/>
          <w:color w:val="000000" w:themeColor="text1"/>
          <w:szCs w:val="16"/>
        </w:rPr>
      </w:pPr>
      <w:r w:rsidRPr="00781112">
        <w:rPr>
          <w:rFonts w:cs="Arial"/>
          <w:color w:val="000000" w:themeColor="text1"/>
          <w:szCs w:val="16"/>
        </w:rPr>
        <w:t>Progress categories for A, B and C:</w:t>
      </w:r>
    </w:p>
    <w:p w14:paraId="5690C8BE" w14:textId="36B6DF2C" w:rsidR="008751D3" w:rsidRPr="00781112" w:rsidRDefault="00D048BC" w:rsidP="006A01BD">
      <w:pPr>
        <w:spacing w:before="0" w:after="0"/>
        <w:ind w:left="720"/>
        <w:rPr>
          <w:rFonts w:eastAsia="Times New Roman" w:cs="Arial"/>
          <w:color w:val="000000" w:themeColor="text1"/>
          <w:szCs w:val="16"/>
        </w:rPr>
      </w:pPr>
      <w:r w:rsidRPr="00781112">
        <w:rPr>
          <w:rFonts w:eastAsia="Times New Roman" w:cs="Arial"/>
          <w:color w:val="000000" w:themeColor="text1"/>
          <w:szCs w:val="16"/>
        </w:rPr>
        <w:t>a. Percent of preschool children who did not improve functioning = [(# of preschool children who did not improve functioning) divided by (# of preschool children with IEPs assessed)] times 100.</w:t>
      </w:r>
    </w:p>
    <w:p w14:paraId="0B720C40" w14:textId="2F6D04FB" w:rsidR="008751D3" w:rsidRPr="00781112" w:rsidRDefault="00D92169" w:rsidP="006A01BD">
      <w:pPr>
        <w:spacing w:before="0" w:after="0"/>
        <w:ind w:left="720"/>
        <w:rPr>
          <w:rFonts w:eastAsia="Times New Roman" w:cs="Arial"/>
          <w:color w:val="000000" w:themeColor="text1"/>
          <w:szCs w:val="16"/>
        </w:rPr>
      </w:pPr>
      <w:r w:rsidRPr="00781112">
        <w:rPr>
          <w:rFonts w:eastAsia="Times New Roman" w:cs="Arial"/>
          <w:color w:val="000000" w:themeColor="text1"/>
          <w:szCs w:val="16"/>
        </w:rPr>
        <w:t>b. Percent of preschool children who improved functioning but not sufficient to move nearer to functioning comparable to same-aged peers = [(# of preschool children who improved functioning but not sufficient to move nearer to functioning comparable to same-aged peers) divided by (# of preschool children with IEPs assessed)] times 100.</w:t>
      </w:r>
    </w:p>
    <w:p w14:paraId="314CA3F4" w14:textId="6175AC76" w:rsidR="008751D3" w:rsidRPr="00781112" w:rsidRDefault="00D92169" w:rsidP="006A01BD">
      <w:pPr>
        <w:spacing w:before="0" w:after="0"/>
        <w:ind w:left="720"/>
        <w:rPr>
          <w:rFonts w:eastAsia="Times New Roman" w:cs="Arial"/>
          <w:color w:val="000000" w:themeColor="text1"/>
          <w:szCs w:val="16"/>
        </w:rPr>
      </w:pPr>
      <w:r w:rsidRPr="00781112">
        <w:rPr>
          <w:rFonts w:eastAsia="Times New Roman" w:cs="Arial"/>
          <w:color w:val="000000" w:themeColor="text1"/>
          <w:szCs w:val="16"/>
        </w:rPr>
        <w:t>c. Percent of preschool children who improved functioning to a level nearer to same-aged peers but did not reach it = [(# of preschool children who improved functioning to a level nearer to same-aged peers but did not reach it) divided by (# of preschool children with IEPs assessed)] times 100.</w:t>
      </w:r>
    </w:p>
    <w:p w14:paraId="643AA406" w14:textId="25D49466" w:rsidR="008751D3" w:rsidRPr="00781112" w:rsidRDefault="00D92169" w:rsidP="006A01BD">
      <w:pPr>
        <w:spacing w:before="0" w:after="0"/>
        <w:ind w:left="720"/>
        <w:rPr>
          <w:rFonts w:eastAsia="Times New Roman" w:cs="Arial"/>
          <w:color w:val="000000" w:themeColor="text1"/>
          <w:szCs w:val="16"/>
        </w:rPr>
      </w:pPr>
      <w:r w:rsidRPr="00781112">
        <w:rPr>
          <w:rFonts w:eastAsia="Times New Roman" w:cs="Arial"/>
          <w:color w:val="000000" w:themeColor="text1"/>
          <w:szCs w:val="16"/>
        </w:rPr>
        <w:t>d. Percent of preschool children who improved functioning to reach a level comparable to same-aged peers = [(# of preschool children who improved functioning to reach a level comparable to same-aged peers) divided by (# of preschool children with IEPs assessed)] times 100.</w:t>
      </w:r>
    </w:p>
    <w:p w14:paraId="38B378F6" w14:textId="1E843815" w:rsidR="008751D3" w:rsidRPr="00781112" w:rsidRDefault="00D92169" w:rsidP="006A01BD">
      <w:pPr>
        <w:spacing w:before="0"/>
        <w:ind w:left="720"/>
        <w:rPr>
          <w:rFonts w:eastAsia="Times New Roman" w:cs="Arial"/>
          <w:color w:val="000000" w:themeColor="text1"/>
          <w:szCs w:val="16"/>
        </w:rPr>
      </w:pPr>
      <w:r w:rsidRPr="00781112">
        <w:rPr>
          <w:rFonts w:eastAsia="Times New Roman" w:cs="Arial"/>
          <w:color w:val="000000" w:themeColor="text1"/>
          <w:szCs w:val="16"/>
        </w:rPr>
        <w:t>e. Percent of preschool children who maintained functioning at a level comparable to same-aged peers = [(# of preschool children who maintained functioning at a level comparable to same-aged peers) divided by (# of preschool children with IEPs assessed)] times 100.</w:t>
      </w:r>
    </w:p>
    <w:p w14:paraId="583435BB" w14:textId="77777777" w:rsidR="008751D3" w:rsidRPr="00781112" w:rsidRDefault="008751D3" w:rsidP="0011074D">
      <w:pPr>
        <w:rPr>
          <w:rFonts w:cs="Arial"/>
          <w:b/>
          <w:color w:val="000000" w:themeColor="text1"/>
          <w:szCs w:val="16"/>
        </w:rPr>
      </w:pPr>
      <w:r w:rsidRPr="00781112">
        <w:rPr>
          <w:rFonts w:cs="Arial"/>
          <w:b/>
          <w:color w:val="000000" w:themeColor="text1"/>
          <w:szCs w:val="16"/>
        </w:rPr>
        <w:t>Summary Statements for Each of the Three Outcomes:</w:t>
      </w:r>
    </w:p>
    <w:p w14:paraId="65FE21E5" w14:textId="77777777" w:rsidR="008751D3" w:rsidRPr="00781112" w:rsidRDefault="008751D3" w:rsidP="0011074D">
      <w:pPr>
        <w:rPr>
          <w:rFonts w:cs="Arial"/>
          <w:color w:val="000000" w:themeColor="text1"/>
          <w:szCs w:val="16"/>
        </w:rPr>
      </w:pPr>
      <w:r w:rsidRPr="00781112">
        <w:rPr>
          <w:rFonts w:cs="Arial"/>
          <w:b/>
          <w:bCs/>
          <w:color w:val="000000" w:themeColor="text1"/>
          <w:szCs w:val="16"/>
        </w:rPr>
        <w:t>Summary Statement 1</w:t>
      </w:r>
      <w:r w:rsidRPr="00781112">
        <w:rPr>
          <w:rFonts w:cs="Arial"/>
          <w:bCs/>
          <w:color w:val="000000" w:themeColor="text1"/>
          <w:szCs w:val="16"/>
        </w:rPr>
        <w:t>:</w:t>
      </w:r>
      <w:r w:rsidRPr="00781112">
        <w:rPr>
          <w:rFonts w:cs="Arial"/>
          <w:color w:val="000000" w:themeColor="text1"/>
          <w:szCs w:val="16"/>
        </w:rPr>
        <w:t> Of those preschool children who entered the preschool program below age expectations in each Outcome, the percent who substantially increased their rate of growth by the time they turned 6 years of age or exited the program.</w:t>
      </w:r>
    </w:p>
    <w:p w14:paraId="5068AAB2" w14:textId="7F652397" w:rsidR="008751D3" w:rsidRPr="00781112" w:rsidRDefault="008751D3" w:rsidP="0011074D">
      <w:pPr>
        <w:rPr>
          <w:rFonts w:cs="Arial"/>
          <w:color w:val="000000" w:themeColor="text1"/>
          <w:szCs w:val="16"/>
        </w:rPr>
      </w:pPr>
      <w:r w:rsidRPr="00781112">
        <w:rPr>
          <w:rFonts w:cs="Arial"/>
          <w:b/>
          <w:bCs/>
          <w:color w:val="000000" w:themeColor="text1"/>
          <w:szCs w:val="16"/>
        </w:rPr>
        <w:t>Measurement for Summary Statement 1:</w:t>
      </w:r>
      <w:r w:rsidRPr="00781112">
        <w:rPr>
          <w:rFonts w:cs="Arial"/>
          <w:bCs/>
          <w:color w:val="000000" w:themeColor="text1"/>
          <w:szCs w:val="16"/>
        </w:rPr>
        <w:t xml:space="preserve"> </w:t>
      </w:r>
      <w:r w:rsidRPr="00781112">
        <w:rPr>
          <w:rFonts w:cs="Arial"/>
          <w:color w:val="000000" w:themeColor="text1"/>
          <w:szCs w:val="16"/>
        </w:rPr>
        <w:t xml:space="preserve">Percent = </w:t>
      </w:r>
      <w:r w:rsidR="002D30ED" w:rsidRPr="00781112">
        <w:rPr>
          <w:rFonts w:cs="Arial"/>
          <w:color w:val="000000" w:themeColor="text1"/>
          <w:szCs w:val="16"/>
        </w:rPr>
        <w:t xml:space="preserve">[(# </w:t>
      </w:r>
      <w:r w:rsidRPr="00781112">
        <w:rPr>
          <w:rFonts w:cs="Arial"/>
          <w:color w:val="000000" w:themeColor="text1"/>
          <w:szCs w:val="16"/>
        </w:rPr>
        <w:t>of preschool children reported in progress category (c) plus # of preschool children reported in category (d)) divided by (# of preschool children reported in progress category (a) plus # of preschool children reported in progress category (b) plus # of preschool children reported in progress category (c) plus # of preschool children reported in progress category (d</w:t>
      </w:r>
      <w:r w:rsidR="002D30ED" w:rsidRPr="00781112">
        <w:rPr>
          <w:rFonts w:cs="Arial"/>
          <w:color w:val="000000" w:themeColor="text1"/>
          <w:szCs w:val="16"/>
        </w:rPr>
        <w:t xml:space="preserve">))] </w:t>
      </w:r>
      <w:r w:rsidRPr="00781112">
        <w:rPr>
          <w:rFonts w:cs="Arial"/>
          <w:color w:val="000000" w:themeColor="text1"/>
          <w:szCs w:val="16"/>
        </w:rPr>
        <w:t>times 100.</w:t>
      </w:r>
    </w:p>
    <w:p w14:paraId="5A694282" w14:textId="77777777" w:rsidR="008751D3" w:rsidRPr="00781112" w:rsidRDefault="008751D3" w:rsidP="0011074D">
      <w:pPr>
        <w:rPr>
          <w:rFonts w:cs="Arial"/>
          <w:color w:val="000000" w:themeColor="text1"/>
          <w:szCs w:val="16"/>
        </w:rPr>
      </w:pPr>
      <w:r w:rsidRPr="00781112">
        <w:rPr>
          <w:rFonts w:cs="Arial"/>
          <w:b/>
          <w:bCs/>
          <w:color w:val="000000" w:themeColor="text1"/>
          <w:szCs w:val="16"/>
        </w:rPr>
        <w:t>Summary Statement 2:</w:t>
      </w:r>
      <w:r w:rsidRPr="00781112">
        <w:rPr>
          <w:rFonts w:cs="Arial"/>
          <w:color w:val="000000" w:themeColor="text1"/>
          <w:szCs w:val="16"/>
        </w:rPr>
        <w:t> The percent of preschool children who were functioning within age expectations in each Outcome by the time they turned 6 years of age or exited the program.</w:t>
      </w:r>
    </w:p>
    <w:p w14:paraId="34439FE8" w14:textId="2AF97C44" w:rsidR="008751D3" w:rsidRPr="00781112" w:rsidRDefault="008751D3" w:rsidP="0011074D">
      <w:pPr>
        <w:rPr>
          <w:rFonts w:cs="Arial"/>
          <w:color w:val="000000" w:themeColor="text1"/>
          <w:szCs w:val="16"/>
        </w:rPr>
      </w:pPr>
      <w:r w:rsidRPr="00781112">
        <w:rPr>
          <w:rFonts w:cs="Arial"/>
          <w:b/>
          <w:bCs/>
          <w:color w:val="000000" w:themeColor="text1"/>
          <w:szCs w:val="16"/>
        </w:rPr>
        <w:t>Measurement for Summary Statement 2</w:t>
      </w:r>
      <w:r w:rsidRPr="00781112">
        <w:rPr>
          <w:rFonts w:cs="Arial"/>
          <w:bCs/>
          <w:color w:val="000000" w:themeColor="text1"/>
          <w:szCs w:val="16"/>
        </w:rPr>
        <w:t xml:space="preserve">: </w:t>
      </w:r>
      <w:r w:rsidRPr="00781112">
        <w:rPr>
          <w:rFonts w:cs="Arial"/>
          <w:color w:val="000000" w:themeColor="text1"/>
          <w:szCs w:val="16"/>
        </w:rPr>
        <w:t xml:space="preserve">Percent = </w:t>
      </w:r>
      <w:r w:rsidR="002D30ED" w:rsidRPr="00781112">
        <w:rPr>
          <w:rFonts w:cs="Arial"/>
          <w:color w:val="000000" w:themeColor="text1"/>
          <w:szCs w:val="16"/>
        </w:rPr>
        <w:t xml:space="preserve">[(# </w:t>
      </w:r>
      <w:r w:rsidRPr="00781112">
        <w:rPr>
          <w:rFonts w:cs="Arial"/>
          <w:color w:val="000000" w:themeColor="text1"/>
          <w:szCs w:val="16"/>
        </w:rPr>
        <w:t>of preschool children reported in progress category (d) plus # of preschool children reported in progress category (e)) divided by (the total # of preschool children reported in progress categories (a) + (b) + (c) + (d) + (e</w:t>
      </w:r>
      <w:r w:rsidR="002D30ED" w:rsidRPr="00781112">
        <w:rPr>
          <w:rFonts w:cs="Arial"/>
          <w:color w:val="000000" w:themeColor="text1"/>
          <w:szCs w:val="16"/>
        </w:rPr>
        <w:t xml:space="preserve">))] </w:t>
      </w:r>
      <w:r w:rsidRPr="00781112">
        <w:rPr>
          <w:rFonts w:cs="Arial"/>
          <w:color w:val="000000" w:themeColor="text1"/>
          <w:szCs w:val="16"/>
        </w:rPr>
        <w:t>times 100.</w:t>
      </w:r>
    </w:p>
    <w:p w14:paraId="207DF15E" w14:textId="77777777" w:rsidR="008751D3" w:rsidRPr="00781112" w:rsidRDefault="008751D3" w:rsidP="004369B2">
      <w:pPr>
        <w:rPr>
          <w:color w:val="000000" w:themeColor="text1"/>
        </w:rPr>
      </w:pPr>
      <w:r w:rsidRPr="00781112">
        <w:rPr>
          <w:b/>
          <w:color w:val="000000" w:themeColor="text1"/>
        </w:rPr>
        <w:t>Instructions</w:t>
      </w:r>
    </w:p>
    <w:p w14:paraId="7FEF7064" w14:textId="77777777" w:rsidR="008751D3" w:rsidRPr="00781112" w:rsidRDefault="008751D3" w:rsidP="00286BDF">
      <w:pPr>
        <w:rPr>
          <w:rFonts w:cs="Arial"/>
          <w:color w:val="000000" w:themeColor="text1"/>
          <w:szCs w:val="16"/>
        </w:rPr>
      </w:pPr>
      <w:r w:rsidRPr="00781112">
        <w:rPr>
          <w:rFonts w:cs="Arial"/>
          <w:color w:val="000000" w:themeColor="text1"/>
          <w:szCs w:val="16"/>
        </w:rPr>
        <w:t>Sampling of </w:t>
      </w:r>
      <w:r w:rsidRPr="00781112">
        <w:rPr>
          <w:rFonts w:cs="Arial"/>
          <w:b/>
          <w:bCs/>
          <w:color w:val="000000" w:themeColor="text1"/>
          <w:szCs w:val="16"/>
        </w:rPr>
        <w:t>children for assessment</w:t>
      </w:r>
      <w:r w:rsidRPr="00781112">
        <w:rPr>
          <w:rFonts w:cs="Arial"/>
          <w:color w:val="000000" w:themeColor="text1"/>
          <w:szCs w:val="16"/>
        </w:rPr>
        <w:t> is allowed. When sampling is used, submit a description of the sampling methodology outlining how the design will yield valid and reliable estimates. (See </w:t>
      </w:r>
      <w:r w:rsidRPr="00781112">
        <w:rPr>
          <w:rFonts w:cs="Arial"/>
          <w:color w:val="000000" w:themeColor="text1"/>
          <w:szCs w:val="16"/>
          <w:u w:val="single"/>
        </w:rPr>
        <w:t>General Instructions</w:t>
      </w:r>
      <w:r w:rsidRPr="00781112">
        <w:rPr>
          <w:rFonts w:cs="Arial"/>
          <w:color w:val="000000" w:themeColor="text1"/>
          <w:szCs w:val="16"/>
        </w:rPr>
        <w:t> on page 2 for additional instructions on sampling.)</w:t>
      </w:r>
    </w:p>
    <w:p w14:paraId="1FB7B1C7" w14:textId="77777777" w:rsidR="008751D3" w:rsidRPr="00781112" w:rsidRDefault="008751D3" w:rsidP="00286BDF">
      <w:pPr>
        <w:rPr>
          <w:rFonts w:cs="Arial"/>
          <w:color w:val="000000" w:themeColor="text1"/>
          <w:szCs w:val="16"/>
        </w:rPr>
      </w:pPr>
      <w:r w:rsidRPr="00781112">
        <w:rPr>
          <w:rFonts w:cs="Arial"/>
          <w:color w:val="000000" w:themeColor="text1"/>
          <w:szCs w:val="16"/>
        </w:rPr>
        <w:t>In the measurement include, in the numerator and denominator, only children who received special education and related services for at least six months during the age span of three through five years.</w:t>
      </w:r>
    </w:p>
    <w:p w14:paraId="652BE619" w14:textId="77777777" w:rsidR="008751D3" w:rsidRPr="00781112" w:rsidRDefault="008751D3" w:rsidP="00286BDF">
      <w:pPr>
        <w:rPr>
          <w:rFonts w:cs="Arial"/>
          <w:color w:val="000000" w:themeColor="text1"/>
          <w:szCs w:val="16"/>
        </w:rPr>
      </w:pPr>
      <w:r w:rsidRPr="00781112">
        <w:rPr>
          <w:rFonts w:cs="Arial"/>
          <w:color w:val="000000" w:themeColor="text1"/>
          <w:szCs w:val="16"/>
        </w:rPr>
        <w:t xml:space="preserve">Describe the results of the calculations and compare the results to the targets. States will use the progress categories for each of the three Outcomes to calculate and </w:t>
      </w:r>
      <w:proofErr w:type="gramStart"/>
      <w:r w:rsidRPr="00781112">
        <w:rPr>
          <w:rFonts w:cs="Arial"/>
          <w:color w:val="000000" w:themeColor="text1"/>
          <w:szCs w:val="16"/>
        </w:rPr>
        <w:t>report</w:t>
      </w:r>
      <w:proofErr w:type="gramEnd"/>
      <w:r w:rsidRPr="00781112">
        <w:rPr>
          <w:rFonts w:cs="Arial"/>
          <w:color w:val="000000" w:themeColor="text1"/>
          <w:szCs w:val="16"/>
        </w:rPr>
        <w:t xml:space="preserve"> the two Summary Statements. States have provided targets for the two Summary Statements for the three Outcomes (six numbers for targets for each FFY).</w:t>
      </w:r>
    </w:p>
    <w:p w14:paraId="60273FDF" w14:textId="77777777" w:rsidR="008751D3" w:rsidRPr="00781112" w:rsidRDefault="008751D3" w:rsidP="00286BDF">
      <w:pPr>
        <w:rPr>
          <w:rFonts w:cs="Arial"/>
          <w:color w:val="000000" w:themeColor="text1"/>
          <w:szCs w:val="16"/>
        </w:rPr>
      </w:pPr>
      <w:r w:rsidRPr="00781112">
        <w:rPr>
          <w:rFonts w:cs="Arial"/>
          <w:color w:val="000000" w:themeColor="text1"/>
          <w:szCs w:val="16"/>
        </w:rPr>
        <w:t>Report progress data and calculate Summary Statements to compare against the six targets. Provide the actual numbers and percentages for the five reporting categories for each of the three outcomes.</w:t>
      </w:r>
    </w:p>
    <w:p w14:paraId="5CCA3257" w14:textId="77777777" w:rsidR="008751D3" w:rsidRPr="00781112" w:rsidRDefault="008751D3" w:rsidP="00286BDF">
      <w:pPr>
        <w:rPr>
          <w:rFonts w:cs="Arial"/>
          <w:color w:val="000000" w:themeColor="text1"/>
          <w:szCs w:val="16"/>
        </w:rPr>
      </w:pPr>
      <w:r w:rsidRPr="00781112">
        <w:rPr>
          <w:rFonts w:cs="Arial"/>
          <w:color w:val="000000" w:themeColor="text1"/>
          <w:szCs w:val="16"/>
        </w:rPr>
        <w:t>In presenting results, provide the criteria for defining “comparable to same-aged peers.” If a State is using the Early Childhood Outcomes Center (ECO) Child Outcomes Summary (COS), then the criteria for defining “comparable to same-aged peers” has been defined as a child who has been assigned a score of 6 or 7 on the COS.</w:t>
      </w:r>
    </w:p>
    <w:p w14:paraId="53FA15C3" w14:textId="77777777" w:rsidR="008751D3" w:rsidRPr="00781112" w:rsidRDefault="008751D3" w:rsidP="00286BDF">
      <w:pPr>
        <w:rPr>
          <w:rFonts w:cs="Arial"/>
          <w:color w:val="000000" w:themeColor="text1"/>
          <w:szCs w:val="16"/>
        </w:rPr>
      </w:pPr>
      <w:r w:rsidRPr="00781112">
        <w:rPr>
          <w:rFonts w:cs="Arial"/>
          <w:color w:val="000000" w:themeColor="text1"/>
          <w:szCs w:val="16"/>
        </w:rPr>
        <w:t>In addition, list the instruments and procedures used to gather data for this indicator, including if the State is using the ECO COS.</w:t>
      </w:r>
    </w:p>
    <w:bookmarkEnd w:id="44"/>
    <w:p w14:paraId="55101798" w14:textId="340B2E8D" w:rsidR="00DF6E30" w:rsidRPr="00781112" w:rsidRDefault="00C96236" w:rsidP="008645AD">
      <w:pPr>
        <w:pStyle w:val="Heading2"/>
      </w:pPr>
      <w:r w:rsidRPr="00781112">
        <w:t>7</w:t>
      </w:r>
      <w:r w:rsidR="00444A9D" w:rsidRPr="00781112">
        <w:t xml:space="preserve"> </w:t>
      </w:r>
      <w:r w:rsidRPr="00781112">
        <w:t xml:space="preserve">- </w:t>
      </w:r>
      <w:r w:rsidR="00DF6E30" w:rsidRPr="00781112">
        <w:t>Indicator Data</w:t>
      </w:r>
    </w:p>
    <w:p w14:paraId="5AA4EA63" w14:textId="77777777" w:rsidR="0091098C" w:rsidRPr="00781112" w:rsidRDefault="0091098C" w:rsidP="004369B2">
      <w:pPr>
        <w:rPr>
          <w:color w:val="000000" w:themeColor="text1"/>
        </w:rPr>
      </w:pPr>
      <w:r w:rsidRPr="00781112">
        <w:rPr>
          <w:b/>
          <w:color w:val="000000" w:themeColor="text1"/>
        </w:rPr>
        <w:t>Not Applicable</w:t>
      </w:r>
    </w:p>
    <w:p w14:paraId="284C9B1A" w14:textId="32C218D6" w:rsidR="002D30ED" w:rsidRPr="00781112" w:rsidRDefault="00E54DDA">
      <w:pPr>
        <w:rPr>
          <w:b/>
          <w:color w:val="000000" w:themeColor="text1"/>
        </w:rPr>
      </w:pPr>
      <w:r w:rsidRPr="00781112">
        <w:rPr>
          <w:b/>
          <w:color w:val="000000" w:themeColor="text1"/>
        </w:rPr>
        <w:t>Select yes if this indicator is not applicable.</w:t>
      </w:r>
    </w:p>
    <w:p w14:paraId="400C4A0C" w14:textId="693F71F3" w:rsidR="00043AC9" w:rsidRPr="00781112" w:rsidRDefault="00043AC9" w:rsidP="004369B2">
      <w:pPr>
        <w:rPr>
          <w:rFonts w:cs="Arial"/>
          <w:color w:val="000000" w:themeColor="text1"/>
          <w:szCs w:val="16"/>
        </w:rPr>
      </w:pPr>
      <w:r w:rsidRPr="00781112">
        <w:rPr>
          <w:rFonts w:cs="Arial"/>
          <w:color w:val="000000" w:themeColor="text1"/>
          <w:szCs w:val="16"/>
        </w:rPr>
        <w:t>NO</w:t>
      </w:r>
    </w:p>
    <w:p w14:paraId="2D4ABD95" w14:textId="015EAF2F" w:rsidR="002D30ED" w:rsidRPr="00781112" w:rsidRDefault="002D30ED">
      <w:pPr>
        <w:rPr>
          <w:color w:val="000000" w:themeColor="text1"/>
        </w:rPr>
      </w:pPr>
    </w:p>
    <w:p w14:paraId="50CA9D39" w14:textId="3128BDB0" w:rsidR="00CC634E" w:rsidRPr="00781112" w:rsidRDefault="00CC634E" w:rsidP="004369B2">
      <w:pPr>
        <w:rPr>
          <w:color w:val="000000" w:themeColor="text1"/>
        </w:rPr>
      </w:pPr>
      <w:r w:rsidRPr="00781112">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B07HISTDATA"/>
      </w:tblPr>
      <w:tblGrid>
        <w:gridCol w:w="536"/>
        <w:gridCol w:w="944"/>
        <w:gridCol w:w="944"/>
        <w:gridCol w:w="1673"/>
        <w:gridCol w:w="1673"/>
        <w:gridCol w:w="1673"/>
        <w:gridCol w:w="1672"/>
        <w:gridCol w:w="1675"/>
      </w:tblGrid>
      <w:tr w:rsidR="005F0D3B" w:rsidRPr="00781112" w14:paraId="67761B76" w14:textId="2BE890F9" w:rsidTr="009023AD">
        <w:trPr>
          <w:trHeight w:val="395"/>
        </w:trPr>
        <w:tc>
          <w:tcPr>
            <w:tcW w:w="248" w:type="pct"/>
            <w:tcBorders>
              <w:top w:val="single" w:sz="4" w:space="0" w:color="auto"/>
              <w:left w:val="single" w:sz="4" w:space="0" w:color="auto"/>
              <w:bottom w:val="single" w:sz="4" w:space="0" w:color="auto"/>
              <w:right w:val="single" w:sz="4" w:space="0" w:color="auto"/>
            </w:tcBorders>
            <w:shd w:val="clear" w:color="auto" w:fill="auto"/>
          </w:tcPr>
          <w:p w14:paraId="07FE7D96" w14:textId="48B4F674" w:rsidR="00FA72A0" w:rsidRPr="00781112" w:rsidRDefault="00E104F3" w:rsidP="00FA72A0">
            <w:pPr>
              <w:spacing w:before="0" w:after="0" w:line="276" w:lineRule="auto"/>
              <w:jc w:val="center"/>
              <w:rPr>
                <w:rFonts w:cs="Arial"/>
                <w:b/>
                <w:color w:val="000000" w:themeColor="text1"/>
                <w:szCs w:val="16"/>
              </w:rPr>
            </w:pPr>
            <w:r w:rsidRPr="00781112">
              <w:rPr>
                <w:rFonts w:cs="Arial"/>
                <w:b/>
                <w:color w:val="000000" w:themeColor="text1"/>
                <w:szCs w:val="16"/>
              </w:rPr>
              <w:t>Part</w:t>
            </w:r>
          </w:p>
        </w:tc>
        <w:tc>
          <w:tcPr>
            <w:tcW w:w="437" w:type="pct"/>
            <w:tcBorders>
              <w:top w:val="single" w:sz="4" w:space="0" w:color="auto"/>
              <w:left w:val="single" w:sz="4" w:space="0" w:color="auto"/>
              <w:bottom w:val="single" w:sz="4" w:space="0" w:color="auto"/>
              <w:right w:val="single" w:sz="4" w:space="0" w:color="auto"/>
            </w:tcBorders>
            <w:shd w:val="clear" w:color="auto" w:fill="auto"/>
          </w:tcPr>
          <w:p w14:paraId="492489DB" w14:textId="6B491234" w:rsidR="00FA72A0" w:rsidRPr="00781112" w:rsidRDefault="00FA72A0" w:rsidP="00FA72A0">
            <w:pPr>
              <w:spacing w:before="0" w:after="0" w:line="276" w:lineRule="auto"/>
              <w:jc w:val="center"/>
              <w:rPr>
                <w:rFonts w:cs="Arial"/>
                <w:b/>
                <w:color w:val="000000" w:themeColor="text1"/>
                <w:szCs w:val="16"/>
              </w:rPr>
            </w:pPr>
            <w:r w:rsidRPr="00781112">
              <w:rPr>
                <w:rFonts w:cs="Arial"/>
                <w:b/>
                <w:color w:val="000000" w:themeColor="text1"/>
                <w:szCs w:val="16"/>
              </w:rPr>
              <w:t>Baseline</w:t>
            </w:r>
          </w:p>
        </w:tc>
        <w:tc>
          <w:tcPr>
            <w:tcW w:w="437" w:type="pct"/>
            <w:tcBorders>
              <w:top w:val="single" w:sz="4" w:space="0" w:color="auto"/>
              <w:left w:val="single" w:sz="4" w:space="0" w:color="auto"/>
              <w:bottom w:val="single" w:sz="4" w:space="0" w:color="auto"/>
              <w:right w:val="single" w:sz="4" w:space="0" w:color="auto"/>
            </w:tcBorders>
            <w:shd w:val="clear" w:color="auto" w:fill="auto"/>
          </w:tcPr>
          <w:p w14:paraId="19C97066" w14:textId="77777777" w:rsidR="00FA72A0" w:rsidRPr="00781112" w:rsidRDefault="00FA72A0" w:rsidP="00FA72A0">
            <w:pPr>
              <w:spacing w:before="0" w:after="0" w:line="276" w:lineRule="auto"/>
              <w:jc w:val="center"/>
              <w:rPr>
                <w:rFonts w:cs="Arial"/>
                <w:b/>
                <w:color w:val="000000" w:themeColor="text1"/>
                <w:szCs w:val="16"/>
              </w:rPr>
            </w:pPr>
            <w:r w:rsidRPr="00781112">
              <w:rPr>
                <w:rFonts w:cs="Arial"/>
                <w:b/>
                <w:color w:val="000000" w:themeColor="text1"/>
                <w:szCs w:val="16"/>
              </w:rPr>
              <w:t>FFY</w:t>
            </w:r>
          </w:p>
        </w:tc>
        <w:tc>
          <w:tcPr>
            <w:tcW w:w="775" w:type="pct"/>
            <w:tcBorders>
              <w:top w:val="single" w:sz="4" w:space="0" w:color="auto"/>
              <w:left w:val="single" w:sz="4" w:space="0" w:color="auto"/>
              <w:bottom w:val="single" w:sz="4" w:space="0" w:color="auto"/>
              <w:right w:val="single" w:sz="4" w:space="0" w:color="auto"/>
            </w:tcBorders>
            <w:shd w:val="clear" w:color="auto" w:fill="auto"/>
            <w:hideMark/>
          </w:tcPr>
          <w:p w14:paraId="5FE9CABA" w14:textId="781A1A3B" w:rsidR="00FA72A0" w:rsidRPr="00781112" w:rsidRDefault="002B7490" w:rsidP="00FA72A0">
            <w:pPr>
              <w:spacing w:before="0" w:after="0" w:line="276" w:lineRule="auto"/>
              <w:jc w:val="center"/>
              <w:rPr>
                <w:rFonts w:cs="Arial"/>
                <w:b/>
                <w:color w:val="000000" w:themeColor="text1"/>
                <w:szCs w:val="16"/>
              </w:rPr>
            </w:pPr>
            <w:r w:rsidRPr="00781112">
              <w:rPr>
                <w:rFonts w:cs="Arial"/>
                <w:b/>
                <w:color w:val="000000" w:themeColor="text1"/>
                <w:szCs w:val="16"/>
              </w:rPr>
              <w:t>2016</w:t>
            </w:r>
          </w:p>
        </w:tc>
        <w:tc>
          <w:tcPr>
            <w:tcW w:w="775" w:type="pct"/>
            <w:tcBorders>
              <w:top w:val="single" w:sz="4" w:space="0" w:color="auto"/>
              <w:left w:val="single" w:sz="4" w:space="0" w:color="auto"/>
              <w:bottom w:val="single" w:sz="4" w:space="0" w:color="auto"/>
              <w:right w:val="single" w:sz="4" w:space="0" w:color="auto"/>
            </w:tcBorders>
            <w:shd w:val="clear" w:color="auto" w:fill="auto"/>
            <w:hideMark/>
          </w:tcPr>
          <w:p w14:paraId="27131AF6" w14:textId="0E6C2E5A" w:rsidR="00FA72A0" w:rsidRPr="00781112" w:rsidRDefault="002B7490" w:rsidP="00FA72A0">
            <w:pPr>
              <w:spacing w:before="0" w:after="0" w:line="276" w:lineRule="auto"/>
              <w:jc w:val="center"/>
              <w:rPr>
                <w:rFonts w:cs="Arial"/>
                <w:b/>
                <w:color w:val="000000" w:themeColor="text1"/>
                <w:szCs w:val="16"/>
              </w:rPr>
            </w:pPr>
            <w:r w:rsidRPr="00781112">
              <w:rPr>
                <w:rFonts w:cs="Arial"/>
                <w:b/>
                <w:color w:val="000000" w:themeColor="text1"/>
                <w:szCs w:val="16"/>
              </w:rPr>
              <w:t>2017</w:t>
            </w:r>
          </w:p>
        </w:tc>
        <w:tc>
          <w:tcPr>
            <w:tcW w:w="775" w:type="pct"/>
            <w:tcBorders>
              <w:top w:val="single" w:sz="4" w:space="0" w:color="auto"/>
              <w:left w:val="single" w:sz="4" w:space="0" w:color="auto"/>
              <w:bottom w:val="single" w:sz="4" w:space="0" w:color="auto"/>
              <w:right w:val="single" w:sz="4" w:space="0" w:color="auto"/>
            </w:tcBorders>
            <w:shd w:val="clear" w:color="auto" w:fill="auto"/>
          </w:tcPr>
          <w:p w14:paraId="22FE1D98" w14:textId="03E0AC83" w:rsidR="00FA72A0" w:rsidRPr="00781112" w:rsidRDefault="002B7490" w:rsidP="00FA72A0">
            <w:pPr>
              <w:spacing w:before="0" w:after="0" w:line="276" w:lineRule="auto"/>
              <w:jc w:val="center"/>
              <w:rPr>
                <w:rFonts w:cs="Arial"/>
                <w:b/>
                <w:color w:val="000000" w:themeColor="text1"/>
                <w:szCs w:val="16"/>
              </w:rPr>
            </w:pPr>
            <w:r w:rsidRPr="00781112">
              <w:rPr>
                <w:rFonts w:cs="Arial"/>
                <w:b/>
                <w:color w:val="000000" w:themeColor="text1"/>
                <w:szCs w:val="16"/>
              </w:rPr>
              <w:t>2018</w:t>
            </w:r>
          </w:p>
        </w:tc>
        <w:tc>
          <w:tcPr>
            <w:tcW w:w="775" w:type="pct"/>
            <w:tcBorders>
              <w:top w:val="single" w:sz="4" w:space="0" w:color="auto"/>
              <w:left w:val="single" w:sz="4" w:space="0" w:color="auto"/>
              <w:bottom w:val="single" w:sz="4" w:space="0" w:color="auto"/>
              <w:right w:val="single" w:sz="4" w:space="0" w:color="auto"/>
            </w:tcBorders>
            <w:shd w:val="clear" w:color="auto" w:fill="auto"/>
            <w:hideMark/>
          </w:tcPr>
          <w:p w14:paraId="09C21BFA" w14:textId="46B34AA6" w:rsidR="00FA72A0" w:rsidRPr="00781112" w:rsidRDefault="002B7490" w:rsidP="00FA72A0">
            <w:pPr>
              <w:spacing w:before="0" w:after="0" w:line="276" w:lineRule="auto"/>
              <w:jc w:val="center"/>
              <w:rPr>
                <w:rFonts w:cs="Arial"/>
                <w:b/>
                <w:color w:val="000000" w:themeColor="text1"/>
                <w:szCs w:val="16"/>
              </w:rPr>
            </w:pPr>
            <w:r w:rsidRPr="00781112">
              <w:rPr>
                <w:rFonts w:cs="Arial"/>
                <w:b/>
                <w:color w:val="000000" w:themeColor="text1"/>
                <w:szCs w:val="16"/>
              </w:rPr>
              <w:t>2019</w:t>
            </w:r>
          </w:p>
        </w:tc>
        <w:tc>
          <w:tcPr>
            <w:tcW w:w="776" w:type="pct"/>
            <w:tcBorders>
              <w:top w:val="single" w:sz="4" w:space="0" w:color="auto"/>
              <w:left w:val="single" w:sz="4" w:space="0" w:color="auto"/>
              <w:bottom w:val="single" w:sz="4" w:space="0" w:color="auto"/>
              <w:right w:val="single" w:sz="4" w:space="0" w:color="auto"/>
            </w:tcBorders>
            <w:shd w:val="clear" w:color="auto" w:fill="auto"/>
            <w:hideMark/>
          </w:tcPr>
          <w:p w14:paraId="76B7EB6E" w14:textId="46F53E4B" w:rsidR="00FA72A0" w:rsidRPr="00781112" w:rsidRDefault="002B7490" w:rsidP="00FA72A0">
            <w:pPr>
              <w:spacing w:before="0" w:after="0" w:line="276" w:lineRule="auto"/>
              <w:jc w:val="center"/>
              <w:rPr>
                <w:rFonts w:cs="Arial"/>
                <w:b/>
                <w:color w:val="000000" w:themeColor="text1"/>
                <w:szCs w:val="16"/>
              </w:rPr>
            </w:pPr>
            <w:r w:rsidRPr="00781112">
              <w:rPr>
                <w:rFonts w:cs="Arial"/>
                <w:b/>
                <w:color w:val="000000" w:themeColor="text1"/>
                <w:szCs w:val="16"/>
              </w:rPr>
              <w:t>2020</w:t>
            </w:r>
          </w:p>
        </w:tc>
      </w:tr>
      <w:tr w:rsidR="005F0D3B" w:rsidRPr="00781112" w14:paraId="6B7CE9C8" w14:textId="0609FA3D" w:rsidTr="009023AD">
        <w:trPr>
          <w:trHeight w:val="70"/>
        </w:trPr>
        <w:tc>
          <w:tcPr>
            <w:tcW w:w="248" w:type="pct"/>
            <w:tcBorders>
              <w:top w:val="single" w:sz="4" w:space="0" w:color="auto"/>
              <w:left w:val="single" w:sz="4" w:space="0" w:color="auto"/>
              <w:right w:val="single" w:sz="4" w:space="0" w:color="auto"/>
            </w:tcBorders>
            <w:shd w:val="clear" w:color="auto" w:fill="auto"/>
            <w:vAlign w:val="center"/>
          </w:tcPr>
          <w:p w14:paraId="390860C6" w14:textId="77777777" w:rsidR="00CF6742" w:rsidRPr="00781112" w:rsidRDefault="00CF6742">
            <w:pPr>
              <w:spacing w:before="0" w:after="0" w:line="276" w:lineRule="auto"/>
              <w:jc w:val="center"/>
              <w:rPr>
                <w:rFonts w:cs="Arial"/>
                <w:color w:val="000000" w:themeColor="text1"/>
                <w:szCs w:val="16"/>
              </w:rPr>
            </w:pPr>
            <w:r w:rsidRPr="00781112">
              <w:rPr>
                <w:rFonts w:cs="Arial"/>
                <w:color w:val="000000" w:themeColor="text1"/>
                <w:szCs w:val="16"/>
              </w:rPr>
              <w:t>A1</w:t>
            </w:r>
          </w:p>
        </w:tc>
        <w:tc>
          <w:tcPr>
            <w:tcW w:w="437" w:type="pct"/>
            <w:tcBorders>
              <w:top w:val="single" w:sz="4" w:space="0" w:color="auto"/>
              <w:left w:val="single" w:sz="4" w:space="0" w:color="auto"/>
              <w:right w:val="single" w:sz="4" w:space="0" w:color="auto"/>
            </w:tcBorders>
            <w:shd w:val="clear" w:color="auto" w:fill="auto"/>
            <w:vAlign w:val="center"/>
          </w:tcPr>
          <w:p w14:paraId="11755CC8" w14:textId="0D3DAA4A" w:rsidR="00CF6742" w:rsidRPr="00781112" w:rsidRDefault="002B7490" w:rsidP="00A018D4">
            <w:pPr>
              <w:jc w:val="center"/>
              <w:rPr>
                <w:rFonts w:cs="Arial"/>
                <w:color w:val="000000" w:themeColor="text1"/>
                <w:szCs w:val="16"/>
              </w:rPr>
            </w:pPr>
            <w:r w:rsidRPr="00781112">
              <w:rPr>
                <w:rFonts w:cs="Arial"/>
                <w:color w:val="000000" w:themeColor="text1"/>
                <w:szCs w:val="16"/>
              </w:rPr>
              <w:t>2018</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E7517C1" w14:textId="06B8B15D" w:rsidR="00CF6742" w:rsidRPr="00781112" w:rsidRDefault="00CF6742" w:rsidP="00CF6742">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D1D42AB" w14:textId="2A4E5CB4" w:rsidR="00CF6742" w:rsidRPr="00781112" w:rsidRDefault="002B7490" w:rsidP="00A018D4">
            <w:pPr>
              <w:jc w:val="center"/>
              <w:rPr>
                <w:rFonts w:cs="Arial"/>
                <w:color w:val="000000" w:themeColor="text1"/>
                <w:szCs w:val="16"/>
              </w:rPr>
            </w:pPr>
            <w:r w:rsidRPr="00781112">
              <w:rPr>
                <w:rFonts w:cs="Arial"/>
                <w:color w:val="000000" w:themeColor="text1"/>
                <w:szCs w:val="16"/>
              </w:rPr>
              <w:t>91.12%</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693881D" w14:textId="33AA4D0C" w:rsidR="00CF6742" w:rsidRPr="00781112" w:rsidRDefault="002B7490" w:rsidP="00A018D4">
            <w:pPr>
              <w:jc w:val="center"/>
              <w:rPr>
                <w:rFonts w:cs="Arial"/>
                <w:color w:val="000000" w:themeColor="text1"/>
                <w:szCs w:val="16"/>
              </w:rPr>
            </w:pPr>
            <w:r w:rsidRPr="00781112">
              <w:rPr>
                <w:rFonts w:cs="Arial"/>
                <w:color w:val="000000" w:themeColor="text1"/>
                <w:szCs w:val="16"/>
              </w:rPr>
              <w:t>91.32%</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4D9B341" w14:textId="54BEF16A" w:rsidR="00CF6742" w:rsidRPr="00781112" w:rsidRDefault="002B7490" w:rsidP="00A018D4">
            <w:pPr>
              <w:jc w:val="center"/>
              <w:rPr>
                <w:rFonts w:cs="Arial"/>
                <w:color w:val="000000" w:themeColor="text1"/>
                <w:szCs w:val="16"/>
              </w:rPr>
            </w:pPr>
            <w:r w:rsidRPr="00781112">
              <w:rPr>
                <w:rFonts w:cs="Arial"/>
                <w:color w:val="000000" w:themeColor="text1"/>
                <w:szCs w:val="16"/>
              </w:rPr>
              <w:t>95.10%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EBE7BAF" w14:textId="70BEE6C5" w:rsidR="00CF6742" w:rsidRPr="00781112" w:rsidRDefault="002B7490" w:rsidP="00A018D4">
            <w:pPr>
              <w:jc w:val="center"/>
              <w:rPr>
                <w:rFonts w:cs="Arial"/>
                <w:color w:val="000000" w:themeColor="text1"/>
                <w:szCs w:val="16"/>
              </w:rPr>
            </w:pPr>
            <w:r w:rsidRPr="00781112">
              <w:rPr>
                <w:rFonts w:cs="Arial"/>
                <w:color w:val="000000" w:themeColor="text1"/>
                <w:szCs w:val="16"/>
              </w:rPr>
              <w:t>95.30%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C9BD5D1" w14:textId="20C3AA4E" w:rsidR="00CF6742" w:rsidRPr="00781112" w:rsidRDefault="002B7490" w:rsidP="00A018D4">
            <w:pPr>
              <w:jc w:val="center"/>
              <w:rPr>
                <w:rFonts w:cs="Arial"/>
                <w:color w:val="000000" w:themeColor="text1"/>
                <w:szCs w:val="16"/>
              </w:rPr>
            </w:pPr>
            <w:r w:rsidRPr="00781112">
              <w:rPr>
                <w:rFonts w:cs="Arial"/>
                <w:color w:val="000000" w:themeColor="text1"/>
                <w:szCs w:val="16"/>
              </w:rPr>
              <w:t>88.86%</w:t>
            </w:r>
          </w:p>
        </w:tc>
      </w:tr>
      <w:tr w:rsidR="005F0D3B" w:rsidRPr="00781112" w14:paraId="1273980B" w14:textId="53318F32" w:rsidTr="009023AD">
        <w:trPr>
          <w:trHeight w:val="70"/>
        </w:trPr>
        <w:tc>
          <w:tcPr>
            <w:tcW w:w="248" w:type="pct"/>
            <w:tcBorders>
              <w:left w:val="single" w:sz="4" w:space="0" w:color="auto"/>
              <w:right w:val="single" w:sz="4" w:space="0" w:color="auto"/>
            </w:tcBorders>
            <w:shd w:val="clear" w:color="auto" w:fill="auto"/>
            <w:vAlign w:val="center"/>
          </w:tcPr>
          <w:p w14:paraId="32218C67" w14:textId="38A3EC13" w:rsidR="00CF6742"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t>A1</w:t>
            </w:r>
          </w:p>
        </w:tc>
        <w:tc>
          <w:tcPr>
            <w:tcW w:w="437" w:type="pct"/>
            <w:tcBorders>
              <w:left w:val="single" w:sz="4" w:space="0" w:color="auto"/>
              <w:right w:val="single" w:sz="4" w:space="0" w:color="auto"/>
            </w:tcBorders>
            <w:shd w:val="clear" w:color="auto" w:fill="auto"/>
            <w:vAlign w:val="center"/>
          </w:tcPr>
          <w:p w14:paraId="4C1410E0" w14:textId="3EB7FCEC" w:rsidR="00CF6742" w:rsidRPr="00781112" w:rsidRDefault="002B7490" w:rsidP="00A018D4">
            <w:pPr>
              <w:jc w:val="center"/>
              <w:rPr>
                <w:rFonts w:cs="Arial"/>
                <w:color w:val="000000" w:themeColor="text1"/>
                <w:szCs w:val="16"/>
              </w:rPr>
            </w:pPr>
            <w:r w:rsidRPr="00781112">
              <w:rPr>
                <w:rFonts w:cs="Arial"/>
                <w:color w:val="000000" w:themeColor="text1"/>
                <w:szCs w:val="16"/>
              </w:rPr>
              <w:t>88.86%</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8D849D3" w14:textId="77777777" w:rsidR="00CF6742" w:rsidRPr="00781112" w:rsidRDefault="00CF6742" w:rsidP="00CF6742">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C95056F" w14:textId="336EBB2F" w:rsidR="00CF6742" w:rsidRPr="00781112" w:rsidRDefault="002B7490" w:rsidP="00A018D4">
            <w:pPr>
              <w:jc w:val="center"/>
              <w:rPr>
                <w:rFonts w:cs="Arial"/>
                <w:color w:val="000000" w:themeColor="text1"/>
                <w:szCs w:val="16"/>
              </w:rPr>
            </w:pPr>
            <w:r w:rsidRPr="00781112">
              <w:rPr>
                <w:rFonts w:cs="Arial"/>
                <w:color w:val="000000" w:themeColor="text1"/>
                <w:szCs w:val="16"/>
              </w:rPr>
              <w:t>87.97%</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BFE4EBC" w14:textId="3A0FBE8F" w:rsidR="00CF6742" w:rsidRPr="00781112" w:rsidRDefault="002B7490" w:rsidP="00A018D4">
            <w:pPr>
              <w:jc w:val="center"/>
              <w:rPr>
                <w:rFonts w:cs="Arial"/>
                <w:color w:val="000000" w:themeColor="text1"/>
                <w:szCs w:val="16"/>
              </w:rPr>
            </w:pPr>
            <w:r w:rsidRPr="00781112">
              <w:rPr>
                <w:rFonts w:cs="Arial"/>
                <w:color w:val="000000" w:themeColor="text1"/>
                <w:szCs w:val="16"/>
              </w:rPr>
              <w:t>89.28%</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61F7337" w14:textId="090E4E8B" w:rsidR="00CF6742" w:rsidRPr="00781112" w:rsidRDefault="002B7490" w:rsidP="00A018D4">
            <w:pPr>
              <w:jc w:val="center"/>
              <w:rPr>
                <w:rFonts w:cs="Arial"/>
                <w:color w:val="000000" w:themeColor="text1"/>
                <w:szCs w:val="16"/>
              </w:rPr>
            </w:pPr>
            <w:r w:rsidRPr="00781112">
              <w:rPr>
                <w:rFonts w:cs="Arial"/>
                <w:color w:val="000000" w:themeColor="text1"/>
                <w:szCs w:val="16"/>
              </w:rPr>
              <w:t>88.86%</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F93D48E" w14:textId="04E7CEC4" w:rsidR="00CF6742" w:rsidRPr="00781112" w:rsidRDefault="002B7490" w:rsidP="00A018D4">
            <w:pPr>
              <w:jc w:val="center"/>
              <w:rPr>
                <w:rFonts w:cs="Arial"/>
                <w:color w:val="000000" w:themeColor="text1"/>
                <w:szCs w:val="16"/>
              </w:rPr>
            </w:pPr>
            <w:r w:rsidRPr="00781112">
              <w:rPr>
                <w:rFonts w:cs="Arial"/>
                <w:color w:val="000000" w:themeColor="text1"/>
                <w:szCs w:val="16"/>
              </w:rPr>
              <w:t>89.18%</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54E21AE" w14:textId="4BF3E562" w:rsidR="00CF6742" w:rsidRPr="00781112" w:rsidRDefault="002B7490" w:rsidP="00A018D4">
            <w:pPr>
              <w:jc w:val="center"/>
              <w:rPr>
                <w:rFonts w:cs="Arial"/>
                <w:color w:val="000000" w:themeColor="text1"/>
                <w:szCs w:val="16"/>
              </w:rPr>
            </w:pPr>
            <w:r w:rsidRPr="00781112">
              <w:rPr>
                <w:rFonts w:cs="Arial"/>
                <w:color w:val="000000" w:themeColor="text1"/>
                <w:szCs w:val="16"/>
              </w:rPr>
              <w:t>91.49%</w:t>
            </w:r>
          </w:p>
        </w:tc>
      </w:tr>
      <w:tr w:rsidR="005F0D3B" w:rsidRPr="00781112" w14:paraId="0B3AB2AF" w14:textId="0ED8043B" w:rsidTr="009023AD">
        <w:trPr>
          <w:trHeight w:val="70"/>
        </w:trPr>
        <w:tc>
          <w:tcPr>
            <w:tcW w:w="248" w:type="pct"/>
            <w:tcBorders>
              <w:top w:val="single" w:sz="4" w:space="0" w:color="auto"/>
              <w:left w:val="single" w:sz="4" w:space="0" w:color="auto"/>
              <w:right w:val="single" w:sz="4" w:space="0" w:color="auto"/>
            </w:tcBorders>
            <w:shd w:val="clear" w:color="auto" w:fill="auto"/>
            <w:vAlign w:val="center"/>
          </w:tcPr>
          <w:p w14:paraId="779C8614" w14:textId="77777777" w:rsidR="00CF6742" w:rsidRPr="00781112" w:rsidRDefault="00CF6742">
            <w:pPr>
              <w:spacing w:before="0" w:after="0" w:line="276" w:lineRule="auto"/>
              <w:jc w:val="center"/>
              <w:rPr>
                <w:rFonts w:cs="Arial"/>
                <w:color w:val="000000" w:themeColor="text1"/>
                <w:szCs w:val="16"/>
              </w:rPr>
            </w:pPr>
            <w:r w:rsidRPr="00781112">
              <w:rPr>
                <w:rFonts w:cs="Arial"/>
                <w:color w:val="000000" w:themeColor="text1"/>
                <w:szCs w:val="16"/>
              </w:rPr>
              <w:lastRenderedPageBreak/>
              <w:t>A2</w:t>
            </w:r>
          </w:p>
        </w:tc>
        <w:tc>
          <w:tcPr>
            <w:tcW w:w="437" w:type="pct"/>
            <w:tcBorders>
              <w:top w:val="single" w:sz="4" w:space="0" w:color="auto"/>
              <w:left w:val="single" w:sz="4" w:space="0" w:color="auto"/>
              <w:right w:val="single" w:sz="4" w:space="0" w:color="auto"/>
            </w:tcBorders>
            <w:shd w:val="clear" w:color="auto" w:fill="auto"/>
            <w:vAlign w:val="center"/>
          </w:tcPr>
          <w:p w14:paraId="4AD0B449" w14:textId="16D6804E" w:rsidR="00CF6742" w:rsidRPr="00781112" w:rsidRDefault="002B7490" w:rsidP="00A018D4">
            <w:pPr>
              <w:jc w:val="center"/>
              <w:rPr>
                <w:rFonts w:cs="Arial"/>
                <w:color w:val="000000" w:themeColor="text1"/>
                <w:szCs w:val="16"/>
              </w:rPr>
            </w:pPr>
            <w:r w:rsidRPr="00781112">
              <w:rPr>
                <w:rFonts w:cs="Arial"/>
                <w:color w:val="000000" w:themeColor="text1"/>
                <w:szCs w:val="16"/>
              </w:rPr>
              <w:t>2018</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3A13AA6" w14:textId="7F510C2D" w:rsidR="00CF6742" w:rsidRPr="00781112" w:rsidRDefault="00CF6742" w:rsidP="00CF6742">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B53BBE3" w14:textId="7A5F9A90" w:rsidR="00CF6742" w:rsidRPr="00781112" w:rsidRDefault="002B7490" w:rsidP="00A018D4">
            <w:pPr>
              <w:jc w:val="center"/>
              <w:rPr>
                <w:rFonts w:cs="Arial"/>
                <w:color w:val="000000" w:themeColor="text1"/>
                <w:szCs w:val="16"/>
              </w:rPr>
            </w:pPr>
            <w:r w:rsidRPr="00781112">
              <w:rPr>
                <w:rFonts w:cs="Arial"/>
                <w:color w:val="000000" w:themeColor="text1"/>
                <w:szCs w:val="16"/>
              </w:rPr>
              <w:t>51.80%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65BB52D" w14:textId="145AACFA" w:rsidR="00CF6742" w:rsidRPr="00781112" w:rsidRDefault="002B7490" w:rsidP="00A018D4">
            <w:pPr>
              <w:jc w:val="center"/>
              <w:rPr>
                <w:rFonts w:cs="Arial"/>
                <w:color w:val="000000" w:themeColor="text1"/>
                <w:szCs w:val="16"/>
              </w:rPr>
            </w:pPr>
            <w:r w:rsidRPr="00781112">
              <w:rPr>
                <w:rFonts w:cs="Arial"/>
                <w:color w:val="000000" w:themeColor="text1"/>
                <w:szCs w:val="16"/>
              </w:rPr>
              <w:t>52.00%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74264A7" w14:textId="7EF45616" w:rsidR="00CF6742" w:rsidRPr="00781112" w:rsidRDefault="002B7490" w:rsidP="00A018D4">
            <w:pPr>
              <w:jc w:val="center"/>
              <w:rPr>
                <w:rFonts w:cs="Arial"/>
                <w:color w:val="000000" w:themeColor="text1"/>
                <w:szCs w:val="16"/>
              </w:rPr>
            </w:pPr>
            <w:r w:rsidRPr="00781112">
              <w:rPr>
                <w:rFonts w:cs="Arial"/>
                <w:color w:val="000000" w:themeColor="text1"/>
                <w:szCs w:val="16"/>
              </w:rPr>
              <w:t>52.93%</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91C2453" w14:textId="435017A5" w:rsidR="00CF6742" w:rsidRPr="00781112" w:rsidRDefault="002B7490" w:rsidP="00A018D4">
            <w:pPr>
              <w:jc w:val="center"/>
              <w:rPr>
                <w:rFonts w:cs="Arial"/>
                <w:color w:val="000000" w:themeColor="text1"/>
                <w:szCs w:val="16"/>
              </w:rPr>
            </w:pPr>
            <w:r w:rsidRPr="00781112">
              <w:rPr>
                <w:rFonts w:cs="Arial"/>
                <w:color w:val="000000" w:themeColor="text1"/>
                <w:szCs w:val="16"/>
              </w:rPr>
              <w:t>53.13%</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7AA4CD6" w14:textId="54A13C0B" w:rsidR="00CF6742" w:rsidRPr="00781112" w:rsidRDefault="002B7490" w:rsidP="00A018D4">
            <w:pPr>
              <w:jc w:val="center"/>
              <w:rPr>
                <w:rFonts w:cs="Arial"/>
                <w:color w:val="000000" w:themeColor="text1"/>
                <w:szCs w:val="16"/>
              </w:rPr>
            </w:pPr>
            <w:r w:rsidRPr="00781112">
              <w:rPr>
                <w:rFonts w:cs="Arial"/>
                <w:color w:val="000000" w:themeColor="text1"/>
                <w:szCs w:val="16"/>
              </w:rPr>
              <w:t>55.80%</w:t>
            </w:r>
          </w:p>
        </w:tc>
      </w:tr>
      <w:tr w:rsidR="005F0D3B" w:rsidRPr="00781112" w14:paraId="1D11B386" w14:textId="42BD85F0" w:rsidTr="009023AD">
        <w:trPr>
          <w:trHeight w:val="85"/>
        </w:trPr>
        <w:tc>
          <w:tcPr>
            <w:tcW w:w="248" w:type="pct"/>
            <w:tcBorders>
              <w:left w:val="single" w:sz="4" w:space="0" w:color="auto"/>
              <w:right w:val="single" w:sz="4" w:space="0" w:color="auto"/>
            </w:tcBorders>
            <w:shd w:val="clear" w:color="auto" w:fill="auto"/>
            <w:vAlign w:val="center"/>
          </w:tcPr>
          <w:p w14:paraId="65E595DA" w14:textId="7544B3DB" w:rsidR="00CF6742"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t>A2</w:t>
            </w:r>
          </w:p>
        </w:tc>
        <w:tc>
          <w:tcPr>
            <w:tcW w:w="437" w:type="pct"/>
            <w:tcBorders>
              <w:left w:val="single" w:sz="4" w:space="0" w:color="auto"/>
              <w:right w:val="single" w:sz="4" w:space="0" w:color="auto"/>
            </w:tcBorders>
            <w:shd w:val="clear" w:color="auto" w:fill="auto"/>
            <w:vAlign w:val="center"/>
          </w:tcPr>
          <w:p w14:paraId="33B2AFD7" w14:textId="45496AC0" w:rsidR="00CF6742" w:rsidRPr="00781112" w:rsidRDefault="002B7490" w:rsidP="00A018D4">
            <w:pPr>
              <w:jc w:val="center"/>
              <w:rPr>
                <w:rFonts w:cs="Arial"/>
                <w:color w:val="000000" w:themeColor="text1"/>
                <w:szCs w:val="16"/>
              </w:rPr>
            </w:pPr>
            <w:r w:rsidRPr="00781112">
              <w:rPr>
                <w:rFonts w:cs="Arial"/>
                <w:color w:val="000000" w:themeColor="text1"/>
                <w:szCs w:val="16"/>
              </w:rPr>
              <w:t>58.94%</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10ABFC" w14:textId="77777777" w:rsidR="00CF6742" w:rsidRPr="00781112" w:rsidRDefault="00CF6742" w:rsidP="00CF6742">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FA2DD6E" w14:textId="36DC7586" w:rsidR="00CF6742" w:rsidRPr="00781112" w:rsidRDefault="002B7490" w:rsidP="00A018D4">
            <w:pPr>
              <w:jc w:val="center"/>
              <w:rPr>
                <w:rFonts w:cs="Arial"/>
                <w:color w:val="000000" w:themeColor="text1"/>
                <w:szCs w:val="16"/>
              </w:rPr>
            </w:pPr>
            <w:r w:rsidRPr="00781112">
              <w:rPr>
                <w:rFonts w:cs="Arial"/>
                <w:color w:val="000000" w:themeColor="text1"/>
                <w:szCs w:val="16"/>
              </w:rPr>
              <w:t>59.41%</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6159A9A" w14:textId="560797EF" w:rsidR="00CF6742" w:rsidRPr="00781112" w:rsidRDefault="002B7490" w:rsidP="00A018D4">
            <w:pPr>
              <w:jc w:val="center"/>
              <w:rPr>
                <w:rFonts w:cs="Arial"/>
                <w:color w:val="000000" w:themeColor="text1"/>
                <w:szCs w:val="16"/>
              </w:rPr>
            </w:pPr>
            <w:r w:rsidRPr="00781112">
              <w:rPr>
                <w:rFonts w:cs="Arial"/>
                <w:color w:val="000000" w:themeColor="text1"/>
                <w:szCs w:val="16"/>
              </w:rPr>
              <w:t>61.26%</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5D8F762" w14:textId="7C5C8489" w:rsidR="00CF6742" w:rsidRPr="00781112" w:rsidRDefault="002B7490" w:rsidP="00A018D4">
            <w:pPr>
              <w:jc w:val="center"/>
              <w:rPr>
                <w:rFonts w:cs="Arial"/>
                <w:color w:val="000000" w:themeColor="text1"/>
                <w:szCs w:val="16"/>
              </w:rPr>
            </w:pPr>
            <w:r w:rsidRPr="00781112">
              <w:rPr>
                <w:rFonts w:cs="Arial"/>
                <w:color w:val="000000" w:themeColor="text1"/>
                <w:szCs w:val="16"/>
              </w:rPr>
              <w:t>58.94%</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F976AF4" w14:textId="04557E60" w:rsidR="00CF6742" w:rsidRPr="00781112" w:rsidRDefault="002B7490" w:rsidP="00A018D4">
            <w:pPr>
              <w:jc w:val="center"/>
              <w:rPr>
                <w:rFonts w:cs="Arial"/>
                <w:color w:val="000000" w:themeColor="text1"/>
                <w:szCs w:val="16"/>
              </w:rPr>
            </w:pPr>
            <w:r w:rsidRPr="00781112">
              <w:rPr>
                <w:rFonts w:cs="Arial"/>
                <w:color w:val="000000" w:themeColor="text1"/>
                <w:szCs w:val="16"/>
              </w:rPr>
              <w:t>57.20%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EEEF23F" w14:textId="5EDDCD10" w:rsidR="00CF6742" w:rsidRPr="00781112" w:rsidRDefault="002B7490" w:rsidP="00A018D4">
            <w:pPr>
              <w:jc w:val="center"/>
              <w:rPr>
                <w:rFonts w:cs="Arial"/>
                <w:color w:val="000000" w:themeColor="text1"/>
                <w:szCs w:val="16"/>
              </w:rPr>
            </w:pPr>
            <w:r w:rsidRPr="00781112">
              <w:rPr>
                <w:rFonts w:cs="Arial"/>
                <w:color w:val="000000" w:themeColor="text1"/>
                <w:szCs w:val="16"/>
              </w:rPr>
              <w:t>57.83%</w:t>
            </w:r>
          </w:p>
        </w:tc>
      </w:tr>
      <w:tr w:rsidR="005F0D3B" w:rsidRPr="00781112" w14:paraId="038BC95B" w14:textId="47C87879" w:rsidTr="009023AD">
        <w:trPr>
          <w:trHeight w:val="85"/>
        </w:trPr>
        <w:tc>
          <w:tcPr>
            <w:tcW w:w="248" w:type="pct"/>
            <w:tcBorders>
              <w:left w:val="single" w:sz="4" w:space="0" w:color="auto"/>
              <w:right w:val="single" w:sz="4" w:space="0" w:color="auto"/>
            </w:tcBorders>
            <w:shd w:val="clear" w:color="auto" w:fill="auto"/>
            <w:vAlign w:val="center"/>
          </w:tcPr>
          <w:p w14:paraId="4B20CE7B" w14:textId="77777777" w:rsidR="0085328E" w:rsidRPr="00781112" w:rsidRDefault="0085328E" w:rsidP="004369B2">
            <w:pPr>
              <w:spacing w:before="0" w:after="0" w:line="276" w:lineRule="auto"/>
              <w:jc w:val="center"/>
              <w:rPr>
                <w:rFonts w:cs="Arial"/>
                <w:color w:val="000000" w:themeColor="text1"/>
                <w:szCs w:val="16"/>
              </w:rPr>
            </w:pPr>
            <w:r w:rsidRPr="00781112">
              <w:rPr>
                <w:rFonts w:cs="Arial"/>
                <w:color w:val="000000" w:themeColor="text1"/>
                <w:szCs w:val="16"/>
              </w:rPr>
              <w:t>B1</w:t>
            </w:r>
          </w:p>
        </w:tc>
        <w:tc>
          <w:tcPr>
            <w:tcW w:w="437" w:type="pct"/>
            <w:tcBorders>
              <w:left w:val="single" w:sz="4" w:space="0" w:color="auto"/>
              <w:right w:val="single" w:sz="4" w:space="0" w:color="auto"/>
            </w:tcBorders>
            <w:shd w:val="clear" w:color="auto" w:fill="auto"/>
            <w:vAlign w:val="center"/>
          </w:tcPr>
          <w:p w14:paraId="449E245E" w14:textId="66BE9FD7" w:rsidR="0085328E" w:rsidRPr="00781112" w:rsidRDefault="002B7490" w:rsidP="00A018D4">
            <w:pPr>
              <w:jc w:val="center"/>
              <w:rPr>
                <w:rFonts w:cs="Arial"/>
                <w:color w:val="000000" w:themeColor="text1"/>
                <w:szCs w:val="16"/>
              </w:rPr>
            </w:pPr>
            <w:r w:rsidRPr="00781112">
              <w:rPr>
                <w:rFonts w:cs="Arial"/>
                <w:color w:val="000000" w:themeColor="text1"/>
                <w:szCs w:val="16"/>
              </w:rPr>
              <w:t>2018</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01E60245" w14:textId="7347A69D"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FF1B58E" w14:textId="3C66E08F" w:rsidR="0085328E" w:rsidRPr="00781112" w:rsidRDefault="002B7490" w:rsidP="00A018D4">
            <w:pPr>
              <w:jc w:val="center"/>
              <w:rPr>
                <w:rFonts w:cs="Arial"/>
                <w:color w:val="000000" w:themeColor="text1"/>
                <w:szCs w:val="16"/>
              </w:rPr>
            </w:pPr>
            <w:r w:rsidRPr="00781112">
              <w:rPr>
                <w:rFonts w:cs="Arial"/>
                <w:color w:val="000000" w:themeColor="text1"/>
                <w:szCs w:val="16"/>
              </w:rPr>
              <w:t>90.56%</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26CEF40A" w14:textId="6AF964A1" w:rsidR="0085328E" w:rsidRPr="00781112" w:rsidRDefault="002B7490" w:rsidP="00A018D4">
            <w:pPr>
              <w:jc w:val="center"/>
              <w:rPr>
                <w:rFonts w:cs="Arial"/>
                <w:color w:val="000000" w:themeColor="text1"/>
                <w:szCs w:val="16"/>
              </w:rPr>
            </w:pPr>
            <w:r w:rsidRPr="00781112">
              <w:rPr>
                <w:rFonts w:cs="Arial"/>
                <w:color w:val="000000" w:themeColor="text1"/>
                <w:szCs w:val="16"/>
              </w:rPr>
              <w:t>90.76%</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C74D9F4" w14:textId="774343F5" w:rsidR="0085328E" w:rsidRPr="00781112" w:rsidRDefault="002B7490" w:rsidP="00A018D4">
            <w:pPr>
              <w:jc w:val="center"/>
              <w:rPr>
                <w:rFonts w:cs="Arial"/>
                <w:color w:val="000000" w:themeColor="text1"/>
                <w:szCs w:val="16"/>
              </w:rPr>
            </w:pPr>
            <w:r w:rsidRPr="00781112">
              <w:rPr>
                <w:rFonts w:cs="Arial"/>
                <w:color w:val="000000" w:themeColor="text1"/>
                <w:szCs w:val="16"/>
              </w:rPr>
              <w:t>93.21%</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9DA59EE" w14:textId="194552B0" w:rsidR="0085328E" w:rsidRPr="00781112" w:rsidRDefault="002B7490" w:rsidP="00A018D4">
            <w:pPr>
              <w:jc w:val="center"/>
              <w:rPr>
                <w:rFonts w:cs="Arial"/>
                <w:color w:val="000000" w:themeColor="text1"/>
                <w:szCs w:val="16"/>
              </w:rPr>
            </w:pPr>
            <w:r w:rsidRPr="00781112">
              <w:rPr>
                <w:rFonts w:cs="Arial"/>
                <w:color w:val="000000" w:themeColor="text1"/>
                <w:szCs w:val="16"/>
              </w:rPr>
              <w:t>93.41%</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8B8D5B5" w14:textId="15B9801D" w:rsidR="0085328E" w:rsidRPr="00781112" w:rsidRDefault="002B7490" w:rsidP="00A018D4">
            <w:pPr>
              <w:jc w:val="center"/>
              <w:rPr>
                <w:rFonts w:cs="Arial"/>
                <w:color w:val="000000" w:themeColor="text1"/>
                <w:szCs w:val="16"/>
              </w:rPr>
            </w:pPr>
            <w:r w:rsidRPr="00781112">
              <w:rPr>
                <w:rFonts w:cs="Arial"/>
                <w:color w:val="000000" w:themeColor="text1"/>
                <w:szCs w:val="16"/>
              </w:rPr>
              <w:t>88.41%</w:t>
            </w:r>
          </w:p>
        </w:tc>
      </w:tr>
      <w:tr w:rsidR="005F0D3B" w:rsidRPr="00781112" w14:paraId="66DA0218" w14:textId="74D7BD54" w:rsidTr="009023AD">
        <w:trPr>
          <w:trHeight w:val="85"/>
        </w:trPr>
        <w:tc>
          <w:tcPr>
            <w:tcW w:w="248" w:type="pct"/>
            <w:tcBorders>
              <w:left w:val="single" w:sz="4" w:space="0" w:color="auto"/>
              <w:right w:val="single" w:sz="4" w:space="0" w:color="auto"/>
            </w:tcBorders>
            <w:shd w:val="clear" w:color="auto" w:fill="auto"/>
            <w:vAlign w:val="center"/>
          </w:tcPr>
          <w:p w14:paraId="24B8577D" w14:textId="1B68A320" w:rsidR="0085328E"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t>B1</w:t>
            </w:r>
          </w:p>
        </w:tc>
        <w:tc>
          <w:tcPr>
            <w:tcW w:w="437" w:type="pct"/>
            <w:tcBorders>
              <w:left w:val="single" w:sz="4" w:space="0" w:color="auto"/>
              <w:right w:val="single" w:sz="4" w:space="0" w:color="auto"/>
            </w:tcBorders>
            <w:shd w:val="clear" w:color="auto" w:fill="auto"/>
            <w:vAlign w:val="center"/>
          </w:tcPr>
          <w:p w14:paraId="4F012F6D" w14:textId="4520FF93" w:rsidR="0085328E" w:rsidRPr="00781112" w:rsidRDefault="002B7490" w:rsidP="00A018D4">
            <w:pPr>
              <w:jc w:val="center"/>
              <w:rPr>
                <w:rFonts w:cs="Arial"/>
                <w:color w:val="000000" w:themeColor="text1"/>
                <w:szCs w:val="16"/>
              </w:rPr>
            </w:pPr>
            <w:r w:rsidRPr="00781112">
              <w:rPr>
                <w:rFonts w:cs="Arial"/>
                <w:color w:val="000000" w:themeColor="text1"/>
                <w:szCs w:val="16"/>
              </w:rPr>
              <w:t>88.41%</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7B853A57" w14:textId="77777777"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11C2254" w14:textId="1DF979D4" w:rsidR="0085328E" w:rsidRPr="00781112" w:rsidRDefault="002B7490" w:rsidP="00A018D4">
            <w:pPr>
              <w:jc w:val="center"/>
              <w:rPr>
                <w:rFonts w:cs="Arial"/>
                <w:color w:val="000000" w:themeColor="text1"/>
                <w:szCs w:val="16"/>
              </w:rPr>
            </w:pPr>
            <w:r w:rsidRPr="00781112">
              <w:rPr>
                <w:rFonts w:cs="Arial"/>
                <w:color w:val="000000" w:themeColor="text1"/>
                <w:szCs w:val="16"/>
              </w:rPr>
              <w:t>86.93%</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F5DBAC4" w14:textId="06C3822D" w:rsidR="0085328E" w:rsidRPr="00781112" w:rsidRDefault="002B7490" w:rsidP="00A018D4">
            <w:pPr>
              <w:jc w:val="center"/>
              <w:rPr>
                <w:rFonts w:cs="Arial"/>
                <w:color w:val="000000" w:themeColor="text1"/>
                <w:szCs w:val="16"/>
              </w:rPr>
            </w:pPr>
            <w:r w:rsidRPr="00781112">
              <w:rPr>
                <w:rFonts w:cs="Arial"/>
                <w:color w:val="000000" w:themeColor="text1"/>
                <w:szCs w:val="16"/>
              </w:rPr>
              <w:t>88.34%</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9D2F1A1" w14:textId="1565A8C1" w:rsidR="0085328E" w:rsidRPr="00781112" w:rsidRDefault="002B7490" w:rsidP="00A018D4">
            <w:pPr>
              <w:jc w:val="center"/>
              <w:rPr>
                <w:rFonts w:cs="Arial"/>
                <w:color w:val="000000" w:themeColor="text1"/>
                <w:szCs w:val="16"/>
              </w:rPr>
            </w:pPr>
            <w:r w:rsidRPr="00781112">
              <w:rPr>
                <w:rFonts w:cs="Arial"/>
                <w:color w:val="000000" w:themeColor="text1"/>
                <w:szCs w:val="16"/>
              </w:rPr>
              <w:t>88.41%</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2C8C9437" w14:textId="7807B4A0" w:rsidR="0085328E" w:rsidRPr="00781112" w:rsidRDefault="002B7490" w:rsidP="00A018D4">
            <w:pPr>
              <w:jc w:val="center"/>
              <w:rPr>
                <w:rFonts w:cs="Arial"/>
                <w:color w:val="000000" w:themeColor="text1"/>
                <w:szCs w:val="16"/>
              </w:rPr>
            </w:pPr>
            <w:r w:rsidRPr="00781112">
              <w:rPr>
                <w:rFonts w:cs="Arial"/>
                <w:color w:val="000000" w:themeColor="text1"/>
                <w:szCs w:val="16"/>
              </w:rPr>
              <w:t>90.04%</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81EDD05" w14:textId="5AA94706" w:rsidR="0085328E" w:rsidRPr="00781112" w:rsidRDefault="002B7490" w:rsidP="00A018D4">
            <w:pPr>
              <w:jc w:val="center"/>
              <w:rPr>
                <w:rFonts w:cs="Arial"/>
                <w:color w:val="000000" w:themeColor="text1"/>
                <w:szCs w:val="16"/>
              </w:rPr>
            </w:pPr>
            <w:r w:rsidRPr="00781112">
              <w:rPr>
                <w:rFonts w:cs="Arial"/>
                <w:color w:val="000000" w:themeColor="text1"/>
                <w:szCs w:val="16"/>
              </w:rPr>
              <w:t>92.26%</w:t>
            </w:r>
          </w:p>
        </w:tc>
      </w:tr>
      <w:tr w:rsidR="005F0D3B" w:rsidRPr="00781112" w14:paraId="5D1BF2C9" w14:textId="459BD37D" w:rsidTr="009023AD">
        <w:trPr>
          <w:trHeight w:val="85"/>
        </w:trPr>
        <w:tc>
          <w:tcPr>
            <w:tcW w:w="248" w:type="pct"/>
            <w:tcBorders>
              <w:left w:val="single" w:sz="4" w:space="0" w:color="auto"/>
              <w:right w:val="single" w:sz="4" w:space="0" w:color="auto"/>
            </w:tcBorders>
            <w:shd w:val="clear" w:color="auto" w:fill="auto"/>
            <w:vAlign w:val="center"/>
          </w:tcPr>
          <w:p w14:paraId="548F3C71" w14:textId="77777777" w:rsidR="0085328E" w:rsidRPr="00781112" w:rsidRDefault="0085328E" w:rsidP="004369B2">
            <w:pPr>
              <w:spacing w:before="0" w:after="0" w:line="276" w:lineRule="auto"/>
              <w:jc w:val="center"/>
              <w:rPr>
                <w:rFonts w:cs="Arial"/>
                <w:color w:val="000000" w:themeColor="text1"/>
                <w:szCs w:val="16"/>
              </w:rPr>
            </w:pPr>
            <w:r w:rsidRPr="00781112">
              <w:rPr>
                <w:rFonts w:cs="Arial"/>
                <w:color w:val="000000" w:themeColor="text1"/>
                <w:szCs w:val="16"/>
              </w:rPr>
              <w:t>B2</w:t>
            </w:r>
          </w:p>
        </w:tc>
        <w:tc>
          <w:tcPr>
            <w:tcW w:w="437" w:type="pct"/>
            <w:tcBorders>
              <w:left w:val="single" w:sz="4" w:space="0" w:color="auto"/>
              <w:right w:val="single" w:sz="4" w:space="0" w:color="auto"/>
            </w:tcBorders>
            <w:shd w:val="clear" w:color="auto" w:fill="auto"/>
            <w:vAlign w:val="center"/>
          </w:tcPr>
          <w:p w14:paraId="160EA035" w14:textId="1C94FCD5" w:rsidR="0085328E" w:rsidRPr="00781112" w:rsidRDefault="002B7490" w:rsidP="00A018D4">
            <w:pPr>
              <w:jc w:val="center"/>
              <w:rPr>
                <w:rFonts w:cs="Arial"/>
                <w:color w:val="000000" w:themeColor="text1"/>
                <w:szCs w:val="16"/>
              </w:rPr>
            </w:pPr>
            <w:r w:rsidRPr="00781112">
              <w:rPr>
                <w:rFonts w:cs="Arial"/>
                <w:color w:val="000000" w:themeColor="text1"/>
                <w:szCs w:val="16"/>
              </w:rPr>
              <w:t>2018</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4A24CCF9" w14:textId="2D8E0643"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0D83D62" w14:textId="2DE181F8" w:rsidR="0085328E" w:rsidRPr="00781112" w:rsidRDefault="002B7490" w:rsidP="00A018D4">
            <w:pPr>
              <w:jc w:val="center"/>
              <w:rPr>
                <w:rFonts w:cs="Arial"/>
                <w:color w:val="000000" w:themeColor="text1"/>
                <w:szCs w:val="16"/>
              </w:rPr>
            </w:pPr>
            <w:r w:rsidRPr="00781112">
              <w:rPr>
                <w:rFonts w:cs="Arial"/>
                <w:color w:val="000000" w:themeColor="text1"/>
                <w:szCs w:val="16"/>
              </w:rPr>
              <w:t>45.39%</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2B792AD" w14:textId="758AC006" w:rsidR="0085328E" w:rsidRPr="00781112" w:rsidRDefault="002B7490" w:rsidP="00A018D4">
            <w:pPr>
              <w:jc w:val="center"/>
              <w:rPr>
                <w:rFonts w:cs="Arial"/>
                <w:color w:val="000000" w:themeColor="text1"/>
                <w:szCs w:val="16"/>
              </w:rPr>
            </w:pPr>
            <w:r w:rsidRPr="00781112">
              <w:rPr>
                <w:rFonts w:cs="Arial"/>
                <w:color w:val="000000" w:themeColor="text1"/>
                <w:szCs w:val="16"/>
              </w:rPr>
              <w:t>45.59%</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782A18F" w14:textId="46A86692" w:rsidR="0085328E" w:rsidRPr="00781112" w:rsidRDefault="002B7490" w:rsidP="00A018D4">
            <w:pPr>
              <w:jc w:val="center"/>
              <w:rPr>
                <w:rFonts w:cs="Arial"/>
                <w:color w:val="000000" w:themeColor="text1"/>
                <w:szCs w:val="16"/>
              </w:rPr>
            </w:pPr>
            <w:r w:rsidRPr="00781112">
              <w:rPr>
                <w:rFonts w:cs="Arial"/>
                <w:color w:val="000000" w:themeColor="text1"/>
                <w:szCs w:val="16"/>
              </w:rPr>
              <w:t>48.71%</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97CBE74" w14:textId="39C3D76E" w:rsidR="0085328E" w:rsidRPr="00781112" w:rsidRDefault="002B7490" w:rsidP="00A018D4">
            <w:pPr>
              <w:jc w:val="center"/>
              <w:rPr>
                <w:rFonts w:cs="Arial"/>
                <w:color w:val="000000" w:themeColor="text1"/>
                <w:szCs w:val="16"/>
              </w:rPr>
            </w:pPr>
            <w:r w:rsidRPr="00781112">
              <w:rPr>
                <w:rFonts w:cs="Arial"/>
                <w:color w:val="000000" w:themeColor="text1"/>
                <w:szCs w:val="16"/>
              </w:rPr>
              <w:t>48.91%</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1A34F04" w14:textId="315015F3" w:rsidR="0085328E" w:rsidRPr="00781112" w:rsidRDefault="002B7490" w:rsidP="00A018D4">
            <w:pPr>
              <w:jc w:val="center"/>
              <w:rPr>
                <w:rFonts w:cs="Arial"/>
                <w:color w:val="000000" w:themeColor="text1"/>
                <w:szCs w:val="16"/>
              </w:rPr>
            </w:pPr>
            <w:r w:rsidRPr="00781112">
              <w:rPr>
                <w:rFonts w:cs="Arial"/>
                <w:color w:val="000000" w:themeColor="text1"/>
                <w:szCs w:val="16"/>
              </w:rPr>
              <w:t>48.48%</w:t>
            </w:r>
          </w:p>
        </w:tc>
      </w:tr>
      <w:tr w:rsidR="005F0D3B" w:rsidRPr="00781112" w14:paraId="1AC0D5CC" w14:textId="451AD16E" w:rsidTr="009023AD">
        <w:trPr>
          <w:trHeight w:val="85"/>
        </w:trPr>
        <w:tc>
          <w:tcPr>
            <w:tcW w:w="248" w:type="pct"/>
            <w:tcBorders>
              <w:left w:val="single" w:sz="4" w:space="0" w:color="auto"/>
              <w:right w:val="single" w:sz="4" w:space="0" w:color="auto"/>
            </w:tcBorders>
            <w:shd w:val="clear" w:color="auto" w:fill="auto"/>
            <w:vAlign w:val="center"/>
          </w:tcPr>
          <w:p w14:paraId="143DE0B0" w14:textId="232D3364" w:rsidR="0085328E"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t>B2</w:t>
            </w:r>
          </w:p>
        </w:tc>
        <w:tc>
          <w:tcPr>
            <w:tcW w:w="437" w:type="pct"/>
            <w:tcBorders>
              <w:left w:val="single" w:sz="4" w:space="0" w:color="auto"/>
              <w:right w:val="single" w:sz="4" w:space="0" w:color="auto"/>
            </w:tcBorders>
            <w:shd w:val="clear" w:color="auto" w:fill="auto"/>
            <w:vAlign w:val="center"/>
          </w:tcPr>
          <w:p w14:paraId="24E18759" w14:textId="387ECC21" w:rsidR="0085328E" w:rsidRPr="00781112" w:rsidRDefault="002B7490" w:rsidP="00A018D4">
            <w:pPr>
              <w:jc w:val="center"/>
              <w:rPr>
                <w:rFonts w:cs="Arial"/>
                <w:color w:val="000000" w:themeColor="text1"/>
                <w:szCs w:val="16"/>
              </w:rPr>
            </w:pPr>
            <w:r w:rsidRPr="00781112">
              <w:rPr>
                <w:rFonts w:cs="Arial"/>
                <w:color w:val="000000" w:themeColor="text1"/>
                <w:szCs w:val="16"/>
              </w:rPr>
              <w:t>50.48%</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7B1218C7" w14:textId="77777777"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04D7405" w14:textId="7369DBD6" w:rsidR="0085328E" w:rsidRPr="00781112" w:rsidRDefault="002B7490" w:rsidP="00A018D4">
            <w:pPr>
              <w:jc w:val="center"/>
              <w:rPr>
                <w:rFonts w:cs="Arial"/>
                <w:color w:val="000000" w:themeColor="text1"/>
                <w:szCs w:val="16"/>
              </w:rPr>
            </w:pPr>
            <w:r w:rsidRPr="00781112">
              <w:rPr>
                <w:rFonts w:cs="Arial"/>
                <w:color w:val="000000" w:themeColor="text1"/>
                <w:szCs w:val="16"/>
              </w:rPr>
              <w:t>51.79%</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668A2AF" w14:textId="3F239661" w:rsidR="0085328E" w:rsidRPr="00781112" w:rsidRDefault="002B7490" w:rsidP="00A018D4">
            <w:pPr>
              <w:jc w:val="center"/>
              <w:rPr>
                <w:rFonts w:cs="Arial"/>
                <w:color w:val="000000" w:themeColor="text1"/>
                <w:szCs w:val="16"/>
              </w:rPr>
            </w:pPr>
            <w:r w:rsidRPr="00781112">
              <w:rPr>
                <w:rFonts w:cs="Arial"/>
                <w:color w:val="000000" w:themeColor="text1"/>
                <w:szCs w:val="16"/>
              </w:rPr>
              <w:t>53.64%</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735D643" w14:textId="534CE7F8" w:rsidR="0085328E" w:rsidRPr="00781112" w:rsidRDefault="002B7490" w:rsidP="00A018D4">
            <w:pPr>
              <w:jc w:val="center"/>
              <w:rPr>
                <w:rFonts w:cs="Arial"/>
                <w:color w:val="000000" w:themeColor="text1"/>
                <w:szCs w:val="16"/>
              </w:rPr>
            </w:pPr>
            <w:r w:rsidRPr="00781112">
              <w:rPr>
                <w:rFonts w:cs="Arial"/>
                <w:color w:val="000000" w:themeColor="text1"/>
                <w:szCs w:val="16"/>
              </w:rPr>
              <w:t>50.48%</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769A388" w14:textId="486C020A" w:rsidR="0085328E" w:rsidRPr="00781112" w:rsidRDefault="002B7490" w:rsidP="00A018D4">
            <w:pPr>
              <w:jc w:val="center"/>
              <w:rPr>
                <w:rFonts w:cs="Arial"/>
                <w:color w:val="000000" w:themeColor="text1"/>
                <w:szCs w:val="16"/>
              </w:rPr>
            </w:pPr>
            <w:r w:rsidRPr="00781112">
              <w:rPr>
                <w:rFonts w:cs="Arial"/>
                <w:color w:val="000000" w:themeColor="text1"/>
                <w:szCs w:val="16"/>
              </w:rPr>
              <w:t>48.70%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4AB34E0E" w14:textId="72971784" w:rsidR="0085328E" w:rsidRPr="00781112" w:rsidRDefault="002B7490" w:rsidP="00A018D4">
            <w:pPr>
              <w:jc w:val="center"/>
              <w:rPr>
                <w:rFonts w:cs="Arial"/>
                <w:color w:val="000000" w:themeColor="text1"/>
                <w:szCs w:val="16"/>
              </w:rPr>
            </w:pPr>
            <w:r w:rsidRPr="00781112">
              <w:rPr>
                <w:rFonts w:cs="Arial"/>
                <w:color w:val="000000" w:themeColor="text1"/>
                <w:szCs w:val="16"/>
              </w:rPr>
              <w:t>49.86%</w:t>
            </w:r>
          </w:p>
        </w:tc>
      </w:tr>
      <w:tr w:rsidR="005F0D3B" w:rsidRPr="00781112" w14:paraId="3A905290" w14:textId="4D4DDE53" w:rsidTr="009023AD">
        <w:trPr>
          <w:trHeight w:val="85"/>
        </w:trPr>
        <w:tc>
          <w:tcPr>
            <w:tcW w:w="248" w:type="pct"/>
            <w:tcBorders>
              <w:left w:val="single" w:sz="4" w:space="0" w:color="auto"/>
              <w:right w:val="single" w:sz="4" w:space="0" w:color="auto"/>
            </w:tcBorders>
            <w:shd w:val="clear" w:color="auto" w:fill="auto"/>
            <w:vAlign w:val="center"/>
          </w:tcPr>
          <w:p w14:paraId="72D6BBB6" w14:textId="77777777" w:rsidR="0085328E" w:rsidRPr="00781112" w:rsidRDefault="0085328E" w:rsidP="004369B2">
            <w:pPr>
              <w:spacing w:before="0" w:after="0" w:line="276" w:lineRule="auto"/>
              <w:jc w:val="center"/>
              <w:rPr>
                <w:rFonts w:cs="Arial"/>
                <w:color w:val="000000" w:themeColor="text1"/>
                <w:szCs w:val="16"/>
              </w:rPr>
            </w:pPr>
            <w:r w:rsidRPr="00781112">
              <w:rPr>
                <w:rFonts w:cs="Arial"/>
                <w:color w:val="000000" w:themeColor="text1"/>
                <w:szCs w:val="16"/>
              </w:rPr>
              <w:t>C1</w:t>
            </w:r>
          </w:p>
        </w:tc>
        <w:tc>
          <w:tcPr>
            <w:tcW w:w="437" w:type="pct"/>
            <w:tcBorders>
              <w:left w:val="single" w:sz="4" w:space="0" w:color="auto"/>
              <w:right w:val="single" w:sz="4" w:space="0" w:color="auto"/>
            </w:tcBorders>
            <w:shd w:val="clear" w:color="auto" w:fill="auto"/>
            <w:vAlign w:val="center"/>
          </w:tcPr>
          <w:p w14:paraId="32EC35B2" w14:textId="7EF481F8" w:rsidR="0085328E" w:rsidRPr="00781112" w:rsidRDefault="002B7490" w:rsidP="00A018D4">
            <w:pPr>
              <w:jc w:val="center"/>
              <w:rPr>
                <w:rFonts w:cs="Arial"/>
                <w:color w:val="000000" w:themeColor="text1"/>
                <w:szCs w:val="16"/>
              </w:rPr>
            </w:pPr>
            <w:r w:rsidRPr="00781112">
              <w:rPr>
                <w:rFonts w:cs="Arial"/>
                <w:color w:val="000000" w:themeColor="text1"/>
                <w:szCs w:val="16"/>
              </w:rPr>
              <w:t>2018</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2AD4BBD1" w14:textId="1AF777EC"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E3605B6" w14:textId="09C06F1D" w:rsidR="0085328E" w:rsidRPr="00781112" w:rsidRDefault="002B7490" w:rsidP="00A018D4">
            <w:pPr>
              <w:jc w:val="center"/>
              <w:rPr>
                <w:rFonts w:cs="Arial"/>
                <w:color w:val="000000" w:themeColor="text1"/>
                <w:szCs w:val="16"/>
              </w:rPr>
            </w:pPr>
            <w:r w:rsidRPr="00781112">
              <w:rPr>
                <w:rFonts w:cs="Arial"/>
                <w:color w:val="000000" w:themeColor="text1"/>
                <w:szCs w:val="16"/>
              </w:rPr>
              <w:t>91.30%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985E737" w14:textId="1A9F0994" w:rsidR="0085328E" w:rsidRPr="00781112" w:rsidRDefault="002B7490" w:rsidP="00A018D4">
            <w:pPr>
              <w:jc w:val="center"/>
              <w:rPr>
                <w:rFonts w:cs="Arial"/>
                <w:color w:val="000000" w:themeColor="text1"/>
                <w:szCs w:val="16"/>
              </w:rPr>
            </w:pPr>
            <w:r w:rsidRPr="00781112">
              <w:rPr>
                <w:rFonts w:cs="Arial"/>
                <w:color w:val="000000" w:themeColor="text1"/>
                <w:szCs w:val="16"/>
              </w:rPr>
              <w:t>91.50%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104097D" w14:textId="3599EA63" w:rsidR="0085328E" w:rsidRPr="00781112" w:rsidRDefault="002B7490" w:rsidP="00A018D4">
            <w:pPr>
              <w:jc w:val="center"/>
              <w:rPr>
                <w:rFonts w:cs="Arial"/>
                <w:color w:val="000000" w:themeColor="text1"/>
                <w:szCs w:val="16"/>
              </w:rPr>
            </w:pPr>
            <w:r w:rsidRPr="00781112">
              <w:rPr>
                <w:rFonts w:cs="Arial"/>
                <w:color w:val="000000" w:themeColor="text1"/>
                <w:szCs w:val="16"/>
              </w:rPr>
              <w:t>93.92%</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2ECD873" w14:textId="22C05487" w:rsidR="0085328E" w:rsidRPr="00781112" w:rsidRDefault="002B7490" w:rsidP="00A018D4">
            <w:pPr>
              <w:jc w:val="center"/>
              <w:rPr>
                <w:rFonts w:cs="Arial"/>
                <w:color w:val="000000" w:themeColor="text1"/>
                <w:szCs w:val="16"/>
              </w:rPr>
            </w:pPr>
            <w:r w:rsidRPr="00781112">
              <w:rPr>
                <w:rFonts w:cs="Arial"/>
                <w:color w:val="000000" w:themeColor="text1"/>
                <w:szCs w:val="16"/>
              </w:rPr>
              <w:t>94.12%</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3389E08" w14:textId="39125BE4" w:rsidR="0085328E" w:rsidRPr="00781112" w:rsidRDefault="002B7490" w:rsidP="00A018D4">
            <w:pPr>
              <w:jc w:val="center"/>
              <w:rPr>
                <w:rFonts w:cs="Arial"/>
                <w:color w:val="000000" w:themeColor="text1"/>
                <w:szCs w:val="16"/>
              </w:rPr>
            </w:pPr>
            <w:r w:rsidRPr="00781112">
              <w:rPr>
                <w:rFonts w:cs="Arial"/>
                <w:color w:val="000000" w:themeColor="text1"/>
                <w:szCs w:val="16"/>
              </w:rPr>
              <w:t>89.86%</w:t>
            </w:r>
          </w:p>
        </w:tc>
      </w:tr>
      <w:tr w:rsidR="005F0D3B" w:rsidRPr="00781112" w14:paraId="542EE9A0" w14:textId="0624CABB" w:rsidTr="009023AD">
        <w:trPr>
          <w:trHeight w:val="85"/>
        </w:trPr>
        <w:tc>
          <w:tcPr>
            <w:tcW w:w="248" w:type="pct"/>
            <w:tcBorders>
              <w:left w:val="single" w:sz="4" w:space="0" w:color="auto"/>
              <w:right w:val="single" w:sz="4" w:space="0" w:color="auto"/>
            </w:tcBorders>
            <w:shd w:val="clear" w:color="auto" w:fill="auto"/>
            <w:vAlign w:val="center"/>
          </w:tcPr>
          <w:p w14:paraId="4DBC4231" w14:textId="38EC78AF" w:rsidR="0085328E"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t>C1</w:t>
            </w:r>
          </w:p>
        </w:tc>
        <w:tc>
          <w:tcPr>
            <w:tcW w:w="437" w:type="pct"/>
            <w:tcBorders>
              <w:left w:val="single" w:sz="4" w:space="0" w:color="auto"/>
              <w:right w:val="single" w:sz="4" w:space="0" w:color="auto"/>
            </w:tcBorders>
            <w:shd w:val="clear" w:color="auto" w:fill="auto"/>
            <w:vAlign w:val="center"/>
          </w:tcPr>
          <w:p w14:paraId="4A443083" w14:textId="588F563E" w:rsidR="0085328E" w:rsidRPr="00781112" w:rsidRDefault="002B7490" w:rsidP="00A018D4">
            <w:pPr>
              <w:jc w:val="center"/>
              <w:rPr>
                <w:rFonts w:cs="Arial"/>
                <w:color w:val="000000" w:themeColor="text1"/>
                <w:szCs w:val="16"/>
              </w:rPr>
            </w:pPr>
            <w:r w:rsidRPr="00781112">
              <w:rPr>
                <w:rFonts w:cs="Arial"/>
                <w:color w:val="000000" w:themeColor="text1"/>
                <w:szCs w:val="16"/>
              </w:rPr>
              <w:t>86.86%</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3505DBD8" w14:textId="77777777"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CCFC788" w14:textId="0DEC691C" w:rsidR="0085328E" w:rsidRPr="00781112" w:rsidRDefault="002B7490" w:rsidP="00A018D4">
            <w:pPr>
              <w:jc w:val="center"/>
              <w:rPr>
                <w:rFonts w:cs="Arial"/>
                <w:color w:val="000000" w:themeColor="text1"/>
                <w:szCs w:val="16"/>
              </w:rPr>
            </w:pPr>
            <w:r w:rsidRPr="00781112">
              <w:rPr>
                <w:rFonts w:cs="Arial"/>
                <w:color w:val="000000" w:themeColor="text1"/>
                <w:szCs w:val="16"/>
              </w:rPr>
              <w:t>88.87%</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A2692FD" w14:textId="41890FD1" w:rsidR="0085328E" w:rsidRPr="00781112" w:rsidRDefault="002B7490" w:rsidP="00A018D4">
            <w:pPr>
              <w:jc w:val="center"/>
              <w:rPr>
                <w:rFonts w:cs="Arial"/>
                <w:color w:val="000000" w:themeColor="text1"/>
                <w:szCs w:val="16"/>
              </w:rPr>
            </w:pPr>
            <w:r w:rsidRPr="00781112">
              <w:rPr>
                <w:rFonts w:cs="Arial"/>
                <w:color w:val="000000" w:themeColor="text1"/>
                <w:szCs w:val="16"/>
              </w:rPr>
              <w:t>90.83%</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4E19A94" w14:textId="4230AB0E" w:rsidR="0085328E" w:rsidRPr="00781112" w:rsidRDefault="002B7490" w:rsidP="00A018D4">
            <w:pPr>
              <w:jc w:val="center"/>
              <w:rPr>
                <w:rFonts w:cs="Arial"/>
                <w:color w:val="000000" w:themeColor="text1"/>
                <w:szCs w:val="16"/>
              </w:rPr>
            </w:pPr>
            <w:r w:rsidRPr="00781112">
              <w:rPr>
                <w:rFonts w:cs="Arial"/>
                <w:color w:val="000000" w:themeColor="text1"/>
                <w:szCs w:val="16"/>
              </w:rPr>
              <w:t>89.86%</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DF3C8C0" w14:textId="601F01AA" w:rsidR="0085328E" w:rsidRPr="00781112" w:rsidRDefault="002B7490" w:rsidP="00A018D4">
            <w:pPr>
              <w:jc w:val="center"/>
              <w:rPr>
                <w:rFonts w:cs="Arial"/>
                <w:color w:val="000000" w:themeColor="text1"/>
                <w:szCs w:val="16"/>
              </w:rPr>
            </w:pPr>
            <w:r w:rsidRPr="00781112">
              <w:rPr>
                <w:rFonts w:cs="Arial"/>
                <w:color w:val="000000" w:themeColor="text1"/>
                <w:szCs w:val="16"/>
              </w:rPr>
              <w:t>89.68%</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C69554C" w14:textId="208FBED6" w:rsidR="0085328E" w:rsidRPr="00781112" w:rsidRDefault="002B7490" w:rsidP="00A018D4">
            <w:pPr>
              <w:jc w:val="center"/>
              <w:rPr>
                <w:rFonts w:cs="Arial"/>
                <w:color w:val="000000" w:themeColor="text1"/>
                <w:szCs w:val="16"/>
              </w:rPr>
            </w:pPr>
            <w:r w:rsidRPr="00781112">
              <w:rPr>
                <w:rFonts w:cs="Arial"/>
                <w:color w:val="000000" w:themeColor="text1"/>
                <w:szCs w:val="16"/>
              </w:rPr>
              <w:t>92.23%</w:t>
            </w:r>
          </w:p>
        </w:tc>
      </w:tr>
      <w:tr w:rsidR="005F0D3B" w:rsidRPr="00781112" w14:paraId="1C3A879D" w14:textId="39451B95" w:rsidTr="009023AD">
        <w:trPr>
          <w:trHeight w:val="85"/>
        </w:trPr>
        <w:tc>
          <w:tcPr>
            <w:tcW w:w="248" w:type="pct"/>
            <w:tcBorders>
              <w:left w:val="single" w:sz="4" w:space="0" w:color="auto"/>
              <w:right w:val="single" w:sz="4" w:space="0" w:color="auto"/>
            </w:tcBorders>
            <w:shd w:val="clear" w:color="auto" w:fill="auto"/>
            <w:vAlign w:val="center"/>
          </w:tcPr>
          <w:p w14:paraId="26C585A1" w14:textId="77777777" w:rsidR="0085328E" w:rsidRPr="00781112" w:rsidRDefault="0085328E" w:rsidP="004369B2">
            <w:pPr>
              <w:spacing w:before="0" w:after="0" w:line="276" w:lineRule="auto"/>
              <w:jc w:val="center"/>
              <w:rPr>
                <w:rFonts w:cs="Arial"/>
                <w:color w:val="000000" w:themeColor="text1"/>
                <w:szCs w:val="16"/>
              </w:rPr>
            </w:pPr>
            <w:r w:rsidRPr="00781112">
              <w:rPr>
                <w:rFonts w:cs="Arial"/>
                <w:color w:val="000000" w:themeColor="text1"/>
                <w:szCs w:val="16"/>
              </w:rPr>
              <w:t>C2</w:t>
            </w:r>
          </w:p>
        </w:tc>
        <w:tc>
          <w:tcPr>
            <w:tcW w:w="437" w:type="pct"/>
            <w:tcBorders>
              <w:left w:val="single" w:sz="4" w:space="0" w:color="auto"/>
              <w:right w:val="single" w:sz="4" w:space="0" w:color="auto"/>
            </w:tcBorders>
            <w:shd w:val="clear" w:color="auto" w:fill="auto"/>
            <w:vAlign w:val="center"/>
          </w:tcPr>
          <w:p w14:paraId="02A4378D" w14:textId="1370C13B" w:rsidR="0085328E" w:rsidRPr="00781112" w:rsidRDefault="002B7490" w:rsidP="00A018D4">
            <w:pPr>
              <w:jc w:val="center"/>
              <w:rPr>
                <w:rFonts w:cs="Arial"/>
                <w:color w:val="000000" w:themeColor="text1"/>
                <w:szCs w:val="16"/>
              </w:rPr>
            </w:pPr>
            <w:r w:rsidRPr="00781112">
              <w:rPr>
                <w:rFonts w:cs="Arial"/>
                <w:color w:val="000000" w:themeColor="text1"/>
                <w:szCs w:val="16"/>
              </w:rPr>
              <w:t>2018</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70F3C954" w14:textId="5809F22B"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37F82B2" w14:textId="3FDA4D76" w:rsidR="0085328E" w:rsidRPr="00781112" w:rsidRDefault="002B7490" w:rsidP="00A018D4">
            <w:pPr>
              <w:jc w:val="center"/>
              <w:rPr>
                <w:rFonts w:cs="Arial"/>
                <w:color w:val="000000" w:themeColor="text1"/>
                <w:szCs w:val="16"/>
              </w:rPr>
            </w:pPr>
            <w:r w:rsidRPr="00781112">
              <w:rPr>
                <w:rFonts w:cs="Arial"/>
                <w:color w:val="000000" w:themeColor="text1"/>
                <w:szCs w:val="16"/>
              </w:rPr>
              <w:t>63.57%</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DC5B5B6" w14:textId="467D9866" w:rsidR="0085328E" w:rsidRPr="00781112" w:rsidRDefault="002B7490" w:rsidP="00A018D4">
            <w:pPr>
              <w:jc w:val="center"/>
              <w:rPr>
                <w:rFonts w:cs="Arial"/>
                <w:color w:val="000000" w:themeColor="text1"/>
                <w:szCs w:val="16"/>
              </w:rPr>
            </w:pPr>
            <w:r w:rsidRPr="00781112">
              <w:rPr>
                <w:rFonts w:cs="Arial"/>
                <w:color w:val="000000" w:themeColor="text1"/>
                <w:szCs w:val="16"/>
              </w:rPr>
              <w:t>63.77%</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4D8F929" w14:textId="659E25C7" w:rsidR="0085328E" w:rsidRPr="00781112" w:rsidRDefault="002B7490" w:rsidP="00A018D4">
            <w:pPr>
              <w:jc w:val="center"/>
              <w:rPr>
                <w:rFonts w:cs="Arial"/>
                <w:color w:val="000000" w:themeColor="text1"/>
                <w:szCs w:val="16"/>
              </w:rPr>
            </w:pPr>
            <w:r w:rsidRPr="00781112">
              <w:rPr>
                <w:rFonts w:cs="Arial"/>
                <w:color w:val="000000" w:themeColor="text1"/>
                <w:szCs w:val="16"/>
              </w:rPr>
              <w:t>67.21%</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2DB5EE8" w14:textId="25FD6BE6" w:rsidR="0085328E" w:rsidRPr="00781112" w:rsidRDefault="002B7490" w:rsidP="00A018D4">
            <w:pPr>
              <w:jc w:val="center"/>
              <w:rPr>
                <w:rFonts w:cs="Arial"/>
                <w:color w:val="000000" w:themeColor="text1"/>
                <w:szCs w:val="16"/>
              </w:rPr>
            </w:pPr>
            <w:r w:rsidRPr="00781112">
              <w:rPr>
                <w:rFonts w:cs="Arial"/>
                <w:color w:val="000000" w:themeColor="text1"/>
                <w:szCs w:val="16"/>
              </w:rPr>
              <w:t>67.41%</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4D4A8ED" w14:textId="7FD39DDF" w:rsidR="0085328E" w:rsidRPr="00781112" w:rsidRDefault="002B7490" w:rsidP="00A018D4">
            <w:pPr>
              <w:jc w:val="center"/>
              <w:rPr>
                <w:rFonts w:cs="Arial"/>
                <w:color w:val="000000" w:themeColor="text1"/>
                <w:szCs w:val="16"/>
              </w:rPr>
            </w:pPr>
            <w:r w:rsidRPr="00781112">
              <w:rPr>
                <w:rFonts w:cs="Arial"/>
                <w:color w:val="000000" w:themeColor="text1"/>
                <w:szCs w:val="16"/>
              </w:rPr>
              <w:t>66.44%</w:t>
            </w:r>
          </w:p>
        </w:tc>
      </w:tr>
      <w:tr w:rsidR="005F0D3B" w:rsidRPr="00781112" w14:paraId="2ED2CF15" w14:textId="4D4950C3" w:rsidTr="009023AD">
        <w:trPr>
          <w:trHeight w:val="85"/>
        </w:trPr>
        <w:tc>
          <w:tcPr>
            <w:tcW w:w="248" w:type="pct"/>
            <w:tcBorders>
              <w:left w:val="single" w:sz="4" w:space="0" w:color="auto"/>
              <w:right w:val="single" w:sz="4" w:space="0" w:color="auto"/>
            </w:tcBorders>
            <w:shd w:val="clear" w:color="auto" w:fill="auto"/>
            <w:vAlign w:val="center"/>
          </w:tcPr>
          <w:p w14:paraId="0C71509B" w14:textId="5F7D99B1" w:rsidR="0085328E"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t>C2</w:t>
            </w:r>
          </w:p>
        </w:tc>
        <w:tc>
          <w:tcPr>
            <w:tcW w:w="437" w:type="pct"/>
            <w:tcBorders>
              <w:left w:val="single" w:sz="4" w:space="0" w:color="auto"/>
              <w:right w:val="single" w:sz="4" w:space="0" w:color="auto"/>
            </w:tcBorders>
            <w:shd w:val="clear" w:color="auto" w:fill="auto"/>
            <w:vAlign w:val="center"/>
          </w:tcPr>
          <w:p w14:paraId="722DF11E" w14:textId="268D7A3C" w:rsidR="0085328E" w:rsidRPr="00781112" w:rsidRDefault="002B7490" w:rsidP="00A018D4">
            <w:pPr>
              <w:jc w:val="center"/>
              <w:rPr>
                <w:rFonts w:cs="Arial"/>
                <w:color w:val="000000" w:themeColor="text1"/>
                <w:szCs w:val="16"/>
              </w:rPr>
            </w:pPr>
            <w:r w:rsidRPr="00781112">
              <w:rPr>
                <w:rFonts w:cs="Arial"/>
                <w:color w:val="000000" w:themeColor="text1"/>
                <w:szCs w:val="16"/>
              </w:rPr>
              <w:t>70.52%</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67880F8C" w14:textId="77777777"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9C94D3E" w14:textId="1C9729B7" w:rsidR="0085328E" w:rsidRPr="00781112" w:rsidRDefault="002B7490" w:rsidP="00A018D4">
            <w:pPr>
              <w:jc w:val="center"/>
              <w:rPr>
                <w:rFonts w:cs="Arial"/>
                <w:color w:val="000000" w:themeColor="text1"/>
                <w:szCs w:val="16"/>
              </w:rPr>
            </w:pPr>
            <w:r w:rsidRPr="00781112">
              <w:rPr>
                <w:rFonts w:cs="Arial"/>
                <w:color w:val="000000" w:themeColor="text1"/>
                <w:szCs w:val="16"/>
              </w:rPr>
              <w:t>71.57%</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AA52620" w14:textId="6E2803C1" w:rsidR="0085328E" w:rsidRPr="00781112" w:rsidRDefault="002B7490" w:rsidP="00A018D4">
            <w:pPr>
              <w:jc w:val="center"/>
              <w:rPr>
                <w:rFonts w:cs="Arial"/>
                <w:color w:val="000000" w:themeColor="text1"/>
                <w:szCs w:val="16"/>
              </w:rPr>
            </w:pPr>
            <w:r w:rsidRPr="00781112">
              <w:rPr>
                <w:rFonts w:cs="Arial"/>
                <w:color w:val="000000" w:themeColor="text1"/>
                <w:szCs w:val="16"/>
              </w:rPr>
              <w:t>71.68%</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CB49B53" w14:textId="1024FEC0" w:rsidR="0085328E" w:rsidRPr="00781112" w:rsidRDefault="002B7490" w:rsidP="00A018D4">
            <w:pPr>
              <w:jc w:val="center"/>
              <w:rPr>
                <w:rFonts w:cs="Arial"/>
                <w:color w:val="000000" w:themeColor="text1"/>
                <w:szCs w:val="16"/>
              </w:rPr>
            </w:pPr>
            <w:r w:rsidRPr="00781112">
              <w:rPr>
                <w:rFonts w:cs="Arial"/>
                <w:color w:val="000000" w:themeColor="text1"/>
                <w:szCs w:val="16"/>
              </w:rPr>
              <w:t>70.52%</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7B7A91B" w14:textId="764DB422" w:rsidR="0085328E" w:rsidRPr="00781112" w:rsidRDefault="002B7490" w:rsidP="00A018D4">
            <w:pPr>
              <w:jc w:val="center"/>
              <w:rPr>
                <w:rFonts w:cs="Arial"/>
                <w:color w:val="000000" w:themeColor="text1"/>
                <w:szCs w:val="16"/>
              </w:rPr>
            </w:pPr>
            <w:r w:rsidRPr="00781112">
              <w:rPr>
                <w:rFonts w:cs="Arial"/>
                <w:color w:val="000000" w:themeColor="text1"/>
                <w:szCs w:val="16"/>
              </w:rPr>
              <w:t>66.95%</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BDF1E23" w14:textId="1E0478E3" w:rsidR="0085328E" w:rsidRPr="00781112" w:rsidRDefault="002B7490" w:rsidP="00A018D4">
            <w:pPr>
              <w:jc w:val="center"/>
              <w:rPr>
                <w:rFonts w:cs="Arial"/>
                <w:color w:val="000000" w:themeColor="text1"/>
                <w:szCs w:val="16"/>
              </w:rPr>
            </w:pPr>
            <w:r w:rsidRPr="00781112">
              <w:rPr>
                <w:rFonts w:cs="Arial"/>
                <w:color w:val="000000" w:themeColor="text1"/>
                <w:szCs w:val="16"/>
              </w:rPr>
              <w:t>68.44%</w:t>
            </w:r>
          </w:p>
        </w:tc>
      </w:tr>
    </w:tbl>
    <w:p w14:paraId="53B4B4AE" w14:textId="77777777" w:rsidR="007870F8" w:rsidRPr="00781112" w:rsidRDefault="007870F8" w:rsidP="004369B2">
      <w:pPr>
        <w:rPr>
          <w:color w:val="000000" w:themeColor="text1"/>
        </w:rPr>
      </w:pPr>
    </w:p>
    <w:p w14:paraId="0DB74FA5" w14:textId="79B945B9" w:rsidR="00F4192A" w:rsidRPr="00781112" w:rsidRDefault="00F4192A" w:rsidP="004369B2">
      <w:pPr>
        <w:rPr>
          <w:color w:val="000000" w:themeColor="text1"/>
        </w:rPr>
      </w:pPr>
      <w:r w:rsidRPr="00781112">
        <w:rPr>
          <w:b/>
          <w:color w:val="000000" w:themeColor="text1"/>
        </w:rPr>
        <w:t>Targets</w:t>
      </w:r>
    </w:p>
    <w:tbl>
      <w:tblPr>
        <w:tblW w:w="41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7TARGETS"/>
      </w:tblPr>
      <w:tblGrid>
        <w:gridCol w:w="679"/>
        <w:gridCol w:w="1592"/>
        <w:gridCol w:w="1696"/>
        <w:gridCol w:w="1696"/>
        <w:gridCol w:w="1696"/>
        <w:gridCol w:w="1696"/>
      </w:tblGrid>
      <w:tr w:rsidR="00B14519" w:rsidRPr="00781112" w14:paraId="7154778B" w14:textId="326343BD" w:rsidTr="00451D7E">
        <w:trPr>
          <w:trHeight w:val="333"/>
        </w:trPr>
        <w:tc>
          <w:tcPr>
            <w:tcW w:w="267" w:type="pct"/>
            <w:tcBorders>
              <w:bottom w:val="single" w:sz="4" w:space="0" w:color="auto"/>
            </w:tcBorders>
            <w:shd w:val="clear" w:color="auto" w:fill="auto"/>
            <w:vAlign w:val="center"/>
          </w:tcPr>
          <w:p w14:paraId="4C772A88" w14:textId="77777777" w:rsidR="00B14519" w:rsidRPr="00781112" w:rsidRDefault="00B14519" w:rsidP="00D62058">
            <w:pPr>
              <w:jc w:val="center"/>
              <w:rPr>
                <w:b/>
                <w:color w:val="000000" w:themeColor="text1"/>
              </w:rPr>
            </w:pPr>
            <w:r w:rsidRPr="00781112">
              <w:rPr>
                <w:b/>
                <w:color w:val="000000" w:themeColor="text1"/>
              </w:rPr>
              <w:t>FFY</w:t>
            </w:r>
          </w:p>
        </w:tc>
        <w:tc>
          <w:tcPr>
            <w:tcW w:w="901" w:type="pct"/>
            <w:shd w:val="clear" w:color="auto" w:fill="auto"/>
            <w:vAlign w:val="center"/>
          </w:tcPr>
          <w:p w14:paraId="12A78916" w14:textId="4FE79E21" w:rsidR="00B14519" w:rsidRPr="00781112" w:rsidRDefault="00B14519" w:rsidP="00D62058">
            <w:pPr>
              <w:jc w:val="center"/>
              <w:rPr>
                <w:b/>
                <w:color w:val="000000" w:themeColor="text1"/>
              </w:rPr>
            </w:pPr>
            <w:r w:rsidRPr="00781112">
              <w:rPr>
                <w:b/>
                <w:color w:val="000000" w:themeColor="text1"/>
              </w:rPr>
              <w:t>2021</w:t>
            </w:r>
          </w:p>
        </w:tc>
        <w:tc>
          <w:tcPr>
            <w:tcW w:w="958" w:type="pct"/>
            <w:vAlign w:val="center"/>
          </w:tcPr>
          <w:p w14:paraId="252A750A" w14:textId="25138A81" w:rsidR="00B14519" w:rsidRPr="00781112" w:rsidRDefault="00B14519" w:rsidP="00D62058">
            <w:pPr>
              <w:jc w:val="center"/>
              <w:rPr>
                <w:b/>
                <w:color w:val="000000" w:themeColor="text1"/>
              </w:rPr>
            </w:pPr>
            <w:r w:rsidRPr="00781112">
              <w:rPr>
                <w:rFonts w:cs="Arial"/>
                <w:b/>
                <w:color w:val="000000" w:themeColor="text1"/>
                <w:szCs w:val="16"/>
              </w:rPr>
              <w:t>2022</w:t>
            </w:r>
          </w:p>
        </w:tc>
        <w:tc>
          <w:tcPr>
            <w:tcW w:w="958" w:type="pct"/>
            <w:vAlign w:val="center"/>
          </w:tcPr>
          <w:p w14:paraId="68D8D021" w14:textId="79B543D0" w:rsidR="00B14519" w:rsidRPr="00781112" w:rsidRDefault="00B14519" w:rsidP="00D62058">
            <w:pPr>
              <w:jc w:val="center"/>
              <w:rPr>
                <w:b/>
                <w:color w:val="000000" w:themeColor="text1"/>
              </w:rPr>
            </w:pPr>
            <w:r w:rsidRPr="00781112">
              <w:rPr>
                <w:rFonts w:cs="Arial"/>
                <w:b/>
                <w:color w:val="000000" w:themeColor="text1"/>
                <w:szCs w:val="16"/>
              </w:rPr>
              <w:t>2023</w:t>
            </w:r>
          </w:p>
        </w:tc>
        <w:tc>
          <w:tcPr>
            <w:tcW w:w="958" w:type="pct"/>
            <w:vAlign w:val="center"/>
          </w:tcPr>
          <w:p w14:paraId="60B57779" w14:textId="39F7714F" w:rsidR="00B14519" w:rsidRPr="00781112" w:rsidRDefault="00B14519" w:rsidP="00D62058">
            <w:pPr>
              <w:jc w:val="center"/>
              <w:rPr>
                <w:b/>
                <w:color w:val="000000" w:themeColor="text1"/>
              </w:rPr>
            </w:pPr>
            <w:r w:rsidRPr="00781112">
              <w:rPr>
                <w:rFonts w:cs="Arial"/>
                <w:b/>
                <w:color w:val="000000" w:themeColor="text1"/>
                <w:szCs w:val="16"/>
              </w:rPr>
              <w:t>2024</w:t>
            </w:r>
          </w:p>
        </w:tc>
        <w:tc>
          <w:tcPr>
            <w:tcW w:w="958" w:type="pct"/>
            <w:vAlign w:val="center"/>
          </w:tcPr>
          <w:p w14:paraId="2CB555F8" w14:textId="64C2A928" w:rsidR="00B14519" w:rsidRPr="00781112" w:rsidRDefault="00B14519" w:rsidP="00D62058">
            <w:pPr>
              <w:jc w:val="center"/>
              <w:rPr>
                <w:b/>
                <w:color w:val="000000" w:themeColor="text1"/>
              </w:rPr>
            </w:pPr>
            <w:r w:rsidRPr="00781112">
              <w:rPr>
                <w:rFonts w:cs="Arial"/>
                <w:b/>
                <w:color w:val="000000" w:themeColor="text1"/>
                <w:szCs w:val="16"/>
              </w:rPr>
              <w:t>2025</w:t>
            </w:r>
          </w:p>
        </w:tc>
      </w:tr>
      <w:tr w:rsidR="00B14519" w:rsidRPr="00781112" w14:paraId="18C73B9A" w14:textId="4A314190" w:rsidTr="00451D7E">
        <w:trPr>
          <w:trHeight w:val="340"/>
        </w:trPr>
        <w:tc>
          <w:tcPr>
            <w:tcW w:w="267" w:type="pct"/>
            <w:shd w:val="clear" w:color="auto" w:fill="auto"/>
            <w:vAlign w:val="center"/>
          </w:tcPr>
          <w:p w14:paraId="507B0BCD" w14:textId="415A5723" w:rsidR="00B14519" w:rsidRPr="00781112" w:rsidRDefault="00B14519" w:rsidP="00D62058">
            <w:pPr>
              <w:rPr>
                <w:rFonts w:cs="Arial"/>
                <w:color w:val="000000" w:themeColor="text1"/>
                <w:szCs w:val="16"/>
              </w:rPr>
            </w:pPr>
            <w:r w:rsidRPr="00781112">
              <w:rPr>
                <w:rFonts w:cs="Arial"/>
                <w:color w:val="000000" w:themeColor="text1"/>
                <w:szCs w:val="16"/>
              </w:rPr>
              <w:t>Target A1 &gt;=</w:t>
            </w:r>
          </w:p>
        </w:tc>
        <w:tc>
          <w:tcPr>
            <w:tcW w:w="901" w:type="pct"/>
            <w:shd w:val="clear" w:color="auto" w:fill="auto"/>
            <w:vAlign w:val="center"/>
          </w:tcPr>
          <w:p w14:paraId="1B809E80" w14:textId="23651174" w:rsidR="00B14519" w:rsidRPr="00781112" w:rsidRDefault="00B14519" w:rsidP="00D62058">
            <w:pPr>
              <w:jc w:val="center"/>
              <w:rPr>
                <w:color w:val="000000" w:themeColor="text1"/>
              </w:rPr>
            </w:pPr>
            <w:r w:rsidRPr="00781112">
              <w:rPr>
                <w:color w:val="000000" w:themeColor="text1"/>
              </w:rPr>
              <w:t>88.86%</w:t>
            </w:r>
          </w:p>
        </w:tc>
        <w:tc>
          <w:tcPr>
            <w:tcW w:w="958" w:type="pct"/>
            <w:vAlign w:val="center"/>
          </w:tcPr>
          <w:p w14:paraId="5EAD01EF" w14:textId="12066A13" w:rsidR="00B14519" w:rsidRPr="00781112" w:rsidRDefault="00B14519" w:rsidP="00D62058">
            <w:pPr>
              <w:jc w:val="center"/>
              <w:rPr>
                <w:color w:val="000000" w:themeColor="text1"/>
              </w:rPr>
            </w:pPr>
            <w:r w:rsidRPr="00781112">
              <w:rPr>
                <w:color w:val="000000" w:themeColor="text1"/>
                <w:szCs w:val="16"/>
              </w:rPr>
              <w:t>88.94%</w:t>
            </w:r>
          </w:p>
        </w:tc>
        <w:tc>
          <w:tcPr>
            <w:tcW w:w="958" w:type="pct"/>
            <w:vAlign w:val="center"/>
          </w:tcPr>
          <w:p w14:paraId="2E3018C0" w14:textId="3758E6A1" w:rsidR="00B14519" w:rsidRPr="00781112" w:rsidRDefault="00B14519" w:rsidP="00D62058">
            <w:pPr>
              <w:jc w:val="center"/>
              <w:rPr>
                <w:color w:val="000000" w:themeColor="text1"/>
              </w:rPr>
            </w:pPr>
            <w:r w:rsidRPr="00781112">
              <w:rPr>
                <w:color w:val="000000" w:themeColor="text1"/>
                <w:szCs w:val="16"/>
              </w:rPr>
              <w:t>89.02%</w:t>
            </w:r>
          </w:p>
        </w:tc>
        <w:tc>
          <w:tcPr>
            <w:tcW w:w="958" w:type="pct"/>
            <w:vAlign w:val="center"/>
          </w:tcPr>
          <w:p w14:paraId="063238F2" w14:textId="239B2312" w:rsidR="00B14519" w:rsidRPr="00781112" w:rsidRDefault="00B14519" w:rsidP="00D62058">
            <w:pPr>
              <w:jc w:val="center"/>
              <w:rPr>
                <w:color w:val="000000" w:themeColor="text1"/>
              </w:rPr>
            </w:pPr>
            <w:r w:rsidRPr="00781112">
              <w:rPr>
                <w:color w:val="000000" w:themeColor="text1"/>
                <w:szCs w:val="16"/>
              </w:rPr>
              <w:t>89.18%</w:t>
            </w:r>
          </w:p>
        </w:tc>
        <w:tc>
          <w:tcPr>
            <w:tcW w:w="958" w:type="pct"/>
            <w:vAlign w:val="center"/>
          </w:tcPr>
          <w:p w14:paraId="4FBF626C" w14:textId="574BC7A3" w:rsidR="00B14519" w:rsidRPr="00781112" w:rsidRDefault="00B14519" w:rsidP="00D62058">
            <w:pPr>
              <w:jc w:val="center"/>
              <w:rPr>
                <w:color w:val="000000" w:themeColor="text1"/>
              </w:rPr>
            </w:pPr>
            <w:r w:rsidRPr="00781112">
              <w:rPr>
                <w:color w:val="000000" w:themeColor="text1"/>
                <w:szCs w:val="16"/>
              </w:rPr>
              <w:t>89.50%</w:t>
            </w:r>
          </w:p>
        </w:tc>
      </w:tr>
      <w:tr w:rsidR="00B14519" w:rsidRPr="00781112" w14:paraId="7C704220" w14:textId="4A1FC69E" w:rsidTr="00451D7E">
        <w:trPr>
          <w:trHeight w:val="340"/>
        </w:trPr>
        <w:tc>
          <w:tcPr>
            <w:tcW w:w="267" w:type="pct"/>
            <w:shd w:val="clear" w:color="auto" w:fill="auto"/>
            <w:vAlign w:val="center"/>
          </w:tcPr>
          <w:p w14:paraId="253AADF0" w14:textId="721E9C65" w:rsidR="00B14519" w:rsidRPr="00781112" w:rsidRDefault="00B14519" w:rsidP="00D62058">
            <w:pPr>
              <w:rPr>
                <w:rFonts w:cs="Arial"/>
                <w:color w:val="000000" w:themeColor="text1"/>
                <w:szCs w:val="16"/>
              </w:rPr>
            </w:pPr>
            <w:r w:rsidRPr="00781112">
              <w:rPr>
                <w:rFonts w:cs="Arial"/>
                <w:color w:val="000000" w:themeColor="text1"/>
                <w:szCs w:val="16"/>
              </w:rPr>
              <w:t>Target A2 &gt;=</w:t>
            </w:r>
          </w:p>
        </w:tc>
        <w:tc>
          <w:tcPr>
            <w:tcW w:w="901" w:type="pct"/>
            <w:shd w:val="clear" w:color="auto" w:fill="auto"/>
            <w:vAlign w:val="center"/>
          </w:tcPr>
          <w:p w14:paraId="572F97E5" w14:textId="71E20118" w:rsidR="00B14519" w:rsidRPr="00781112" w:rsidRDefault="00B14519" w:rsidP="00D62058">
            <w:pPr>
              <w:jc w:val="center"/>
              <w:rPr>
                <w:rFonts w:cs="Arial"/>
                <w:color w:val="000000" w:themeColor="text1"/>
                <w:szCs w:val="16"/>
              </w:rPr>
            </w:pPr>
            <w:r w:rsidRPr="00781112">
              <w:rPr>
                <w:rFonts w:cs="Arial"/>
                <w:color w:val="000000" w:themeColor="text1"/>
                <w:szCs w:val="16"/>
              </w:rPr>
              <w:t>55.80%</w:t>
            </w:r>
          </w:p>
        </w:tc>
        <w:tc>
          <w:tcPr>
            <w:tcW w:w="958" w:type="pct"/>
            <w:vAlign w:val="center"/>
          </w:tcPr>
          <w:p w14:paraId="40137C22" w14:textId="775C9D4C" w:rsidR="00B14519" w:rsidRPr="00781112" w:rsidRDefault="00B14519" w:rsidP="00D62058">
            <w:pPr>
              <w:jc w:val="center"/>
              <w:rPr>
                <w:rFonts w:cs="Arial"/>
                <w:color w:val="000000" w:themeColor="text1"/>
                <w:szCs w:val="16"/>
              </w:rPr>
            </w:pPr>
            <w:r w:rsidRPr="00781112">
              <w:rPr>
                <w:color w:val="000000" w:themeColor="text1"/>
                <w:szCs w:val="16"/>
              </w:rPr>
              <w:t>56.33%</w:t>
            </w:r>
          </w:p>
        </w:tc>
        <w:tc>
          <w:tcPr>
            <w:tcW w:w="958" w:type="pct"/>
            <w:vAlign w:val="center"/>
          </w:tcPr>
          <w:p w14:paraId="468DEAEF" w14:textId="0B21BE62" w:rsidR="00B14519" w:rsidRPr="00781112" w:rsidRDefault="00B14519" w:rsidP="00D62058">
            <w:pPr>
              <w:jc w:val="center"/>
              <w:rPr>
                <w:rFonts w:cs="Arial"/>
                <w:color w:val="000000" w:themeColor="text1"/>
                <w:szCs w:val="16"/>
              </w:rPr>
            </w:pPr>
            <w:r w:rsidRPr="00781112">
              <w:rPr>
                <w:color w:val="000000" w:themeColor="text1"/>
                <w:szCs w:val="16"/>
              </w:rPr>
              <w:t>56.85%</w:t>
            </w:r>
          </w:p>
        </w:tc>
        <w:tc>
          <w:tcPr>
            <w:tcW w:w="958" w:type="pct"/>
            <w:vAlign w:val="center"/>
          </w:tcPr>
          <w:p w14:paraId="4D7AB0B5" w14:textId="5F153351" w:rsidR="00B14519" w:rsidRPr="00781112" w:rsidRDefault="00B14519" w:rsidP="00D62058">
            <w:pPr>
              <w:jc w:val="center"/>
              <w:rPr>
                <w:rFonts w:cs="Arial"/>
                <w:color w:val="000000" w:themeColor="text1"/>
                <w:szCs w:val="16"/>
              </w:rPr>
            </w:pPr>
            <w:r w:rsidRPr="00781112">
              <w:rPr>
                <w:color w:val="000000" w:themeColor="text1"/>
                <w:szCs w:val="16"/>
              </w:rPr>
              <w:t>57.90%</w:t>
            </w:r>
          </w:p>
        </w:tc>
        <w:tc>
          <w:tcPr>
            <w:tcW w:w="958" w:type="pct"/>
            <w:vAlign w:val="center"/>
          </w:tcPr>
          <w:p w14:paraId="76DA0071" w14:textId="5377DF32" w:rsidR="00B14519" w:rsidRPr="00781112" w:rsidRDefault="00B14519" w:rsidP="00D62058">
            <w:pPr>
              <w:jc w:val="center"/>
              <w:rPr>
                <w:rFonts w:cs="Arial"/>
                <w:color w:val="000000" w:themeColor="text1"/>
                <w:szCs w:val="16"/>
              </w:rPr>
            </w:pPr>
            <w:r w:rsidRPr="00781112">
              <w:rPr>
                <w:color w:val="000000" w:themeColor="text1"/>
                <w:szCs w:val="16"/>
              </w:rPr>
              <w:t>60.00%</w:t>
            </w:r>
          </w:p>
        </w:tc>
      </w:tr>
      <w:tr w:rsidR="00B14519" w:rsidRPr="00781112" w14:paraId="6D44D644" w14:textId="2AAE55F2" w:rsidTr="00451D7E">
        <w:trPr>
          <w:trHeight w:val="340"/>
        </w:trPr>
        <w:tc>
          <w:tcPr>
            <w:tcW w:w="267" w:type="pct"/>
            <w:shd w:val="clear" w:color="auto" w:fill="auto"/>
            <w:vAlign w:val="center"/>
          </w:tcPr>
          <w:p w14:paraId="2E46543E" w14:textId="484E799D" w:rsidR="00B14519" w:rsidRPr="00781112" w:rsidRDefault="00B14519" w:rsidP="00D62058">
            <w:pPr>
              <w:rPr>
                <w:rFonts w:cs="Arial"/>
                <w:color w:val="000000" w:themeColor="text1"/>
                <w:szCs w:val="16"/>
              </w:rPr>
            </w:pPr>
            <w:r w:rsidRPr="00781112">
              <w:rPr>
                <w:rFonts w:cs="Arial"/>
                <w:color w:val="000000" w:themeColor="text1"/>
                <w:szCs w:val="16"/>
              </w:rPr>
              <w:t>Target B1 &gt;=</w:t>
            </w:r>
          </w:p>
        </w:tc>
        <w:tc>
          <w:tcPr>
            <w:tcW w:w="901" w:type="pct"/>
            <w:shd w:val="clear" w:color="auto" w:fill="auto"/>
            <w:vAlign w:val="center"/>
          </w:tcPr>
          <w:p w14:paraId="5B1AAB6F" w14:textId="09987858" w:rsidR="00B14519" w:rsidRPr="00781112" w:rsidRDefault="00B14519" w:rsidP="00D62058">
            <w:pPr>
              <w:jc w:val="center"/>
              <w:rPr>
                <w:rFonts w:cs="Arial"/>
                <w:color w:val="000000" w:themeColor="text1"/>
                <w:szCs w:val="16"/>
              </w:rPr>
            </w:pPr>
            <w:r w:rsidRPr="00781112">
              <w:rPr>
                <w:rFonts w:cs="Arial"/>
                <w:color w:val="000000" w:themeColor="text1"/>
                <w:szCs w:val="16"/>
              </w:rPr>
              <w:t>88.41%</w:t>
            </w:r>
          </w:p>
        </w:tc>
        <w:tc>
          <w:tcPr>
            <w:tcW w:w="958" w:type="pct"/>
            <w:vAlign w:val="center"/>
          </w:tcPr>
          <w:p w14:paraId="7D23F948" w14:textId="1533C8CE" w:rsidR="00B14519" w:rsidRPr="00781112" w:rsidRDefault="00B14519" w:rsidP="00D62058">
            <w:pPr>
              <w:jc w:val="center"/>
              <w:rPr>
                <w:rFonts w:cs="Arial"/>
                <w:color w:val="000000" w:themeColor="text1"/>
                <w:szCs w:val="16"/>
              </w:rPr>
            </w:pPr>
            <w:r w:rsidRPr="00781112">
              <w:rPr>
                <w:color w:val="000000" w:themeColor="text1"/>
                <w:szCs w:val="16"/>
              </w:rPr>
              <w:t>88.73%</w:t>
            </w:r>
          </w:p>
        </w:tc>
        <w:tc>
          <w:tcPr>
            <w:tcW w:w="958" w:type="pct"/>
            <w:vAlign w:val="center"/>
          </w:tcPr>
          <w:p w14:paraId="681F2D39" w14:textId="3BA1761B" w:rsidR="00B14519" w:rsidRPr="00781112" w:rsidRDefault="00B14519" w:rsidP="00D62058">
            <w:pPr>
              <w:jc w:val="center"/>
              <w:rPr>
                <w:rFonts w:cs="Arial"/>
                <w:color w:val="000000" w:themeColor="text1"/>
                <w:szCs w:val="16"/>
              </w:rPr>
            </w:pPr>
            <w:r w:rsidRPr="00781112">
              <w:rPr>
                <w:color w:val="000000" w:themeColor="text1"/>
                <w:szCs w:val="16"/>
              </w:rPr>
              <w:t>89.06%</w:t>
            </w:r>
          </w:p>
        </w:tc>
        <w:tc>
          <w:tcPr>
            <w:tcW w:w="958" w:type="pct"/>
            <w:vAlign w:val="center"/>
          </w:tcPr>
          <w:p w14:paraId="0F16DD78" w14:textId="0278257D" w:rsidR="00B14519" w:rsidRPr="00781112" w:rsidRDefault="00B14519" w:rsidP="00D62058">
            <w:pPr>
              <w:jc w:val="center"/>
              <w:rPr>
                <w:rFonts w:cs="Arial"/>
                <w:color w:val="000000" w:themeColor="text1"/>
                <w:szCs w:val="16"/>
              </w:rPr>
            </w:pPr>
            <w:r w:rsidRPr="00781112">
              <w:rPr>
                <w:color w:val="000000" w:themeColor="text1"/>
                <w:szCs w:val="16"/>
              </w:rPr>
              <w:t>89.71%</w:t>
            </w:r>
          </w:p>
        </w:tc>
        <w:tc>
          <w:tcPr>
            <w:tcW w:w="958" w:type="pct"/>
            <w:vAlign w:val="center"/>
          </w:tcPr>
          <w:p w14:paraId="7B3AFE6F" w14:textId="6724BF4D" w:rsidR="00B14519" w:rsidRPr="00781112" w:rsidRDefault="00B14519" w:rsidP="00D62058">
            <w:pPr>
              <w:jc w:val="center"/>
              <w:rPr>
                <w:rFonts w:cs="Arial"/>
                <w:color w:val="000000" w:themeColor="text1"/>
                <w:szCs w:val="16"/>
              </w:rPr>
            </w:pPr>
            <w:r w:rsidRPr="00781112">
              <w:rPr>
                <w:color w:val="000000" w:themeColor="text1"/>
                <w:szCs w:val="16"/>
              </w:rPr>
              <w:t>91.00%</w:t>
            </w:r>
          </w:p>
        </w:tc>
      </w:tr>
      <w:tr w:rsidR="00B14519" w:rsidRPr="00781112" w14:paraId="23425CD0" w14:textId="2D15C5CA" w:rsidTr="00451D7E">
        <w:trPr>
          <w:trHeight w:val="340"/>
        </w:trPr>
        <w:tc>
          <w:tcPr>
            <w:tcW w:w="267" w:type="pct"/>
            <w:shd w:val="clear" w:color="auto" w:fill="auto"/>
            <w:vAlign w:val="center"/>
          </w:tcPr>
          <w:p w14:paraId="7DAA620C" w14:textId="6D6F79FD" w:rsidR="00B14519" w:rsidRPr="00781112" w:rsidRDefault="00B14519" w:rsidP="00D62058">
            <w:pPr>
              <w:rPr>
                <w:rFonts w:cs="Arial"/>
                <w:color w:val="000000" w:themeColor="text1"/>
                <w:szCs w:val="16"/>
              </w:rPr>
            </w:pPr>
            <w:r w:rsidRPr="00781112">
              <w:rPr>
                <w:rFonts w:cs="Arial"/>
                <w:color w:val="000000" w:themeColor="text1"/>
                <w:szCs w:val="16"/>
              </w:rPr>
              <w:t>Target B2 &gt;=</w:t>
            </w:r>
          </w:p>
        </w:tc>
        <w:tc>
          <w:tcPr>
            <w:tcW w:w="901" w:type="pct"/>
            <w:shd w:val="clear" w:color="auto" w:fill="auto"/>
            <w:vAlign w:val="center"/>
          </w:tcPr>
          <w:p w14:paraId="0C8065AA" w14:textId="2AC4B20C" w:rsidR="00B14519" w:rsidRPr="00781112" w:rsidRDefault="00B14519" w:rsidP="00D62058">
            <w:pPr>
              <w:jc w:val="center"/>
              <w:rPr>
                <w:rFonts w:cs="Arial"/>
                <w:color w:val="000000" w:themeColor="text1"/>
                <w:szCs w:val="16"/>
              </w:rPr>
            </w:pPr>
            <w:r w:rsidRPr="00781112">
              <w:rPr>
                <w:rFonts w:cs="Arial"/>
                <w:color w:val="000000" w:themeColor="text1"/>
                <w:szCs w:val="16"/>
              </w:rPr>
              <w:t>48.48%</w:t>
            </w:r>
          </w:p>
        </w:tc>
        <w:tc>
          <w:tcPr>
            <w:tcW w:w="958" w:type="pct"/>
            <w:vAlign w:val="center"/>
          </w:tcPr>
          <w:p w14:paraId="3751A50F" w14:textId="3383D4A8" w:rsidR="00B14519" w:rsidRPr="00781112" w:rsidRDefault="00B14519" w:rsidP="00D62058">
            <w:pPr>
              <w:jc w:val="center"/>
              <w:rPr>
                <w:rFonts w:cs="Arial"/>
                <w:color w:val="000000" w:themeColor="text1"/>
                <w:szCs w:val="16"/>
              </w:rPr>
            </w:pPr>
            <w:r w:rsidRPr="00781112">
              <w:rPr>
                <w:color w:val="000000" w:themeColor="text1"/>
                <w:szCs w:val="16"/>
              </w:rPr>
              <w:t>48.80%</w:t>
            </w:r>
          </w:p>
        </w:tc>
        <w:tc>
          <w:tcPr>
            <w:tcW w:w="958" w:type="pct"/>
            <w:vAlign w:val="center"/>
          </w:tcPr>
          <w:p w14:paraId="5235FFA6" w14:textId="4138DEB0" w:rsidR="00B14519" w:rsidRPr="00781112" w:rsidRDefault="00B14519" w:rsidP="00D62058">
            <w:pPr>
              <w:jc w:val="center"/>
              <w:rPr>
                <w:rFonts w:cs="Arial"/>
                <w:color w:val="000000" w:themeColor="text1"/>
                <w:szCs w:val="16"/>
              </w:rPr>
            </w:pPr>
            <w:r w:rsidRPr="00781112">
              <w:rPr>
                <w:color w:val="000000" w:themeColor="text1"/>
                <w:szCs w:val="16"/>
              </w:rPr>
              <w:t>49.11%</w:t>
            </w:r>
          </w:p>
        </w:tc>
        <w:tc>
          <w:tcPr>
            <w:tcW w:w="958" w:type="pct"/>
            <w:vAlign w:val="center"/>
          </w:tcPr>
          <w:p w14:paraId="7C9D5CEA" w14:textId="1B842876" w:rsidR="00B14519" w:rsidRPr="00781112" w:rsidRDefault="00B14519" w:rsidP="00D62058">
            <w:pPr>
              <w:jc w:val="center"/>
              <w:rPr>
                <w:rFonts w:cs="Arial"/>
                <w:color w:val="000000" w:themeColor="text1"/>
                <w:szCs w:val="16"/>
              </w:rPr>
            </w:pPr>
            <w:r w:rsidRPr="00781112">
              <w:rPr>
                <w:color w:val="000000" w:themeColor="text1"/>
                <w:szCs w:val="16"/>
              </w:rPr>
              <w:t>49.74%</w:t>
            </w:r>
          </w:p>
        </w:tc>
        <w:tc>
          <w:tcPr>
            <w:tcW w:w="958" w:type="pct"/>
            <w:vAlign w:val="center"/>
          </w:tcPr>
          <w:p w14:paraId="3C028680" w14:textId="00A3EDF9" w:rsidR="00B14519" w:rsidRPr="00781112" w:rsidRDefault="00B14519" w:rsidP="00D62058">
            <w:pPr>
              <w:jc w:val="center"/>
              <w:rPr>
                <w:rFonts w:cs="Arial"/>
                <w:color w:val="000000" w:themeColor="text1"/>
                <w:szCs w:val="16"/>
              </w:rPr>
            </w:pPr>
            <w:r w:rsidRPr="00781112">
              <w:rPr>
                <w:color w:val="000000" w:themeColor="text1"/>
                <w:szCs w:val="16"/>
              </w:rPr>
              <w:t>51.00%</w:t>
            </w:r>
          </w:p>
        </w:tc>
      </w:tr>
      <w:tr w:rsidR="00B14519" w:rsidRPr="00781112" w14:paraId="3A0A624F" w14:textId="2DA1E496" w:rsidTr="00451D7E">
        <w:trPr>
          <w:trHeight w:val="340"/>
        </w:trPr>
        <w:tc>
          <w:tcPr>
            <w:tcW w:w="267" w:type="pct"/>
            <w:shd w:val="clear" w:color="auto" w:fill="auto"/>
            <w:vAlign w:val="center"/>
          </w:tcPr>
          <w:p w14:paraId="04DCCFAA" w14:textId="5591B965" w:rsidR="00B14519" w:rsidRPr="00781112" w:rsidRDefault="00B14519" w:rsidP="00D62058">
            <w:pPr>
              <w:rPr>
                <w:rFonts w:cs="Arial"/>
                <w:color w:val="000000" w:themeColor="text1"/>
                <w:szCs w:val="16"/>
              </w:rPr>
            </w:pPr>
            <w:r w:rsidRPr="00781112">
              <w:rPr>
                <w:rFonts w:cs="Arial"/>
                <w:color w:val="000000" w:themeColor="text1"/>
                <w:szCs w:val="16"/>
              </w:rPr>
              <w:t>Target C1 &gt;=</w:t>
            </w:r>
          </w:p>
        </w:tc>
        <w:tc>
          <w:tcPr>
            <w:tcW w:w="901" w:type="pct"/>
            <w:shd w:val="clear" w:color="auto" w:fill="auto"/>
            <w:vAlign w:val="center"/>
          </w:tcPr>
          <w:p w14:paraId="26176209" w14:textId="03FEA13C" w:rsidR="00B14519" w:rsidRPr="00781112" w:rsidRDefault="00B14519" w:rsidP="00D62058">
            <w:pPr>
              <w:jc w:val="center"/>
              <w:rPr>
                <w:rFonts w:cs="Arial"/>
                <w:color w:val="000000" w:themeColor="text1"/>
                <w:szCs w:val="16"/>
              </w:rPr>
            </w:pPr>
            <w:r w:rsidRPr="00781112">
              <w:rPr>
                <w:rFonts w:cs="Arial"/>
                <w:color w:val="000000" w:themeColor="text1"/>
                <w:szCs w:val="16"/>
              </w:rPr>
              <w:t>89.86%</w:t>
            </w:r>
          </w:p>
        </w:tc>
        <w:tc>
          <w:tcPr>
            <w:tcW w:w="958" w:type="pct"/>
            <w:vAlign w:val="center"/>
          </w:tcPr>
          <w:p w14:paraId="36CB20B0" w14:textId="212CC3E5" w:rsidR="00B14519" w:rsidRPr="00781112" w:rsidRDefault="00B14519" w:rsidP="00D62058">
            <w:pPr>
              <w:jc w:val="center"/>
              <w:rPr>
                <w:rFonts w:cs="Arial"/>
                <w:color w:val="000000" w:themeColor="text1"/>
                <w:szCs w:val="16"/>
              </w:rPr>
            </w:pPr>
            <w:r w:rsidRPr="00781112">
              <w:rPr>
                <w:color w:val="000000" w:themeColor="text1"/>
                <w:szCs w:val="16"/>
              </w:rPr>
              <w:t>90.00%</w:t>
            </w:r>
          </w:p>
        </w:tc>
        <w:tc>
          <w:tcPr>
            <w:tcW w:w="958" w:type="pct"/>
            <w:vAlign w:val="center"/>
          </w:tcPr>
          <w:p w14:paraId="29B1E3BE" w14:textId="0FFFD561" w:rsidR="00B14519" w:rsidRPr="00781112" w:rsidRDefault="00B14519" w:rsidP="00D62058">
            <w:pPr>
              <w:jc w:val="center"/>
              <w:rPr>
                <w:rFonts w:cs="Arial"/>
                <w:color w:val="000000" w:themeColor="text1"/>
                <w:szCs w:val="16"/>
              </w:rPr>
            </w:pPr>
            <w:r w:rsidRPr="00781112">
              <w:rPr>
                <w:color w:val="000000" w:themeColor="text1"/>
                <w:szCs w:val="16"/>
              </w:rPr>
              <w:t>90.15%</w:t>
            </w:r>
          </w:p>
        </w:tc>
        <w:tc>
          <w:tcPr>
            <w:tcW w:w="958" w:type="pct"/>
            <w:vAlign w:val="center"/>
          </w:tcPr>
          <w:p w14:paraId="287AC7C4" w14:textId="5C0E3064" w:rsidR="00B14519" w:rsidRPr="00781112" w:rsidRDefault="00B14519" w:rsidP="00D62058">
            <w:pPr>
              <w:jc w:val="center"/>
              <w:rPr>
                <w:rFonts w:cs="Arial"/>
                <w:color w:val="000000" w:themeColor="text1"/>
                <w:szCs w:val="16"/>
              </w:rPr>
            </w:pPr>
            <w:r w:rsidRPr="00781112">
              <w:rPr>
                <w:color w:val="000000" w:themeColor="text1"/>
                <w:szCs w:val="16"/>
              </w:rPr>
              <w:t>90.43%</w:t>
            </w:r>
          </w:p>
        </w:tc>
        <w:tc>
          <w:tcPr>
            <w:tcW w:w="958" w:type="pct"/>
            <w:vAlign w:val="center"/>
          </w:tcPr>
          <w:p w14:paraId="094E7895" w14:textId="27006BDD" w:rsidR="00B14519" w:rsidRPr="00781112" w:rsidRDefault="00B14519" w:rsidP="00D62058">
            <w:pPr>
              <w:jc w:val="center"/>
              <w:rPr>
                <w:rFonts w:cs="Arial"/>
                <w:color w:val="000000" w:themeColor="text1"/>
                <w:szCs w:val="16"/>
              </w:rPr>
            </w:pPr>
            <w:r w:rsidRPr="00781112">
              <w:rPr>
                <w:color w:val="000000" w:themeColor="text1"/>
                <w:szCs w:val="16"/>
              </w:rPr>
              <w:t>91.00%</w:t>
            </w:r>
          </w:p>
        </w:tc>
      </w:tr>
      <w:tr w:rsidR="00B14519" w:rsidRPr="00781112" w14:paraId="7FD0F8D0" w14:textId="6F160F3D" w:rsidTr="00451D7E">
        <w:trPr>
          <w:trHeight w:val="340"/>
        </w:trPr>
        <w:tc>
          <w:tcPr>
            <w:tcW w:w="267" w:type="pct"/>
            <w:shd w:val="clear" w:color="auto" w:fill="auto"/>
            <w:vAlign w:val="center"/>
          </w:tcPr>
          <w:p w14:paraId="16DEC104" w14:textId="6A28B34F" w:rsidR="00B14519" w:rsidRPr="00781112" w:rsidRDefault="00B14519" w:rsidP="00AD5583">
            <w:pPr>
              <w:rPr>
                <w:rFonts w:cs="Arial"/>
                <w:color w:val="000000" w:themeColor="text1"/>
                <w:szCs w:val="16"/>
              </w:rPr>
            </w:pPr>
            <w:r w:rsidRPr="00781112">
              <w:rPr>
                <w:rFonts w:cs="Arial"/>
                <w:color w:val="000000" w:themeColor="text1"/>
                <w:szCs w:val="16"/>
              </w:rPr>
              <w:t>Target C2 &gt;=</w:t>
            </w:r>
          </w:p>
        </w:tc>
        <w:tc>
          <w:tcPr>
            <w:tcW w:w="901" w:type="pct"/>
            <w:shd w:val="clear" w:color="auto" w:fill="auto"/>
            <w:vAlign w:val="center"/>
          </w:tcPr>
          <w:p w14:paraId="7A9F674E" w14:textId="54CCEACA" w:rsidR="00B14519" w:rsidRPr="00781112" w:rsidRDefault="00B14519" w:rsidP="00AD5583">
            <w:pPr>
              <w:jc w:val="center"/>
              <w:rPr>
                <w:rFonts w:cs="Arial"/>
                <w:color w:val="000000" w:themeColor="text1"/>
                <w:szCs w:val="16"/>
              </w:rPr>
            </w:pPr>
            <w:r w:rsidRPr="00781112">
              <w:rPr>
                <w:rFonts w:cs="Arial"/>
                <w:color w:val="000000" w:themeColor="text1"/>
                <w:szCs w:val="16"/>
              </w:rPr>
              <w:t>66.44%</w:t>
            </w:r>
          </w:p>
        </w:tc>
        <w:tc>
          <w:tcPr>
            <w:tcW w:w="958" w:type="pct"/>
            <w:vAlign w:val="center"/>
          </w:tcPr>
          <w:p w14:paraId="1A528F77" w14:textId="13F14B9B" w:rsidR="00B14519" w:rsidRPr="00781112" w:rsidRDefault="00B14519" w:rsidP="00AD5583">
            <w:pPr>
              <w:jc w:val="center"/>
              <w:rPr>
                <w:rFonts w:cs="Arial"/>
                <w:color w:val="000000" w:themeColor="text1"/>
                <w:szCs w:val="16"/>
              </w:rPr>
            </w:pPr>
            <w:r w:rsidRPr="00781112">
              <w:rPr>
                <w:color w:val="000000" w:themeColor="text1"/>
                <w:szCs w:val="16"/>
              </w:rPr>
              <w:t>67.01%</w:t>
            </w:r>
          </w:p>
          <w:p w14:paraId="3C5378CB" w14:textId="5A59E833" w:rsidR="00B14519" w:rsidRPr="00781112" w:rsidRDefault="00B14519" w:rsidP="00AD5583">
            <w:pPr>
              <w:jc w:val="center"/>
              <w:rPr>
                <w:rFonts w:cs="Arial"/>
                <w:color w:val="000000" w:themeColor="text1"/>
                <w:szCs w:val="16"/>
              </w:rPr>
            </w:pPr>
          </w:p>
        </w:tc>
        <w:tc>
          <w:tcPr>
            <w:tcW w:w="958" w:type="pct"/>
            <w:vAlign w:val="center"/>
          </w:tcPr>
          <w:p w14:paraId="694DD14B" w14:textId="0FC2BAFA" w:rsidR="00B14519" w:rsidRPr="00781112" w:rsidRDefault="00B14519" w:rsidP="00AD5583">
            <w:pPr>
              <w:jc w:val="center"/>
              <w:rPr>
                <w:rFonts w:cs="Arial"/>
                <w:color w:val="000000" w:themeColor="text1"/>
                <w:szCs w:val="16"/>
              </w:rPr>
            </w:pPr>
            <w:r w:rsidRPr="00781112">
              <w:rPr>
                <w:color w:val="000000" w:themeColor="text1"/>
                <w:szCs w:val="16"/>
              </w:rPr>
              <w:t>67.58%</w:t>
            </w:r>
          </w:p>
        </w:tc>
        <w:tc>
          <w:tcPr>
            <w:tcW w:w="958" w:type="pct"/>
            <w:vAlign w:val="center"/>
          </w:tcPr>
          <w:p w14:paraId="69632A5F" w14:textId="59530F4E" w:rsidR="00B14519" w:rsidRPr="00781112" w:rsidRDefault="00B14519" w:rsidP="00AD5583">
            <w:pPr>
              <w:jc w:val="center"/>
              <w:rPr>
                <w:rFonts w:cs="Arial"/>
                <w:color w:val="000000" w:themeColor="text1"/>
                <w:szCs w:val="16"/>
              </w:rPr>
            </w:pPr>
            <w:r w:rsidRPr="00781112">
              <w:rPr>
                <w:color w:val="000000" w:themeColor="text1"/>
                <w:szCs w:val="16"/>
              </w:rPr>
              <w:t>68.72%</w:t>
            </w:r>
          </w:p>
        </w:tc>
        <w:tc>
          <w:tcPr>
            <w:tcW w:w="958" w:type="pct"/>
            <w:vAlign w:val="center"/>
          </w:tcPr>
          <w:p w14:paraId="1C5D6F95" w14:textId="3D16D545" w:rsidR="00B14519" w:rsidRPr="00781112" w:rsidRDefault="00B14519" w:rsidP="00AD5583">
            <w:pPr>
              <w:jc w:val="center"/>
              <w:rPr>
                <w:rFonts w:cs="Arial"/>
                <w:color w:val="000000" w:themeColor="text1"/>
                <w:szCs w:val="16"/>
              </w:rPr>
            </w:pPr>
            <w:r w:rsidRPr="00781112">
              <w:rPr>
                <w:color w:val="000000" w:themeColor="text1"/>
                <w:szCs w:val="16"/>
              </w:rPr>
              <w:t>71.00%</w:t>
            </w:r>
          </w:p>
        </w:tc>
      </w:tr>
    </w:tbl>
    <w:p w14:paraId="49CD323A" w14:textId="0F9742B3" w:rsidR="002D145D" w:rsidRPr="00781112" w:rsidRDefault="002D145D" w:rsidP="004369B2">
      <w:pPr>
        <w:rPr>
          <w:b/>
          <w:color w:val="000000" w:themeColor="text1"/>
        </w:rPr>
      </w:pPr>
      <w:r w:rsidRPr="00781112">
        <w:rPr>
          <w:b/>
          <w:color w:val="000000" w:themeColor="text1"/>
        </w:rPr>
        <w:t xml:space="preserve">Targets: Description of Stakeholder Input </w:t>
      </w:r>
    </w:p>
    <w:p w14:paraId="600CB488" w14:textId="412B2B81" w:rsidR="002D145D" w:rsidRPr="00781112" w:rsidRDefault="002B7490" w:rsidP="002D145D">
      <w:pPr>
        <w:rPr>
          <w:rFonts w:cs="Arial"/>
          <w:color w:val="000000" w:themeColor="text1"/>
          <w:szCs w:val="16"/>
        </w:rPr>
      </w:pPr>
      <w:r w:rsidRPr="00781112">
        <w:rPr>
          <w:rFonts w:cs="Arial"/>
          <w:color w:val="000000" w:themeColor="text1"/>
          <w:szCs w:val="16"/>
        </w:rPr>
        <w:t>The USBE SES values stakeholder engagement and input and solicits ongoing feedback and review. Stakeholders consistently provide input through collaborative meetings, public comment, written communication, survey data, data analysis, and informal conversations. To share data and information and collect feedback on areas such as SPP/APR targets, the USBE SES employs meetings, newsletters, emails, surveys, and social media with stakeholder groups:</w:t>
      </w:r>
      <w:r w:rsidRPr="00781112">
        <w:rPr>
          <w:rFonts w:cs="Arial"/>
          <w:color w:val="000000" w:themeColor="text1"/>
          <w:szCs w:val="16"/>
        </w:rPr>
        <w:br/>
        <w:t>• LEA Special Education Directors</w:t>
      </w:r>
      <w:r w:rsidRPr="00781112">
        <w:rPr>
          <w:rFonts w:cs="Arial"/>
          <w:color w:val="000000" w:themeColor="text1"/>
          <w:szCs w:val="16"/>
        </w:rPr>
        <w:br/>
        <w:t>• Utah Special Education Advisory Panel (USEAP)</w:t>
      </w:r>
      <w:r w:rsidRPr="00781112">
        <w:rPr>
          <w:rFonts w:cs="Arial"/>
          <w:color w:val="000000" w:themeColor="text1"/>
          <w:szCs w:val="16"/>
        </w:rPr>
        <w:br/>
        <w:t>• USBE Committees</w:t>
      </w:r>
      <w:r w:rsidRPr="00781112">
        <w:rPr>
          <w:rFonts w:cs="Arial"/>
          <w:color w:val="000000" w:themeColor="text1"/>
          <w:szCs w:val="16"/>
        </w:rPr>
        <w:br/>
        <w:t>• Utah Legislative Committees</w:t>
      </w:r>
      <w:r w:rsidRPr="00781112">
        <w:rPr>
          <w:rFonts w:cs="Arial"/>
          <w:color w:val="000000" w:themeColor="text1"/>
          <w:szCs w:val="16"/>
        </w:rPr>
        <w:br/>
        <w:t>• Utah Parent Center (UPC)</w:t>
      </w:r>
      <w:r w:rsidRPr="00781112">
        <w:rPr>
          <w:rFonts w:cs="Arial"/>
          <w:color w:val="000000" w:themeColor="text1"/>
          <w:szCs w:val="16"/>
        </w:rPr>
        <w:br/>
        <w:t>• LEA Curriculum and Assessment Directors</w:t>
      </w:r>
      <w:r w:rsidRPr="00781112">
        <w:rPr>
          <w:rFonts w:cs="Arial"/>
          <w:color w:val="000000" w:themeColor="text1"/>
          <w:szCs w:val="16"/>
        </w:rPr>
        <w:br/>
        <w:t>• LEA Preschool Coordinators</w:t>
      </w:r>
      <w:r w:rsidRPr="00781112">
        <w:rPr>
          <w:rFonts w:cs="Arial"/>
          <w:color w:val="000000" w:themeColor="text1"/>
          <w:szCs w:val="16"/>
        </w:rPr>
        <w:br/>
        <w:t>• LEA Administrators</w:t>
      </w:r>
      <w:r w:rsidRPr="00781112">
        <w:rPr>
          <w:rFonts w:cs="Arial"/>
          <w:color w:val="000000" w:themeColor="text1"/>
          <w:szCs w:val="16"/>
        </w:rPr>
        <w:br/>
        <w:t>•Utah Institutes of Higher Education (IHEs)</w:t>
      </w:r>
      <w:r w:rsidRPr="00781112">
        <w:rPr>
          <w:rFonts w:cs="Arial"/>
          <w:color w:val="000000" w:themeColor="text1"/>
          <w:szCs w:val="16"/>
        </w:rPr>
        <w:br/>
        <w:t>• Baby Watch/Early Intervention (Utah’s Part C agency)</w:t>
      </w:r>
      <w:r w:rsidRPr="00781112">
        <w:rPr>
          <w:rFonts w:cs="Arial"/>
          <w:color w:val="000000" w:themeColor="text1"/>
          <w:szCs w:val="16"/>
        </w:rPr>
        <w:br/>
        <w:t>• Agencies and non-profit organizations that provide services to SWD</w:t>
      </w:r>
      <w:r w:rsidRPr="00781112">
        <w:rPr>
          <w:rFonts w:cs="Arial"/>
          <w:color w:val="000000" w:themeColor="text1"/>
          <w:szCs w:val="16"/>
        </w:rPr>
        <w:br/>
        <w:t>• Utah Educators</w:t>
      </w:r>
      <w:r w:rsidRPr="00781112">
        <w:rPr>
          <w:rFonts w:cs="Arial"/>
          <w:color w:val="000000" w:themeColor="text1"/>
          <w:szCs w:val="16"/>
        </w:rPr>
        <w:br/>
        <w:t>• Advocacy groups throughout the State</w:t>
      </w:r>
      <w:r w:rsidRPr="00781112">
        <w:rPr>
          <w:rFonts w:cs="Arial"/>
          <w:color w:val="000000" w:themeColor="text1"/>
          <w:szCs w:val="16"/>
        </w:rPr>
        <w:br/>
        <w:t>During FFY 2021, no changes were made to the SPP/APR targets. The USBE SES reviewed the progress of the implementation of the Theory of Action for the SSIP and SPP/APR data with USEAM, USEAP, and the Coordinating Council for People with Disabilities (CCPD) (which includes all state agencies that serve individuals with disabilities and all nonprofit organizations that receive any state funding and/or grants).</w:t>
      </w:r>
      <w:r w:rsidRPr="00781112">
        <w:rPr>
          <w:rFonts w:cs="Arial"/>
          <w:color w:val="000000" w:themeColor="text1"/>
          <w:szCs w:val="16"/>
        </w:rPr>
        <w:br/>
        <w:t>The APR summit was held virtually on July 30, 2021. Over 100 participants attended from the stakeholder groups and those with individual interests. Participants reviewed data and projections for the State in 2025–2026. Participants were provided with an overview of the advantages and disadvantages of predictive models as well as an overview of the mindset for target-setting. Participants were asked to select the end targets (2025–2026) for indicators. The USBE SES would then calculate intervening targets between FFY 2020 and FFY 2025 whereby there would be no increase in the target the first year, followed by small increases, then large increases near the end. This is to allow enough time for LEAs to implement initiatives and change practices to realistically meet targets along their way to the rigorous end targets. After this overview, participants determined challenging and achievable end targets. The USBE SES calculated intervening targets and shared these intervening targets with the participants and additional stakeholders to get final approval for all the targets.</w:t>
      </w:r>
      <w:r w:rsidRPr="00781112">
        <w:rPr>
          <w:rFonts w:cs="Arial"/>
          <w:color w:val="000000" w:themeColor="text1"/>
          <w:szCs w:val="16"/>
        </w:rPr>
        <w:br/>
        <w:t>A survey was sent out and 101 individuals participated. Most participants identified as white females in suburban parts of Utah. American Indian/Native Alaskan, Hispanic/Latino, and individuals who identified as multiracial also participated. As a result of this additional feedback, the USBE SES revised Indicator 5 targets to maintain rigor and develop reasonable targets manageable by the LEAs. Targets for all indicators were developed after review of historical indicator and trend data, recommendations from the USBE statistician, the impact of COVID-19, APR summit and APR survey review. All targets were subsequently reviewed and adopted by USBE staff, USEAP, and LEAs. OSEP approved SPP/APR targets in the FFY 2020 SPP/APR.</w:t>
      </w:r>
      <w:r w:rsidRPr="00781112">
        <w:rPr>
          <w:rFonts w:cs="Arial"/>
          <w:color w:val="000000" w:themeColor="text1"/>
          <w:szCs w:val="16"/>
        </w:rPr>
        <w:br/>
        <w:t>During FFY 2021, the SPP/APR and SSIP were discussed regularly with LEA special education directors, USEAP, UPC, the state Parent Teacher Association (PTA), and other parent groups focused on inclusionary practices in Utah schools. Regular meetings are held with all these groups typically on a quarterly basis. Emails, phone calls, and in-person meetings provide for informal opportunities to gain insight and adjust.</w:t>
      </w:r>
      <w:r w:rsidRPr="00781112">
        <w:rPr>
          <w:rFonts w:cs="Arial"/>
          <w:color w:val="000000" w:themeColor="text1"/>
          <w:szCs w:val="16"/>
        </w:rPr>
        <w:br/>
        <w:t xml:space="preserve">The UPC works closely with USBE to increase the capacity of diverse groups of parents. Meetings at UPC are held in Spanish as the second highest </w:t>
      </w:r>
      <w:r w:rsidRPr="00781112">
        <w:rPr>
          <w:rFonts w:cs="Arial"/>
          <w:color w:val="000000" w:themeColor="text1"/>
          <w:szCs w:val="16"/>
        </w:rPr>
        <w:lastRenderedPageBreak/>
        <w:t>language in the State. Refugee populations are connected through UPC staff assigned to specific LEAs with large populations of refugees.</w:t>
      </w:r>
      <w:r w:rsidRPr="00781112">
        <w:rPr>
          <w:rFonts w:cs="Arial"/>
          <w:color w:val="000000" w:themeColor="text1"/>
          <w:szCs w:val="16"/>
        </w:rPr>
        <w:br/>
        <w:t>The USBE family engagement specialist seeks to increase capacity through cross collaboration with other parent and family engagement programs provided in LEAs that we will continue to target.</w:t>
      </w:r>
      <w:r w:rsidRPr="00781112">
        <w:rPr>
          <w:rFonts w:cs="Arial"/>
          <w:color w:val="000000" w:themeColor="text1"/>
          <w:szCs w:val="16"/>
        </w:rPr>
        <w:br/>
        <w:t>INDICATOR 1</w:t>
      </w:r>
      <w:r w:rsidRPr="00781112">
        <w:rPr>
          <w:rFonts w:cs="Arial"/>
          <w:color w:val="000000" w:themeColor="text1"/>
          <w:szCs w:val="16"/>
        </w:rPr>
        <w:br/>
        <w:t>Data from 2018 was determined to be an appropriate baseline. With a baseline of 67.90%, targets will increase with consideration for COVID-19 impacts.</w:t>
      </w:r>
      <w:r w:rsidRPr="00781112">
        <w:rPr>
          <w:rFonts w:cs="Arial"/>
          <w:color w:val="000000" w:themeColor="text1"/>
          <w:szCs w:val="16"/>
        </w:rPr>
        <w:br/>
        <w:t>INDICATOR 2</w:t>
      </w:r>
      <w:r w:rsidRPr="00781112">
        <w:rPr>
          <w:rFonts w:cs="Arial"/>
          <w:color w:val="000000" w:themeColor="text1"/>
          <w:szCs w:val="16"/>
        </w:rPr>
        <w:br/>
        <w:t>Data from 2018 was determined to be an appropriate baseline. With a baseline of 25.81%, targets will decrease with consideration for COVID-19 impacts.</w:t>
      </w:r>
      <w:r w:rsidRPr="00781112">
        <w:rPr>
          <w:rFonts w:cs="Arial"/>
          <w:color w:val="000000" w:themeColor="text1"/>
          <w:szCs w:val="16"/>
        </w:rPr>
        <w:br/>
        <w:t>INDICATOR 3A</w:t>
      </w:r>
      <w:r w:rsidRPr="00781112">
        <w:rPr>
          <w:rFonts w:cs="Arial"/>
          <w:color w:val="000000" w:themeColor="text1"/>
          <w:szCs w:val="16"/>
        </w:rPr>
        <w:br/>
        <w:t>This target is set by OSEP. Stakeholders discussed ways to improve participation.</w:t>
      </w:r>
      <w:r w:rsidRPr="00781112">
        <w:rPr>
          <w:rFonts w:cs="Arial"/>
          <w:color w:val="000000" w:themeColor="text1"/>
          <w:szCs w:val="16"/>
        </w:rPr>
        <w:br/>
        <w:t>INDICATORS 3B, C, D</w:t>
      </w:r>
      <w:r w:rsidRPr="00781112">
        <w:rPr>
          <w:rFonts w:cs="Arial"/>
          <w:color w:val="000000" w:themeColor="text1"/>
          <w:szCs w:val="16"/>
        </w:rPr>
        <w:br/>
        <w:t>Participants looked at the average mean from the previous four years of data in conjunction with the linear trend and forecasting. This process allowed participants to analyze the best statistical guess of where Utah’s data would most likely be in six years while also seeing the forecasting of possible error over time for predicting far into the future.</w:t>
      </w:r>
      <w:r w:rsidRPr="00781112">
        <w:rPr>
          <w:rFonts w:cs="Arial"/>
          <w:color w:val="000000" w:themeColor="text1"/>
          <w:szCs w:val="16"/>
        </w:rPr>
        <w:br/>
        <w:t>INDICATOR 5</w:t>
      </w:r>
      <w:r w:rsidRPr="00781112">
        <w:rPr>
          <w:rFonts w:cs="Arial"/>
          <w:color w:val="000000" w:themeColor="text1"/>
          <w:szCs w:val="16"/>
        </w:rPr>
        <w:br/>
        <w:t>During FFY 2020, the Indicator 5 baseline was reset. In FFY 2021, all targets were met. A comprehensive approach was taken to provide informative learning sessions to support special education directors who are accountable for reviewing Indicator 5 outcome data. Recognizing the need to differentiate support, the USBE SES offered individual LEA data analysis and problem-solving sessions.</w:t>
      </w:r>
      <w:r w:rsidRPr="00781112">
        <w:rPr>
          <w:rFonts w:cs="Arial"/>
          <w:color w:val="000000" w:themeColor="text1"/>
          <w:szCs w:val="16"/>
        </w:rPr>
        <w:br/>
        <w:t>INDICATOR 6</w:t>
      </w:r>
      <w:r w:rsidRPr="00781112">
        <w:rPr>
          <w:rFonts w:cs="Arial"/>
          <w:color w:val="000000" w:themeColor="text1"/>
          <w:szCs w:val="16"/>
        </w:rPr>
        <w:br/>
        <w:t>Data from 2018 was determined to be an appropriate baseline. With baselines of (A) 46.86%, (B) 32.67%, (C) 0.25%, targets will gradually increase and decrease with consideration for COVID-19 impacts.</w:t>
      </w:r>
      <w:r w:rsidRPr="00781112">
        <w:rPr>
          <w:rFonts w:cs="Arial"/>
          <w:color w:val="000000" w:themeColor="text1"/>
          <w:szCs w:val="16"/>
        </w:rPr>
        <w:br/>
        <w:t>INDICATOR 7</w:t>
      </w:r>
      <w:r w:rsidRPr="00781112">
        <w:rPr>
          <w:rFonts w:cs="Arial"/>
          <w:color w:val="000000" w:themeColor="text1"/>
          <w:szCs w:val="16"/>
        </w:rPr>
        <w:br/>
        <w:t>Data from 2018 was determined to be an appropriate baseline. The USBE predicts outcomes for this indicator are still being largely impacted by COVID-19, and targets are currently set below the baseline. With baselines of (A1) 88.86%, (A2) 58.94%, (B1) 88.41%, (B2) 50.48%, (C1) 89.86%, (C2) 70.52%, targets will increase with consideration for COVID-19 impacts.</w:t>
      </w:r>
      <w:r w:rsidRPr="00781112">
        <w:rPr>
          <w:rFonts w:cs="Arial"/>
          <w:color w:val="000000" w:themeColor="text1"/>
          <w:szCs w:val="16"/>
        </w:rPr>
        <w:br/>
        <w:t>INDICATOR 8</w:t>
      </w:r>
      <w:r w:rsidRPr="00781112">
        <w:rPr>
          <w:rFonts w:cs="Arial"/>
          <w:color w:val="000000" w:themeColor="text1"/>
          <w:szCs w:val="16"/>
        </w:rPr>
        <w:br/>
        <w:t>Data from 2018 was determined to be an appropriate baseline. With a baseline of 78.38%, targets will gradually increase with consideration for COVID-19 impacts.</w:t>
      </w:r>
      <w:r w:rsidRPr="00781112">
        <w:rPr>
          <w:rFonts w:cs="Arial"/>
          <w:color w:val="000000" w:themeColor="text1"/>
          <w:szCs w:val="16"/>
        </w:rPr>
        <w:br/>
        <w:t>INDICATORS 4, 9, 10</w:t>
      </w:r>
      <w:r w:rsidRPr="00781112">
        <w:rPr>
          <w:rFonts w:cs="Arial"/>
          <w:color w:val="000000" w:themeColor="text1"/>
          <w:szCs w:val="16"/>
        </w:rPr>
        <w:br/>
        <w:t>During the APR Summit, stakeholders reviewed current data trends and ways to improve outcomes. Although targets cannot be changed, stakeholder input has been instrumental in meeting targets for these indicators. The calculations and data collection process for these indicators has been updated to improve outcomes for SWD. Stakeholder input has been utilized to determine processes, PL, and support provided to bridge the gap between current performance and targets.</w:t>
      </w:r>
      <w:r w:rsidRPr="00781112">
        <w:rPr>
          <w:rFonts w:cs="Arial"/>
          <w:color w:val="000000" w:themeColor="text1"/>
          <w:szCs w:val="16"/>
        </w:rPr>
        <w:br/>
        <w:t>INDICATORS 11, 12</w:t>
      </w:r>
      <w:r w:rsidRPr="00781112">
        <w:rPr>
          <w:rFonts w:cs="Arial"/>
          <w:color w:val="000000" w:themeColor="text1"/>
          <w:szCs w:val="16"/>
        </w:rPr>
        <w:br/>
        <w:t>During the APR Summit, stakeholders reviewed current data trends and ways to improve outcomes. Although targets cannot be changed, stakeholder input has been instrumental in meeting targets for these indicators. Input has been utilized to determine PL and support provided to bridge the gap between current performance and targets.</w:t>
      </w:r>
      <w:r w:rsidRPr="00781112">
        <w:rPr>
          <w:rFonts w:cs="Arial"/>
          <w:color w:val="000000" w:themeColor="text1"/>
          <w:szCs w:val="16"/>
        </w:rPr>
        <w:br/>
        <w:t>INDICATOR 13</w:t>
      </w:r>
      <w:r w:rsidRPr="00781112">
        <w:rPr>
          <w:rFonts w:cs="Arial"/>
          <w:color w:val="000000" w:themeColor="text1"/>
          <w:szCs w:val="16"/>
        </w:rPr>
        <w:br/>
        <w:t>The USBE SES recognizes this is an area requiring improvement. During the APR Summit, stakeholders reviewed current data trends and ways to improve outcomes. Although targets cannot be changed, stakeholder input has been instrumental in the progression toward meeting the target.</w:t>
      </w:r>
      <w:r w:rsidRPr="00781112">
        <w:rPr>
          <w:rFonts w:cs="Arial"/>
          <w:color w:val="000000" w:themeColor="text1"/>
          <w:szCs w:val="16"/>
        </w:rPr>
        <w:br/>
        <w:t>INDICATOR 14</w:t>
      </w:r>
      <w:r w:rsidRPr="00781112">
        <w:rPr>
          <w:rFonts w:cs="Arial"/>
          <w:color w:val="000000" w:themeColor="text1"/>
          <w:szCs w:val="16"/>
        </w:rPr>
        <w:br/>
        <w:t>Data from 2018 was determined to be an appropriate baseline. The USBE predicts outcomes for this indicator are still being largely impacted by COVID-19, and targets are currently set below the baseline. With baselines of (A) 19.62%, (B) 67.60%, (C) 84.37%, targets will increase with consideration for COVID-19 impacts.</w:t>
      </w:r>
      <w:r w:rsidRPr="00781112">
        <w:rPr>
          <w:rFonts w:cs="Arial"/>
          <w:color w:val="000000" w:themeColor="text1"/>
          <w:szCs w:val="16"/>
        </w:rPr>
        <w:br/>
        <w:t xml:space="preserve">INDICATOR 15 </w:t>
      </w:r>
      <w:r w:rsidRPr="00781112">
        <w:rPr>
          <w:rFonts w:cs="Arial"/>
          <w:color w:val="000000" w:themeColor="text1"/>
          <w:szCs w:val="16"/>
        </w:rPr>
        <w:br/>
        <w:t>The USBE continues to experience relatively low levels of due process hearing requests and resolution meetings and is not required to set a target.</w:t>
      </w:r>
      <w:r w:rsidRPr="00781112">
        <w:rPr>
          <w:rFonts w:cs="Arial"/>
          <w:color w:val="000000" w:themeColor="text1"/>
          <w:szCs w:val="16"/>
        </w:rPr>
        <w:br/>
        <w:t xml:space="preserve">INDICATOR 16 </w:t>
      </w:r>
      <w:r w:rsidRPr="00781112">
        <w:rPr>
          <w:rFonts w:cs="Arial"/>
          <w:color w:val="000000" w:themeColor="text1"/>
          <w:szCs w:val="16"/>
        </w:rPr>
        <w:br/>
        <w:t>The USBE continues to experience relatively low levels of dispute resolution requests, including mediation. Targets have been set based on the low level of mediation requests.</w:t>
      </w:r>
    </w:p>
    <w:p w14:paraId="6276C0F6" w14:textId="56252E01" w:rsidR="002D145D" w:rsidRPr="00781112" w:rsidRDefault="002D145D" w:rsidP="002D145D">
      <w:pPr>
        <w:rPr>
          <w:rFonts w:cs="Arial"/>
          <w:color w:val="000000" w:themeColor="text1"/>
          <w:szCs w:val="16"/>
        </w:rPr>
      </w:pPr>
    </w:p>
    <w:p w14:paraId="1512BEE4" w14:textId="77777777" w:rsidR="007870F8" w:rsidRPr="00781112" w:rsidRDefault="007870F8" w:rsidP="004369B2">
      <w:pPr>
        <w:rPr>
          <w:color w:val="000000" w:themeColor="text1"/>
        </w:rPr>
      </w:pPr>
    </w:p>
    <w:p w14:paraId="4D0201C3" w14:textId="58BCD703" w:rsidR="008751D3" w:rsidRPr="00781112" w:rsidRDefault="0047313F">
      <w:pPr>
        <w:rPr>
          <w:b/>
          <w:color w:val="000000" w:themeColor="text1"/>
        </w:rPr>
      </w:pPr>
      <w:r>
        <w:rPr>
          <w:b/>
          <w:color w:val="000000" w:themeColor="text1"/>
        </w:rPr>
        <w:t>FFY 2021 SPP/APR Data</w:t>
      </w:r>
    </w:p>
    <w:p w14:paraId="75F01957" w14:textId="463160A4" w:rsidR="004B2C2D" w:rsidRPr="00781112" w:rsidRDefault="004B2C2D">
      <w:pPr>
        <w:rPr>
          <w:rFonts w:cs="Arial"/>
          <w:b/>
          <w:color w:val="000000" w:themeColor="text1"/>
          <w:szCs w:val="16"/>
        </w:rPr>
      </w:pPr>
      <w:r w:rsidRPr="00781112">
        <w:rPr>
          <w:rFonts w:cs="Arial"/>
          <w:b/>
          <w:color w:val="000000" w:themeColor="text1"/>
          <w:szCs w:val="16"/>
        </w:rPr>
        <w:t>Number of preschool children aged 3 through 5 with IEPs assessed</w:t>
      </w:r>
    </w:p>
    <w:p w14:paraId="6F555236" w14:textId="5F84A3B7" w:rsidR="004B2C2D" w:rsidRPr="00781112" w:rsidRDefault="004B2C2D" w:rsidP="004369B2">
      <w:pPr>
        <w:rPr>
          <w:color w:val="000000" w:themeColor="text1"/>
        </w:rPr>
      </w:pPr>
      <w:r w:rsidRPr="00781112">
        <w:rPr>
          <w:rFonts w:cs="Arial"/>
          <w:color w:val="000000" w:themeColor="text1"/>
          <w:szCs w:val="16"/>
        </w:rPr>
        <w:t>3,384</w:t>
      </w:r>
    </w:p>
    <w:p w14:paraId="6AF5CF56" w14:textId="77777777" w:rsidR="00A80FEB" w:rsidRPr="00781112" w:rsidRDefault="00A80FEB" w:rsidP="004369B2">
      <w:pPr>
        <w:rPr>
          <w:color w:val="000000" w:themeColor="text1"/>
        </w:rPr>
      </w:pPr>
      <w:r w:rsidRPr="00781112">
        <w:rPr>
          <w:b/>
          <w:color w:val="000000" w:themeColor="text1"/>
        </w:rPr>
        <w:t>Outcome A: Positive social-emotional skills (including social relationships)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7OUTCOMEA"/>
      </w:tblPr>
      <w:tblGrid>
        <w:gridCol w:w="7350"/>
        <w:gridCol w:w="1720"/>
        <w:gridCol w:w="1720"/>
      </w:tblGrid>
      <w:tr w:rsidR="005C29F8" w:rsidRPr="00781112" w14:paraId="7F9D0F86" w14:textId="5773C98B" w:rsidTr="0033429D">
        <w:trPr>
          <w:trHeight w:val="287"/>
          <w:tblHeader/>
        </w:trPr>
        <w:tc>
          <w:tcPr>
            <w:tcW w:w="3406" w:type="pct"/>
            <w:shd w:val="clear" w:color="auto" w:fill="auto"/>
            <w:vAlign w:val="bottom"/>
          </w:tcPr>
          <w:p w14:paraId="732006A2" w14:textId="4E4F994E" w:rsidR="008751D3" w:rsidRPr="00781112" w:rsidRDefault="00043AAB" w:rsidP="0024351A">
            <w:pPr>
              <w:rPr>
                <w:rFonts w:cs="Arial"/>
                <w:b/>
                <w:color w:val="000000" w:themeColor="text1"/>
                <w:szCs w:val="16"/>
              </w:rPr>
            </w:pPr>
            <w:r w:rsidRPr="00781112">
              <w:rPr>
                <w:rFonts w:cs="Arial"/>
                <w:b/>
                <w:color w:val="000000" w:themeColor="text1"/>
                <w:szCs w:val="16"/>
              </w:rPr>
              <w:t xml:space="preserve">Outcome A </w:t>
            </w:r>
            <w:r w:rsidRPr="00781112">
              <w:rPr>
                <w:rFonts w:cs="Arial"/>
                <w:b/>
                <w:bCs/>
                <w:color w:val="000000" w:themeColor="text1"/>
                <w:szCs w:val="16"/>
              </w:rPr>
              <w:t xml:space="preserve">Progress </w:t>
            </w:r>
            <w:r w:rsidR="009028CA" w:rsidRPr="00781112">
              <w:rPr>
                <w:rFonts w:cs="Arial"/>
                <w:b/>
                <w:bCs/>
                <w:color w:val="000000" w:themeColor="text1"/>
                <w:szCs w:val="16"/>
              </w:rPr>
              <w:t>C</w:t>
            </w:r>
            <w:r w:rsidRPr="00781112">
              <w:rPr>
                <w:rFonts w:cs="Arial"/>
                <w:b/>
                <w:bCs/>
                <w:color w:val="000000" w:themeColor="text1"/>
                <w:szCs w:val="16"/>
              </w:rPr>
              <w:t>ategor</w:t>
            </w:r>
            <w:r w:rsidR="00E91363" w:rsidRPr="00781112">
              <w:rPr>
                <w:rFonts w:cs="Arial"/>
                <w:b/>
                <w:bCs/>
                <w:color w:val="000000" w:themeColor="text1"/>
                <w:szCs w:val="16"/>
              </w:rPr>
              <w:t>y</w:t>
            </w:r>
          </w:p>
        </w:tc>
        <w:tc>
          <w:tcPr>
            <w:tcW w:w="797" w:type="pct"/>
            <w:shd w:val="clear" w:color="auto" w:fill="auto"/>
            <w:vAlign w:val="bottom"/>
          </w:tcPr>
          <w:p w14:paraId="2EAB6060" w14:textId="77777777" w:rsidR="008751D3" w:rsidRPr="00781112" w:rsidRDefault="008751D3" w:rsidP="004369B2">
            <w:pPr>
              <w:jc w:val="center"/>
              <w:rPr>
                <w:rFonts w:cs="Arial"/>
                <w:b/>
                <w:color w:val="000000" w:themeColor="text1"/>
                <w:szCs w:val="16"/>
              </w:rPr>
            </w:pPr>
            <w:r w:rsidRPr="00781112">
              <w:rPr>
                <w:rFonts w:cs="Arial"/>
                <w:b/>
                <w:color w:val="000000" w:themeColor="text1"/>
                <w:szCs w:val="16"/>
              </w:rPr>
              <w:t>Number of children</w:t>
            </w:r>
          </w:p>
        </w:tc>
        <w:tc>
          <w:tcPr>
            <w:tcW w:w="797" w:type="pct"/>
            <w:shd w:val="clear" w:color="auto" w:fill="auto"/>
            <w:vAlign w:val="bottom"/>
          </w:tcPr>
          <w:p w14:paraId="1007C28C" w14:textId="52952731" w:rsidR="008751D3" w:rsidRPr="00781112" w:rsidRDefault="008751D3" w:rsidP="004369B2">
            <w:pPr>
              <w:jc w:val="center"/>
              <w:rPr>
                <w:rFonts w:cs="Arial"/>
                <w:b/>
                <w:color w:val="000000" w:themeColor="text1"/>
                <w:szCs w:val="16"/>
              </w:rPr>
            </w:pPr>
            <w:r w:rsidRPr="00781112">
              <w:rPr>
                <w:rFonts w:cs="Arial"/>
                <w:b/>
                <w:color w:val="000000" w:themeColor="text1"/>
                <w:szCs w:val="16"/>
              </w:rPr>
              <w:t>Percentage of Children</w:t>
            </w:r>
          </w:p>
        </w:tc>
      </w:tr>
      <w:tr w:rsidR="005C29F8" w:rsidRPr="00781112" w14:paraId="0D115F3B" w14:textId="14BF41AA" w:rsidTr="00AB0D6A">
        <w:trPr>
          <w:trHeight w:val="361"/>
        </w:trPr>
        <w:tc>
          <w:tcPr>
            <w:tcW w:w="3406" w:type="pct"/>
            <w:shd w:val="clear" w:color="auto" w:fill="auto"/>
            <w:vAlign w:val="center"/>
          </w:tcPr>
          <w:p w14:paraId="476980EA" w14:textId="77777777" w:rsidR="00A86385" w:rsidRPr="00781112" w:rsidRDefault="00A86385" w:rsidP="00A86385">
            <w:pPr>
              <w:rPr>
                <w:rFonts w:cs="Arial"/>
                <w:szCs w:val="16"/>
              </w:rPr>
            </w:pPr>
            <w:r w:rsidRPr="00781112">
              <w:rPr>
                <w:rFonts w:cs="Arial"/>
                <w:szCs w:val="16"/>
              </w:rPr>
              <w:t>a. Preschool children who did not improve functioning</w:t>
            </w:r>
          </w:p>
        </w:tc>
        <w:tc>
          <w:tcPr>
            <w:tcW w:w="797" w:type="pct"/>
            <w:shd w:val="clear" w:color="auto" w:fill="auto"/>
            <w:vAlign w:val="center"/>
          </w:tcPr>
          <w:p w14:paraId="358366F4" w14:textId="107FC5B1" w:rsidR="00A86385" w:rsidRPr="00781112" w:rsidRDefault="002B7490" w:rsidP="00A018D4">
            <w:pPr>
              <w:jc w:val="center"/>
              <w:rPr>
                <w:rFonts w:cs="Arial"/>
                <w:szCs w:val="16"/>
              </w:rPr>
            </w:pPr>
            <w:r w:rsidRPr="00781112">
              <w:rPr>
                <w:rFonts w:cs="Arial"/>
                <w:szCs w:val="16"/>
              </w:rPr>
              <w:t>5</w:t>
            </w:r>
          </w:p>
        </w:tc>
        <w:tc>
          <w:tcPr>
            <w:tcW w:w="797" w:type="pct"/>
            <w:shd w:val="clear" w:color="auto" w:fill="auto"/>
            <w:vAlign w:val="center"/>
          </w:tcPr>
          <w:p w14:paraId="0846D135" w14:textId="1043D337" w:rsidR="00A86385" w:rsidRPr="00781112" w:rsidRDefault="002B7490" w:rsidP="00A018D4">
            <w:pPr>
              <w:jc w:val="center"/>
              <w:rPr>
                <w:rFonts w:cs="Arial"/>
                <w:szCs w:val="16"/>
              </w:rPr>
            </w:pPr>
            <w:r w:rsidRPr="00781112">
              <w:rPr>
                <w:rFonts w:cs="Arial"/>
                <w:szCs w:val="16"/>
              </w:rPr>
              <w:t>0.15%</w:t>
            </w:r>
          </w:p>
        </w:tc>
      </w:tr>
      <w:tr w:rsidR="005C29F8" w:rsidRPr="00781112" w14:paraId="779019AB" w14:textId="1FD48572" w:rsidTr="00AB0D6A">
        <w:trPr>
          <w:trHeight w:val="361"/>
        </w:trPr>
        <w:tc>
          <w:tcPr>
            <w:tcW w:w="3406" w:type="pct"/>
            <w:shd w:val="clear" w:color="auto" w:fill="auto"/>
            <w:vAlign w:val="center"/>
          </w:tcPr>
          <w:p w14:paraId="6E7F23F0" w14:textId="77777777" w:rsidR="00A86385" w:rsidRPr="00781112" w:rsidRDefault="00A86385" w:rsidP="00A86385">
            <w:pPr>
              <w:rPr>
                <w:rFonts w:cs="Arial"/>
                <w:szCs w:val="16"/>
              </w:rPr>
            </w:pPr>
            <w:r w:rsidRPr="00781112">
              <w:rPr>
                <w:rFonts w:cs="Arial"/>
                <w:szCs w:val="16"/>
              </w:rPr>
              <w:t>b. Preschool children who improved functioning but not sufficient to move nearer to functioning comparable to same-aged peers</w:t>
            </w:r>
          </w:p>
        </w:tc>
        <w:tc>
          <w:tcPr>
            <w:tcW w:w="797" w:type="pct"/>
            <w:shd w:val="clear" w:color="auto" w:fill="auto"/>
            <w:vAlign w:val="center"/>
          </w:tcPr>
          <w:p w14:paraId="1E928F4C" w14:textId="54E616E3" w:rsidR="00A86385" w:rsidRPr="00781112" w:rsidRDefault="002B7490" w:rsidP="00A018D4">
            <w:pPr>
              <w:jc w:val="center"/>
              <w:rPr>
                <w:rFonts w:cs="Arial"/>
                <w:szCs w:val="16"/>
              </w:rPr>
            </w:pPr>
            <w:r w:rsidRPr="00781112">
              <w:rPr>
                <w:rFonts w:cs="Arial"/>
                <w:szCs w:val="16"/>
              </w:rPr>
              <w:t>393</w:t>
            </w:r>
          </w:p>
        </w:tc>
        <w:tc>
          <w:tcPr>
            <w:tcW w:w="797" w:type="pct"/>
            <w:shd w:val="clear" w:color="auto" w:fill="auto"/>
            <w:vAlign w:val="center"/>
          </w:tcPr>
          <w:p w14:paraId="371019D1" w14:textId="49035C13" w:rsidR="00A86385" w:rsidRPr="00781112" w:rsidRDefault="002B7490" w:rsidP="00A018D4">
            <w:pPr>
              <w:jc w:val="center"/>
              <w:rPr>
                <w:rFonts w:cs="Arial"/>
                <w:szCs w:val="16"/>
              </w:rPr>
            </w:pPr>
            <w:r w:rsidRPr="00781112">
              <w:rPr>
                <w:rFonts w:cs="Arial"/>
                <w:szCs w:val="16"/>
              </w:rPr>
              <w:t>11.61%</w:t>
            </w:r>
          </w:p>
        </w:tc>
      </w:tr>
      <w:tr w:rsidR="005C29F8" w:rsidRPr="00781112" w14:paraId="3A078806" w14:textId="7FBB31A0" w:rsidTr="00AB0D6A">
        <w:trPr>
          <w:trHeight w:val="361"/>
        </w:trPr>
        <w:tc>
          <w:tcPr>
            <w:tcW w:w="3406" w:type="pct"/>
            <w:shd w:val="clear" w:color="auto" w:fill="auto"/>
            <w:vAlign w:val="center"/>
          </w:tcPr>
          <w:p w14:paraId="6E35A4C3" w14:textId="77777777" w:rsidR="00A86385" w:rsidRPr="00781112" w:rsidRDefault="00A86385" w:rsidP="00A86385">
            <w:pPr>
              <w:rPr>
                <w:rFonts w:cs="Arial"/>
                <w:szCs w:val="16"/>
              </w:rPr>
            </w:pPr>
            <w:r w:rsidRPr="00781112">
              <w:rPr>
                <w:rFonts w:cs="Arial"/>
                <w:szCs w:val="16"/>
              </w:rPr>
              <w:t>c. Preschool children who improved functioning to a level nearer to same-aged peers but did not reach it</w:t>
            </w:r>
          </w:p>
        </w:tc>
        <w:tc>
          <w:tcPr>
            <w:tcW w:w="797" w:type="pct"/>
            <w:shd w:val="clear" w:color="auto" w:fill="auto"/>
            <w:vAlign w:val="center"/>
          </w:tcPr>
          <w:p w14:paraId="1AFEBF8F" w14:textId="2E4650C8" w:rsidR="00A86385" w:rsidRPr="00781112" w:rsidRDefault="002B7490" w:rsidP="00A018D4">
            <w:pPr>
              <w:jc w:val="center"/>
              <w:rPr>
                <w:rFonts w:cs="Arial"/>
                <w:szCs w:val="16"/>
              </w:rPr>
            </w:pPr>
            <w:r w:rsidRPr="00781112">
              <w:rPr>
                <w:rFonts w:cs="Arial"/>
                <w:szCs w:val="16"/>
              </w:rPr>
              <w:t>1,321</w:t>
            </w:r>
          </w:p>
        </w:tc>
        <w:tc>
          <w:tcPr>
            <w:tcW w:w="797" w:type="pct"/>
            <w:shd w:val="clear" w:color="auto" w:fill="auto"/>
            <w:vAlign w:val="center"/>
          </w:tcPr>
          <w:p w14:paraId="4B6BCB00" w14:textId="047D3E20" w:rsidR="00A86385" w:rsidRPr="00781112" w:rsidRDefault="002B7490" w:rsidP="00A018D4">
            <w:pPr>
              <w:jc w:val="center"/>
              <w:rPr>
                <w:rFonts w:cs="Arial"/>
                <w:szCs w:val="16"/>
              </w:rPr>
            </w:pPr>
            <w:r w:rsidRPr="00781112">
              <w:rPr>
                <w:rFonts w:cs="Arial"/>
                <w:szCs w:val="16"/>
              </w:rPr>
              <w:t>39.04%</w:t>
            </w:r>
          </w:p>
        </w:tc>
      </w:tr>
      <w:tr w:rsidR="005C29F8" w:rsidRPr="00781112" w14:paraId="37EE0376" w14:textId="01578CDB" w:rsidTr="00AB0D6A">
        <w:trPr>
          <w:trHeight w:val="361"/>
        </w:trPr>
        <w:tc>
          <w:tcPr>
            <w:tcW w:w="3406" w:type="pct"/>
            <w:shd w:val="clear" w:color="auto" w:fill="auto"/>
            <w:vAlign w:val="center"/>
          </w:tcPr>
          <w:p w14:paraId="4DFA1510" w14:textId="77777777" w:rsidR="00A86385" w:rsidRPr="00781112" w:rsidRDefault="00A86385" w:rsidP="00A86385">
            <w:pPr>
              <w:rPr>
                <w:rFonts w:cs="Arial"/>
                <w:szCs w:val="16"/>
              </w:rPr>
            </w:pPr>
            <w:r w:rsidRPr="00781112">
              <w:rPr>
                <w:rFonts w:cs="Arial"/>
                <w:szCs w:val="16"/>
              </w:rPr>
              <w:t>d. Preschool children who improved functioning to reach a level comparable to same-aged peers</w:t>
            </w:r>
          </w:p>
        </w:tc>
        <w:tc>
          <w:tcPr>
            <w:tcW w:w="797" w:type="pct"/>
            <w:shd w:val="clear" w:color="auto" w:fill="auto"/>
            <w:vAlign w:val="center"/>
          </w:tcPr>
          <w:p w14:paraId="0E06DA36" w14:textId="47CC0ED8" w:rsidR="00A86385" w:rsidRPr="00781112" w:rsidRDefault="002B7490" w:rsidP="00A018D4">
            <w:pPr>
              <w:jc w:val="center"/>
              <w:rPr>
                <w:rFonts w:cs="Arial"/>
                <w:szCs w:val="16"/>
              </w:rPr>
            </w:pPr>
            <w:r w:rsidRPr="00781112">
              <w:rPr>
                <w:rFonts w:cs="Arial"/>
                <w:szCs w:val="16"/>
              </w:rPr>
              <w:t>1,371</w:t>
            </w:r>
          </w:p>
        </w:tc>
        <w:tc>
          <w:tcPr>
            <w:tcW w:w="797" w:type="pct"/>
            <w:shd w:val="clear" w:color="auto" w:fill="auto"/>
            <w:vAlign w:val="center"/>
          </w:tcPr>
          <w:p w14:paraId="16C35679" w14:textId="25F05A91" w:rsidR="00A86385" w:rsidRPr="00781112" w:rsidRDefault="002B7490" w:rsidP="00A018D4">
            <w:pPr>
              <w:jc w:val="center"/>
              <w:rPr>
                <w:rFonts w:cs="Arial"/>
                <w:szCs w:val="16"/>
              </w:rPr>
            </w:pPr>
            <w:r w:rsidRPr="00781112">
              <w:rPr>
                <w:rFonts w:cs="Arial"/>
                <w:szCs w:val="16"/>
              </w:rPr>
              <w:t>40.51%</w:t>
            </w:r>
          </w:p>
        </w:tc>
      </w:tr>
      <w:tr w:rsidR="005C29F8" w:rsidRPr="00781112" w14:paraId="2EAC8E4E" w14:textId="5ED91A2D" w:rsidTr="00AB0D6A">
        <w:trPr>
          <w:trHeight w:val="361"/>
        </w:trPr>
        <w:tc>
          <w:tcPr>
            <w:tcW w:w="3406" w:type="pct"/>
            <w:shd w:val="clear" w:color="auto" w:fill="auto"/>
            <w:vAlign w:val="center"/>
          </w:tcPr>
          <w:p w14:paraId="4107A866" w14:textId="77777777" w:rsidR="00A86385" w:rsidRPr="00781112" w:rsidRDefault="00A86385" w:rsidP="00A86385">
            <w:pPr>
              <w:rPr>
                <w:rFonts w:cs="Arial"/>
                <w:szCs w:val="16"/>
              </w:rPr>
            </w:pPr>
            <w:r w:rsidRPr="00781112">
              <w:rPr>
                <w:rFonts w:cs="Arial"/>
                <w:szCs w:val="16"/>
              </w:rPr>
              <w:t>e. Preschool children who maintained functioning at a level comparable to same-aged peers</w:t>
            </w:r>
          </w:p>
        </w:tc>
        <w:tc>
          <w:tcPr>
            <w:tcW w:w="797" w:type="pct"/>
            <w:shd w:val="clear" w:color="auto" w:fill="auto"/>
            <w:vAlign w:val="center"/>
          </w:tcPr>
          <w:p w14:paraId="5DD4256C" w14:textId="3B268EB2" w:rsidR="00A86385" w:rsidRPr="00781112" w:rsidRDefault="002B7490" w:rsidP="00A018D4">
            <w:pPr>
              <w:jc w:val="center"/>
              <w:rPr>
                <w:rFonts w:cs="Arial"/>
                <w:szCs w:val="16"/>
              </w:rPr>
            </w:pPr>
            <w:r w:rsidRPr="00781112">
              <w:rPr>
                <w:rFonts w:cs="Arial"/>
                <w:szCs w:val="16"/>
              </w:rPr>
              <w:t>294</w:t>
            </w:r>
          </w:p>
        </w:tc>
        <w:tc>
          <w:tcPr>
            <w:tcW w:w="797" w:type="pct"/>
            <w:shd w:val="clear" w:color="auto" w:fill="auto"/>
            <w:vAlign w:val="center"/>
          </w:tcPr>
          <w:p w14:paraId="49CE1ADC" w14:textId="7D7D7E9C" w:rsidR="00A86385" w:rsidRPr="00781112" w:rsidRDefault="002B7490" w:rsidP="00A018D4">
            <w:pPr>
              <w:jc w:val="center"/>
              <w:rPr>
                <w:rFonts w:cs="Arial"/>
                <w:szCs w:val="16"/>
              </w:rPr>
            </w:pPr>
            <w:r w:rsidRPr="00781112">
              <w:rPr>
                <w:rFonts w:cs="Arial"/>
                <w:szCs w:val="16"/>
              </w:rPr>
              <w:t>8.69%</w:t>
            </w:r>
          </w:p>
        </w:tc>
      </w:tr>
    </w:tbl>
    <w:p w14:paraId="2CDC19A8" w14:textId="77777777" w:rsidR="00A80FEB" w:rsidRPr="00781112" w:rsidRDefault="00A80FEB" w:rsidP="00A80FEB">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7OUTCOMEADATA"/>
      </w:tblPr>
      <w:tblGrid>
        <w:gridCol w:w="2245"/>
        <w:gridCol w:w="1149"/>
        <w:gridCol w:w="1234"/>
        <w:gridCol w:w="1232"/>
        <w:gridCol w:w="1234"/>
        <w:gridCol w:w="1232"/>
        <w:gridCol w:w="1234"/>
        <w:gridCol w:w="1230"/>
      </w:tblGrid>
      <w:tr w:rsidR="00AA4F85" w:rsidRPr="00781112" w14:paraId="3D9EEDAD" w14:textId="30B2445F" w:rsidTr="00AA4F85">
        <w:trPr>
          <w:trHeight w:val="354"/>
          <w:tblHeader/>
        </w:trPr>
        <w:tc>
          <w:tcPr>
            <w:tcW w:w="1040" w:type="pct"/>
            <w:shd w:val="clear" w:color="auto" w:fill="auto"/>
            <w:vAlign w:val="bottom"/>
          </w:tcPr>
          <w:p w14:paraId="12D11B46" w14:textId="1FAAAC6F" w:rsidR="00AA4F85" w:rsidRPr="00781112" w:rsidRDefault="00AA4F85" w:rsidP="00AA4F85">
            <w:pPr>
              <w:rPr>
                <w:rFonts w:cs="Arial"/>
                <w:color w:val="000000" w:themeColor="text1"/>
                <w:szCs w:val="16"/>
              </w:rPr>
            </w:pPr>
            <w:r w:rsidRPr="00781112">
              <w:rPr>
                <w:rFonts w:cs="Arial"/>
                <w:b/>
                <w:color w:val="000000" w:themeColor="text1"/>
                <w:szCs w:val="16"/>
              </w:rPr>
              <w:lastRenderedPageBreak/>
              <w:t>Outcome A</w:t>
            </w:r>
          </w:p>
        </w:tc>
        <w:tc>
          <w:tcPr>
            <w:tcW w:w="532" w:type="pct"/>
            <w:shd w:val="clear" w:color="auto" w:fill="auto"/>
            <w:vAlign w:val="bottom"/>
          </w:tcPr>
          <w:p w14:paraId="7B100CB7" w14:textId="77777777" w:rsidR="00AA4F85" w:rsidRPr="00781112" w:rsidRDefault="00AA4F85" w:rsidP="00AA4F85">
            <w:pPr>
              <w:jc w:val="center"/>
              <w:rPr>
                <w:rFonts w:cs="Arial"/>
                <w:b/>
                <w:color w:val="000000" w:themeColor="text1"/>
                <w:szCs w:val="16"/>
              </w:rPr>
            </w:pPr>
            <w:r w:rsidRPr="00781112">
              <w:rPr>
                <w:rFonts w:cs="Arial"/>
                <w:b/>
                <w:color w:val="000000" w:themeColor="text1"/>
                <w:szCs w:val="16"/>
              </w:rPr>
              <w:t>Numerator</w:t>
            </w:r>
          </w:p>
        </w:tc>
        <w:tc>
          <w:tcPr>
            <w:tcW w:w="572" w:type="pct"/>
            <w:shd w:val="clear" w:color="auto" w:fill="auto"/>
            <w:vAlign w:val="bottom"/>
          </w:tcPr>
          <w:p w14:paraId="31C4C2D7" w14:textId="77777777" w:rsidR="00AA4F85" w:rsidRPr="00781112" w:rsidRDefault="00AA4F85" w:rsidP="00AA4F85">
            <w:pPr>
              <w:jc w:val="center"/>
              <w:rPr>
                <w:rFonts w:cs="Arial"/>
                <w:b/>
                <w:color w:val="000000" w:themeColor="text1"/>
                <w:szCs w:val="16"/>
              </w:rPr>
            </w:pPr>
            <w:r w:rsidRPr="00781112">
              <w:rPr>
                <w:rFonts w:cs="Arial"/>
                <w:b/>
                <w:color w:val="000000" w:themeColor="text1"/>
                <w:szCs w:val="16"/>
              </w:rPr>
              <w:t>Denominator</w:t>
            </w:r>
          </w:p>
        </w:tc>
        <w:tc>
          <w:tcPr>
            <w:tcW w:w="571" w:type="pct"/>
            <w:shd w:val="clear" w:color="auto" w:fill="auto"/>
            <w:vAlign w:val="bottom"/>
          </w:tcPr>
          <w:p w14:paraId="1634F3BC" w14:textId="5F91720B" w:rsidR="00AA4F85" w:rsidRPr="00CC1061" w:rsidRDefault="00AA4F85" w:rsidP="00AA4F85">
            <w:pPr>
              <w:jc w:val="center"/>
              <w:rPr>
                <w:rFonts w:cs="Arial"/>
                <w:b/>
                <w:bCs/>
                <w:color w:val="000000" w:themeColor="text1"/>
                <w:szCs w:val="16"/>
              </w:rPr>
            </w:pPr>
            <w:r w:rsidRPr="00CC1061">
              <w:rPr>
                <w:b/>
                <w:bCs/>
              </w:rPr>
              <w:t>FFY 2020 Data</w:t>
            </w:r>
          </w:p>
        </w:tc>
        <w:tc>
          <w:tcPr>
            <w:tcW w:w="572" w:type="pct"/>
            <w:shd w:val="clear" w:color="auto" w:fill="auto"/>
            <w:vAlign w:val="bottom"/>
          </w:tcPr>
          <w:p w14:paraId="41DCEE89" w14:textId="69D0F5AC" w:rsidR="00AA4F85" w:rsidRPr="00CC1061" w:rsidRDefault="00AA4F85" w:rsidP="00AA4F85">
            <w:pPr>
              <w:jc w:val="center"/>
              <w:rPr>
                <w:rFonts w:cs="Arial"/>
                <w:b/>
                <w:bCs/>
                <w:color w:val="000000" w:themeColor="text1"/>
                <w:szCs w:val="16"/>
              </w:rPr>
            </w:pPr>
            <w:r w:rsidRPr="00CC1061">
              <w:rPr>
                <w:b/>
                <w:bCs/>
              </w:rPr>
              <w:t>FFY 2021 Target</w:t>
            </w:r>
          </w:p>
        </w:tc>
        <w:tc>
          <w:tcPr>
            <w:tcW w:w="571" w:type="pct"/>
            <w:shd w:val="clear" w:color="auto" w:fill="auto"/>
            <w:vAlign w:val="bottom"/>
          </w:tcPr>
          <w:p w14:paraId="64737D68" w14:textId="106DB3FC" w:rsidR="00AA4F85" w:rsidRPr="00CC1061" w:rsidRDefault="00AA4F85" w:rsidP="00AA4F85">
            <w:pPr>
              <w:jc w:val="center"/>
              <w:rPr>
                <w:rFonts w:cs="Arial"/>
                <w:b/>
                <w:bCs/>
                <w:color w:val="000000" w:themeColor="text1"/>
                <w:szCs w:val="16"/>
              </w:rPr>
            </w:pPr>
            <w:r w:rsidRPr="00CC1061">
              <w:rPr>
                <w:b/>
                <w:bCs/>
              </w:rPr>
              <w:t>FFY 2021 Data</w:t>
            </w:r>
          </w:p>
        </w:tc>
        <w:tc>
          <w:tcPr>
            <w:tcW w:w="572" w:type="pct"/>
            <w:shd w:val="clear" w:color="auto" w:fill="auto"/>
            <w:vAlign w:val="bottom"/>
          </w:tcPr>
          <w:p w14:paraId="4592E227" w14:textId="424684DB" w:rsidR="00AA4F85" w:rsidRPr="00781112" w:rsidRDefault="00AA4F85" w:rsidP="00AA4F85">
            <w:pPr>
              <w:jc w:val="center"/>
              <w:rPr>
                <w:rFonts w:cs="Arial"/>
                <w:b/>
                <w:color w:val="000000" w:themeColor="text1"/>
                <w:szCs w:val="16"/>
              </w:rPr>
            </w:pPr>
            <w:r w:rsidRPr="00781112">
              <w:rPr>
                <w:rFonts w:cs="Arial"/>
                <w:b/>
                <w:color w:val="000000" w:themeColor="text1"/>
                <w:szCs w:val="16"/>
              </w:rPr>
              <w:t>Status</w:t>
            </w:r>
          </w:p>
        </w:tc>
        <w:tc>
          <w:tcPr>
            <w:tcW w:w="571" w:type="pct"/>
            <w:shd w:val="clear" w:color="auto" w:fill="auto"/>
            <w:vAlign w:val="bottom"/>
          </w:tcPr>
          <w:p w14:paraId="41F5B2E6" w14:textId="7085A5D7" w:rsidR="00AA4F85" w:rsidRPr="00781112" w:rsidRDefault="00AA4F85" w:rsidP="00AA4F85">
            <w:pPr>
              <w:jc w:val="center"/>
              <w:rPr>
                <w:rFonts w:cs="Arial"/>
                <w:b/>
                <w:color w:val="000000" w:themeColor="text1"/>
                <w:szCs w:val="16"/>
              </w:rPr>
            </w:pPr>
            <w:r w:rsidRPr="00781112">
              <w:rPr>
                <w:rFonts w:cs="Arial"/>
                <w:b/>
                <w:color w:val="000000" w:themeColor="text1"/>
                <w:szCs w:val="16"/>
              </w:rPr>
              <w:t>Slippage</w:t>
            </w:r>
          </w:p>
        </w:tc>
      </w:tr>
      <w:tr w:rsidR="005C29F8" w:rsidRPr="00781112" w14:paraId="18B94B2E" w14:textId="09DCF8DA" w:rsidTr="00AA4F85">
        <w:trPr>
          <w:trHeight w:val="361"/>
        </w:trPr>
        <w:tc>
          <w:tcPr>
            <w:tcW w:w="1040" w:type="pct"/>
            <w:shd w:val="clear" w:color="auto" w:fill="auto"/>
          </w:tcPr>
          <w:p w14:paraId="423BC0C1" w14:textId="77777777" w:rsidR="00071D42" w:rsidRPr="00781112" w:rsidRDefault="00A86385" w:rsidP="00A018D4">
            <w:pPr>
              <w:rPr>
                <w:rFonts w:cs="Arial"/>
                <w:color w:val="000000" w:themeColor="text1"/>
                <w:szCs w:val="16"/>
              </w:rPr>
            </w:pPr>
            <w:r w:rsidRPr="00781112">
              <w:rPr>
                <w:rFonts w:cs="Arial"/>
                <w:color w:val="000000" w:themeColor="text1"/>
                <w:szCs w:val="16"/>
              </w:rPr>
              <w:t xml:space="preserve">A1. Of those children who entered or exited the program below age expectations in Outcome A, the percent who substantially increased their rate of growth by the time they turned 6 years of age or exited the program. </w:t>
            </w:r>
            <w:r w:rsidRPr="00266107">
              <w:rPr>
                <w:rFonts w:cs="Arial"/>
                <w:i/>
                <w:iCs/>
                <w:color w:val="000000" w:themeColor="text1"/>
                <w:szCs w:val="16"/>
              </w:rPr>
              <w:t>Calculation:(c+d)/(a+b+c+d)</w:t>
            </w:r>
          </w:p>
        </w:tc>
        <w:tc>
          <w:tcPr>
            <w:tcW w:w="532" w:type="pct"/>
            <w:shd w:val="clear" w:color="auto" w:fill="auto"/>
            <w:vAlign w:val="center"/>
          </w:tcPr>
          <w:p w14:paraId="4154B7AF" w14:textId="22483590" w:rsidR="00A86385" w:rsidRPr="00781112" w:rsidRDefault="002B7490" w:rsidP="00A86385">
            <w:pPr>
              <w:jc w:val="center"/>
              <w:rPr>
                <w:rFonts w:cs="Arial"/>
                <w:color w:val="000000" w:themeColor="text1"/>
                <w:szCs w:val="16"/>
              </w:rPr>
            </w:pPr>
            <w:r w:rsidRPr="00781112">
              <w:rPr>
                <w:rFonts w:cs="Arial"/>
                <w:color w:val="000000" w:themeColor="text1"/>
                <w:szCs w:val="16"/>
              </w:rPr>
              <w:t>2,692</w:t>
            </w:r>
          </w:p>
        </w:tc>
        <w:tc>
          <w:tcPr>
            <w:tcW w:w="572" w:type="pct"/>
            <w:shd w:val="clear" w:color="auto" w:fill="auto"/>
            <w:vAlign w:val="center"/>
          </w:tcPr>
          <w:p w14:paraId="6A178831" w14:textId="564F7234" w:rsidR="00A86385" w:rsidRPr="00781112" w:rsidRDefault="002B7490" w:rsidP="00A86385">
            <w:pPr>
              <w:jc w:val="center"/>
              <w:rPr>
                <w:rFonts w:cs="Arial"/>
                <w:color w:val="000000" w:themeColor="text1"/>
                <w:szCs w:val="16"/>
              </w:rPr>
            </w:pPr>
            <w:r w:rsidRPr="00781112">
              <w:rPr>
                <w:rFonts w:cs="Arial"/>
                <w:color w:val="000000" w:themeColor="text1"/>
                <w:szCs w:val="16"/>
              </w:rPr>
              <w:t>3,090</w:t>
            </w:r>
          </w:p>
        </w:tc>
        <w:tc>
          <w:tcPr>
            <w:tcW w:w="571" w:type="pct"/>
            <w:shd w:val="clear" w:color="auto" w:fill="auto"/>
            <w:vAlign w:val="center"/>
          </w:tcPr>
          <w:p w14:paraId="5EEC0208" w14:textId="526E193A" w:rsidR="00A86385" w:rsidRPr="00781112" w:rsidRDefault="002B7490" w:rsidP="00A86385">
            <w:pPr>
              <w:jc w:val="center"/>
              <w:rPr>
                <w:rFonts w:cs="Arial"/>
                <w:color w:val="000000" w:themeColor="text1"/>
                <w:szCs w:val="16"/>
              </w:rPr>
            </w:pPr>
            <w:r w:rsidRPr="00781112">
              <w:rPr>
                <w:rFonts w:cs="Arial"/>
                <w:color w:val="000000" w:themeColor="text1"/>
                <w:szCs w:val="16"/>
              </w:rPr>
              <w:t>91.49%</w:t>
            </w:r>
          </w:p>
        </w:tc>
        <w:tc>
          <w:tcPr>
            <w:tcW w:w="572" w:type="pct"/>
            <w:shd w:val="clear" w:color="auto" w:fill="auto"/>
            <w:vAlign w:val="center"/>
          </w:tcPr>
          <w:p w14:paraId="4FDFC172" w14:textId="02E04CF5" w:rsidR="00A86385" w:rsidRPr="00781112" w:rsidRDefault="003D7F56">
            <w:pPr>
              <w:jc w:val="center"/>
              <w:rPr>
                <w:color w:val="000000" w:themeColor="text1"/>
              </w:rPr>
            </w:pPr>
            <w:r w:rsidRPr="00781112">
              <w:rPr>
                <w:color w:val="000000" w:themeColor="text1"/>
              </w:rPr>
              <w:t>88.86%</w:t>
            </w:r>
          </w:p>
        </w:tc>
        <w:tc>
          <w:tcPr>
            <w:tcW w:w="571" w:type="pct"/>
            <w:shd w:val="clear" w:color="auto" w:fill="auto"/>
            <w:vAlign w:val="center"/>
          </w:tcPr>
          <w:p w14:paraId="23D0B4EA" w14:textId="4DE98DDB" w:rsidR="00A86385" w:rsidRPr="00781112" w:rsidRDefault="002B7490" w:rsidP="00A86385">
            <w:pPr>
              <w:jc w:val="center"/>
              <w:rPr>
                <w:rFonts w:cs="Arial"/>
                <w:color w:val="000000" w:themeColor="text1"/>
                <w:szCs w:val="16"/>
              </w:rPr>
            </w:pPr>
            <w:r w:rsidRPr="00781112">
              <w:rPr>
                <w:rFonts w:cs="Arial"/>
                <w:color w:val="000000" w:themeColor="text1"/>
                <w:szCs w:val="16"/>
              </w:rPr>
              <w:t>87.12%</w:t>
            </w:r>
          </w:p>
        </w:tc>
        <w:tc>
          <w:tcPr>
            <w:tcW w:w="572" w:type="pct"/>
            <w:shd w:val="clear" w:color="auto" w:fill="auto"/>
            <w:vAlign w:val="center"/>
          </w:tcPr>
          <w:p w14:paraId="64F5CB78" w14:textId="13F3F70F" w:rsidR="00A86385" w:rsidRPr="00781112" w:rsidRDefault="002B7490" w:rsidP="00A86385">
            <w:pPr>
              <w:jc w:val="center"/>
              <w:rPr>
                <w:rFonts w:cs="Arial"/>
                <w:color w:val="000000" w:themeColor="text1"/>
                <w:szCs w:val="16"/>
              </w:rPr>
            </w:pPr>
            <w:r w:rsidRPr="00781112">
              <w:rPr>
                <w:rFonts w:cs="Arial"/>
                <w:color w:val="000000" w:themeColor="text1"/>
                <w:szCs w:val="16"/>
              </w:rPr>
              <w:t>Did not meet target</w:t>
            </w:r>
          </w:p>
        </w:tc>
        <w:tc>
          <w:tcPr>
            <w:tcW w:w="571" w:type="pct"/>
            <w:shd w:val="clear" w:color="auto" w:fill="auto"/>
            <w:vAlign w:val="center"/>
          </w:tcPr>
          <w:p w14:paraId="7D4367C2" w14:textId="1159AE87" w:rsidR="00A86385" w:rsidRPr="00781112" w:rsidRDefault="002B7490" w:rsidP="00A86385">
            <w:pPr>
              <w:jc w:val="center"/>
              <w:rPr>
                <w:rFonts w:cs="Arial"/>
                <w:color w:val="000000" w:themeColor="text1"/>
                <w:szCs w:val="16"/>
              </w:rPr>
            </w:pPr>
            <w:r w:rsidRPr="00781112">
              <w:rPr>
                <w:rFonts w:cs="Arial"/>
                <w:color w:val="000000" w:themeColor="text1"/>
                <w:szCs w:val="16"/>
              </w:rPr>
              <w:t>Slippage</w:t>
            </w:r>
          </w:p>
        </w:tc>
      </w:tr>
      <w:tr w:rsidR="005C29F8" w:rsidRPr="00781112" w14:paraId="79C043DE" w14:textId="1DF06FE5" w:rsidTr="00AA4F85">
        <w:trPr>
          <w:trHeight w:val="361"/>
        </w:trPr>
        <w:tc>
          <w:tcPr>
            <w:tcW w:w="1040" w:type="pct"/>
            <w:shd w:val="clear" w:color="auto" w:fill="auto"/>
          </w:tcPr>
          <w:p w14:paraId="319F62FD" w14:textId="77777777" w:rsidR="00071D42" w:rsidRPr="00781112" w:rsidRDefault="00A86385" w:rsidP="00A018D4">
            <w:pPr>
              <w:rPr>
                <w:rFonts w:cs="Arial"/>
                <w:color w:val="000000" w:themeColor="text1"/>
                <w:szCs w:val="16"/>
              </w:rPr>
            </w:pPr>
            <w:r w:rsidRPr="00781112">
              <w:rPr>
                <w:rFonts w:cs="Arial"/>
                <w:color w:val="000000" w:themeColor="text1"/>
                <w:szCs w:val="16"/>
              </w:rPr>
              <w:t xml:space="preserve">A2. The percent of preschool children who were functioning within age expectations in Outcome A by the time they turned 6 years of age or exited the program. </w:t>
            </w:r>
            <w:r w:rsidRPr="00266107">
              <w:rPr>
                <w:rFonts w:cs="Arial"/>
                <w:i/>
                <w:iCs/>
                <w:color w:val="000000" w:themeColor="text1"/>
                <w:szCs w:val="16"/>
              </w:rPr>
              <w:t>Calculation: (d+e)/(a+b+c+d+e)</w:t>
            </w:r>
          </w:p>
        </w:tc>
        <w:tc>
          <w:tcPr>
            <w:tcW w:w="532" w:type="pct"/>
            <w:shd w:val="clear" w:color="auto" w:fill="auto"/>
            <w:vAlign w:val="center"/>
          </w:tcPr>
          <w:p w14:paraId="1EA4F3E8" w14:textId="01AC6416" w:rsidR="00A86385" w:rsidRPr="00781112" w:rsidRDefault="002B7490" w:rsidP="00A86385">
            <w:pPr>
              <w:jc w:val="center"/>
              <w:rPr>
                <w:rFonts w:cs="Arial"/>
                <w:color w:val="000000" w:themeColor="text1"/>
                <w:szCs w:val="16"/>
              </w:rPr>
            </w:pPr>
            <w:r w:rsidRPr="00781112">
              <w:rPr>
                <w:rFonts w:cs="Arial"/>
                <w:color w:val="000000" w:themeColor="text1"/>
                <w:szCs w:val="16"/>
              </w:rPr>
              <w:t>1,665</w:t>
            </w:r>
          </w:p>
        </w:tc>
        <w:tc>
          <w:tcPr>
            <w:tcW w:w="572" w:type="pct"/>
            <w:shd w:val="clear" w:color="auto" w:fill="auto"/>
            <w:vAlign w:val="center"/>
          </w:tcPr>
          <w:p w14:paraId="392DC3C7" w14:textId="706433AB" w:rsidR="00A86385" w:rsidRPr="00781112" w:rsidRDefault="002B7490" w:rsidP="00A86385">
            <w:pPr>
              <w:jc w:val="center"/>
              <w:rPr>
                <w:rFonts w:cs="Arial"/>
                <w:color w:val="000000" w:themeColor="text1"/>
                <w:szCs w:val="16"/>
              </w:rPr>
            </w:pPr>
            <w:r w:rsidRPr="00781112">
              <w:rPr>
                <w:rFonts w:cs="Arial"/>
                <w:color w:val="000000" w:themeColor="text1"/>
                <w:szCs w:val="16"/>
              </w:rPr>
              <w:t>3,384</w:t>
            </w:r>
          </w:p>
        </w:tc>
        <w:tc>
          <w:tcPr>
            <w:tcW w:w="571" w:type="pct"/>
            <w:shd w:val="clear" w:color="auto" w:fill="auto"/>
            <w:vAlign w:val="center"/>
          </w:tcPr>
          <w:p w14:paraId="480CDC79" w14:textId="4F1F0DEC" w:rsidR="00A86385" w:rsidRPr="00781112" w:rsidRDefault="002B7490" w:rsidP="00A86385">
            <w:pPr>
              <w:jc w:val="center"/>
              <w:rPr>
                <w:rFonts w:cs="Arial"/>
                <w:color w:val="000000" w:themeColor="text1"/>
                <w:szCs w:val="16"/>
              </w:rPr>
            </w:pPr>
            <w:r w:rsidRPr="00781112">
              <w:rPr>
                <w:rFonts w:cs="Arial"/>
                <w:color w:val="000000" w:themeColor="text1"/>
                <w:szCs w:val="16"/>
              </w:rPr>
              <w:t>57.83%</w:t>
            </w:r>
          </w:p>
        </w:tc>
        <w:tc>
          <w:tcPr>
            <w:tcW w:w="572" w:type="pct"/>
            <w:shd w:val="clear" w:color="auto" w:fill="auto"/>
            <w:vAlign w:val="center"/>
          </w:tcPr>
          <w:p w14:paraId="4E37244D" w14:textId="286AF534" w:rsidR="00A86385" w:rsidRPr="00781112" w:rsidRDefault="003D7F56">
            <w:pPr>
              <w:jc w:val="center"/>
              <w:rPr>
                <w:color w:val="000000" w:themeColor="text1"/>
              </w:rPr>
            </w:pPr>
            <w:r w:rsidRPr="00781112">
              <w:rPr>
                <w:color w:val="000000" w:themeColor="text1"/>
              </w:rPr>
              <w:t>55.80%</w:t>
            </w:r>
          </w:p>
        </w:tc>
        <w:tc>
          <w:tcPr>
            <w:tcW w:w="571" w:type="pct"/>
            <w:shd w:val="clear" w:color="auto" w:fill="auto"/>
            <w:vAlign w:val="center"/>
          </w:tcPr>
          <w:p w14:paraId="2BBC817C" w14:textId="65BC2730" w:rsidR="00A86385" w:rsidRPr="00781112" w:rsidRDefault="002B7490" w:rsidP="00A86385">
            <w:pPr>
              <w:jc w:val="center"/>
              <w:rPr>
                <w:rFonts w:cs="Arial"/>
                <w:color w:val="000000" w:themeColor="text1"/>
                <w:szCs w:val="16"/>
              </w:rPr>
            </w:pPr>
            <w:r w:rsidRPr="00781112">
              <w:rPr>
                <w:rFonts w:cs="Arial"/>
                <w:color w:val="000000" w:themeColor="text1"/>
                <w:szCs w:val="16"/>
              </w:rPr>
              <w:t>49.20%</w:t>
            </w:r>
          </w:p>
        </w:tc>
        <w:tc>
          <w:tcPr>
            <w:tcW w:w="572" w:type="pct"/>
            <w:shd w:val="clear" w:color="auto" w:fill="auto"/>
            <w:vAlign w:val="center"/>
          </w:tcPr>
          <w:p w14:paraId="3AC16CE0" w14:textId="7E3856A4" w:rsidR="00A86385" w:rsidRPr="00781112" w:rsidRDefault="002B7490" w:rsidP="00A86385">
            <w:pPr>
              <w:jc w:val="center"/>
              <w:rPr>
                <w:rFonts w:cs="Arial"/>
                <w:color w:val="000000" w:themeColor="text1"/>
                <w:szCs w:val="16"/>
              </w:rPr>
            </w:pPr>
            <w:r w:rsidRPr="00781112">
              <w:rPr>
                <w:rFonts w:cs="Arial"/>
                <w:color w:val="000000" w:themeColor="text1"/>
                <w:szCs w:val="16"/>
              </w:rPr>
              <w:t>Did not meet target</w:t>
            </w:r>
          </w:p>
        </w:tc>
        <w:tc>
          <w:tcPr>
            <w:tcW w:w="571" w:type="pct"/>
            <w:shd w:val="clear" w:color="auto" w:fill="auto"/>
            <w:vAlign w:val="center"/>
          </w:tcPr>
          <w:p w14:paraId="2C0165C1" w14:textId="5260DB98" w:rsidR="00A86385" w:rsidRPr="00781112" w:rsidRDefault="002B7490" w:rsidP="00A86385">
            <w:pPr>
              <w:jc w:val="center"/>
              <w:rPr>
                <w:rFonts w:cs="Arial"/>
                <w:color w:val="000000" w:themeColor="text1"/>
                <w:szCs w:val="16"/>
              </w:rPr>
            </w:pPr>
            <w:r w:rsidRPr="00781112">
              <w:rPr>
                <w:rFonts w:cs="Arial"/>
                <w:color w:val="000000" w:themeColor="text1"/>
                <w:szCs w:val="16"/>
              </w:rPr>
              <w:t>Slippage</w:t>
            </w:r>
          </w:p>
        </w:tc>
      </w:tr>
    </w:tbl>
    <w:p w14:paraId="43C6FD6E" w14:textId="77777777" w:rsidR="00A80FEB" w:rsidRPr="00781112" w:rsidRDefault="00A80FEB" w:rsidP="004369B2">
      <w:pPr>
        <w:rPr>
          <w:color w:val="000000" w:themeColor="text1"/>
        </w:rPr>
      </w:pPr>
      <w:r w:rsidRPr="00781112">
        <w:rPr>
          <w:b/>
          <w:color w:val="000000" w:themeColor="text1"/>
        </w:rPr>
        <w:t>Outcome B: Acquisition and use of knowledge and skills (including early language/communication)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7OUTCOMEB"/>
      </w:tblPr>
      <w:tblGrid>
        <w:gridCol w:w="7227"/>
        <w:gridCol w:w="1783"/>
        <w:gridCol w:w="1780"/>
      </w:tblGrid>
      <w:tr w:rsidR="005C29F8" w:rsidRPr="00781112" w14:paraId="637A7029" w14:textId="2CDA80A7" w:rsidTr="0033429D">
        <w:trPr>
          <w:trHeight w:val="361"/>
          <w:tblHeader/>
        </w:trPr>
        <w:tc>
          <w:tcPr>
            <w:tcW w:w="3349" w:type="pct"/>
            <w:shd w:val="clear" w:color="auto" w:fill="auto"/>
            <w:vAlign w:val="bottom"/>
          </w:tcPr>
          <w:p w14:paraId="43F5435F" w14:textId="01DC1145" w:rsidR="00E13B95" w:rsidRPr="00781112" w:rsidRDefault="003E11AE" w:rsidP="0024351A">
            <w:pPr>
              <w:rPr>
                <w:rFonts w:cs="Arial"/>
                <w:color w:val="000000" w:themeColor="text1"/>
                <w:szCs w:val="16"/>
              </w:rPr>
            </w:pPr>
            <w:r w:rsidRPr="00781112">
              <w:rPr>
                <w:rFonts w:cs="Arial"/>
                <w:b/>
                <w:color w:val="000000" w:themeColor="text1"/>
                <w:szCs w:val="16"/>
              </w:rPr>
              <w:t xml:space="preserve">Outcome B </w:t>
            </w:r>
            <w:r w:rsidRPr="00781112">
              <w:rPr>
                <w:rFonts w:cs="Arial"/>
                <w:b/>
                <w:bCs/>
                <w:color w:val="000000" w:themeColor="text1"/>
                <w:szCs w:val="16"/>
              </w:rPr>
              <w:t xml:space="preserve">Progress </w:t>
            </w:r>
            <w:r w:rsidR="009028CA" w:rsidRPr="00781112">
              <w:rPr>
                <w:rFonts w:cs="Arial"/>
                <w:b/>
                <w:bCs/>
                <w:color w:val="000000" w:themeColor="text1"/>
                <w:szCs w:val="16"/>
              </w:rPr>
              <w:t>C</w:t>
            </w:r>
            <w:r w:rsidRPr="00781112">
              <w:rPr>
                <w:rFonts w:cs="Arial"/>
                <w:b/>
                <w:bCs/>
                <w:color w:val="000000" w:themeColor="text1"/>
                <w:szCs w:val="16"/>
              </w:rPr>
              <w:t>ategor</w:t>
            </w:r>
            <w:r w:rsidR="00E91363" w:rsidRPr="00781112">
              <w:rPr>
                <w:rFonts w:cs="Arial"/>
                <w:b/>
                <w:bCs/>
                <w:color w:val="000000" w:themeColor="text1"/>
                <w:szCs w:val="16"/>
              </w:rPr>
              <w:t>y</w:t>
            </w:r>
          </w:p>
        </w:tc>
        <w:tc>
          <w:tcPr>
            <w:tcW w:w="826" w:type="pct"/>
            <w:shd w:val="clear" w:color="auto" w:fill="auto"/>
            <w:vAlign w:val="bottom"/>
          </w:tcPr>
          <w:p w14:paraId="33266842" w14:textId="77777777" w:rsidR="00E13B95" w:rsidRPr="00781112" w:rsidRDefault="00E13B95" w:rsidP="0024351A">
            <w:pPr>
              <w:jc w:val="center"/>
              <w:rPr>
                <w:rFonts w:cs="Arial"/>
                <w:b/>
                <w:color w:val="000000" w:themeColor="text1"/>
                <w:szCs w:val="16"/>
              </w:rPr>
            </w:pPr>
            <w:r w:rsidRPr="00781112">
              <w:rPr>
                <w:rFonts w:cs="Arial"/>
                <w:b/>
                <w:color w:val="000000" w:themeColor="text1"/>
                <w:szCs w:val="16"/>
              </w:rPr>
              <w:t>Number of Children</w:t>
            </w:r>
          </w:p>
        </w:tc>
        <w:tc>
          <w:tcPr>
            <w:tcW w:w="825" w:type="pct"/>
            <w:shd w:val="clear" w:color="auto" w:fill="auto"/>
            <w:vAlign w:val="bottom"/>
          </w:tcPr>
          <w:p w14:paraId="55864E39" w14:textId="3FAA808D" w:rsidR="00E13B95" w:rsidRPr="00781112" w:rsidRDefault="00E13B95" w:rsidP="0024351A">
            <w:pPr>
              <w:jc w:val="center"/>
              <w:rPr>
                <w:rFonts w:cs="Arial"/>
                <w:b/>
                <w:color w:val="000000" w:themeColor="text1"/>
                <w:szCs w:val="16"/>
              </w:rPr>
            </w:pPr>
            <w:r w:rsidRPr="00781112">
              <w:rPr>
                <w:rFonts w:cs="Arial"/>
                <w:b/>
                <w:color w:val="000000" w:themeColor="text1"/>
                <w:szCs w:val="16"/>
              </w:rPr>
              <w:t>Percentage of Children</w:t>
            </w:r>
          </w:p>
        </w:tc>
      </w:tr>
      <w:tr w:rsidR="005C29F8" w:rsidRPr="00781112" w14:paraId="5E399615" w14:textId="1C73CC75" w:rsidTr="00AB0D6A">
        <w:trPr>
          <w:trHeight w:val="361"/>
        </w:trPr>
        <w:tc>
          <w:tcPr>
            <w:tcW w:w="3349" w:type="pct"/>
            <w:shd w:val="clear" w:color="auto" w:fill="auto"/>
          </w:tcPr>
          <w:p w14:paraId="6B2DB9F8" w14:textId="77777777" w:rsidR="00A86385" w:rsidRPr="00781112" w:rsidRDefault="00A86385" w:rsidP="00A86385">
            <w:pPr>
              <w:rPr>
                <w:rFonts w:cs="Arial"/>
                <w:color w:val="000000" w:themeColor="text1"/>
                <w:szCs w:val="16"/>
              </w:rPr>
            </w:pPr>
            <w:r w:rsidRPr="00781112">
              <w:rPr>
                <w:rFonts w:cs="Arial"/>
                <w:color w:val="000000" w:themeColor="text1"/>
                <w:szCs w:val="16"/>
              </w:rPr>
              <w:t>a. Preschool children who did not improve functioning</w:t>
            </w:r>
          </w:p>
        </w:tc>
        <w:tc>
          <w:tcPr>
            <w:tcW w:w="826" w:type="pct"/>
            <w:shd w:val="clear" w:color="auto" w:fill="auto"/>
            <w:vAlign w:val="center"/>
          </w:tcPr>
          <w:p w14:paraId="54446092" w14:textId="4023E756" w:rsidR="00A86385" w:rsidRPr="00781112" w:rsidRDefault="002B7490" w:rsidP="00A018D4">
            <w:pPr>
              <w:jc w:val="center"/>
              <w:rPr>
                <w:rFonts w:cs="Arial"/>
                <w:color w:val="000000" w:themeColor="text1"/>
                <w:szCs w:val="16"/>
              </w:rPr>
            </w:pPr>
            <w:r w:rsidRPr="00781112">
              <w:rPr>
                <w:rFonts w:cs="Arial"/>
                <w:color w:val="000000" w:themeColor="text1"/>
                <w:szCs w:val="16"/>
              </w:rPr>
              <w:t>8</w:t>
            </w:r>
          </w:p>
        </w:tc>
        <w:tc>
          <w:tcPr>
            <w:tcW w:w="825" w:type="pct"/>
            <w:shd w:val="clear" w:color="auto" w:fill="auto"/>
            <w:vAlign w:val="center"/>
          </w:tcPr>
          <w:p w14:paraId="21775FA0" w14:textId="7E6665F3" w:rsidR="00A86385" w:rsidRPr="00781112" w:rsidRDefault="002B7490" w:rsidP="00A018D4">
            <w:pPr>
              <w:jc w:val="center"/>
              <w:rPr>
                <w:rFonts w:cs="Arial"/>
                <w:color w:val="000000" w:themeColor="text1"/>
                <w:szCs w:val="16"/>
              </w:rPr>
            </w:pPr>
            <w:r w:rsidRPr="00781112">
              <w:rPr>
                <w:rFonts w:cs="Arial"/>
                <w:color w:val="000000" w:themeColor="text1"/>
                <w:szCs w:val="16"/>
              </w:rPr>
              <w:t>0.24%</w:t>
            </w:r>
          </w:p>
        </w:tc>
      </w:tr>
      <w:tr w:rsidR="005C29F8" w:rsidRPr="00781112" w14:paraId="0EABFD05" w14:textId="7B9C3CA9" w:rsidTr="00AB0D6A">
        <w:trPr>
          <w:trHeight w:val="361"/>
        </w:trPr>
        <w:tc>
          <w:tcPr>
            <w:tcW w:w="3349" w:type="pct"/>
            <w:shd w:val="clear" w:color="auto" w:fill="auto"/>
          </w:tcPr>
          <w:p w14:paraId="623F83AF" w14:textId="77777777" w:rsidR="00A86385" w:rsidRPr="00781112" w:rsidRDefault="00A86385" w:rsidP="00A86385">
            <w:pPr>
              <w:rPr>
                <w:rFonts w:cs="Arial"/>
                <w:color w:val="000000" w:themeColor="text1"/>
                <w:szCs w:val="16"/>
              </w:rPr>
            </w:pPr>
            <w:r w:rsidRPr="00781112">
              <w:rPr>
                <w:rFonts w:cs="Arial"/>
                <w:color w:val="000000" w:themeColor="text1"/>
                <w:szCs w:val="16"/>
              </w:rPr>
              <w:t>b. Preschool children who improved functioning but not sufficient to move nearer to functioning comparable to same-aged peers</w:t>
            </w:r>
          </w:p>
        </w:tc>
        <w:tc>
          <w:tcPr>
            <w:tcW w:w="826" w:type="pct"/>
            <w:shd w:val="clear" w:color="auto" w:fill="auto"/>
            <w:vAlign w:val="center"/>
          </w:tcPr>
          <w:p w14:paraId="39ABCB88" w14:textId="036353D5" w:rsidR="00A86385" w:rsidRPr="00781112" w:rsidRDefault="002B7490" w:rsidP="00A018D4">
            <w:pPr>
              <w:jc w:val="center"/>
              <w:rPr>
                <w:rFonts w:cs="Arial"/>
                <w:color w:val="000000" w:themeColor="text1"/>
                <w:szCs w:val="16"/>
              </w:rPr>
            </w:pPr>
            <w:r w:rsidRPr="00781112">
              <w:rPr>
                <w:rFonts w:cs="Arial"/>
                <w:color w:val="000000" w:themeColor="text1"/>
                <w:szCs w:val="16"/>
              </w:rPr>
              <w:t>352</w:t>
            </w:r>
          </w:p>
        </w:tc>
        <w:tc>
          <w:tcPr>
            <w:tcW w:w="825" w:type="pct"/>
            <w:shd w:val="clear" w:color="auto" w:fill="auto"/>
            <w:vAlign w:val="center"/>
          </w:tcPr>
          <w:p w14:paraId="33D020CC" w14:textId="0314A001" w:rsidR="00A86385" w:rsidRPr="00781112" w:rsidRDefault="002B7490" w:rsidP="00A018D4">
            <w:pPr>
              <w:jc w:val="center"/>
              <w:rPr>
                <w:rFonts w:cs="Arial"/>
                <w:color w:val="000000" w:themeColor="text1"/>
                <w:szCs w:val="16"/>
              </w:rPr>
            </w:pPr>
            <w:r w:rsidRPr="00781112">
              <w:rPr>
                <w:rFonts w:cs="Arial"/>
                <w:color w:val="000000" w:themeColor="text1"/>
                <w:szCs w:val="16"/>
              </w:rPr>
              <w:t>10.40%</w:t>
            </w:r>
          </w:p>
        </w:tc>
      </w:tr>
      <w:tr w:rsidR="005C29F8" w:rsidRPr="00781112" w14:paraId="2AFEEE7C" w14:textId="52870042" w:rsidTr="00AB0D6A">
        <w:trPr>
          <w:trHeight w:val="361"/>
        </w:trPr>
        <w:tc>
          <w:tcPr>
            <w:tcW w:w="3349" w:type="pct"/>
            <w:shd w:val="clear" w:color="auto" w:fill="auto"/>
          </w:tcPr>
          <w:p w14:paraId="77166FC5" w14:textId="77777777" w:rsidR="00A86385" w:rsidRPr="00781112" w:rsidRDefault="00A86385" w:rsidP="00A86385">
            <w:pPr>
              <w:rPr>
                <w:rFonts w:cs="Arial"/>
                <w:color w:val="000000" w:themeColor="text1"/>
                <w:szCs w:val="16"/>
              </w:rPr>
            </w:pPr>
            <w:r w:rsidRPr="00781112">
              <w:rPr>
                <w:rFonts w:cs="Arial"/>
                <w:color w:val="000000" w:themeColor="text1"/>
                <w:szCs w:val="16"/>
              </w:rPr>
              <w:t>c. Preschool children who improved functioning to a level nearer to same-aged peers but did not reach it</w:t>
            </w:r>
          </w:p>
        </w:tc>
        <w:tc>
          <w:tcPr>
            <w:tcW w:w="826" w:type="pct"/>
            <w:shd w:val="clear" w:color="auto" w:fill="auto"/>
            <w:vAlign w:val="center"/>
          </w:tcPr>
          <w:p w14:paraId="32CAD94B" w14:textId="37477BEB" w:rsidR="00A86385" w:rsidRPr="00781112" w:rsidRDefault="002B7490" w:rsidP="00A018D4">
            <w:pPr>
              <w:jc w:val="center"/>
              <w:rPr>
                <w:rFonts w:cs="Arial"/>
                <w:color w:val="000000" w:themeColor="text1"/>
                <w:szCs w:val="16"/>
              </w:rPr>
            </w:pPr>
            <w:r w:rsidRPr="00781112">
              <w:rPr>
                <w:rFonts w:cs="Arial"/>
                <w:color w:val="000000" w:themeColor="text1"/>
                <w:szCs w:val="16"/>
              </w:rPr>
              <w:t>1,688</w:t>
            </w:r>
          </w:p>
        </w:tc>
        <w:tc>
          <w:tcPr>
            <w:tcW w:w="825" w:type="pct"/>
            <w:shd w:val="clear" w:color="auto" w:fill="auto"/>
            <w:vAlign w:val="center"/>
          </w:tcPr>
          <w:p w14:paraId="2021CF20" w14:textId="181B68B8" w:rsidR="00A86385" w:rsidRPr="00781112" w:rsidRDefault="002B7490" w:rsidP="00A018D4">
            <w:pPr>
              <w:jc w:val="center"/>
              <w:rPr>
                <w:rFonts w:cs="Arial"/>
                <w:color w:val="000000" w:themeColor="text1"/>
                <w:szCs w:val="16"/>
              </w:rPr>
            </w:pPr>
            <w:r w:rsidRPr="00781112">
              <w:rPr>
                <w:rFonts w:cs="Arial"/>
                <w:color w:val="000000" w:themeColor="text1"/>
                <w:szCs w:val="16"/>
              </w:rPr>
              <w:t>49.88%</w:t>
            </w:r>
          </w:p>
        </w:tc>
      </w:tr>
      <w:tr w:rsidR="005C29F8" w:rsidRPr="00781112" w14:paraId="5D450E84" w14:textId="4C13CEB9" w:rsidTr="00AB0D6A">
        <w:trPr>
          <w:trHeight w:val="361"/>
        </w:trPr>
        <w:tc>
          <w:tcPr>
            <w:tcW w:w="3349" w:type="pct"/>
            <w:shd w:val="clear" w:color="auto" w:fill="auto"/>
          </w:tcPr>
          <w:p w14:paraId="110FD587" w14:textId="77777777" w:rsidR="00A86385" w:rsidRPr="00781112" w:rsidRDefault="00A86385" w:rsidP="00A86385">
            <w:pPr>
              <w:rPr>
                <w:rFonts w:cs="Arial"/>
                <w:color w:val="000000" w:themeColor="text1"/>
                <w:szCs w:val="16"/>
              </w:rPr>
            </w:pPr>
            <w:r w:rsidRPr="00781112">
              <w:rPr>
                <w:rFonts w:cs="Arial"/>
                <w:color w:val="000000" w:themeColor="text1"/>
                <w:szCs w:val="16"/>
              </w:rPr>
              <w:t>d. Preschool children who improved functioning to reach a level comparable to same-aged peers</w:t>
            </w:r>
          </w:p>
        </w:tc>
        <w:tc>
          <w:tcPr>
            <w:tcW w:w="826" w:type="pct"/>
            <w:shd w:val="clear" w:color="auto" w:fill="auto"/>
            <w:vAlign w:val="center"/>
          </w:tcPr>
          <w:p w14:paraId="277F64A6" w14:textId="32E985A0" w:rsidR="00A86385" w:rsidRPr="00781112" w:rsidRDefault="002B7490" w:rsidP="00A018D4">
            <w:pPr>
              <w:jc w:val="center"/>
              <w:rPr>
                <w:rFonts w:cs="Arial"/>
                <w:color w:val="000000" w:themeColor="text1"/>
                <w:szCs w:val="16"/>
              </w:rPr>
            </w:pPr>
            <w:r w:rsidRPr="00781112">
              <w:rPr>
                <w:rFonts w:cs="Arial"/>
                <w:color w:val="000000" w:themeColor="text1"/>
                <w:szCs w:val="16"/>
              </w:rPr>
              <w:t>1,252</w:t>
            </w:r>
          </w:p>
        </w:tc>
        <w:tc>
          <w:tcPr>
            <w:tcW w:w="825" w:type="pct"/>
            <w:shd w:val="clear" w:color="auto" w:fill="auto"/>
            <w:vAlign w:val="center"/>
          </w:tcPr>
          <w:p w14:paraId="2EEE6FB7" w14:textId="6E8D11C4" w:rsidR="00A86385" w:rsidRPr="00781112" w:rsidRDefault="002B7490" w:rsidP="00A018D4">
            <w:pPr>
              <w:jc w:val="center"/>
              <w:rPr>
                <w:rFonts w:cs="Arial"/>
                <w:color w:val="000000" w:themeColor="text1"/>
                <w:szCs w:val="16"/>
              </w:rPr>
            </w:pPr>
            <w:r w:rsidRPr="00781112">
              <w:rPr>
                <w:rFonts w:cs="Arial"/>
                <w:color w:val="000000" w:themeColor="text1"/>
                <w:szCs w:val="16"/>
              </w:rPr>
              <w:t>37.00%</w:t>
            </w:r>
          </w:p>
        </w:tc>
      </w:tr>
      <w:tr w:rsidR="005C29F8" w:rsidRPr="00781112" w14:paraId="108FFB57" w14:textId="0C409786" w:rsidTr="00AB0D6A">
        <w:trPr>
          <w:trHeight w:val="361"/>
        </w:trPr>
        <w:tc>
          <w:tcPr>
            <w:tcW w:w="3349" w:type="pct"/>
            <w:shd w:val="clear" w:color="auto" w:fill="auto"/>
          </w:tcPr>
          <w:p w14:paraId="3D4AD278" w14:textId="77777777" w:rsidR="00A86385" w:rsidRPr="00781112" w:rsidRDefault="00A86385" w:rsidP="00A86385">
            <w:pPr>
              <w:rPr>
                <w:rFonts w:cs="Arial"/>
                <w:color w:val="000000" w:themeColor="text1"/>
                <w:szCs w:val="16"/>
              </w:rPr>
            </w:pPr>
            <w:r w:rsidRPr="00781112">
              <w:rPr>
                <w:rFonts w:cs="Arial"/>
                <w:color w:val="000000" w:themeColor="text1"/>
                <w:szCs w:val="16"/>
              </w:rPr>
              <w:t>e. Preschool children who maintained functioning at a level comparable to same-aged peers</w:t>
            </w:r>
          </w:p>
        </w:tc>
        <w:tc>
          <w:tcPr>
            <w:tcW w:w="826" w:type="pct"/>
            <w:shd w:val="clear" w:color="auto" w:fill="auto"/>
            <w:vAlign w:val="center"/>
          </w:tcPr>
          <w:p w14:paraId="7A790A60" w14:textId="08E1839F" w:rsidR="00A86385" w:rsidRPr="00781112" w:rsidRDefault="002B7490" w:rsidP="00A018D4">
            <w:pPr>
              <w:jc w:val="center"/>
              <w:rPr>
                <w:rFonts w:cs="Arial"/>
                <w:color w:val="000000" w:themeColor="text1"/>
                <w:szCs w:val="16"/>
              </w:rPr>
            </w:pPr>
            <w:r w:rsidRPr="00781112">
              <w:rPr>
                <w:rFonts w:cs="Arial"/>
                <w:color w:val="000000" w:themeColor="text1"/>
                <w:szCs w:val="16"/>
              </w:rPr>
              <w:t>84</w:t>
            </w:r>
          </w:p>
        </w:tc>
        <w:tc>
          <w:tcPr>
            <w:tcW w:w="825" w:type="pct"/>
            <w:shd w:val="clear" w:color="auto" w:fill="auto"/>
            <w:vAlign w:val="center"/>
          </w:tcPr>
          <w:p w14:paraId="2501B391" w14:textId="1634A6F5" w:rsidR="00A86385" w:rsidRPr="00781112" w:rsidRDefault="002B7490" w:rsidP="00A018D4">
            <w:pPr>
              <w:jc w:val="center"/>
              <w:rPr>
                <w:rFonts w:cs="Arial"/>
                <w:color w:val="000000" w:themeColor="text1"/>
                <w:szCs w:val="16"/>
              </w:rPr>
            </w:pPr>
            <w:r w:rsidRPr="00781112">
              <w:rPr>
                <w:rFonts w:cs="Arial"/>
                <w:color w:val="000000" w:themeColor="text1"/>
                <w:szCs w:val="16"/>
              </w:rPr>
              <w:t>2.48%</w:t>
            </w:r>
          </w:p>
        </w:tc>
      </w:tr>
    </w:tbl>
    <w:p w14:paraId="7EA9F2D2" w14:textId="77777777" w:rsidR="00A80FEB" w:rsidRPr="00781112" w:rsidRDefault="00A80FEB" w:rsidP="00A80FEB">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7OUTCOMEBDATA"/>
      </w:tblPr>
      <w:tblGrid>
        <w:gridCol w:w="2159"/>
        <w:gridCol w:w="1262"/>
        <w:gridCol w:w="1262"/>
        <w:gridCol w:w="1172"/>
        <w:gridCol w:w="1260"/>
        <w:gridCol w:w="1260"/>
        <w:gridCol w:w="1049"/>
        <w:gridCol w:w="1366"/>
      </w:tblGrid>
      <w:tr w:rsidR="00AA4F85" w:rsidRPr="00781112" w14:paraId="29447607" w14:textId="4B3B706C" w:rsidTr="00AA4F85">
        <w:trPr>
          <w:tblHeader/>
        </w:trPr>
        <w:tc>
          <w:tcPr>
            <w:tcW w:w="1000" w:type="pct"/>
            <w:shd w:val="clear" w:color="auto" w:fill="auto"/>
            <w:vAlign w:val="bottom"/>
          </w:tcPr>
          <w:p w14:paraId="58D567A9" w14:textId="7BD30860" w:rsidR="00AA4F85" w:rsidRPr="00781112" w:rsidRDefault="00AA4F85" w:rsidP="00AA4F85">
            <w:pPr>
              <w:rPr>
                <w:b/>
                <w:color w:val="000000" w:themeColor="text1"/>
              </w:rPr>
            </w:pPr>
            <w:r w:rsidRPr="00781112">
              <w:rPr>
                <w:b/>
                <w:color w:val="000000" w:themeColor="text1"/>
              </w:rPr>
              <w:t>Outcome B</w:t>
            </w:r>
          </w:p>
        </w:tc>
        <w:tc>
          <w:tcPr>
            <w:tcW w:w="585" w:type="pct"/>
            <w:shd w:val="clear" w:color="auto" w:fill="auto"/>
            <w:vAlign w:val="bottom"/>
          </w:tcPr>
          <w:p w14:paraId="0DF6A486" w14:textId="77777777" w:rsidR="00AA4F85" w:rsidRPr="00781112" w:rsidRDefault="00AA4F85" w:rsidP="00AA4F85">
            <w:pPr>
              <w:rPr>
                <w:b/>
                <w:color w:val="000000" w:themeColor="text1"/>
              </w:rPr>
            </w:pPr>
            <w:r w:rsidRPr="00781112">
              <w:rPr>
                <w:b/>
                <w:color w:val="000000" w:themeColor="text1"/>
              </w:rPr>
              <w:t>Numerator</w:t>
            </w:r>
          </w:p>
        </w:tc>
        <w:tc>
          <w:tcPr>
            <w:tcW w:w="585" w:type="pct"/>
            <w:shd w:val="clear" w:color="auto" w:fill="auto"/>
            <w:vAlign w:val="bottom"/>
          </w:tcPr>
          <w:p w14:paraId="4A127242" w14:textId="77777777" w:rsidR="00AA4F85" w:rsidRPr="00781112" w:rsidRDefault="00AA4F85" w:rsidP="00AA4F85">
            <w:pPr>
              <w:rPr>
                <w:b/>
                <w:color w:val="000000" w:themeColor="text1"/>
              </w:rPr>
            </w:pPr>
            <w:r w:rsidRPr="00781112">
              <w:rPr>
                <w:b/>
                <w:color w:val="000000" w:themeColor="text1"/>
              </w:rPr>
              <w:t>Denominator</w:t>
            </w:r>
          </w:p>
        </w:tc>
        <w:tc>
          <w:tcPr>
            <w:tcW w:w="543" w:type="pct"/>
            <w:shd w:val="clear" w:color="auto" w:fill="auto"/>
            <w:vAlign w:val="bottom"/>
          </w:tcPr>
          <w:p w14:paraId="03649132" w14:textId="5B9E7E9F" w:rsidR="00AA4F85" w:rsidRPr="00CC1061" w:rsidRDefault="00AA4F85" w:rsidP="00CC1061">
            <w:pPr>
              <w:jc w:val="center"/>
              <w:rPr>
                <w:b/>
                <w:bCs/>
                <w:color w:val="000000" w:themeColor="text1"/>
              </w:rPr>
            </w:pPr>
            <w:r w:rsidRPr="00CC1061">
              <w:rPr>
                <w:b/>
                <w:bCs/>
              </w:rPr>
              <w:t>FFY 2020 Data</w:t>
            </w:r>
          </w:p>
        </w:tc>
        <w:tc>
          <w:tcPr>
            <w:tcW w:w="584" w:type="pct"/>
            <w:shd w:val="clear" w:color="auto" w:fill="auto"/>
            <w:vAlign w:val="bottom"/>
          </w:tcPr>
          <w:p w14:paraId="3AFAEBC5" w14:textId="5EFD3CB5" w:rsidR="00AA4F85" w:rsidRPr="00CC1061" w:rsidRDefault="00AA4F85" w:rsidP="00CC1061">
            <w:pPr>
              <w:jc w:val="center"/>
              <w:rPr>
                <w:b/>
                <w:bCs/>
                <w:color w:val="000000" w:themeColor="text1"/>
              </w:rPr>
            </w:pPr>
            <w:r w:rsidRPr="00CC1061">
              <w:rPr>
                <w:b/>
                <w:bCs/>
              </w:rPr>
              <w:t>FFY 2021 Target</w:t>
            </w:r>
          </w:p>
        </w:tc>
        <w:tc>
          <w:tcPr>
            <w:tcW w:w="584" w:type="pct"/>
            <w:shd w:val="clear" w:color="auto" w:fill="auto"/>
            <w:vAlign w:val="bottom"/>
          </w:tcPr>
          <w:p w14:paraId="40B6360D" w14:textId="340EE357" w:rsidR="00AA4F85" w:rsidRPr="00CC1061" w:rsidRDefault="00AA4F85" w:rsidP="00CC1061">
            <w:pPr>
              <w:jc w:val="center"/>
              <w:rPr>
                <w:b/>
                <w:bCs/>
                <w:color w:val="000000" w:themeColor="text1"/>
              </w:rPr>
            </w:pPr>
            <w:r w:rsidRPr="00CC1061">
              <w:rPr>
                <w:b/>
                <w:bCs/>
              </w:rPr>
              <w:t>FFY 2021 Data</w:t>
            </w:r>
          </w:p>
        </w:tc>
        <w:tc>
          <w:tcPr>
            <w:tcW w:w="486" w:type="pct"/>
            <w:shd w:val="clear" w:color="auto" w:fill="auto"/>
            <w:vAlign w:val="bottom"/>
          </w:tcPr>
          <w:p w14:paraId="17C85F8A" w14:textId="625B06E9" w:rsidR="00AA4F85" w:rsidRPr="00781112" w:rsidRDefault="00AA4F85" w:rsidP="00AA4F85">
            <w:pPr>
              <w:rPr>
                <w:b/>
                <w:color w:val="000000" w:themeColor="text1"/>
              </w:rPr>
            </w:pPr>
            <w:r w:rsidRPr="00781112">
              <w:rPr>
                <w:b/>
                <w:color w:val="000000" w:themeColor="text1"/>
              </w:rPr>
              <w:t>Status</w:t>
            </w:r>
          </w:p>
        </w:tc>
        <w:tc>
          <w:tcPr>
            <w:tcW w:w="633" w:type="pct"/>
            <w:shd w:val="clear" w:color="auto" w:fill="auto"/>
            <w:vAlign w:val="bottom"/>
          </w:tcPr>
          <w:p w14:paraId="4254BB19" w14:textId="15C403FF" w:rsidR="00AA4F85" w:rsidRPr="00781112" w:rsidRDefault="00AA4F85" w:rsidP="00AA4F85">
            <w:pPr>
              <w:rPr>
                <w:b/>
                <w:color w:val="000000" w:themeColor="text1"/>
              </w:rPr>
            </w:pPr>
            <w:r w:rsidRPr="00781112">
              <w:rPr>
                <w:b/>
                <w:color w:val="000000" w:themeColor="text1"/>
              </w:rPr>
              <w:t>Slippage</w:t>
            </w:r>
          </w:p>
        </w:tc>
      </w:tr>
      <w:tr w:rsidR="005C29F8" w:rsidRPr="00781112" w14:paraId="6493B1D4" w14:textId="479A7C15" w:rsidTr="00AA4F85">
        <w:tc>
          <w:tcPr>
            <w:tcW w:w="1000" w:type="pct"/>
            <w:shd w:val="clear" w:color="auto" w:fill="auto"/>
          </w:tcPr>
          <w:p w14:paraId="095FBDAA" w14:textId="77777777" w:rsidR="00071D42" w:rsidRPr="00781112" w:rsidRDefault="00A86385" w:rsidP="00A018D4">
            <w:pPr>
              <w:rPr>
                <w:rFonts w:cs="Arial"/>
                <w:color w:val="000000" w:themeColor="text1"/>
                <w:szCs w:val="16"/>
              </w:rPr>
            </w:pPr>
            <w:r w:rsidRPr="00781112">
              <w:rPr>
                <w:rFonts w:cs="Arial"/>
                <w:color w:val="000000" w:themeColor="text1"/>
                <w:szCs w:val="16"/>
              </w:rPr>
              <w:t xml:space="preserve">B1. Of those children who entered or exited the program below age expectations in Outcome B, the percent who substantially increased their rate of growth by the time they turned 6 years of age or exited the program. </w:t>
            </w:r>
            <w:r w:rsidRPr="00266107">
              <w:rPr>
                <w:rFonts w:cs="Arial"/>
                <w:i/>
                <w:iCs/>
                <w:color w:val="000000" w:themeColor="text1"/>
                <w:szCs w:val="16"/>
              </w:rPr>
              <w:t>Calculation: (c+d)/(a+b+c+d)</w:t>
            </w:r>
          </w:p>
        </w:tc>
        <w:tc>
          <w:tcPr>
            <w:tcW w:w="585" w:type="pct"/>
            <w:shd w:val="clear" w:color="auto" w:fill="auto"/>
            <w:vAlign w:val="center"/>
          </w:tcPr>
          <w:p w14:paraId="250FBF70" w14:textId="269E9F95" w:rsidR="00A86385" w:rsidRPr="00781112" w:rsidRDefault="002B7490" w:rsidP="00A018D4">
            <w:pPr>
              <w:jc w:val="center"/>
              <w:rPr>
                <w:rFonts w:cs="Arial"/>
                <w:color w:val="000000" w:themeColor="text1"/>
                <w:szCs w:val="16"/>
              </w:rPr>
            </w:pPr>
            <w:r w:rsidRPr="00781112">
              <w:rPr>
                <w:rFonts w:cs="Arial"/>
                <w:color w:val="000000" w:themeColor="text1"/>
                <w:szCs w:val="16"/>
              </w:rPr>
              <w:t>2,940</w:t>
            </w:r>
          </w:p>
        </w:tc>
        <w:tc>
          <w:tcPr>
            <w:tcW w:w="585" w:type="pct"/>
            <w:shd w:val="clear" w:color="auto" w:fill="auto"/>
            <w:vAlign w:val="center"/>
          </w:tcPr>
          <w:p w14:paraId="682FF5CA" w14:textId="4D1E8D34" w:rsidR="00A86385" w:rsidRPr="00781112" w:rsidRDefault="002B7490" w:rsidP="00A018D4">
            <w:pPr>
              <w:jc w:val="center"/>
              <w:rPr>
                <w:rFonts w:cs="Arial"/>
                <w:color w:val="000000" w:themeColor="text1"/>
                <w:szCs w:val="16"/>
              </w:rPr>
            </w:pPr>
            <w:r w:rsidRPr="00781112">
              <w:rPr>
                <w:rFonts w:cs="Arial"/>
                <w:color w:val="000000" w:themeColor="text1"/>
                <w:szCs w:val="16"/>
              </w:rPr>
              <w:t>3,300</w:t>
            </w:r>
          </w:p>
        </w:tc>
        <w:tc>
          <w:tcPr>
            <w:tcW w:w="543" w:type="pct"/>
            <w:shd w:val="clear" w:color="auto" w:fill="auto"/>
            <w:vAlign w:val="center"/>
          </w:tcPr>
          <w:p w14:paraId="07D855DC" w14:textId="52076A3B" w:rsidR="00A86385" w:rsidRPr="00781112" w:rsidRDefault="002B7490" w:rsidP="00A018D4">
            <w:pPr>
              <w:jc w:val="center"/>
              <w:rPr>
                <w:rFonts w:cs="Arial"/>
                <w:color w:val="000000" w:themeColor="text1"/>
                <w:szCs w:val="16"/>
              </w:rPr>
            </w:pPr>
            <w:r w:rsidRPr="00781112">
              <w:rPr>
                <w:rFonts w:cs="Arial"/>
                <w:color w:val="000000" w:themeColor="text1"/>
                <w:szCs w:val="16"/>
              </w:rPr>
              <w:t>92.26%</w:t>
            </w:r>
          </w:p>
        </w:tc>
        <w:tc>
          <w:tcPr>
            <w:tcW w:w="584" w:type="pct"/>
            <w:shd w:val="clear" w:color="auto" w:fill="auto"/>
            <w:vAlign w:val="center"/>
          </w:tcPr>
          <w:p w14:paraId="2830610A" w14:textId="6D7B3DE8" w:rsidR="00A86385" w:rsidRPr="00781112" w:rsidRDefault="002B7490" w:rsidP="00A018D4">
            <w:pPr>
              <w:jc w:val="center"/>
              <w:rPr>
                <w:rFonts w:cs="Arial"/>
                <w:color w:val="000000" w:themeColor="text1"/>
                <w:szCs w:val="16"/>
              </w:rPr>
            </w:pPr>
            <w:r w:rsidRPr="00781112">
              <w:rPr>
                <w:rFonts w:cs="Arial"/>
                <w:color w:val="000000" w:themeColor="text1"/>
                <w:szCs w:val="16"/>
              </w:rPr>
              <w:t>88.41%</w:t>
            </w:r>
          </w:p>
        </w:tc>
        <w:tc>
          <w:tcPr>
            <w:tcW w:w="584" w:type="pct"/>
            <w:shd w:val="clear" w:color="auto" w:fill="auto"/>
            <w:vAlign w:val="center"/>
          </w:tcPr>
          <w:p w14:paraId="12F538E0" w14:textId="1332D172" w:rsidR="00A86385" w:rsidRPr="00781112" w:rsidRDefault="002B7490" w:rsidP="00A018D4">
            <w:pPr>
              <w:jc w:val="center"/>
              <w:rPr>
                <w:rFonts w:cs="Arial"/>
                <w:color w:val="000000" w:themeColor="text1"/>
                <w:szCs w:val="16"/>
              </w:rPr>
            </w:pPr>
            <w:r w:rsidRPr="00781112">
              <w:rPr>
                <w:rFonts w:cs="Arial"/>
                <w:color w:val="000000" w:themeColor="text1"/>
                <w:szCs w:val="16"/>
              </w:rPr>
              <w:t>89.09%</w:t>
            </w:r>
          </w:p>
        </w:tc>
        <w:tc>
          <w:tcPr>
            <w:tcW w:w="486" w:type="pct"/>
            <w:shd w:val="clear" w:color="auto" w:fill="auto"/>
            <w:vAlign w:val="center"/>
          </w:tcPr>
          <w:p w14:paraId="68592CBC" w14:textId="66F66CA8" w:rsidR="00A86385"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633" w:type="pct"/>
            <w:shd w:val="clear" w:color="auto" w:fill="auto"/>
            <w:vAlign w:val="center"/>
          </w:tcPr>
          <w:p w14:paraId="0C970ED8" w14:textId="7AA3F255" w:rsidR="00A86385"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r w:rsidR="005C29F8" w:rsidRPr="00781112" w14:paraId="41A2A4C8" w14:textId="1A212673" w:rsidTr="00AA4F85">
        <w:tc>
          <w:tcPr>
            <w:tcW w:w="1000" w:type="pct"/>
            <w:shd w:val="clear" w:color="auto" w:fill="auto"/>
          </w:tcPr>
          <w:p w14:paraId="2DEF6925" w14:textId="77777777" w:rsidR="00071D42" w:rsidRPr="00781112" w:rsidRDefault="00A86385" w:rsidP="00A018D4">
            <w:pPr>
              <w:rPr>
                <w:rFonts w:cs="Arial"/>
                <w:color w:val="000000" w:themeColor="text1"/>
                <w:szCs w:val="16"/>
              </w:rPr>
            </w:pPr>
            <w:r w:rsidRPr="00781112">
              <w:rPr>
                <w:rFonts w:cs="Arial"/>
                <w:color w:val="000000" w:themeColor="text1"/>
                <w:szCs w:val="16"/>
              </w:rPr>
              <w:t xml:space="preserve">B2. The percent of preschool children who were functioning within age expectations in Outcome B by the time they turned 6 years of age or exited the program. </w:t>
            </w:r>
            <w:r w:rsidRPr="00266107">
              <w:rPr>
                <w:rFonts w:cs="Arial"/>
                <w:i/>
                <w:iCs/>
                <w:color w:val="000000" w:themeColor="text1"/>
                <w:szCs w:val="16"/>
              </w:rPr>
              <w:t>Calculation: (d+e)/(a+b+c+d+e)</w:t>
            </w:r>
          </w:p>
        </w:tc>
        <w:tc>
          <w:tcPr>
            <w:tcW w:w="585" w:type="pct"/>
            <w:shd w:val="clear" w:color="auto" w:fill="auto"/>
            <w:vAlign w:val="center"/>
          </w:tcPr>
          <w:p w14:paraId="3ABF54A2" w14:textId="3376A45C" w:rsidR="00A86385" w:rsidRPr="00781112" w:rsidRDefault="002B7490" w:rsidP="00A018D4">
            <w:pPr>
              <w:jc w:val="center"/>
              <w:rPr>
                <w:rFonts w:cs="Arial"/>
                <w:color w:val="000000" w:themeColor="text1"/>
                <w:szCs w:val="16"/>
              </w:rPr>
            </w:pPr>
            <w:r w:rsidRPr="00781112">
              <w:rPr>
                <w:rFonts w:cs="Arial"/>
                <w:color w:val="000000" w:themeColor="text1"/>
                <w:szCs w:val="16"/>
              </w:rPr>
              <w:t>1,336</w:t>
            </w:r>
          </w:p>
        </w:tc>
        <w:tc>
          <w:tcPr>
            <w:tcW w:w="585" w:type="pct"/>
            <w:shd w:val="clear" w:color="auto" w:fill="auto"/>
            <w:vAlign w:val="center"/>
          </w:tcPr>
          <w:p w14:paraId="591EA1FE" w14:textId="556EFD96" w:rsidR="00A86385" w:rsidRPr="00781112" w:rsidRDefault="002B7490" w:rsidP="00A018D4">
            <w:pPr>
              <w:jc w:val="center"/>
              <w:rPr>
                <w:rFonts w:cs="Arial"/>
                <w:color w:val="000000" w:themeColor="text1"/>
                <w:szCs w:val="16"/>
              </w:rPr>
            </w:pPr>
            <w:r w:rsidRPr="00781112">
              <w:rPr>
                <w:rFonts w:cs="Arial"/>
                <w:color w:val="000000" w:themeColor="text1"/>
                <w:szCs w:val="16"/>
              </w:rPr>
              <w:t>3,384</w:t>
            </w:r>
          </w:p>
        </w:tc>
        <w:tc>
          <w:tcPr>
            <w:tcW w:w="543" w:type="pct"/>
            <w:shd w:val="clear" w:color="auto" w:fill="auto"/>
            <w:vAlign w:val="center"/>
          </w:tcPr>
          <w:p w14:paraId="0B86042E" w14:textId="01488A08" w:rsidR="00A86385" w:rsidRPr="00781112" w:rsidRDefault="002B7490" w:rsidP="00A018D4">
            <w:pPr>
              <w:jc w:val="center"/>
              <w:rPr>
                <w:rFonts w:cs="Arial"/>
                <w:color w:val="000000" w:themeColor="text1"/>
                <w:szCs w:val="16"/>
              </w:rPr>
            </w:pPr>
            <w:r w:rsidRPr="00781112">
              <w:rPr>
                <w:rFonts w:cs="Arial"/>
                <w:color w:val="000000" w:themeColor="text1"/>
                <w:szCs w:val="16"/>
              </w:rPr>
              <w:t>49.86%</w:t>
            </w:r>
          </w:p>
        </w:tc>
        <w:tc>
          <w:tcPr>
            <w:tcW w:w="584" w:type="pct"/>
            <w:shd w:val="clear" w:color="auto" w:fill="auto"/>
            <w:vAlign w:val="center"/>
          </w:tcPr>
          <w:p w14:paraId="33474719" w14:textId="0E1ED729" w:rsidR="00A86385" w:rsidRPr="00781112" w:rsidRDefault="002B7490" w:rsidP="00A018D4">
            <w:pPr>
              <w:jc w:val="center"/>
              <w:rPr>
                <w:rFonts w:cs="Arial"/>
                <w:color w:val="000000" w:themeColor="text1"/>
                <w:szCs w:val="16"/>
              </w:rPr>
            </w:pPr>
            <w:r w:rsidRPr="00781112">
              <w:rPr>
                <w:rFonts w:cs="Arial"/>
                <w:color w:val="000000" w:themeColor="text1"/>
                <w:szCs w:val="16"/>
              </w:rPr>
              <w:t>48.48%</w:t>
            </w:r>
          </w:p>
        </w:tc>
        <w:tc>
          <w:tcPr>
            <w:tcW w:w="584" w:type="pct"/>
            <w:shd w:val="clear" w:color="auto" w:fill="auto"/>
            <w:vAlign w:val="center"/>
          </w:tcPr>
          <w:p w14:paraId="073970A2" w14:textId="5A7FF3FA" w:rsidR="00A86385" w:rsidRPr="00781112" w:rsidRDefault="002B7490" w:rsidP="00A018D4">
            <w:pPr>
              <w:jc w:val="center"/>
              <w:rPr>
                <w:rFonts w:cs="Arial"/>
                <w:color w:val="000000" w:themeColor="text1"/>
                <w:szCs w:val="16"/>
              </w:rPr>
            </w:pPr>
            <w:r w:rsidRPr="00781112">
              <w:rPr>
                <w:rFonts w:cs="Arial"/>
                <w:color w:val="000000" w:themeColor="text1"/>
                <w:szCs w:val="16"/>
              </w:rPr>
              <w:t>39.48%</w:t>
            </w:r>
          </w:p>
        </w:tc>
        <w:tc>
          <w:tcPr>
            <w:tcW w:w="486" w:type="pct"/>
            <w:shd w:val="clear" w:color="auto" w:fill="auto"/>
            <w:vAlign w:val="center"/>
          </w:tcPr>
          <w:p w14:paraId="2B7E9ACC" w14:textId="45CB2456" w:rsidR="00A86385"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633" w:type="pct"/>
            <w:shd w:val="clear" w:color="auto" w:fill="auto"/>
            <w:vAlign w:val="center"/>
          </w:tcPr>
          <w:p w14:paraId="04CCC32D" w14:textId="64DEC314" w:rsidR="00A86385" w:rsidRPr="00781112" w:rsidRDefault="002B7490" w:rsidP="00A018D4">
            <w:pPr>
              <w:jc w:val="center"/>
              <w:rPr>
                <w:rFonts w:cs="Arial"/>
                <w:color w:val="000000" w:themeColor="text1"/>
                <w:szCs w:val="16"/>
              </w:rPr>
            </w:pPr>
            <w:r w:rsidRPr="00781112">
              <w:rPr>
                <w:rFonts w:cs="Arial"/>
                <w:color w:val="000000" w:themeColor="text1"/>
                <w:szCs w:val="16"/>
              </w:rPr>
              <w:t>Slippage</w:t>
            </w:r>
          </w:p>
        </w:tc>
      </w:tr>
    </w:tbl>
    <w:p w14:paraId="12AAE7F9" w14:textId="77777777" w:rsidR="00A80FEB" w:rsidRPr="00781112" w:rsidRDefault="00A80FEB" w:rsidP="004369B2">
      <w:pPr>
        <w:rPr>
          <w:color w:val="000000" w:themeColor="text1"/>
        </w:rPr>
      </w:pPr>
      <w:r w:rsidRPr="00781112">
        <w:rPr>
          <w:b/>
          <w:color w:val="000000" w:themeColor="text1"/>
        </w:rPr>
        <w:t>Outcome C: Use of appropriate behaviors to meet their needs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7OUTCOMEC"/>
      </w:tblPr>
      <w:tblGrid>
        <w:gridCol w:w="7227"/>
        <w:gridCol w:w="1783"/>
        <w:gridCol w:w="1780"/>
      </w:tblGrid>
      <w:tr w:rsidR="005C29F8" w:rsidRPr="00781112" w14:paraId="5A5015FC" w14:textId="4FA08BD6" w:rsidTr="0033429D">
        <w:trPr>
          <w:trHeight w:val="361"/>
          <w:tblHeader/>
        </w:trPr>
        <w:tc>
          <w:tcPr>
            <w:tcW w:w="3349" w:type="pct"/>
            <w:shd w:val="clear" w:color="auto" w:fill="auto"/>
            <w:vAlign w:val="bottom"/>
          </w:tcPr>
          <w:p w14:paraId="4191FDB2" w14:textId="72ED8C9D" w:rsidR="002F2379" w:rsidRPr="00781112" w:rsidRDefault="009028CA" w:rsidP="0024351A">
            <w:pPr>
              <w:rPr>
                <w:rFonts w:cs="Arial"/>
                <w:color w:val="000000" w:themeColor="text1"/>
                <w:szCs w:val="16"/>
              </w:rPr>
            </w:pPr>
            <w:r w:rsidRPr="00781112">
              <w:rPr>
                <w:rFonts w:cs="Arial"/>
                <w:b/>
                <w:color w:val="000000" w:themeColor="text1"/>
                <w:szCs w:val="16"/>
              </w:rPr>
              <w:t xml:space="preserve">Outcome C </w:t>
            </w:r>
            <w:r w:rsidRPr="00781112">
              <w:rPr>
                <w:rFonts w:cs="Arial"/>
                <w:b/>
                <w:bCs/>
                <w:color w:val="000000" w:themeColor="text1"/>
                <w:szCs w:val="16"/>
              </w:rPr>
              <w:t>Progress Categor</w:t>
            </w:r>
            <w:r w:rsidR="00E91363" w:rsidRPr="00781112">
              <w:rPr>
                <w:rFonts w:cs="Arial"/>
                <w:b/>
                <w:bCs/>
                <w:color w:val="000000" w:themeColor="text1"/>
                <w:szCs w:val="16"/>
              </w:rPr>
              <w:t>y</w:t>
            </w:r>
          </w:p>
        </w:tc>
        <w:tc>
          <w:tcPr>
            <w:tcW w:w="826" w:type="pct"/>
            <w:shd w:val="clear" w:color="auto" w:fill="auto"/>
            <w:vAlign w:val="bottom"/>
          </w:tcPr>
          <w:p w14:paraId="18BE5F06" w14:textId="77777777" w:rsidR="002F2379" w:rsidRPr="00781112" w:rsidRDefault="002F2379" w:rsidP="0024351A">
            <w:pPr>
              <w:jc w:val="center"/>
              <w:rPr>
                <w:rFonts w:cs="Arial"/>
                <w:b/>
                <w:color w:val="000000" w:themeColor="text1"/>
                <w:szCs w:val="16"/>
              </w:rPr>
            </w:pPr>
            <w:r w:rsidRPr="00781112">
              <w:rPr>
                <w:rFonts w:cs="Arial"/>
                <w:b/>
                <w:color w:val="000000" w:themeColor="text1"/>
                <w:szCs w:val="16"/>
              </w:rPr>
              <w:t>Number of Children</w:t>
            </w:r>
          </w:p>
        </w:tc>
        <w:tc>
          <w:tcPr>
            <w:tcW w:w="825" w:type="pct"/>
            <w:shd w:val="clear" w:color="auto" w:fill="auto"/>
            <w:vAlign w:val="bottom"/>
          </w:tcPr>
          <w:p w14:paraId="5D2176F1" w14:textId="0AB04833" w:rsidR="002F2379" w:rsidRPr="00781112" w:rsidRDefault="002F2379" w:rsidP="0024351A">
            <w:pPr>
              <w:jc w:val="center"/>
              <w:rPr>
                <w:rFonts w:cs="Arial"/>
                <w:b/>
                <w:color w:val="000000" w:themeColor="text1"/>
                <w:szCs w:val="16"/>
              </w:rPr>
            </w:pPr>
            <w:r w:rsidRPr="00781112">
              <w:rPr>
                <w:rFonts w:cs="Arial"/>
                <w:b/>
                <w:color w:val="000000" w:themeColor="text1"/>
                <w:szCs w:val="16"/>
              </w:rPr>
              <w:t>Percentage of Children</w:t>
            </w:r>
          </w:p>
        </w:tc>
      </w:tr>
      <w:tr w:rsidR="005C29F8" w:rsidRPr="00781112" w14:paraId="091128D7" w14:textId="67DCF276" w:rsidTr="00AB0D6A">
        <w:trPr>
          <w:trHeight w:val="361"/>
        </w:trPr>
        <w:tc>
          <w:tcPr>
            <w:tcW w:w="3349" w:type="pct"/>
            <w:shd w:val="clear" w:color="auto" w:fill="auto"/>
          </w:tcPr>
          <w:p w14:paraId="4D685636" w14:textId="77777777" w:rsidR="00A86385" w:rsidRPr="00781112" w:rsidRDefault="00A86385" w:rsidP="00A86385">
            <w:pPr>
              <w:rPr>
                <w:rFonts w:cs="Arial"/>
                <w:color w:val="000000" w:themeColor="text1"/>
                <w:szCs w:val="16"/>
              </w:rPr>
            </w:pPr>
            <w:r w:rsidRPr="00781112">
              <w:rPr>
                <w:rFonts w:cs="Arial"/>
                <w:color w:val="000000" w:themeColor="text1"/>
                <w:szCs w:val="16"/>
              </w:rPr>
              <w:t>a. Preschool children who did not improve functioning</w:t>
            </w:r>
          </w:p>
        </w:tc>
        <w:tc>
          <w:tcPr>
            <w:tcW w:w="826" w:type="pct"/>
            <w:shd w:val="clear" w:color="auto" w:fill="auto"/>
            <w:vAlign w:val="center"/>
          </w:tcPr>
          <w:p w14:paraId="36C04483" w14:textId="33014E3B" w:rsidR="00A86385" w:rsidRPr="00781112" w:rsidRDefault="002B7490" w:rsidP="00A018D4">
            <w:pPr>
              <w:jc w:val="center"/>
              <w:rPr>
                <w:rFonts w:cs="Arial"/>
                <w:color w:val="000000" w:themeColor="text1"/>
                <w:szCs w:val="16"/>
              </w:rPr>
            </w:pPr>
            <w:r w:rsidRPr="00781112">
              <w:rPr>
                <w:rFonts w:cs="Arial"/>
                <w:color w:val="000000" w:themeColor="text1"/>
                <w:szCs w:val="16"/>
              </w:rPr>
              <w:t>16</w:t>
            </w:r>
          </w:p>
        </w:tc>
        <w:tc>
          <w:tcPr>
            <w:tcW w:w="825" w:type="pct"/>
            <w:shd w:val="clear" w:color="auto" w:fill="auto"/>
            <w:vAlign w:val="center"/>
          </w:tcPr>
          <w:p w14:paraId="224E7CD3" w14:textId="5C0B6B10" w:rsidR="00A86385" w:rsidRPr="00781112" w:rsidRDefault="002B7490" w:rsidP="00A018D4">
            <w:pPr>
              <w:jc w:val="center"/>
              <w:rPr>
                <w:rFonts w:cs="Arial"/>
                <w:color w:val="000000" w:themeColor="text1"/>
                <w:szCs w:val="16"/>
              </w:rPr>
            </w:pPr>
            <w:r w:rsidRPr="00781112">
              <w:rPr>
                <w:rFonts w:cs="Arial"/>
                <w:color w:val="000000" w:themeColor="text1"/>
                <w:szCs w:val="16"/>
              </w:rPr>
              <w:t>0.47%</w:t>
            </w:r>
          </w:p>
        </w:tc>
      </w:tr>
      <w:tr w:rsidR="005C29F8" w:rsidRPr="00781112" w14:paraId="0DFF86FC" w14:textId="381769F8" w:rsidTr="00AB0D6A">
        <w:trPr>
          <w:trHeight w:val="361"/>
        </w:trPr>
        <w:tc>
          <w:tcPr>
            <w:tcW w:w="3349" w:type="pct"/>
            <w:shd w:val="clear" w:color="auto" w:fill="auto"/>
          </w:tcPr>
          <w:p w14:paraId="72586C03" w14:textId="77777777" w:rsidR="00A86385" w:rsidRPr="00781112" w:rsidRDefault="00A86385" w:rsidP="00A86385">
            <w:pPr>
              <w:rPr>
                <w:rFonts w:cs="Arial"/>
                <w:color w:val="000000" w:themeColor="text1"/>
                <w:szCs w:val="16"/>
              </w:rPr>
            </w:pPr>
            <w:r w:rsidRPr="00781112">
              <w:rPr>
                <w:rFonts w:cs="Arial"/>
                <w:color w:val="000000" w:themeColor="text1"/>
                <w:szCs w:val="16"/>
              </w:rPr>
              <w:t>b. Preschool children who improved functioning but not sufficient to move nearer to functioning comparable to same-aged peers</w:t>
            </w:r>
          </w:p>
        </w:tc>
        <w:tc>
          <w:tcPr>
            <w:tcW w:w="826" w:type="pct"/>
            <w:shd w:val="clear" w:color="auto" w:fill="auto"/>
            <w:vAlign w:val="center"/>
          </w:tcPr>
          <w:p w14:paraId="453499DD" w14:textId="60CEBF1E" w:rsidR="00A86385" w:rsidRPr="00781112" w:rsidRDefault="002B7490" w:rsidP="00A018D4">
            <w:pPr>
              <w:jc w:val="center"/>
              <w:rPr>
                <w:rFonts w:cs="Arial"/>
                <w:color w:val="000000" w:themeColor="text1"/>
                <w:szCs w:val="16"/>
              </w:rPr>
            </w:pPr>
            <w:r w:rsidRPr="00781112">
              <w:rPr>
                <w:rFonts w:cs="Arial"/>
                <w:color w:val="000000" w:themeColor="text1"/>
                <w:szCs w:val="16"/>
              </w:rPr>
              <w:t>398</w:t>
            </w:r>
          </w:p>
        </w:tc>
        <w:tc>
          <w:tcPr>
            <w:tcW w:w="825" w:type="pct"/>
            <w:shd w:val="clear" w:color="auto" w:fill="auto"/>
            <w:vAlign w:val="center"/>
          </w:tcPr>
          <w:p w14:paraId="75491539" w14:textId="4C6956ED" w:rsidR="00A86385" w:rsidRPr="00781112" w:rsidRDefault="002B7490" w:rsidP="00A018D4">
            <w:pPr>
              <w:jc w:val="center"/>
              <w:rPr>
                <w:rFonts w:cs="Arial"/>
                <w:color w:val="000000" w:themeColor="text1"/>
                <w:szCs w:val="16"/>
              </w:rPr>
            </w:pPr>
            <w:r w:rsidRPr="00781112">
              <w:rPr>
                <w:rFonts w:cs="Arial"/>
                <w:color w:val="000000" w:themeColor="text1"/>
                <w:szCs w:val="16"/>
              </w:rPr>
              <w:t>11.76%</w:t>
            </w:r>
          </w:p>
        </w:tc>
      </w:tr>
      <w:tr w:rsidR="005C29F8" w:rsidRPr="00781112" w14:paraId="055A4C9A" w14:textId="0FC02C83" w:rsidTr="00AB0D6A">
        <w:trPr>
          <w:trHeight w:val="395"/>
        </w:trPr>
        <w:tc>
          <w:tcPr>
            <w:tcW w:w="3349" w:type="pct"/>
            <w:shd w:val="clear" w:color="auto" w:fill="auto"/>
          </w:tcPr>
          <w:p w14:paraId="1EEA20E7" w14:textId="77777777" w:rsidR="00A86385" w:rsidRPr="00781112" w:rsidRDefault="00A86385" w:rsidP="00A86385">
            <w:pPr>
              <w:rPr>
                <w:rFonts w:cs="Arial"/>
                <w:color w:val="000000" w:themeColor="text1"/>
                <w:szCs w:val="16"/>
              </w:rPr>
            </w:pPr>
            <w:r w:rsidRPr="00781112">
              <w:rPr>
                <w:rFonts w:cs="Arial"/>
                <w:color w:val="000000" w:themeColor="text1"/>
                <w:szCs w:val="16"/>
              </w:rPr>
              <w:t>c. Preschool children who improved functioning to a level nearer to same-aged peers but did not reach it</w:t>
            </w:r>
          </w:p>
        </w:tc>
        <w:tc>
          <w:tcPr>
            <w:tcW w:w="826" w:type="pct"/>
            <w:shd w:val="clear" w:color="auto" w:fill="auto"/>
            <w:vAlign w:val="center"/>
          </w:tcPr>
          <w:p w14:paraId="16FD0FF8" w14:textId="15197C29" w:rsidR="00A86385" w:rsidRPr="00781112" w:rsidRDefault="002B7490" w:rsidP="00A018D4">
            <w:pPr>
              <w:jc w:val="center"/>
              <w:rPr>
                <w:rFonts w:cs="Arial"/>
                <w:color w:val="000000" w:themeColor="text1"/>
                <w:szCs w:val="16"/>
              </w:rPr>
            </w:pPr>
            <w:r w:rsidRPr="00781112">
              <w:rPr>
                <w:rFonts w:cs="Arial"/>
                <w:color w:val="000000" w:themeColor="text1"/>
                <w:szCs w:val="16"/>
              </w:rPr>
              <w:t>1,150</w:t>
            </w:r>
          </w:p>
        </w:tc>
        <w:tc>
          <w:tcPr>
            <w:tcW w:w="825" w:type="pct"/>
            <w:shd w:val="clear" w:color="auto" w:fill="auto"/>
            <w:vAlign w:val="center"/>
          </w:tcPr>
          <w:p w14:paraId="5A785A5B" w14:textId="096612D9" w:rsidR="00A86385" w:rsidRPr="00781112" w:rsidRDefault="002B7490" w:rsidP="00A018D4">
            <w:pPr>
              <w:jc w:val="center"/>
              <w:rPr>
                <w:rFonts w:cs="Arial"/>
                <w:color w:val="000000" w:themeColor="text1"/>
                <w:szCs w:val="16"/>
              </w:rPr>
            </w:pPr>
            <w:r w:rsidRPr="00781112">
              <w:rPr>
                <w:rFonts w:cs="Arial"/>
                <w:color w:val="000000" w:themeColor="text1"/>
                <w:szCs w:val="16"/>
              </w:rPr>
              <w:t>33.98%</w:t>
            </w:r>
          </w:p>
        </w:tc>
      </w:tr>
      <w:tr w:rsidR="005C29F8" w:rsidRPr="00781112" w14:paraId="116C43B5" w14:textId="562F3ACF" w:rsidTr="00AB0D6A">
        <w:trPr>
          <w:trHeight w:val="361"/>
        </w:trPr>
        <w:tc>
          <w:tcPr>
            <w:tcW w:w="3349" w:type="pct"/>
            <w:shd w:val="clear" w:color="auto" w:fill="auto"/>
          </w:tcPr>
          <w:p w14:paraId="74396990" w14:textId="77777777" w:rsidR="00A86385" w:rsidRPr="00781112" w:rsidRDefault="00A86385" w:rsidP="00A86385">
            <w:pPr>
              <w:rPr>
                <w:rFonts w:cs="Arial"/>
                <w:color w:val="000000" w:themeColor="text1"/>
                <w:szCs w:val="16"/>
              </w:rPr>
            </w:pPr>
            <w:r w:rsidRPr="00781112">
              <w:rPr>
                <w:rFonts w:cs="Arial"/>
                <w:color w:val="000000" w:themeColor="text1"/>
                <w:szCs w:val="16"/>
              </w:rPr>
              <w:t>d. Preschool children who improved functioning to reach a level comparable to same-aged peers</w:t>
            </w:r>
          </w:p>
        </w:tc>
        <w:tc>
          <w:tcPr>
            <w:tcW w:w="826" w:type="pct"/>
            <w:shd w:val="clear" w:color="auto" w:fill="auto"/>
            <w:vAlign w:val="center"/>
          </w:tcPr>
          <w:p w14:paraId="5993AD4D" w14:textId="0747815C" w:rsidR="00A86385" w:rsidRPr="00781112" w:rsidRDefault="002B7490" w:rsidP="00A018D4">
            <w:pPr>
              <w:jc w:val="center"/>
              <w:rPr>
                <w:rFonts w:cs="Arial"/>
                <w:color w:val="000000" w:themeColor="text1"/>
                <w:szCs w:val="16"/>
              </w:rPr>
            </w:pPr>
            <w:r w:rsidRPr="00781112">
              <w:rPr>
                <w:rFonts w:cs="Arial"/>
                <w:color w:val="000000" w:themeColor="text1"/>
                <w:szCs w:val="16"/>
              </w:rPr>
              <w:t>1,487</w:t>
            </w:r>
          </w:p>
        </w:tc>
        <w:tc>
          <w:tcPr>
            <w:tcW w:w="825" w:type="pct"/>
            <w:shd w:val="clear" w:color="auto" w:fill="auto"/>
            <w:vAlign w:val="center"/>
          </w:tcPr>
          <w:p w14:paraId="6CF00AA9" w14:textId="2DDC2AAD" w:rsidR="00A86385" w:rsidRPr="00781112" w:rsidRDefault="002B7490" w:rsidP="00A018D4">
            <w:pPr>
              <w:jc w:val="center"/>
              <w:rPr>
                <w:rFonts w:cs="Arial"/>
                <w:color w:val="000000" w:themeColor="text1"/>
                <w:szCs w:val="16"/>
              </w:rPr>
            </w:pPr>
            <w:r w:rsidRPr="00781112">
              <w:rPr>
                <w:rFonts w:cs="Arial"/>
                <w:color w:val="000000" w:themeColor="text1"/>
                <w:szCs w:val="16"/>
              </w:rPr>
              <w:t>43.94%</w:t>
            </w:r>
          </w:p>
        </w:tc>
      </w:tr>
      <w:tr w:rsidR="005C29F8" w:rsidRPr="00781112" w14:paraId="4BA9BE51" w14:textId="4FD5F213" w:rsidTr="00AB0D6A">
        <w:trPr>
          <w:trHeight w:val="361"/>
        </w:trPr>
        <w:tc>
          <w:tcPr>
            <w:tcW w:w="3349" w:type="pct"/>
            <w:shd w:val="clear" w:color="auto" w:fill="auto"/>
          </w:tcPr>
          <w:p w14:paraId="016E3D57" w14:textId="77777777" w:rsidR="00A86385" w:rsidRPr="00781112" w:rsidRDefault="00A86385" w:rsidP="00A86385">
            <w:pPr>
              <w:rPr>
                <w:rFonts w:cs="Arial"/>
                <w:color w:val="000000" w:themeColor="text1"/>
                <w:szCs w:val="16"/>
              </w:rPr>
            </w:pPr>
            <w:r w:rsidRPr="00781112">
              <w:rPr>
                <w:rFonts w:cs="Arial"/>
                <w:color w:val="000000" w:themeColor="text1"/>
                <w:szCs w:val="16"/>
              </w:rPr>
              <w:lastRenderedPageBreak/>
              <w:t>e. Preschool children who maintained functioning at a level comparable to same-aged peers</w:t>
            </w:r>
          </w:p>
        </w:tc>
        <w:tc>
          <w:tcPr>
            <w:tcW w:w="826" w:type="pct"/>
            <w:shd w:val="clear" w:color="auto" w:fill="auto"/>
            <w:vAlign w:val="center"/>
          </w:tcPr>
          <w:p w14:paraId="7D33EA20" w14:textId="42CC1D2C" w:rsidR="00A86385" w:rsidRPr="00781112" w:rsidRDefault="002B7490" w:rsidP="00A018D4">
            <w:pPr>
              <w:jc w:val="center"/>
              <w:rPr>
                <w:rFonts w:cs="Arial"/>
                <w:color w:val="000000" w:themeColor="text1"/>
                <w:szCs w:val="16"/>
              </w:rPr>
            </w:pPr>
            <w:r w:rsidRPr="00781112">
              <w:rPr>
                <w:rFonts w:cs="Arial"/>
                <w:color w:val="000000" w:themeColor="text1"/>
                <w:szCs w:val="16"/>
              </w:rPr>
              <w:t>333</w:t>
            </w:r>
          </w:p>
        </w:tc>
        <w:tc>
          <w:tcPr>
            <w:tcW w:w="825" w:type="pct"/>
            <w:shd w:val="clear" w:color="auto" w:fill="auto"/>
            <w:vAlign w:val="center"/>
          </w:tcPr>
          <w:p w14:paraId="5DB4A655" w14:textId="2961CB8C" w:rsidR="00A86385" w:rsidRPr="00781112" w:rsidRDefault="002B7490" w:rsidP="00A018D4">
            <w:pPr>
              <w:jc w:val="center"/>
              <w:rPr>
                <w:rFonts w:cs="Arial"/>
                <w:color w:val="000000" w:themeColor="text1"/>
                <w:szCs w:val="16"/>
              </w:rPr>
            </w:pPr>
            <w:r w:rsidRPr="00781112">
              <w:rPr>
                <w:rFonts w:cs="Arial"/>
                <w:color w:val="000000" w:themeColor="text1"/>
                <w:szCs w:val="16"/>
              </w:rPr>
              <w:t>9.84%</w:t>
            </w:r>
          </w:p>
        </w:tc>
      </w:tr>
    </w:tbl>
    <w:p w14:paraId="49F715FF" w14:textId="77777777" w:rsidR="00A80FEB" w:rsidRPr="00781112" w:rsidRDefault="00A80FEB" w:rsidP="00A80FEB">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7OUTCOMECDATA"/>
      </w:tblPr>
      <w:tblGrid>
        <w:gridCol w:w="2156"/>
        <w:gridCol w:w="1260"/>
        <w:gridCol w:w="1260"/>
        <w:gridCol w:w="1172"/>
        <w:gridCol w:w="1260"/>
        <w:gridCol w:w="1349"/>
        <w:gridCol w:w="991"/>
        <w:gridCol w:w="1342"/>
      </w:tblGrid>
      <w:tr w:rsidR="00AA4F85" w:rsidRPr="00781112" w14:paraId="6D854191" w14:textId="189CF04C" w:rsidTr="00AB0D6A">
        <w:trPr>
          <w:trHeight w:val="354"/>
          <w:tblHeader/>
        </w:trPr>
        <w:tc>
          <w:tcPr>
            <w:tcW w:w="999" w:type="pct"/>
            <w:shd w:val="clear" w:color="auto" w:fill="auto"/>
            <w:vAlign w:val="bottom"/>
          </w:tcPr>
          <w:p w14:paraId="2713B90C" w14:textId="70596E6D" w:rsidR="00AA4F85" w:rsidRPr="00781112" w:rsidRDefault="00AA4F85" w:rsidP="00AA4F85">
            <w:pPr>
              <w:rPr>
                <w:rFonts w:cs="Arial"/>
                <w:b/>
                <w:bCs/>
                <w:color w:val="000000" w:themeColor="text1"/>
                <w:szCs w:val="16"/>
              </w:rPr>
            </w:pPr>
            <w:r w:rsidRPr="00781112">
              <w:rPr>
                <w:rFonts w:cs="Arial"/>
                <w:b/>
                <w:bCs/>
                <w:color w:val="000000" w:themeColor="text1"/>
                <w:szCs w:val="16"/>
              </w:rPr>
              <w:t>Outcome C</w:t>
            </w:r>
          </w:p>
        </w:tc>
        <w:tc>
          <w:tcPr>
            <w:tcW w:w="584" w:type="pct"/>
            <w:shd w:val="clear" w:color="auto" w:fill="auto"/>
            <w:vAlign w:val="bottom"/>
          </w:tcPr>
          <w:p w14:paraId="3AAEB9EE" w14:textId="77777777" w:rsidR="00AA4F85" w:rsidRPr="00781112" w:rsidRDefault="00AA4F85" w:rsidP="00AA4F85">
            <w:pPr>
              <w:jc w:val="center"/>
              <w:rPr>
                <w:rFonts w:cs="Arial"/>
                <w:b/>
                <w:color w:val="000000" w:themeColor="text1"/>
                <w:szCs w:val="16"/>
              </w:rPr>
            </w:pPr>
            <w:r w:rsidRPr="00781112">
              <w:rPr>
                <w:rFonts w:cs="Arial"/>
                <w:b/>
                <w:color w:val="000000" w:themeColor="text1"/>
                <w:szCs w:val="16"/>
              </w:rPr>
              <w:t>Numerator</w:t>
            </w:r>
          </w:p>
        </w:tc>
        <w:tc>
          <w:tcPr>
            <w:tcW w:w="584" w:type="pct"/>
            <w:shd w:val="clear" w:color="auto" w:fill="auto"/>
            <w:vAlign w:val="bottom"/>
          </w:tcPr>
          <w:p w14:paraId="5C1FBE9E" w14:textId="77777777" w:rsidR="00AA4F85" w:rsidRPr="00781112" w:rsidRDefault="00AA4F85" w:rsidP="00AA4F85">
            <w:pPr>
              <w:jc w:val="center"/>
              <w:rPr>
                <w:rFonts w:cs="Arial"/>
                <w:b/>
                <w:color w:val="000000" w:themeColor="text1"/>
                <w:szCs w:val="16"/>
              </w:rPr>
            </w:pPr>
            <w:r w:rsidRPr="00781112">
              <w:rPr>
                <w:rFonts w:cs="Arial"/>
                <w:b/>
                <w:color w:val="000000" w:themeColor="text1"/>
                <w:szCs w:val="16"/>
              </w:rPr>
              <w:t>Denominator</w:t>
            </w:r>
          </w:p>
        </w:tc>
        <w:tc>
          <w:tcPr>
            <w:tcW w:w="543" w:type="pct"/>
            <w:shd w:val="clear" w:color="auto" w:fill="auto"/>
            <w:vAlign w:val="bottom"/>
          </w:tcPr>
          <w:p w14:paraId="7E124690" w14:textId="3A34568D" w:rsidR="00AA4F85" w:rsidRPr="00CC1061" w:rsidRDefault="00AA4F85" w:rsidP="00AA4F85">
            <w:pPr>
              <w:jc w:val="center"/>
              <w:rPr>
                <w:rFonts w:cs="Arial"/>
                <w:b/>
                <w:bCs/>
                <w:color w:val="000000" w:themeColor="text1"/>
                <w:szCs w:val="16"/>
              </w:rPr>
            </w:pPr>
            <w:r w:rsidRPr="00CC1061">
              <w:rPr>
                <w:b/>
                <w:bCs/>
              </w:rPr>
              <w:t>FFY 2020 Data</w:t>
            </w:r>
          </w:p>
        </w:tc>
        <w:tc>
          <w:tcPr>
            <w:tcW w:w="584" w:type="pct"/>
            <w:shd w:val="clear" w:color="auto" w:fill="auto"/>
            <w:vAlign w:val="bottom"/>
          </w:tcPr>
          <w:p w14:paraId="7E59D447" w14:textId="7E763810" w:rsidR="00AA4F85" w:rsidRPr="00CC1061" w:rsidRDefault="00AA4F85" w:rsidP="00AA4F85">
            <w:pPr>
              <w:jc w:val="center"/>
              <w:rPr>
                <w:rFonts w:cs="Arial"/>
                <w:b/>
                <w:bCs/>
                <w:color w:val="000000" w:themeColor="text1"/>
                <w:szCs w:val="16"/>
              </w:rPr>
            </w:pPr>
            <w:r w:rsidRPr="00CC1061">
              <w:rPr>
                <w:b/>
                <w:bCs/>
              </w:rPr>
              <w:t>FFY 2021 Target</w:t>
            </w:r>
          </w:p>
        </w:tc>
        <w:tc>
          <w:tcPr>
            <w:tcW w:w="625" w:type="pct"/>
            <w:shd w:val="clear" w:color="auto" w:fill="auto"/>
            <w:vAlign w:val="bottom"/>
          </w:tcPr>
          <w:p w14:paraId="48E0A776" w14:textId="1851C549" w:rsidR="00AA4F85" w:rsidRPr="00CC1061" w:rsidRDefault="00AA4F85" w:rsidP="00AA4F85">
            <w:pPr>
              <w:jc w:val="center"/>
              <w:rPr>
                <w:rFonts w:cs="Arial"/>
                <w:b/>
                <w:bCs/>
                <w:color w:val="000000" w:themeColor="text1"/>
                <w:szCs w:val="16"/>
              </w:rPr>
            </w:pPr>
            <w:r w:rsidRPr="00CC1061">
              <w:rPr>
                <w:b/>
                <w:bCs/>
              </w:rPr>
              <w:t>FFY 2021 Data</w:t>
            </w:r>
          </w:p>
        </w:tc>
        <w:tc>
          <w:tcPr>
            <w:tcW w:w="459" w:type="pct"/>
            <w:shd w:val="clear" w:color="auto" w:fill="auto"/>
            <w:vAlign w:val="bottom"/>
          </w:tcPr>
          <w:p w14:paraId="1271E5C2" w14:textId="7C29A2B3" w:rsidR="00AA4F85" w:rsidRPr="00781112" w:rsidRDefault="00AA4F85" w:rsidP="00AA4F85">
            <w:pPr>
              <w:jc w:val="center"/>
              <w:rPr>
                <w:rFonts w:cs="Arial"/>
                <w:b/>
                <w:color w:val="000000" w:themeColor="text1"/>
                <w:szCs w:val="16"/>
              </w:rPr>
            </w:pPr>
            <w:r w:rsidRPr="00781112">
              <w:rPr>
                <w:rFonts w:cs="Arial"/>
                <w:b/>
                <w:color w:val="000000" w:themeColor="text1"/>
                <w:szCs w:val="16"/>
              </w:rPr>
              <w:t>Status</w:t>
            </w:r>
          </w:p>
        </w:tc>
        <w:tc>
          <w:tcPr>
            <w:tcW w:w="622" w:type="pct"/>
            <w:shd w:val="clear" w:color="auto" w:fill="auto"/>
            <w:vAlign w:val="bottom"/>
          </w:tcPr>
          <w:p w14:paraId="57BB5D90" w14:textId="5C773F81" w:rsidR="00AA4F85" w:rsidRPr="00781112" w:rsidRDefault="00AA4F85" w:rsidP="00AA4F85">
            <w:pPr>
              <w:jc w:val="center"/>
              <w:rPr>
                <w:rFonts w:cs="Arial"/>
                <w:b/>
                <w:color w:val="000000" w:themeColor="text1"/>
                <w:szCs w:val="16"/>
              </w:rPr>
            </w:pPr>
            <w:r w:rsidRPr="00781112">
              <w:rPr>
                <w:rFonts w:cs="Arial"/>
                <w:b/>
                <w:color w:val="000000" w:themeColor="text1"/>
                <w:szCs w:val="16"/>
              </w:rPr>
              <w:t>Slippage</w:t>
            </w:r>
          </w:p>
        </w:tc>
      </w:tr>
      <w:tr w:rsidR="005C29F8" w:rsidRPr="00781112" w14:paraId="060DACA6" w14:textId="4A0141DE" w:rsidTr="00AB0D6A">
        <w:trPr>
          <w:trHeight w:val="361"/>
        </w:trPr>
        <w:tc>
          <w:tcPr>
            <w:tcW w:w="999" w:type="pct"/>
            <w:shd w:val="clear" w:color="auto" w:fill="auto"/>
          </w:tcPr>
          <w:p w14:paraId="53F10B71" w14:textId="77777777" w:rsidR="00757D21" w:rsidRPr="00781112" w:rsidRDefault="00A86385" w:rsidP="00E526FC">
            <w:pPr>
              <w:rPr>
                <w:rFonts w:cs="Arial"/>
                <w:color w:val="000000" w:themeColor="text1"/>
                <w:szCs w:val="16"/>
              </w:rPr>
            </w:pPr>
            <w:r w:rsidRPr="00781112">
              <w:rPr>
                <w:rFonts w:cs="Arial"/>
                <w:color w:val="000000" w:themeColor="text1"/>
                <w:szCs w:val="16"/>
              </w:rPr>
              <w:t>C1. Of those children who entered or exited the program below age expectations in Outcome C, the percent who substantially increased their rate of growth by the time they turned 6 years of age or exited the program.</w:t>
            </w:r>
          </w:p>
          <w:p w14:paraId="78844CD5" w14:textId="49EF12B7" w:rsidR="00A86385" w:rsidRPr="00781112" w:rsidRDefault="00757D21" w:rsidP="00E526FC">
            <w:pPr>
              <w:rPr>
                <w:rFonts w:cs="Arial"/>
                <w:color w:val="000000" w:themeColor="text1"/>
                <w:szCs w:val="16"/>
              </w:rPr>
            </w:pPr>
            <w:r w:rsidRPr="00781112">
              <w:rPr>
                <w:rFonts w:cs="Arial"/>
                <w:i/>
                <w:iCs/>
                <w:color w:val="C00000"/>
                <w:szCs w:val="16"/>
              </w:rPr>
              <w:t>Calculation:(c+d)/(a+b+c+d)</w:t>
            </w:r>
            <w:r w:rsidR="00A86385" w:rsidRPr="00781112">
              <w:rPr>
                <w:rFonts w:cs="Arial"/>
                <w:color w:val="000000" w:themeColor="text1"/>
                <w:szCs w:val="16"/>
              </w:rPr>
              <w:t xml:space="preserve"> </w:t>
            </w:r>
          </w:p>
        </w:tc>
        <w:tc>
          <w:tcPr>
            <w:tcW w:w="584" w:type="pct"/>
            <w:shd w:val="clear" w:color="auto" w:fill="auto"/>
            <w:vAlign w:val="center"/>
          </w:tcPr>
          <w:p w14:paraId="06847B86" w14:textId="57D8DF81" w:rsidR="00A86385" w:rsidRPr="00781112" w:rsidRDefault="002B7490" w:rsidP="00A018D4">
            <w:pPr>
              <w:jc w:val="center"/>
              <w:rPr>
                <w:rFonts w:cs="Arial"/>
                <w:color w:val="000000" w:themeColor="text1"/>
                <w:szCs w:val="16"/>
              </w:rPr>
            </w:pPr>
            <w:r w:rsidRPr="00781112">
              <w:rPr>
                <w:rFonts w:cs="Arial"/>
                <w:color w:val="000000" w:themeColor="text1"/>
                <w:szCs w:val="16"/>
              </w:rPr>
              <w:t>2,637</w:t>
            </w:r>
          </w:p>
        </w:tc>
        <w:tc>
          <w:tcPr>
            <w:tcW w:w="584" w:type="pct"/>
            <w:shd w:val="clear" w:color="auto" w:fill="auto"/>
            <w:vAlign w:val="center"/>
          </w:tcPr>
          <w:p w14:paraId="238365C6" w14:textId="3568431D" w:rsidR="00A86385" w:rsidRPr="00781112" w:rsidRDefault="002B7490" w:rsidP="00A018D4">
            <w:pPr>
              <w:jc w:val="center"/>
              <w:rPr>
                <w:rFonts w:cs="Arial"/>
                <w:color w:val="000000" w:themeColor="text1"/>
                <w:szCs w:val="16"/>
              </w:rPr>
            </w:pPr>
            <w:r w:rsidRPr="00781112">
              <w:rPr>
                <w:rFonts w:cs="Arial"/>
                <w:color w:val="000000" w:themeColor="text1"/>
                <w:szCs w:val="16"/>
              </w:rPr>
              <w:t>3,051</w:t>
            </w:r>
          </w:p>
        </w:tc>
        <w:tc>
          <w:tcPr>
            <w:tcW w:w="543" w:type="pct"/>
            <w:shd w:val="clear" w:color="auto" w:fill="auto"/>
            <w:vAlign w:val="center"/>
          </w:tcPr>
          <w:p w14:paraId="4D92698F" w14:textId="1CB8B6A4" w:rsidR="00A86385" w:rsidRPr="00781112" w:rsidRDefault="002B7490" w:rsidP="00A018D4">
            <w:pPr>
              <w:jc w:val="center"/>
              <w:rPr>
                <w:rFonts w:cs="Arial"/>
                <w:color w:val="000000" w:themeColor="text1"/>
                <w:szCs w:val="16"/>
              </w:rPr>
            </w:pPr>
            <w:r w:rsidRPr="00781112">
              <w:rPr>
                <w:rFonts w:cs="Arial"/>
                <w:color w:val="000000" w:themeColor="text1"/>
                <w:szCs w:val="16"/>
              </w:rPr>
              <w:t>92.23%</w:t>
            </w:r>
          </w:p>
        </w:tc>
        <w:tc>
          <w:tcPr>
            <w:tcW w:w="584" w:type="pct"/>
            <w:shd w:val="clear" w:color="auto" w:fill="auto"/>
            <w:vAlign w:val="center"/>
          </w:tcPr>
          <w:p w14:paraId="282346A8" w14:textId="638BF2E5" w:rsidR="00A86385" w:rsidRPr="00781112" w:rsidRDefault="002B7490" w:rsidP="00A018D4">
            <w:pPr>
              <w:jc w:val="center"/>
              <w:rPr>
                <w:rFonts w:cs="Arial"/>
                <w:color w:val="000000" w:themeColor="text1"/>
                <w:szCs w:val="16"/>
              </w:rPr>
            </w:pPr>
            <w:r w:rsidRPr="00781112">
              <w:rPr>
                <w:rFonts w:cs="Arial"/>
                <w:color w:val="000000" w:themeColor="text1"/>
                <w:szCs w:val="16"/>
              </w:rPr>
              <w:t>89.86%</w:t>
            </w:r>
          </w:p>
        </w:tc>
        <w:tc>
          <w:tcPr>
            <w:tcW w:w="625" w:type="pct"/>
            <w:shd w:val="clear" w:color="auto" w:fill="auto"/>
            <w:vAlign w:val="center"/>
          </w:tcPr>
          <w:p w14:paraId="02E42936" w14:textId="312E4B4A" w:rsidR="00A86385" w:rsidRPr="00781112" w:rsidRDefault="002B7490" w:rsidP="00A018D4">
            <w:pPr>
              <w:jc w:val="center"/>
              <w:rPr>
                <w:rFonts w:cs="Arial"/>
                <w:color w:val="000000" w:themeColor="text1"/>
                <w:szCs w:val="16"/>
              </w:rPr>
            </w:pPr>
            <w:r w:rsidRPr="00781112">
              <w:rPr>
                <w:rFonts w:cs="Arial"/>
                <w:color w:val="000000" w:themeColor="text1"/>
                <w:szCs w:val="16"/>
              </w:rPr>
              <w:t>86.43%</w:t>
            </w:r>
          </w:p>
        </w:tc>
        <w:tc>
          <w:tcPr>
            <w:tcW w:w="459" w:type="pct"/>
            <w:shd w:val="clear" w:color="auto" w:fill="auto"/>
            <w:vAlign w:val="center"/>
          </w:tcPr>
          <w:p w14:paraId="1B13A98E" w14:textId="3F3B6900" w:rsidR="00A86385"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622" w:type="pct"/>
            <w:shd w:val="clear" w:color="auto" w:fill="auto"/>
            <w:vAlign w:val="center"/>
          </w:tcPr>
          <w:p w14:paraId="2D48B259" w14:textId="3185C0C7" w:rsidR="00A86385" w:rsidRPr="00781112" w:rsidRDefault="002B7490" w:rsidP="00A018D4">
            <w:pPr>
              <w:jc w:val="center"/>
              <w:rPr>
                <w:rFonts w:cs="Arial"/>
                <w:color w:val="000000" w:themeColor="text1"/>
                <w:szCs w:val="16"/>
              </w:rPr>
            </w:pPr>
            <w:r w:rsidRPr="00781112">
              <w:rPr>
                <w:rFonts w:cs="Arial"/>
                <w:color w:val="000000" w:themeColor="text1"/>
                <w:szCs w:val="16"/>
              </w:rPr>
              <w:t>Slippage</w:t>
            </w:r>
          </w:p>
        </w:tc>
      </w:tr>
      <w:tr w:rsidR="005C29F8" w:rsidRPr="00781112" w14:paraId="01CBC0C6" w14:textId="58EECBDC" w:rsidTr="00AB0D6A">
        <w:trPr>
          <w:trHeight w:val="361"/>
        </w:trPr>
        <w:tc>
          <w:tcPr>
            <w:tcW w:w="999" w:type="pct"/>
            <w:shd w:val="clear" w:color="auto" w:fill="auto"/>
          </w:tcPr>
          <w:p w14:paraId="080A6F16" w14:textId="77777777" w:rsidR="00A86385" w:rsidRPr="00781112" w:rsidRDefault="00A86385" w:rsidP="00E526FC">
            <w:pPr>
              <w:rPr>
                <w:rFonts w:cs="Arial"/>
                <w:color w:val="000000" w:themeColor="text1"/>
                <w:szCs w:val="16"/>
              </w:rPr>
            </w:pPr>
            <w:r w:rsidRPr="00781112">
              <w:rPr>
                <w:rFonts w:cs="Arial"/>
                <w:color w:val="000000" w:themeColor="text1"/>
                <w:szCs w:val="16"/>
              </w:rPr>
              <w:t xml:space="preserve">C2. The percent of preschool children who were functioning within age expectations in Outcome C by the time they turned 6 years of age or exited the program. </w:t>
            </w:r>
          </w:p>
          <w:p w14:paraId="3AD697BE" w14:textId="13545BB0" w:rsidR="00757D21" w:rsidRPr="0075451F" w:rsidRDefault="00757D21" w:rsidP="00E526FC">
            <w:pPr>
              <w:rPr>
                <w:rFonts w:cs="Arial"/>
                <w:color w:val="000000" w:themeColor="text1"/>
                <w:szCs w:val="16"/>
                <w:lang w:val="es-ES"/>
              </w:rPr>
            </w:pPr>
            <w:r w:rsidRPr="0075451F">
              <w:rPr>
                <w:rFonts w:cs="Arial"/>
                <w:i/>
                <w:iCs/>
                <w:color w:val="C00000"/>
                <w:szCs w:val="16"/>
                <w:lang w:val="es-ES"/>
              </w:rPr>
              <w:t>Calculation: (d+</w:t>
            </w:r>
            <w:proofErr w:type="gramStart"/>
            <w:r w:rsidRPr="0075451F">
              <w:rPr>
                <w:rFonts w:cs="Arial"/>
                <w:i/>
                <w:iCs/>
                <w:color w:val="C00000"/>
                <w:szCs w:val="16"/>
                <w:lang w:val="es-ES"/>
              </w:rPr>
              <w:t>e)/</w:t>
            </w:r>
            <w:proofErr w:type="gramEnd"/>
            <w:r w:rsidRPr="0075451F">
              <w:rPr>
                <w:rFonts w:cs="Arial"/>
                <w:i/>
                <w:iCs/>
                <w:color w:val="C00000"/>
                <w:szCs w:val="16"/>
                <w:lang w:val="es-ES"/>
              </w:rPr>
              <w:t>(a+b+c+d+e)</w:t>
            </w:r>
          </w:p>
        </w:tc>
        <w:tc>
          <w:tcPr>
            <w:tcW w:w="584" w:type="pct"/>
            <w:shd w:val="clear" w:color="auto" w:fill="auto"/>
            <w:vAlign w:val="center"/>
          </w:tcPr>
          <w:p w14:paraId="55881F07" w14:textId="24379895" w:rsidR="00E526FC" w:rsidRPr="00781112" w:rsidRDefault="002B7490" w:rsidP="00A018D4">
            <w:pPr>
              <w:jc w:val="center"/>
              <w:rPr>
                <w:rFonts w:cs="Arial"/>
                <w:color w:val="000000" w:themeColor="text1"/>
                <w:szCs w:val="16"/>
              </w:rPr>
            </w:pPr>
            <w:r w:rsidRPr="00781112">
              <w:rPr>
                <w:rFonts w:cs="Arial"/>
                <w:color w:val="000000" w:themeColor="text1"/>
                <w:szCs w:val="16"/>
              </w:rPr>
              <w:t>1,820</w:t>
            </w:r>
          </w:p>
        </w:tc>
        <w:tc>
          <w:tcPr>
            <w:tcW w:w="584" w:type="pct"/>
            <w:shd w:val="clear" w:color="auto" w:fill="auto"/>
            <w:vAlign w:val="center"/>
          </w:tcPr>
          <w:p w14:paraId="621B2290" w14:textId="0CB78FA1" w:rsidR="00E526FC" w:rsidRPr="00781112" w:rsidRDefault="002B7490" w:rsidP="00A018D4">
            <w:pPr>
              <w:jc w:val="center"/>
              <w:rPr>
                <w:rFonts w:cs="Arial"/>
                <w:color w:val="000000" w:themeColor="text1"/>
                <w:szCs w:val="16"/>
              </w:rPr>
            </w:pPr>
            <w:r w:rsidRPr="00781112">
              <w:rPr>
                <w:rFonts w:cs="Arial"/>
                <w:color w:val="000000" w:themeColor="text1"/>
                <w:szCs w:val="16"/>
              </w:rPr>
              <w:t>3,384</w:t>
            </w:r>
          </w:p>
        </w:tc>
        <w:tc>
          <w:tcPr>
            <w:tcW w:w="543" w:type="pct"/>
            <w:shd w:val="clear" w:color="auto" w:fill="auto"/>
            <w:vAlign w:val="center"/>
          </w:tcPr>
          <w:p w14:paraId="62DBFBFA" w14:textId="0CDB12CF" w:rsidR="00A86385" w:rsidRPr="00781112" w:rsidRDefault="002B7490" w:rsidP="00A018D4">
            <w:pPr>
              <w:jc w:val="center"/>
              <w:rPr>
                <w:rFonts w:cs="Arial"/>
                <w:color w:val="000000" w:themeColor="text1"/>
                <w:szCs w:val="16"/>
              </w:rPr>
            </w:pPr>
            <w:r w:rsidRPr="00781112">
              <w:rPr>
                <w:rFonts w:cs="Arial"/>
                <w:color w:val="000000" w:themeColor="text1"/>
                <w:szCs w:val="16"/>
              </w:rPr>
              <w:t>68.44%</w:t>
            </w:r>
          </w:p>
        </w:tc>
        <w:tc>
          <w:tcPr>
            <w:tcW w:w="584" w:type="pct"/>
            <w:shd w:val="clear" w:color="auto" w:fill="auto"/>
            <w:vAlign w:val="center"/>
          </w:tcPr>
          <w:p w14:paraId="63A1936F" w14:textId="04F440D6" w:rsidR="00A86385" w:rsidRPr="00781112" w:rsidRDefault="002B7490" w:rsidP="00A018D4">
            <w:pPr>
              <w:jc w:val="center"/>
              <w:rPr>
                <w:rFonts w:cs="Arial"/>
                <w:color w:val="000000" w:themeColor="text1"/>
                <w:szCs w:val="16"/>
              </w:rPr>
            </w:pPr>
            <w:r w:rsidRPr="00781112">
              <w:rPr>
                <w:rFonts w:cs="Arial"/>
                <w:color w:val="000000" w:themeColor="text1"/>
                <w:szCs w:val="16"/>
              </w:rPr>
              <w:t>66.44%</w:t>
            </w:r>
          </w:p>
        </w:tc>
        <w:tc>
          <w:tcPr>
            <w:tcW w:w="625" w:type="pct"/>
            <w:shd w:val="clear" w:color="auto" w:fill="auto"/>
            <w:vAlign w:val="center"/>
          </w:tcPr>
          <w:p w14:paraId="4609D20B" w14:textId="7D9B89C4" w:rsidR="00A86385" w:rsidRPr="00781112" w:rsidRDefault="002B7490" w:rsidP="00A018D4">
            <w:pPr>
              <w:jc w:val="center"/>
              <w:rPr>
                <w:rFonts w:cs="Arial"/>
                <w:color w:val="000000" w:themeColor="text1"/>
                <w:szCs w:val="16"/>
              </w:rPr>
            </w:pPr>
            <w:r w:rsidRPr="00781112">
              <w:rPr>
                <w:rFonts w:cs="Arial"/>
                <w:color w:val="000000" w:themeColor="text1"/>
                <w:szCs w:val="16"/>
              </w:rPr>
              <w:t>53.78%</w:t>
            </w:r>
          </w:p>
        </w:tc>
        <w:tc>
          <w:tcPr>
            <w:tcW w:w="459" w:type="pct"/>
            <w:shd w:val="clear" w:color="auto" w:fill="auto"/>
            <w:vAlign w:val="center"/>
          </w:tcPr>
          <w:p w14:paraId="5F56D20D" w14:textId="6A83021F" w:rsidR="00A86385"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622" w:type="pct"/>
            <w:shd w:val="clear" w:color="auto" w:fill="auto"/>
            <w:vAlign w:val="center"/>
          </w:tcPr>
          <w:p w14:paraId="5C0F945B" w14:textId="613A8501" w:rsidR="00A86385" w:rsidRPr="00781112" w:rsidRDefault="002B7490" w:rsidP="00A018D4">
            <w:pPr>
              <w:jc w:val="center"/>
              <w:rPr>
                <w:rFonts w:cs="Arial"/>
                <w:color w:val="000000" w:themeColor="text1"/>
                <w:szCs w:val="16"/>
              </w:rPr>
            </w:pPr>
            <w:r w:rsidRPr="00781112">
              <w:rPr>
                <w:rFonts w:cs="Arial"/>
                <w:color w:val="000000" w:themeColor="text1"/>
                <w:szCs w:val="16"/>
              </w:rPr>
              <w:t>Slippage</w:t>
            </w:r>
          </w:p>
        </w:tc>
      </w:tr>
    </w:tbl>
    <w:p w14:paraId="105291D6" w14:textId="2B417D4B" w:rsidR="009B37A2" w:rsidRPr="00781112" w:rsidRDefault="009B37A2" w:rsidP="00B3121C">
      <w:pPr>
        <w:rPr>
          <w:color w:val="000000" w:themeColor="text1"/>
        </w:rPr>
      </w:pPr>
    </w:p>
    <w:tbl>
      <w:tblPr>
        <w:tblStyle w:val="TableGrid"/>
        <w:tblW w:w="5000" w:type="pct"/>
        <w:shd w:val="clear" w:color="auto" w:fill="FBD4B4" w:themeFill="accent6" w:themeFillTint="66"/>
        <w:tblLook w:val="04A0" w:firstRow="1" w:lastRow="0" w:firstColumn="1" w:lastColumn="0" w:noHBand="0" w:noVBand="1"/>
        <w:tblCaption w:val="B07SLIPEXPLN"/>
      </w:tblPr>
      <w:tblGrid>
        <w:gridCol w:w="809"/>
        <w:gridCol w:w="9981"/>
      </w:tblGrid>
      <w:tr w:rsidR="005C29F8" w:rsidRPr="00781112" w14:paraId="61620C7C" w14:textId="77777777" w:rsidTr="003138F9">
        <w:trPr>
          <w:tblHeader/>
        </w:trPr>
        <w:tc>
          <w:tcPr>
            <w:tcW w:w="375" w:type="pct"/>
            <w:vAlign w:val="bottom"/>
          </w:tcPr>
          <w:p w14:paraId="0AA39E44" w14:textId="77777777" w:rsidR="005033CE" w:rsidRPr="00781112" w:rsidRDefault="005033CE" w:rsidP="004369B2">
            <w:pPr>
              <w:jc w:val="center"/>
              <w:rPr>
                <w:color w:val="000000" w:themeColor="text1"/>
              </w:rPr>
            </w:pPr>
            <w:r w:rsidRPr="00781112">
              <w:rPr>
                <w:b/>
                <w:color w:val="000000" w:themeColor="text1"/>
              </w:rPr>
              <w:t>Part</w:t>
            </w:r>
          </w:p>
        </w:tc>
        <w:tc>
          <w:tcPr>
            <w:tcW w:w="4625" w:type="pct"/>
            <w:shd w:val="clear" w:color="auto" w:fill="auto"/>
          </w:tcPr>
          <w:p w14:paraId="41FB5113" w14:textId="77777777" w:rsidR="005033CE" w:rsidRPr="00781112" w:rsidRDefault="005033CE" w:rsidP="004369B2">
            <w:pPr>
              <w:jc w:val="center"/>
              <w:rPr>
                <w:color w:val="000000" w:themeColor="text1"/>
              </w:rPr>
            </w:pPr>
            <w:r w:rsidRPr="00781112">
              <w:rPr>
                <w:b/>
                <w:color w:val="000000" w:themeColor="text1"/>
              </w:rPr>
              <w:t>Reasons for slippage, if applicable</w:t>
            </w:r>
          </w:p>
        </w:tc>
      </w:tr>
      <w:tr w:rsidR="005C29F8" w:rsidRPr="00781112" w14:paraId="27E1C634" w14:textId="77777777" w:rsidTr="003138F9">
        <w:tc>
          <w:tcPr>
            <w:tcW w:w="375" w:type="pct"/>
            <w:vAlign w:val="center"/>
          </w:tcPr>
          <w:p w14:paraId="0985CEF0" w14:textId="77777777" w:rsidR="005033CE" w:rsidRPr="00781112" w:rsidRDefault="005033CE" w:rsidP="004369B2">
            <w:pPr>
              <w:jc w:val="center"/>
              <w:rPr>
                <w:b/>
                <w:color w:val="000000" w:themeColor="text1"/>
              </w:rPr>
            </w:pPr>
            <w:r w:rsidRPr="00781112">
              <w:rPr>
                <w:b/>
                <w:color w:val="000000" w:themeColor="text1"/>
              </w:rPr>
              <w:t>A1</w:t>
            </w:r>
          </w:p>
        </w:tc>
        <w:tc>
          <w:tcPr>
            <w:tcW w:w="4625" w:type="pct"/>
            <w:shd w:val="clear" w:color="auto" w:fill="auto"/>
          </w:tcPr>
          <w:p w14:paraId="6D607127" w14:textId="1BD8E744" w:rsidR="005033CE" w:rsidRPr="00781112" w:rsidRDefault="008C5922" w:rsidP="004369B2">
            <w:pPr>
              <w:rPr>
                <w:color w:val="000000" w:themeColor="text1"/>
              </w:rPr>
            </w:pPr>
            <w:r w:rsidRPr="00781112">
              <w:rPr>
                <w:rFonts w:cs="Arial"/>
                <w:color w:val="000000" w:themeColor="text1"/>
                <w:szCs w:val="16"/>
              </w:rPr>
              <w:t>Fewer students were included in the denominator due to a decline in the number of students exiting the program. The launch of a new data collection system may have also had an impact.</w:t>
            </w:r>
          </w:p>
        </w:tc>
      </w:tr>
      <w:tr w:rsidR="005C29F8" w:rsidRPr="00781112" w14:paraId="2C5A03FF" w14:textId="77777777" w:rsidTr="003138F9">
        <w:tc>
          <w:tcPr>
            <w:tcW w:w="375" w:type="pct"/>
            <w:vAlign w:val="center"/>
          </w:tcPr>
          <w:p w14:paraId="1B7D7510" w14:textId="77777777" w:rsidR="005033CE" w:rsidRPr="00781112" w:rsidRDefault="005033CE" w:rsidP="004369B2">
            <w:pPr>
              <w:jc w:val="center"/>
              <w:rPr>
                <w:b/>
                <w:color w:val="000000" w:themeColor="text1"/>
              </w:rPr>
            </w:pPr>
            <w:r w:rsidRPr="00781112">
              <w:rPr>
                <w:b/>
                <w:color w:val="000000" w:themeColor="text1"/>
              </w:rPr>
              <w:t>A2</w:t>
            </w:r>
          </w:p>
        </w:tc>
        <w:tc>
          <w:tcPr>
            <w:tcW w:w="4625" w:type="pct"/>
            <w:shd w:val="clear" w:color="auto" w:fill="auto"/>
          </w:tcPr>
          <w:p w14:paraId="370094D2" w14:textId="465BB469" w:rsidR="005033CE" w:rsidRPr="00781112" w:rsidRDefault="008C5922" w:rsidP="00E21107">
            <w:pPr>
              <w:rPr>
                <w:rFonts w:cs="Arial"/>
                <w:color w:val="000000" w:themeColor="text1"/>
                <w:szCs w:val="16"/>
              </w:rPr>
            </w:pPr>
            <w:r w:rsidRPr="00781112">
              <w:rPr>
                <w:rFonts w:cs="Arial"/>
                <w:color w:val="000000" w:themeColor="text1"/>
                <w:szCs w:val="16"/>
              </w:rPr>
              <w:t xml:space="preserve">Fewer students were included in the denominator due to a decline in the number of students exiting the program. The launch of a new data collection system may </w:t>
            </w:r>
            <w:proofErr w:type="gramStart"/>
            <w:r w:rsidRPr="00781112">
              <w:rPr>
                <w:rFonts w:cs="Arial"/>
                <w:color w:val="000000" w:themeColor="text1"/>
                <w:szCs w:val="16"/>
              </w:rPr>
              <w:t>have also</w:t>
            </w:r>
            <w:proofErr w:type="gramEnd"/>
            <w:r w:rsidRPr="00781112">
              <w:rPr>
                <w:rFonts w:cs="Arial"/>
                <w:color w:val="000000" w:themeColor="text1"/>
                <w:szCs w:val="16"/>
              </w:rPr>
              <w:t xml:space="preserve"> had an impact. </w:t>
            </w:r>
          </w:p>
        </w:tc>
      </w:tr>
      <w:tr w:rsidR="005C29F8" w:rsidRPr="00781112" w14:paraId="24215C17" w14:textId="77777777" w:rsidTr="003138F9">
        <w:tc>
          <w:tcPr>
            <w:tcW w:w="375" w:type="pct"/>
            <w:vAlign w:val="center"/>
          </w:tcPr>
          <w:p w14:paraId="3D5C0F58" w14:textId="77777777" w:rsidR="005033CE" w:rsidRPr="00781112" w:rsidRDefault="005033CE" w:rsidP="004369B2">
            <w:pPr>
              <w:jc w:val="center"/>
              <w:rPr>
                <w:b/>
                <w:color w:val="000000" w:themeColor="text1"/>
              </w:rPr>
            </w:pPr>
            <w:r w:rsidRPr="00781112">
              <w:rPr>
                <w:b/>
                <w:color w:val="000000" w:themeColor="text1"/>
              </w:rPr>
              <w:t>B2</w:t>
            </w:r>
          </w:p>
        </w:tc>
        <w:tc>
          <w:tcPr>
            <w:tcW w:w="4625" w:type="pct"/>
            <w:shd w:val="clear" w:color="auto" w:fill="auto"/>
          </w:tcPr>
          <w:p w14:paraId="0FC56E33" w14:textId="577E037B" w:rsidR="005033CE" w:rsidRPr="00781112" w:rsidRDefault="008C5922" w:rsidP="00E21107">
            <w:pPr>
              <w:rPr>
                <w:rFonts w:cs="Arial"/>
                <w:i/>
                <w:color w:val="000000" w:themeColor="text1"/>
                <w:szCs w:val="16"/>
              </w:rPr>
            </w:pPr>
            <w:r w:rsidRPr="00781112">
              <w:rPr>
                <w:rFonts w:cs="Arial"/>
                <w:color w:val="000000" w:themeColor="text1"/>
                <w:szCs w:val="16"/>
              </w:rPr>
              <w:t xml:space="preserve">Fewer students were included in the denominator due to a decline in the number of students exiting the program. The launch of a new data collection system may </w:t>
            </w:r>
            <w:proofErr w:type="gramStart"/>
            <w:r w:rsidRPr="00781112">
              <w:rPr>
                <w:rFonts w:cs="Arial"/>
                <w:color w:val="000000" w:themeColor="text1"/>
                <w:szCs w:val="16"/>
              </w:rPr>
              <w:t>have also</w:t>
            </w:r>
            <w:proofErr w:type="gramEnd"/>
            <w:r w:rsidRPr="00781112">
              <w:rPr>
                <w:rFonts w:cs="Arial"/>
                <w:color w:val="000000" w:themeColor="text1"/>
                <w:szCs w:val="16"/>
              </w:rPr>
              <w:t xml:space="preserve"> had an impact. </w:t>
            </w:r>
          </w:p>
        </w:tc>
      </w:tr>
      <w:tr w:rsidR="005C29F8" w:rsidRPr="00781112" w14:paraId="52A26FBD" w14:textId="77777777" w:rsidTr="003138F9">
        <w:tc>
          <w:tcPr>
            <w:tcW w:w="375" w:type="pct"/>
            <w:vAlign w:val="center"/>
          </w:tcPr>
          <w:p w14:paraId="2ED6B5B9" w14:textId="77777777" w:rsidR="005033CE" w:rsidRPr="00781112" w:rsidRDefault="005033CE" w:rsidP="004369B2">
            <w:pPr>
              <w:jc w:val="center"/>
              <w:rPr>
                <w:b/>
                <w:color w:val="000000" w:themeColor="text1"/>
              </w:rPr>
            </w:pPr>
            <w:r w:rsidRPr="00781112">
              <w:rPr>
                <w:b/>
                <w:color w:val="000000" w:themeColor="text1"/>
              </w:rPr>
              <w:t>C1</w:t>
            </w:r>
          </w:p>
        </w:tc>
        <w:tc>
          <w:tcPr>
            <w:tcW w:w="4625" w:type="pct"/>
            <w:shd w:val="clear" w:color="auto" w:fill="auto"/>
          </w:tcPr>
          <w:p w14:paraId="7E064C1A" w14:textId="356EB505" w:rsidR="005033CE" w:rsidRPr="00781112" w:rsidRDefault="005033CE" w:rsidP="00E21107">
            <w:pPr>
              <w:rPr>
                <w:rFonts w:cs="Arial"/>
                <w:color w:val="000000" w:themeColor="text1"/>
                <w:szCs w:val="16"/>
              </w:rPr>
            </w:pPr>
            <w:r w:rsidRPr="00781112">
              <w:rPr>
                <w:rFonts w:cs="Arial"/>
                <w:color w:val="000000" w:themeColor="text1"/>
                <w:szCs w:val="16"/>
              </w:rPr>
              <w:t xml:space="preserve">Fewer students were included in the denominator due to a decline in the number of students exiting the program. The launch of a new data collection system may </w:t>
            </w:r>
            <w:proofErr w:type="gramStart"/>
            <w:r w:rsidRPr="00781112">
              <w:rPr>
                <w:rFonts w:cs="Arial"/>
                <w:color w:val="000000" w:themeColor="text1"/>
                <w:szCs w:val="16"/>
              </w:rPr>
              <w:t>have also</w:t>
            </w:r>
            <w:proofErr w:type="gramEnd"/>
            <w:r w:rsidRPr="00781112">
              <w:rPr>
                <w:rFonts w:cs="Arial"/>
                <w:color w:val="000000" w:themeColor="text1"/>
                <w:szCs w:val="16"/>
              </w:rPr>
              <w:t xml:space="preserve"> had an impact. </w:t>
            </w:r>
          </w:p>
        </w:tc>
      </w:tr>
      <w:tr w:rsidR="005C29F8" w:rsidRPr="00781112" w14:paraId="78369361" w14:textId="77777777" w:rsidTr="003138F9">
        <w:tc>
          <w:tcPr>
            <w:tcW w:w="375" w:type="pct"/>
            <w:vAlign w:val="center"/>
          </w:tcPr>
          <w:p w14:paraId="3CA58DE3" w14:textId="77777777" w:rsidR="005033CE" w:rsidRPr="00781112" w:rsidRDefault="005033CE" w:rsidP="004369B2">
            <w:pPr>
              <w:jc w:val="center"/>
              <w:rPr>
                <w:b/>
                <w:color w:val="000000" w:themeColor="text1"/>
              </w:rPr>
            </w:pPr>
            <w:r w:rsidRPr="00781112">
              <w:rPr>
                <w:b/>
                <w:color w:val="000000" w:themeColor="text1"/>
              </w:rPr>
              <w:t>C2</w:t>
            </w:r>
          </w:p>
        </w:tc>
        <w:tc>
          <w:tcPr>
            <w:tcW w:w="4625" w:type="pct"/>
            <w:shd w:val="clear" w:color="auto" w:fill="auto"/>
          </w:tcPr>
          <w:p w14:paraId="36410A58" w14:textId="082DFC3E" w:rsidR="005033CE" w:rsidRPr="00781112" w:rsidRDefault="005033CE" w:rsidP="00E21107">
            <w:pPr>
              <w:rPr>
                <w:rFonts w:cs="Arial"/>
                <w:color w:val="000000" w:themeColor="text1"/>
                <w:szCs w:val="16"/>
              </w:rPr>
            </w:pPr>
            <w:r w:rsidRPr="00781112">
              <w:rPr>
                <w:rFonts w:cs="Arial"/>
                <w:color w:val="000000" w:themeColor="text1"/>
                <w:szCs w:val="16"/>
              </w:rPr>
              <w:t xml:space="preserve">Fewer students were included in the denominator due to a decline in the number of students exiting the program. The launch of a new data collection system may </w:t>
            </w:r>
            <w:proofErr w:type="gramStart"/>
            <w:r w:rsidRPr="00781112">
              <w:rPr>
                <w:rFonts w:cs="Arial"/>
                <w:color w:val="000000" w:themeColor="text1"/>
                <w:szCs w:val="16"/>
              </w:rPr>
              <w:t>have also</w:t>
            </w:r>
            <w:proofErr w:type="gramEnd"/>
            <w:r w:rsidRPr="00781112">
              <w:rPr>
                <w:rFonts w:cs="Arial"/>
                <w:color w:val="000000" w:themeColor="text1"/>
                <w:szCs w:val="16"/>
              </w:rPr>
              <w:t xml:space="preserve"> had an impact. </w:t>
            </w:r>
          </w:p>
        </w:tc>
      </w:tr>
    </w:tbl>
    <w:p w14:paraId="399E6348" w14:textId="36EEF00B" w:rsidR="004B2C2D" w:rsidRPr="00781112" w:rsidRDefault="004B2C2D" w:rsidP="007D435F">
      <w:pPr>
        <w:rPr>
          <w:rFonts w:cs="Arial"/>
          <w:b/>
          <w:color w:val="000000" w:themeColor="text1"/>
          <w:szCs w:val="16"/>
        </w:rPr>
      </w:pPr>
      <w:r w:rsidRPr="00781112">
        <w:rPr>
          <w:rFonts w:cs="Arial"/>
          <w:b/>
          <w:color w:val="000000" w:themeColor="text1"/>
          <w:szCs w:val="16"/>
        </w:rPr>
        <w:t>Does the State include in the numerator and denominator only children who received special education and related services for at least six months during the age span of three through five years? (yes/no)</w:t>
      </w:r>
    </w:p>
    <w:p w14:paraId="35B562FF" w14:textId="1FE02532" w:rsidR="005033CE" w:rsidRPr="00781112" w:rsidRDefault="004B2C2D" w:rsidP="007D435F">
      <w:pPr>
        <w:rPr>
          <w:rFonts w:cs="Arial"/>
          <w:color w:val="000000" w:themeColor="text1"/>
          <w:szCs w:val="16"/>
        </w:rPr>
      </w:pPr>
      <w:r w:rsidRPr="00781112">
        <w:rPr>
          <w:rFonts w:cs="Arial"/>
          <w:color w:val="000000" w:themeColor="text1"/>
          <w:szCs w:val="16"/>
        </w:rPr>
        <w:t>YES</w:t>
      </w:r>
    </w:p>
    <w:tbl>
      <w:tblPr>
        <w:tblStyle w:val="TableGrid"/>
        <w:tblW w:w="5000" w:type="pct"/>
        <w:tblCellMar>
          <w:left w:w="115" w:type="dxa"/>
          <w:right w:w="115" w:type="dxa"/>
        </w:tblCellMar>
        <w:tblLook w:val="04A0" w:firstRow="1" w:lastRow="0" w:firstColumn="1" w:lastColumn="0" w:noHBand="0" w:noVBand="1"/>
        <w:tblCaption w:val="B07SAMPLINGUSED"/>
      </w:tblPr>
      <w:tblGrid>
        <w:gridCol w:w="8319"/>
        <w:gridCol w:w="2471"/>
      </w:tblGrid>
      <w:tr w:rsidR="005C29F8" w:rsidRPr="00781112" w14:paraId="0BD085FB" w14:textId="77777777" w:rsidTr="0033429D">
        <w:trPr>
          <w:tblHeader/>
        </w:trPr>
        <w:tc>
          <w:tcPr>
            <w:tcW w:w="3855" w:type="pct"/>
            <w:tcBorders>
              <w:top w:val="single" w:sz="4" w:space="0" w:color="auto"/>
              <w:left w:val="single" w:sz="4" w:space="0" w:color="auto"/>
            </w:tcBorders>
            <w:shd w:val="clear" w:color="auto" w:fill="auto"/>
          </w:tcPr>
          <w:p w14:paraId="5AC005B4" w14:textId="48902820" w:rsidR="00B461E1" w:rsidRPr="00781112" w:rsidRDefault="001D6B3B" w:rsidP="00A80FEB">
            <w:pPr>
              <w:rPr>
                <w:rFonts w:cs="Arial"/>
                <w:b/>
                <w:bCs/>
                <w:color w:val="000000" w:themeColor="text1"/>
                <w:szCs w:val="16"/>
              </w:rPr>
            </w:pPr>
            <w:r w:rsidRPr="00781112">
              <w:rPr>
                <w:rFonts w:cs="Arial"/>
                <w:b/>
                <w:bCs/>
                <w:color w:val="000000" w:themeColor="text1"/>
                <w:szCs w:val="16"/>
              </w:rPr>
              <w:t>Sampling Question</w:t>
            </w:r>
          </w:p>
        </w:tc>
        <w:tc>
          <w:tcPr>
            <w:tcW w:w="1145" w:type="pct"/>
            <w:tcBorders>
              <w:top w:val="single" w:sz="4" w:space="0" w:color="auto"/>
            </w:tcBorders>
            <w:shd w:val="clear" w:color="auto" w:fill="auto"/>
          </w:tcPr>
          <w:p w14:paraId="13A7BBAF" w14:textId="0D22562B" w:rsidR="00B461E1" w:rsidRPr="00781112" w:rsidRDefault="00B461E1"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58275667" w14:textId="54710A2D" w:rsidTr="000A4757">
        <w:tc>
          <w:tcPr>
            <w:tcW w:w="3855" w:type="pct"/>
            <w:shd w:val="clear" w:color="auto" w:fill="auto"/>
          </w:tcPr>
          <w:p w14:paraId="390A3887" w14:textId="13D1E4BC" w:rsidR="00B461E1" w:rsidRPr="00781112" w:rsidRDefault="00B461E1" w:rsidP="00A80FEB">
            <w:pPr>
              <w:rPr>
                <w:rFonts w:cs="Arial"/>
                <w:color w:val="000000" w:themeColor="text1"/>
                <w:szCs w:val="16"/>
              </w:rPr>
            </w:pPr>
            <w:r w:rsidRPr="00781112">
              <w:rPr>
                <w:rFonts w:cs="Arial"/>
                <w:color w:val="000000" w:themeColor="text1"/>
                <w:szCs w:val="16"/>
              </w:rPr>
              <w:t xml:space="preserve">Was sampling used? </w:t>
            </w:r>
          </w:p>
        </w:tc>
        <w:tc>
          <w:tcPr>
            <w:tcW w:w="1145" w:type="pct"/>
            <w:shd w:val="clear" w:color="auto" w:fill="auto"/>
          </w:tcPr>
          <w:p w14:paraId="057F9293" w14:textId="70B8666C" w:rsidR="00B461E1" w:rsidRPr="00781112" w:rsidRDefault="002B7490" w:rsidP="00A018D4">
            <w:pPr>
              <w:jc w:val="center"/>
              <w:rPr>
                <w:rFonts w:cs="Arial"/>
                <w:color w:val="000000" w:themeColor="text1"/>
                <w:szCs w:val="16"/>
              </w:rPr>
            </w:pPr>
            <w:r w:rsidRPr="00781112">
              <w:rPr>
                <w:rFonts w:cs="Arial"/>
                <w:color w:val="000000" w:themeColor="text1"/>
                <w:szCs w:val="16"/>
              </w:rPr>
              <w:t>NO</w:t>
            </w:r>
          </w:p>
        </w:tc>
      </w:tr>
    </w:tbl>
    <w:p w14:paraId="4EF81044" w14:textId="5EE5725F" w:rsidR="004B2C2D" w:rsidRPr="00781112" w:rsidRDefault="004B2C2D" w:rsidP="00A80FEB">
      <w:pPr>
        <w:rPr>
          <w:rFonts w:cs="Arial"/>
          <w:b/>
          <w:color w:val="000000" w:themeColor="text1"/>
          <w:szCs w:val="16"/>
        </w:rPr>
      </w:pPr>
      <w:r w:rsidRPr="00781112">
        <w:rPr>
          <w:rFonts w:cs="Arial"/>
          <w:b/>
          <w:color w:val="000000" w:themeColor="text1"/>
          <w:szCs w:val="16"/>
        </w:rPr>
        <w:t>Did you use the Early Childhood Outcomes Center (ECO) Child Outcomes Summary Form (COS) process? (yes/no)</w:t>
      </w:r>
    </w:p>
    <w:p w14:paraId="6C4FBAA6" w14:textId="1B6DC98D" w:rsidR="004B2C2D" w:rsidRPr="00781112" w:rsidRDefault="004B2C2D" w:rsidP="00A80FEB">
      <w:pPr>
        <w:rPr>
          <w:rFonts w:cs="Arial"/>
          <w:color w:val="000000" w:themeColor="text1"/>
          <w:szCs w:val="16"/>
        </w:rPr>
      </w:pPr>
      <w:r w:rsidRPr="00781112">
        <w:rPr>
          <w:rFonts w:cs="Arial"/>
          <w:color w:val="000000" w:themeColor="text1"/>
          <w:szCs w:val="16"/>
        </w:rPr>
        <w:t>YES</w:t>
      </w:r>
    </w:p>
    <w:p w14:paraId="015A471A" w14:textId="77777777" w:rsidR="004611C1" w:rsidRPr="00781112" w:rsidRDefault="004611C1" w:rsidP="00401663">
      <w:pPr>
        <w:rPr>
          <w:rFonts w:cs="Arial"/>
          <w:b/>
          <w:color w:val="000000" w:themeColor="text1"/>
          <w:szCs w:val="16"/>
        </w:rPr>
      </w:pPr>
      <w:bookmarkStart w:id="45" w:name="_Toc382082381"/>
      <w:bookmarkStart w:id="46" w:name="_Toc392159306"/>
      <w:r w:rsidRPr="00781112">
        <w:rPr>
          <w:rFonts w:cs="Arial"/>
          <w:b/>
          <w:color w:val="000000" w:themeColor="text1"/>
          <w:szCs w:val="16"/>
        </w:rPr>
        <w:t>List the instruments and procedures used to gather data for this indicator.</w:t>
      </w:r>
    </w:p>
    <w:p w14:paraId="48A16E25" w14:textId="1F2C8CE0" w:rsidR="009B37A2" w:rsidRPr="00781112" w:rsidRDefault="002B7490" w:rsidP="007D435F">
      <w:pPr>
        <w:rPr>
          <w:rFonts w:cs="Arial"/>
          <w:color w:val="000000" w:themeColor="text1"/>
          <w:szCs w:val="16"/>
        </w:rPr>
      </w:pPr>
      <w:r w:rsidRPr="00781112">
        <w:rPr>
          <w:rFonts w:cs="Arial"/>
          <w:color w:val="000000" w:themeColor="text1"/>
          <w:szCs w:val="16"/>
        </w:rPr>
        <w:t>Data is collected in the Utah Program Improvement Planning System (UPIPS) online program. LEAs and the USBE can generate reports on the compliance data collected. These data and reports are used in the UPIPS onsite monitoring process as well as the APR. Within UPIPS is a section titled Utah Preschool Outcomes Data (UPOD) for collecting Indicator 7 early childhood outcomes data. Teachers collect and enter entry and exit outcome scores, along with the name of the assessment tool utilized, into UPOD when a student enters preschool and when the student exits preschool services, such as when the student transitions from preschool to kindergarten. The LEA report section provides LEA-specific Part B early childhood outcomes data as well as overall statewide early childhood outcomes data with "n" sizes and percentages that are transferred to the APR.</w:t>
      </w:r>
    </w:p>
    <w:p w14:paraId="393ECB24" w14:textId="77777777" w:rsidR="00221EC9" w:rsidRPr="00781112" w:rsidRDefault="00221EC9" w:rsidP="004369B2">
      <w:pPr>
        <w:rPr>
          <w:b/>
          <w:color w:val="000000" w:themeColor="text1"/>
        </w:rPr>
      </w:pPr>
      <w:r w:rsidRPr="00781112">
        <w:rPr>
          <w:b/>
          <w:color w:val="000000" w:themeColor="text1"/>
        </w:rPr>
        <w:t>Provide additional information about this indicator (optional)</w:t>
      </w:r>
    </w:p>
    <w:p w14:paraId="0215673F" w14:textId="7230C48B" w:rsidR="009B37A2" w:rsidRPr="00781112" w:rsidRDefault="002B7490" w:rsidP="007D435F">
      <w:pPr>
        <w:rPr>
          <w:rFonts w:cs="Arial"/>
          <w:color w:val="000000" w:themeColor="text1"/>
          <w:szCs w:val="16"/>
        </w:rPr>
      </w:pPr>
      <w:r w:rsidRPr="00781112">
        <w:rPr>
          <w:rFonts w:cs="Arial"/>
          <w:color w:val="000000" w:themeColor="text1"/>
          <w:szCs w:val="16"/>
        </w:rPr>
        <w:t xml:space="preserve">During the 2021 APR Summit, a review of baselines for Indicator 7 was conducted to determine if baselines should remain or be updated to correlate with changing targets. Consideration was given </w:t>
      </w:r>
      <w:proofErr w:type="gramStart"/>
      <w:r w:rsidRPr="00781112">
        <w:rPr>
          <w:rFonts w:cs="Arial"/>
          <w:color w:val="000000" w:themeColor="text1"/>
          <w:szCs w:val="16"/>
        </w:rPr>
        <w:t>for</w:t>
      </w:r>
      <w:proofErr w:type="gramEnd"/>
      <w:r w:rsidRPr="00781112">
        <w:rPr>
          <w:rFonts w:cs="Arial"/>
          <w:color w:val="000000" w:themeColor="text1"/>
          <w:szCs w:val="16"/>
        </w:rPr>
        <w:t xml:space="preserve"> the impacts of COVID-19. Stakeholders reviewed historical data and projections for where the State would be in 2025–2026 if all things stayed the same. Choosing baselines from a year prior to COVID-19 reflects Utah student abilities in a typical school year and was determined to be appropriate.</w:t>
      </w:r>
      <w:r w:rsidRPr="00781112">
        <w:rPr>
          <w:rFonts w:cs="Arial"/>
          <w:color w:val="000000" w:themeColor="text1"/>
          <w:szCs w:val="16"/>
        </w:rPr>
        <w:br/>
      </w:r>
      <w:r w:rsidRPr="00781112">
        <w:rPr>
          <w:rFonts w:cs="Arial"/>
          <w:color w:val="000000" w:themeColor="text1"/>
          <w:szCs w:val="16"/>
        </w:rPr>
        <w:br/>
        <w:t>The USBE predicts outcomes for this indicator are still being largely impacted by COVID-19, and targets are currently set below the baseline. With baselines of (A1) 88.86%, (A2) 58.94%, (B1) 88.41%, (B2) 50.48%, (C1) 89.86%, and (C2) 70.52%, targets increase with consideration for COVID-19 impacts.</w:t>
      </w:r>
      <w:r w:rsidRPr="00781112">
        <w:rPr>
          <w:rFonts w:cs="Arial"/>
          <w:color w:val="000000" w:themeColor="text1"/>
          <w:szCs w:val="16"/>
        </w:rPr>
        <w:br/>
      </w:r>
      <w:r w:rsidRPr="00781112">
        <w:rPr>
          <w:rFonts w:cs="Arial"/>
          <w:color w:val="000000" w:themeColor="text1"/>
          <w:szCs w:val="16"/>
        </w:rPr>
        <w:br/>
        <w:t xml:space="preserve">Indicator 7 outcomes for FFY 2021 were impacted by the launch of a new data collection system. Indicator 7 data continues to be collected in the UPIPS </w:t>
      </w:r>
      <w:r w:rsidRPr="00781112">
        <w:rPr>
          <w:rFonts w:cs="Arial"/>
          <w:color w:val="000000" w:themeColor="text1"/>
          <w:szCs w:val="16"/>
        </w:rPr>
        <w:lastRenderedPageBreak/>
        <w:t>online program, specifically in the UPOD section of the program. A new UPIPS program was launched at the start of FFY 2021. Several new features impacted the UPOD section of the program. The new UPIPS program connects to the SEA’s student data clearinghouse. Student data is populated into the UPIPS system through a connection with the data clearinghouse. There were a few issues at the beginning of the 2021–2022 school year as information was transferred from the old UPIPS program to the new one. These issues have been resolved but may have impacted data collection for FFY 2021. Although LEAs received training on using the new UPOD system and ongoing support was provided, the change of data collection systems may have impacted Indicator 7 data for FFY 2021.</w:t>
      </w:r>
      <w:r w:rsidRPr="00781112">
        <w:rPr>
          <w:rFonts w:cs="Arial"/>
          <w:color w:val="000000" w:themeColor="text1"/>
          <w:szCs w:val="16"/>
        </w:rPr>
        <w:br/>
      </w:r>
      <w:r w:rsidRPr="00781112">
        <w:rPr>
          <w:rFonts w:cs="Arial"/>
          <w:color w:val="000000" w:themeColor="text1"/>
          <w:szCs w:val="16"/>
        </w:rPr>
        <w:br/>
        <w:t>Initially, our internal reporting system calculated incorrect data for the number of preschool children aged 3 through 5 with IEPs who were assessed (3,403). This number has now been corrected to 3,384 above.</w:t>
      </w:r>
    </w:p>
    <w:p w14:paraId="729220FB" w14:textId="2C05A12E" w:rsidR="000A2C83" w:rsidRPr="00781112" w:rsidRDefault="00C96236" w:rsidP="008645AD">
      <w:pPr>
        <w:pStyle w:val="Heading2"/>
      </w:pPr>
      <w:r w:rsidRPr="00781112">
        <w:t>7</w:t>
      </w:r>
      <w:r w:rsidR="00444A9D" w:rsidRPr="00781112">
        <w:t xml:space="preserve"> </w:t>
      </w:r>
      <w:r w:rsidRPr="00781112">
        <w:t xml:space="preserve">- </w:t>
      </w:r>
      <w:r w:rsidR="000A2C83" w:rsidRPr="00781112">
        <w:t>Prior FFY Required Actions</w:t>
      </w:r>
    </w:p>
    <w:p w14:paraId="6B082508" w14:textId="28E3454C" w:rsidR="000A2C83" w:rsidRPr="00781112" w:rsidRDefault="002B7490" w:rsidP="000A2C83">
      <w:pPr>
        <w:rPr>
          <w:rFonts w:cs="Arial"/>
          <w:color w:val="000000" w:themeColor="text1"/>
          <w:szCs w:val="16"/>
        </w:rPr>
      </w:pPr>
      <w:r w:rsidRPr="00781112">
        <w:rPr>
          <w:rFonts w:cs="Arial"/>
          <w:color w:val="000000" w:themeColor="text1"/>
          <w:szCs w:val="16"/>
        </w:rPr>
        <w:t>None</w:t>
      </w:r>
    </w:p>
    <w:p w14:paraId="342951AE" w14:textId="530DEEBF" w:rsidR="00B1280F" w:rsidRPr="00781112" w:rsidRDefault="00B1280F" w:rsidP="000A2C83">
      <w:pPr>
        <w:rPr>
          <w:rFonts w:cs="Arial"/>
          <w:color w:val="000000" w:themeColor="text1"/>
          <w:szCs w:val="16"/>
        </w:rPr>
      </w:pPr>
    </w:p>
    <w:p w14:paraId="311D27F5" w14:textId="36383184" w:rsidR="000A2C83" w:rsidRPr="00781112" w:rsidRDefault="000A2C83" w:rsidP="000A2C83">
      <w:pPr>
        <w:rPr>
          <w:rFonts w:cs="Arial"/>
          <w:color w:val="000000" w:themeColor="text1"/>
          <w:szCs w:val="16"/>
        </w:rPr>
      </w:pPr>
      <w:r w:rsidRPr="00781112">
        <w:rPr>
          <w:rFonts w:cs="Arial"/>
          <w:color w:val="000000" w:themeColor="text1"/>
          <w:szCs w:val="16"/>
        </w:rPr>
        <w:t xml:space="preserve"> </w:t>
      </w:r>
    </w:p>
    <w:p w14:paraId="4844645A" w14:textId="6F051FE6" w:rsidR="00221EC9" w:rsidRPr="00781112" w:rsidRDefault="00C96236" w:rsidP="008645AD">
      <w:pPr>
        <w:pStyle w:val="Heading2"/>
      </w:pPr>
      <w:r w:rsidRPr="00781112">
        <w:t>7 - OSEP Response</w:t>
      </w:r>
    </w:p>
    <w:p w14:paraId="408E3220" w14:textId="3BF99ADA" w:rsidR="009B37A2" w:rsidRPr="00781112" w:rsidRDefault="009B37A2" w:rsidP="001F692C">
      <w:pPr>
        <w:rPr>
          <w:rFonts w:cs="Arial"/>
          <w:color w:val="000000" w:themeColor="text1"/>
          <w:szCs w:val="16"/>
        </w:rPr>
      </w:pPr>
    </w:p>
    <w:p w14:paraId="50C7CF43" w14:textId="32A5B19E" w:rsidR="00221EC9" w:rsidRPr="00781112" w:rsidRDefault="00C96236" w:rsidP="008645AD">
      <w:pPr>
        <w:pStyle w:val="Heading2"/>
      </w:pPr>
      <w:r w:rsidRPr="00781112">
        <w:t>7 - Required Actions</w:t>
      </w:r>
    </w:p>
    <w:p w14:paraId="4FFE0FC1" w14:textId="3673A3A2" w:rsidR="00415684" w:rsidRDefault="00415684" w:rsidP="006D5DC4">
      <w:pPr>
        <w:rPr>
          <w:rFonts w:cs="Arial"/>
          <w:color w:val="000000" w:themeColor="text1"/>
          <w:szCs w:val="16"/>
        </w:rPr>
      </w:pPr>
    </w:p>
    <w:p w14:paraId="0D594D0E" w14:textId="77777777" w:rsidR="00415684" w:rsidRDefault="00415684">
      <w:pPr>
        <w:spacing w:before="0" w:after="200" w:line="276" w:lineRule="auto"/>
        <w:rPr>
          <w:rFonts w:cs="Arial"/>
          <w:color w:val="000000" w:themeColor="text1"/>
          <w:szCs w:val="16"/>
        </w:rPr>
      </w:pPr>
      <w:r>
        <w:rPr>
          <w:rFonts w:cs="Arial"/>
          <w:color w:val="000000" w:themeColor="text1"/>
          <w:szCs w:val="16"/>
        </w:rPr>
        <w:br w:type="page"/>
      </w:r>
    </w:p>
    <w:p w14:paraId="3BCCFF07" w14:textId="13DF3424" w:rsidR="00B3462E" w:rsidRPr="00781112" w:rsidRDefault="00B3462E" w:rsidP="000444E2">
      <w:pPr>
        <w:pStyle w:val="Heading1"/>
        <w:rPr>
          <w:color w:val="000000" w:themeColor="text1"/>
          <w:sz w:val="22"/>
        </w:rPr>
      </w:pPr>
      <w:r w:rsidRPr="00781112">
        <w:rPr>
          <w:color w:val="000000" w:themeColor="text1"/>
          <w:sz w:val="22"/>
        </w:rPr>
        <w:lastRenderedPageBreak/>
        <w:t>Indicator 8: Parent involvement</w:t>
      </w:r>
      <w:bookmarkEnd w:id="45"/>
      <w:bookmarkEnd w:id="46"/>
    </w:p>
    <w:p w14:paraId="66FBCA03" w14:textId="77777777" w:rsidR="00B654C1" w:rsidRPr="00781112" w:rsidRDefault="00B654C1" w:rsidP="00A018D4">
      <w:pPr>
        <w:rPr>
          <w:color w:val="000000" w:themeColor="text1"/>
          <w:szCs w:val="20"/>
        </w:rPr>
      </w:pPr>
      <w:bookmarkStart w:id="47" w:name="_Toc392159307"/>
      <w:r w:rsidRPr="00781112">
        <w:rPr>
          <w:b/>
          <w:color w:val="000000" w:themeColor="text1"/>
          <w:sz w:val="20"/>
          <w:szCs w:val="20"/>
        </w:rPr>
        <w:t>Instructions and Measurement</w:t>
      </w:r>
    </w:p>
    <w:p w14:paraId="42608CC1" w14:textId="182D7ADF" w:rsidR="00CC634E" w:rsidRPr="00781112" w:rsidRDefault="00CC634E"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090EFEAD" w14:textId="77777777" w:rsidR="009C613A" w:rsidRPr="00781112" w:rsidRDefault="00CC634E" w:rsidP="006424B2">
      <w:pPr>
        <w:rPr>
          <w:rFonts w:cs="Arial"/>
          <w:color w:val="000000" w:themeColor="text1"/>
          <w:szCs w:val="16"/>
        </w:rPr>
      </w:pPr>
      <w:r w:rsidRPr="00781112">
        <w:rPr>
          <w:rFonts w:cs="Arial"/>
          <w:b/>
          <w:color w:val="000000" w:themeColor="text1"/>
          <w:szCs w:val="16"/>
        </w:rPr>
        <w:t>Results indicator:</w:t>
      </w:r>
      <w:r w:rsidR="00131842" w:rsidRPr="00781112">
        <w:rPr>
          <w:rFonts w:cs="Arial"/>
          <w:color w:val="000000" w:themeColor="text1"/>
          <w:szCs w:val="16"/>
        </w:rPr>
        <w:t xml:space="preserve"> </w:t>
      </w:r>
      <w:r w:rsidRPr="00781112">
        <w:rPr>
          <w:rFonts w:cs="Arial"/>
          <w:color w:val="000000" w:themeColor="text1"/>
          <w:szCs w:val="16"/>
        </w:rPr>
        <w:t>Percent of parents with a child receiving special education services who report that schools facilitated parent involvement as a means of improving services and results for children with disabilities.</w:t>
      </w:r>
    </w:p>
    <w:p w14:paraId="0D04A075" w14:textId="3BF2EC6D" w:rsidR="00CC634E" w:rsidRPr="00781112" w:rsidRDefault="00CC634E" w:rsidP="006424B2">
      <w:pPr>
        <w:rPr>
          <w:rFonts w:cs="Arial"/>
          <w:color w:val="000000" w:themeColor="text1"/>
          <w:szCs w:val="16"/>
        </w:rPr>
      </w:pPr>
      <w:r w:rsidRPr="00781112">
        <w:rPr>
          <w:rFonts w:cs="Arial"/>
          <w:color w:val="000000" w:themeColor="text1"/>
          <w:szCs w:val="16"/>
        </w:rPr>
        <w:t>(20 U.S.C. 1416(a)(3)(A))</w:t>
      </w:r>
    </w:p>
    <w:p w14:paraId="59F98396" w14:textId="77777777" w:rsidR="009C613A" w:rsidRPr="00781112" w:rsidRDefault="009C613A" w:rsidP="004369B2">
      <w:pPr>
        <w:rPr>
          <w:color w:val="000000" w:themeColor="text1"/>
        </w:rPr>
      </w:pPr>
      <w:r w:rsidRPr="00781112">
        <w:rPr>
          <w:b/>
          <w:color w:val="000000" w:themeColor="text1"/>
        </w:rPr>
        <w:t>Data Source</w:t>
      </w:r>
    </w:p>
    <w:p w14:paraId="543A03AF" w14:textId="13B8F95C" w:rsidR="009C613A" w:rsidRPr="00781112" w:rsidRDefault="009C613A" w:rsidP="00286BDF">
      <w:pPr>
        <w:rPr>
          <w:rFonts w:cs="Arial"/>
          <w:color w:val="000000" w:themeColor="text1"/>
          <w:szCs w:val="16"/>
        </w:rPr>
      </w:pPr>
      <w:r w:rsidRPr="00781112">
        <w:rPr>
          <w:rFonts w:cs="Arial"/>
          <w:color w:val="000000" w:themeColor="text1"/>
          <w:szCs w:val="16"/>
        </w:rPr>
        <w:t>State selected data source.</w:t>
      </w:r>
    </w:p>
    <w:p w14:paraId="50AC2385" w14:textId="77777777" w:rsidR="009C613A" w:rsidRPr="00781112" w:rsidRDefault="009C613A" w:rsidP="004369B2">
      <w:pPr>
        <w:rPr>
          <w:color w:val="000000" w:themeColor="text1"/>
        </w:rPr>
      </w:pPr>
      <w:r w:rsidRPr="00781112">
        <w:rPr>
          <w:b/>
          <w:color w:val="000000" w:themeColor="text1"/>
        </w:rPr>
        <w:t>Measurement</w:t>
      </w:r>
    </w:p>
    <w:p w14:paraId="5E1A0E28" w14:textId="46D6A5D9" w:rsidR="009C613A" w:rsidRPr="00781112" w:rsidRDefault="009C613A" w:rsidP="00286BDF">
      <w:pPr>
        <w:rPr>
          <w:rFonts w:cs="Arial"/>
          <w:color w:val="000000" w:themeColor="text1"/>
          <w:szCs w:val="16"/>
        </w:rPr>
      </w:pPr>
      <w:r w:rsidRPr="00781112">
        <w:rPr>
          <w:rFonts w:cs="Arial"/>
          <w:color w:val="000000" w:themeColor="text1"/>
          <w:szCs w:val="16"/>
        </w:rPr>
        <w:t>Percent</w:t>
      </w:r>
      <w:r w:rsidRPr="00781112">
        <w:rPr>
          <w:rFonts w:cs="Arial"/>
          <w:color w:val="000000" w:themeColor="text1"/>
          <w:szCs w:val="16"/>
          <w:shd w:val="clear" w:color="auto" w:fill="FFFFFF"/>
        </w:rPr>
        <w:t xml:space="preserve"> = </w:t>
      </w:r>
      <w:r w:rsidR="00655C91" w:rsidRPr="00781112">
        <w:rPr>
          <w:rFonts w:cs="Arial"/>
          <w:color w:val="000000" w:themeColor="text1"/>
          <w:szCs w:val="16"/>
          <w:shd w:val="clear" w:color="auto" w:fill="FFFFFF"/>
        </w:rPr>
        <w:t>[</w:t>
      </w:r>
      <w:r w:rsidRPr="00781112">
        <w:rPr>
          <w:rFonts w:cs="Arial"/>
          <w:color w:val="000000" w:themeColor="text1"/>
          <w:szCs w:val="16"/>
          <w:shd w:val="clear" w:color="auto" w:fill="FFFFFF"/>
        </w:rPr>
        <w:t>(# of respondent parents who report schools facilitated parent involvement as a means of improving services and results for children with disabilities) divided by the (total # of respondent parents of children with disabilities)</w:t>
      </w:r>
      <w:r w:rsidR="00655C91" w:rsidRPr="00781112">
        <w:rPr>
          <w:rFonts w:cs="Arial"/>
          <w:color w:val="000000" w:themeColor="text1"/>
          <w:szCs w:val="16"/>
          <w:shd w:val="clear" w:color="auto" w:fill="FFFFFF"/>
        </w:rPr>
        <w:t>]</w:t>
      </w:r>
      <w:r w:rsidRPr="00781112">
        <w:rPr>
          <w:rFonts w:cs="Arial"/>
          <w:color w:val="000000" w:themeColor="text1"/>
          <w:szCs w:val="16"/>
          <w:shd w:val="clear" w:color="auto" w:fill="FFFFFF"/>
        </w:rPr>
        <w:t xml:space="preserve"> times 100.</w:t>
      </w:r>
    </w:p>
    <w:p w14:paraId="289E0D18" w14:textId="5D04C177" w:rsidR="009C613A" w:rsidRPr="00781112" w:rsidRDefault="009C613A" w:rsidP="004369B2">
      <w:pPr>
        <w:rPr>
          <w:color w:val="000000" w:themeColor="text1"/>
        </w:rPr>
      </w:pPr>
      <w:r w:rsidRPr="00781112">
        <w:rPr>
          <w:b/>
          <w:color w:val="000000" w:themeColor="text1"/>
        </w:rPr>
        <w:t>Instructions</w:t>
      </w:r>
    </w:p>
    <w:p w14:paraId="60A1EAFB" w14:textId="77777777" w:rsidR="002D7AD6" w:rsidRPr="00781112" w:rsidRDefault="002D7AD6" w:rsidP="00286BDF">
      <w:pPr>
        <w:rPr>
          <w:rFonts w:cs="Arial"/>
          <w:color w:val="000000" w:themeColor="text1"/>
          <w:szCs w:val="16"/>
        </w:rPr>
      </w:pPr>
      <w:r w:rsidRPr="00781112">
        <w:rPr>
          <w:rFonts w:cs="Arial"/>
          <w:i/>
          <w:iCs/>
          <w:color w:val="000000" w:themeColor="text1"/>
          <w:szCs w:val="16"/>
        </w:rPr>
        <w:t>Sampling </w:t>
      </w:r>
      <w:r w:rsidRPr="00781112">
        <w:rPr>
          <w:rFonts w:cs="Arial"/>
          <w:b/>
          <w:bCs/>
          <w:i/>
          <w:iCs/>
          <w:color w:val="000000" w:themeColor="text1"/>
          <w:szCs w:val="16"/>
        </w:rPr>
        <w:t>of parents from whom response is requested</w:t>
      </w:r>
      <w:r w:rsidRPr="00781112">
        <w:rPr>
          <w:rFonts w:cs="Arial"/>
          <w:i/>
          <w:iCs/>
          <w:color w:val="000000" w:themeColor="text1"/>
          <w:szCs w:val="16"/>
        </w:rPr>
        <w:t> is allowed.</w:t>
      </w:r>
      <w:r w:rsidRPr="00781112">
        <w:rPr>
          <w:rFonts w:cs="Arial"/>
          <w:color w:val="000000" w:themeColor="text1"/>
          <w:szCs w:val="16"/>
        </w:rPr>
        <w:t xml:space="preserve"> </w:t>
      </w:r>
      <w:r w:rsidRPr="00781112">
        <w:rPr>
          <w:rFonts w:cs="Arial"/>
          <w:i/>
          <w:iCs/>
          <w:color w:val="000000" w:themeColor="text1"/>
          <w:szCs w:val="16"/>
        </w:rPr>
        <w:t>When sampling is used, submit a description of the sampling methodology outlining how the design will yield valid and reliable estimates. (See </w:t>
      </w:r>
      <w:r w:rsidRPr="00781112">
        <w:rPr>
          <w:rFonts w:cs="Arial"/>
          <w:i/>
          <w:iCs/>
          <w:color w:val="000000" w:themeColor="text1"/>
          <w:szCs w:val="16"/>
          <w:u w:val="single"/>
        </w:rPr>
        <w:t>General Instructions</w:t>
      </w:r>
      <w:r w:rsidRPr="00781112">
        <w:rPr>
          <w:rFonts w:cs="Arial"/>
          <w:i/>
          <w:iCs/>
          <w:color w:val="000000" w:themeColor="text1"/>
          <w:szCs w:val="16"/>
        </w:rPr>
        <w:t> on page 2 for additional instructions on sampling.)</w:t>
      </w:r>
    </w:p>
    <w:p w14:paraId="3EC08FBA" w14:textId="77777777" w:rsidR="002D7AD6" w:rsidRPr="00781112" w:rsidRDefault="002D7AD6" w:rsidP="00286BDF">
      <w:pPr>
        <w:rPr>
          <w:rFonts w:cs="Arial"/>
          <w:color w:val="000000" w:themeColor="text1"/>
          <w:szCs w:val="16"/>
        </w:rPr>
      </w:pPr>
      <w:r w:rsidRPr="00781112">
        <w:rPr>
          <w:rFonts w:cs="Arial"/>
          <w:color w:val="000000" w:themeColor="text1"/>
          <w:szCs w:val="16"/>
        </w:rPr>
        <w:t>Describe the results of the calculations and compare the results to the target.</w:t>
      </w:r>
    </w:p>
    <w:p w14:paraId="7C56A5AA" w14:textId="77777777" w:rsidR="002D7AD6" w:rsidRPr="00781112" w:rsidRDefault="002D7AD6" w:rsidP="00286BDF">
      <w:pPr>
        <w:rPr>
          <w:rFonts w:cs="Arial"/>
          <w:color w:val="000000" w:themeColor="text1"/>
          <w:szCs w:val="16"/>
        </w:rPr>
      </w:pPr>
      <w:r w:rsidRPr="00781112">
        <w:rPr>
          <w:rFonts w:cs="Arial"/>
          <w:color w:val="000000" w:themeColor="text1"/>
          <w:szCs w:val="16"/>
        </w:rPr>
        <w:t>Provide the actual numbers used in the calculation.</w:t>
      </w:r>
    </w:p>
    <w:p w14:paraId="231E5575" w14:textId="77777777" w:rsidR="002D7AD6" w:rsidRPr="00781112" w:rsidRDefault="002D7AD6" w:rsidP="00286BDF">
      <w:pPr>
        <w:rPr>
          <w:rFonts w:cs="Arial"/>
          <w:color w:val="000000" w:themeColor="text1"/>
          <w:szCs w:val="16"/>
        </w:rPr>
      </w:pPr>
      <w:r w:rsidRPr="00781112">
        <w:rPr>
          <w:rFonts w:cs="Arial"/>
          <w:color w:val="000000" w:themeColor="text1"/>
          <w:szCs w:val="16"/>
        </w:rPr>
        <w:t>If the State is using a separate data collection methodology for preschool children, the State must provide separate baseline data, targets, and actual target data or discuss the procedures used to combine data from school age and preschool data collection methodologies in a manner that is valid and reliable.</w:t>
      </w:r>
    </w:p>
    <w:p w14:paraId="5DC13627" w14:textId="77777777" w:rsidR="002D7AD6" w:rsidRPr="00781112" w:rsidRDefault="002D7AD6" w:rsidP="00286BDF">
      <w:pPr>
        <w:rPr>
          <w:rFonts w:cs="Arial"/>
          <w:color w:val="000000" w:themeColor="text1"/>
          <w:szCs w:val="16"/>
        </w:rPr>
      </w:pPr>
      <w:r w:rsidRPr="00781112">
        <w:rPr>
          <w:rFonts w:cs="Arial"/>
          <w:color w:val="000000" w:themeColor="text1"/>
          <w:szCs w:val="16"/>
        </w:rPr>
        <w:t>While a survey is not required for this indicator, a State using a survey must submit a copy of any new or revised survey with its SPP/APR.</w:t>
      </w:r>
    </w:p>
    <w:p w14:paraId="75233790" w14:textId="6A11D847" w:rsidR="004A6352" w:rsidRPr="00781112" w:rsidRDefault="002D7AD6" w:rsidP="004A6352">
      <w:pPr>
        <w:rPr>
          <w:rFonts w:cs="Arial"/>
          <w:szCs w:val="16"/>
        </w:rPr>
      </w:pPr>
      <w:r w:rsidRPr="00781112">
        <w:rPr>
          <w:rFonts w:cs="Arial"/>
          <w:color w:val="000000" w:themeColor="text1"/>
          <w:szCs w:val="16"/>
        </w:rPr>
        <w:t xml:space="preserve">Report the number of parents to whom the surveys were distributed </w:t>
      </w:r>
      <w:r w:rsidR="004A6352" w:rsidRPr="00781112">
        <w:rPr>
          <w:rFonts w:cs="Arial"/>
          <w:szCs w:val="16"/>
        </w:rPr>
        <w:t>and the number of respondent parents. The survey response rate is automatically calculated using the submitted data.</w:t>
      </w:r>
    </w:p>
    <w:p w14:paraId="4699B320" w14:textId="1251213C" w:rsidR="009C74BD" w:rsidRDefault="009C74BD" w:rsidP="009C74BD">
      <w:pPr>
        <w:rPr>
          <w:rFonts w:cs="Arial"/>
          <w:szCs w:val="16"/>
        </w:rPr>
      </w:pPr>
      <w:r w:rsidRPr="00781112">
        <w:rPr>
          <w:rFonts w:cs="Arial"/>
          <w:szCs w:val="16"/>
        </w:rPr>
        <w:t>States must compare the response rate for the reporting year to the response rate for the previous year (e.g., in the FFY 2021 SPP/APR, compare the FFY 2021 response rate to the FFY 2020 response rate) and describe strategies that will be implemented which are expected to increase the response rate, particularly for those groups that are underrepresented.</w:t>
      </w:r>
    </w:p>
    <w:p w14:paraId="4A1F1567" w14:textId="77777777" w:rsidR="00DF5951" w:rsidRDefault="00DF5951" w:rsidP="009C74BD">
      <w:bookmarkStart w:id="48" w:name="_Hlk116647902"/>
      <w:r w:rsidRPr="006D5DC4">
        <w:rPr>
          <w:b/>
          <w:bCs/>
        </w:rPr>
        <w:t>Beginning with the FFY 2021 SPP/APR, due February 1, 2023,</w:t>
      </w:r>
      <w:r>
        <w:t xml:space="preserve"> include in the State’s analysis the extent to which the demographics of the children for whom parents responded are representative of the demographics of children receiving special education services. States must consider race/ethnicity. In addition, the State’s analysis must also include at least one of the following demographics: age of the student, disability category, gender, geographic location, and/or another demographic category approved through the stakeholder input process. States must describe the metric used to determine representativeness (e.g., +/- 3% discrepancy in the proportion of responders compared to target group). </w:t>
      </w:r>
    </w:p>
    <w:p w14:paraId="64177BBB" w14:textId="77777777" w:rsidR="00DF5951" w:rsidRDefault="00DF5951" w:rsidP="009C74BD">
      <w:r>
        <w:t xml:space="preserve">If the analysis shows that the demographics of the children for whom parents responding are not representative of the demographics of children receiving special education services in the State, describe the strategies that the State will use to ensure that in the future the response data are representative of those demographics. In identifying such strategies, the State should consider factors such as how the State distributed the survey to parents (e.g., by mail, by e-mail, on-line, by telephone, in-person through school personnel), and how responses were collected. </w:t>
      </w:r>
    </w:p>
    <w:p w14:paraId="4D74BEFB" w14:textId="7AC91DF2" w:rsidR="00DF5951" w:rsidRPr="00781112" w:rsidRDefault="00DF5951" w:rsidP="009C74BD">
      <w:pPr>
        <w:rPr>
          <w:rFonts w:cs="Arial"/>
          <w:szCs w:val="16"/>
        </w:rPr>
      </w:pPr>
      <w:r>
        <w:t>States are encouraged to work in collaboration with their OSEP-funded parent centers in collecting data.</w:t>
      </w:r>
    </w:p>
    <w:bookmarkEnd w:id="48"/>
    <w:p w14:paraId="2EF00B98" w14:textId="1D44A6D0" w:rsidR="000B547A" w:rsidRPr="00781112" w:rsidRDefault="00752BAF" w:rsidP="008645AD">
      <w:pPr>
        <w:pStyle w:val="Heading2"/>
      </w:pPr>
      <w:r w:rsidRPr="00781112">
        <w:t>8</w:t>
      </w:r>
      <w:r w:rsidR="001F6BAA" w:rsidRPr="00781112">
        <w:t xml:space="preserve"> </w:t>
      </w:r>
      <w:r w:rsidRPr="00781112">
        <w:t xml:space="preserve">- </w:t>
      </w:r>
      <w:r w:rsidR="000B547A" w:rsidRPr="00781112">
        <w:t>Indicator Data</w:t>
      </w:r>
    </w:p>
    <w:tbl>
      <w:tblPr>
        <w:tblStyle w:val="TableGrid"/>
        <w:tblW w:w="10800" w:type="dxa"/>
        <w:tblLook w:val="04A0" w:firstRow="1" w:lastRow="0" w:firstColumn="1" w:lastColumn="0" w:noHBand="0" w:noVBand="1"/>
        <w:tblCaption w:val="B08INDDATA"/>
      </w:tblPr>
      <w:tblGrid>
        <w:gridCol w:w="8324"/>
        <w:gridCol w:w="2476"/>
      </w:tblGrid>
      <w:tr w:rsidR="005C29F8" w:rsidRPr="00781112" w14:paraId="74873645" w14:textId="77777777" w:rsidTr="0033429D">
        <w:trPr>
          <w:tblHeader/>
        </w:trPr>
        <w:tc>
          <w:tcPr>
            <w:tcW w:w="8324" w:type="dxa"/>
          </w:tcPr>
          <w:p w14:paraId="08995901" w14:textId="6A8EBD47" w:rsidR="000B547A" w:rsidRPr="00781112" w:rsidRDefault="002E111A" w:rsidP="00286BDF">
            <w:pPr>
              <w:rPr>
                <w:rFonts w:cs="Arial"/>
                <w:b/>
                <w:bCs/>
                <w:color w:val="000000" w:themeColor="text1"/>
                <w:szCs w:val="16"/>
              </w:rPr>
            </w:pPr>
            <w:r w:rsidRPr="00781112">
              <w:rPr>
                <w:rFonts w:cs="Arial"/>
                <w:b/>
                <w:bCs/>
                <w:color w:val="000000" w:themeColor="text1"/>
                <w:szCs w:val="16"/>
              </w:rPr>
              <w:t>Question</w:t>
            </w:r>
          </w:p>
        </w:tc>
        <w:tc>
          <w:tcPr>
            <w:tcW w:w="2476" w:type="dxa"/>
          </w:tcPr>
          <w:p w14:paraId="7DF826E5" w14:textId="55897261" w:rsidR="000B547A" w:rsidRPr="00781112" w:rsidRDefault="000B547A" w:rsidP="001011BB">
            <w:pPr>
              <w:jc w:val="center"/>
              <w:rPr>
                <w:rFonts w:cs="Arial"/>
                <w:b/>
                <w:color w:val="000000" w:themeColor="text1"/>
                <w:szCs w:val="16"/>
              </w:rPr>
            </w:pPr>
            <w:r w:rsidRPr="00781112">
              <w:rPr>
                <w:rFonts w:cs="Arial"/>
                <w:b/>
                <w:color w:val="000000" w:themeColor="text1"/>
                <w:szCs w:val="16"/>
              </w:rPr>
              <w:t xml:space="preserve">Yes / No </w:t>
            </w:r>
          </w:p>
        </w:tc>
      </w:tr>
      <w:tr w:rsidR="005C29F8" w:rsidRPr="00781112" w14:paraId="1461C216" w14:textId="7FAEFB03" w:rsidTr="00487CBD">
        <w:trPr>
          <w:trHeight w:val="215"/>
        </w:trPr>
        <w:tc>
          <w:tcPr>
            <w:tcW w:w="8324" w:type="dxa"/>
          </w:tcPr>
          <w:p w14:paraId="443084C1" w14:textId="2A55FAF5" w:rsidR="000B547A" w:rsidRPr="00781112" w:rsidRDefault="000B547A" w:rsidP="00286BDF">
            <w:pPr>
              <w:rPr>
                <w:rFonts w:cs="Arial"/>
                <w:color w:val="000000" w:themeColor="text1"/>
                <w:szCs w:val="16"/>
              </w:rPr>
            </w:pPr>
            <w:r w:rsidRPr="00781112">
              <w:rPr>
                <w:rFonts w:cs="Arial"/>
                <w:color w:val="000000" w:themeColor="text1"/>
                <w:szCs w:val="16"/>
              </w:rPr>
              <w:t xml:space="preserve">Do you use a separate data collection methodology for preschool children? </w:t>
            </w:r>
          </w:p>
        </w:tc>
        <w:tc>
          <w:tcPr>
            <w:tcW w:w="2476" w:type="dxa"/>
          </w:tcPr>
          <w:p w14:paraId="11B72775" w14:textId="3F895E29" w:rsidR="000B547A" w:rsidRPr="00781112" w:rsidRDefault="002B7490" w:rsidP="00A018D4">
            <w:pPr>
              <w:jc w:val="center"/>
              <w:rPr>
                <w:rFonts w:cs="Arial"/>
                <w:color w:val="000000" w:themeColor="text1"/>
                <w:szCs w:val="16"/>
              </w:rPr>
            </w:pPr>
            <w:r w:rsidRPr="00781112">
              <w:rPr>
                <w:rFonts w:cs="Arial"/>
                <w:color w:val="000000" w:themeColor="text1"/>
                <w:szCs w:val="16"/>
              </w:rPr>
              <w:t>NO</w:t>
            </w:r>
          </w:p>
        </w:tc>
      </w:tr>
    </w:tbl>
    <w:bookmarkEnd w:id="47"/>
    <w:p w14:paraId="4CE8E077" w14:textId="24912129" w:rsidR="00487CBD" w:rsidRPr="00781112" w:rsidRDefault="00487CBD" w:rsidP="00487CBD">
      <w:pPr>
        <w:rPr>
          <w:b/>
          <w:color w:val="000000" w:themeColor="text1"/>
        </w:rPr>
      </w:pPr>
      <w:r w:rsidRPr="00781112">
        <w:rPr>
          <w:b/>
          <w:color w:val="000000" w:themeColor="text1"/>
        </w:rPr>
        <w:t xml:space="preserve">Targets: Description of Stakeholder Input </w:t>
      </w:r>
    </w:p>
    <w:p w14:paraId="1CF8039C" w14:textId="30DA616B" w:rsidR="00487CBD" w:rsidRPr="00781112" w:rsidRDefault="00487CBD" w:rsidP="00487CBD">
      <w:pPr>
        <w:rPr>
          <w:rFonts w:cs="Arial"/>
          <w:color w:val="000000" w:themeColor="text1"/>
          <w:szCs w:val="16"/>
        </w:rPr>
      </w:pPr>
      <w:r w:rsidRPr="00781112">
        <w:rPr>
          <w:rFonts w:cs="Arial"/>
          <w:color w:val="000000" w:themeColor="text1"/>
          <w:szCs w:val="16"/>
        </w:rPr>
        <w:t>The USBE SES values stakeholder engagement and input and solicits ongoing feedback and review. Stakeholders consistently provide input through collaborative meetings, public comment, written communication, survey data, data analysis, and informal conversations. To share data and information and collect feedback on areas such as SPP/APR targets, the USBE SES employs meetings, newsletters, emails, surveys, and social media with stakeholder groups:</w:t>
      </w:r>
      <w:r w:rsidRPr="00781112">
        <w:rPr>
          <w:rFonts w:cs="Arial"/>
          <w:color w:val="000000" w:themeColor="text1"/>
          <w:szCs w:val="16"/>
        </w:rPr>
        <w:br/>
        <w:t>• LEA Special Education Directors</w:t>
      </w:r>
      <w:r w:rsidRPr="00781112">
        <w:rPr>
          <w:rFonts w:cs="Arial"/>
          <w:color w:val="000000" w:themeColor="text1"/>
          <w:szCs w:val="16"/>
        </w:rPr>
        <w:br/>
        <w:t>• Utah Special Education Advisory Panel (USEAP)</w:t>
      </w:r>
      <w:r w:rsidRPr="00781112">
        <w:rPr>
          <w:rFonts w:cs="Arial"/>
          <w:color w:val="000000" w:themeColor="text1"/>
          <w:szCs w:val="16"/>
        </w:rPr>
        <w:br/>
        <w:t>• USBE Committees</w:t>
      </w:r>
      <w:r w:rsidRPr="00781112">
        <w:rPr>
          <w:rFonts w:cs="Arial"/>
          <w:color w:val="000000" w:themeColor="text1"/>
          <w:szCs w:val="16"/>
        </w:rPr>
        <w:br/>
        <w:t>• Utah Legislative Committees</w:t>
      </w:r>
      <w:r w:rsidRPr="00781112">
        <w:rPr>
          <w:rFonts w:cs="Arial"/>
          <w:color w:val="000000" w:themeColor="text1"/>
          <w:szCs w:val="16"/>
        </w:rPr>
        <w:br/>
        <w:t>• Utah Parent Center (UPC)</w:t>
      </w:r>
      <w:r w:rsidRPr="00781112">
        <w:rPr>
          <w:rFonts w:cs="Arial"/>
          <w:color w:val="000000" w:themeColor="text1"/>
          <w:szCs w:val="16"/>
        </w:rPr>
        <w:br/>
        <w:t>• LEA Curriculum and Assessment Directors</w:t>
      </w:r>
      <w:r w:rsidRPr="00781112">
        <w:rPr>
          <w:rFonts w:cs="Arial"/>
          <w:color w:val="000000" w:themeColor="text1"/>
          <w:szCs w:val="16"/>
        </w:rPr>
        <w:br/>
        <w:t>• LEA Preschool Coordinators</w:t>
      </w:r>
      <w:r w:rsidRPr="00781112">
        <w:rPr>
          <w:rFonts w:cs="Arial"/>
          <w:color w:val="000000" w:themeColor="text1"/>
          <w:szCs w:val="16"/>
        </w:rPr>
        <w:br/>
        <w:t>• LEA Administrators</w:t>
      </w:r>
      <w:r w:rsidRPr="00781112">
        <w:rPr>
          <w:rFonts w:cs="Arial"/>
          <w:color w:val="000000" w:themeColor="text1"/>
          <w:szCs w:val="16"/>
        </w:rPr>
        <w:br/>
        <w:t>•Utah Institutes of Higher Education (IHEs)</w:t>
      </w:r>
      <w:r w:rsidRPr="00781112">
        <w:rPr>
          <w:rFonts w:cs="Arial"/>
          <w:color w:val="000000" w:themeColor="text1"/>
          <w:szCs w:val="16"/>
        </w:rPr>
        <w:br/>
        <w:t>• Baby Watch/Early Intervention (Utah’s Part C agency)</w:t>
      </w:r>
      <w:r w:rsidRPr="00781112">
        <w:rPr>
          <w:rFonts w:cs="Arial"/>
          <w:color w:val="000000" w:themeColor="text1"/>
          <w:szCs w:val="16"/>
        </w:rPr>
        <w:br/>
        <w:t>• Agencies and non-profit organizations that provide services to SWD</w:t>
      </w:r>
      <w:r w:rsidRPr="00781112">
        <w:rPr>
          <w:rFonts w:cs="Arial"/>
          <w:color w:val="000000" w:themeColor="text1"/>
          <w:szCs w:val="16"/>
        </w:rPr>
        <w:br/>
        <w:t>• Utah Educators</w:t>
      </w:r>
      <w:r w:rsidRPr="00781112">
        <w:rPr>
          <w:rFonts w:cs="Arial"/>
          <w:color w:val="000000" w:themeColor="text1"/>
          <w:szCs w:val="16"/>
        </w:rPr>
        <w:br/>
        <w:t>• Advocacy groups throughout the State</w:t>
      </w:r>
      <w:r w:rsidRPr="00781112">
        <w:rPr>
          <w:rFonts w:cs="Arial"/>
          <w:color w:val="000000" w:themeColor="text1"/>
          <w:szCs w:val="16"/>
        </w:rPr>
        <w:br/>
        <w:t>During FFY 2021, no changes were made to the SPP/APR targets. The USBE SES reviewed the progress of the implementation of the Theory of Action for the SSIP and SPP/APR data with USEAM, USEAP, and the Coordinating Council for People with Disabilities (CCPD) (which includes all state agencies that serve individuals with disabilities and all nonprofit organizations that receive any state funding and/or grants).</w:t>
      </w:r>
      <w:r w:rsidRPr="00781112">
        <w:rPr>
          <w:rFonts w:cs="Arial"/>
          <w:color w:val="000000" w:themeColor="text1"/>
          <w:szCs w:val="16"/>
        </w:rPr>
        <w:br/>
        <w:t>The APR summit was held virtually on July 30, 2021. Over 100 participants attended from the stakeholder groups and those with individual interests. Participants reviewed data and projections for the State in 2025–2026. Participants were provided with an overview of the advantages and disadvantages of predictive models as well as an overview of the mindset for target-setting. Participants were asked to select the end targets (2025–2026) for indicators. The USBE SES would then calculate intervening targets between FFY 2020 and FFY 2025 whereby there would be no increase in the target the first year, followed by small increases, then large increases near the end. This is to allow enough time for LEAs to implement initiatives and change practices to realistically meet targets along their way to the rigorous end targets. After this overview, participants determined challenging and achievable end targets. The USBE SES calculated intervening targets and shared these intervening targets with the participants and additional stakeholders to get final approval for all the targets.</w:t>
      </w:r>
      <w:r w:rsidRPr="00781112">
        <w:rPr>
          <w:rFonts w:cs="Arial"/>
          <w:color w:val="000000" w:themeColor="text1"/>
          <w:szCs w:val="16"/>
        </w:rPr>
        <w:br/>
      </w:r>
      <w:r w:rsidRPr="00781112">
        <w:rPr>
          <w:rFonts w:cs="Arial"/>
          <w:color w:val="000000" w:themeColor="text1"/>
          <w:szCs w:val="16"/>
        </w:rPr>
        <w:lastRenderedPageBreak/>
        <w:t>A survey was sent out and 101 individuals participated. Most participants identified as white females in suburban parts of Utah. American Indian/Native Alaskan, Hispanic/Latino, and individuals who identified as multiracial also participated. As a result of this additional feedback, the USBE SES revised Indicator 5 targets to maintain rigor and develop reasonable targets manageable by the LEAs. Targets for all indicators were developed after review of historical indicator and trend data, recommendations from the USBE statistician, the impact of COVID-19, APR summit and APR survey review. All targets were subsequently reviewed and adopted by USBE staff, USEAP, and LEAs. OSEP approved SPP/APR targets in the FFY 2020 SPP/APR.</w:t>
      </w:r>
      <w:r w:rsidRPr="00781112">
        <w:rPr>
          <w:rFonts w:cs="Arial"/>
          <w:color w:val="000000" w:themeColor="text1"/>
          <w:szCs w:val="16"/>
        </w:rPr>
        <w:br/>
        <w:t>During FFY 2021, the SPP/APR and SSIP were discussed regularly with LEA special education directors, USEAP, UPC, the state Parent Teacher Association (PTA), and other parent groups focused on inclusionary practices in Utah schools. Regular meetings are held with all these groups typically on a quarterly basis. Emails, phone calls, and in-person meetings provide for informal opportunities to gain insight and adjust.</w:t>
      </w:r>
      <w:r w:rsidRPr="00781112">
        <w:rPr>
          <w:rFonts w:cs="Arial"/>
          <w:color w:val="000000" w:themeColor="text1"/>
          <w:szCs w:val="16"/>
        </w:rPr>
        <w:br/>
        <w:t>The UPC works closely with USBE to increase the capacity of diverse groups of parents. Meetings at UPC are held in Spanish as the second highest language in the State. Refugee populations are connected through UPC staff assigned to specific LEAs with large populations of refugees.</w:t>
      </w:r>
      <w:r w:rsidRPr="00781112">
        <w:rPr>
          <w:rFonts w:cs="Arial"/>
          <w:color w:val="000000" w:themeColor="text1"/>
          <w:szCs w:val="16"/>
        </w:rPr>
        <w:br/>
        <w:t>The USBE family engagement specialist seeks to increase capacity through cross collaboration with other parent and family engagement programs provided in LEAs that we will continue to target.</w:t>
      </w:r>
      <w:r w:rsidRPr="00781112">
        <w:rPr>
          <w:rFonts w:cs="Arial"/>
          <w:color w:val="000000" w:themeColor="text1"/>
          <w:szCs w:val="16"/>
        </w:rPr>
        <w:br/>
        <w:t>INDICATOR 1</w:t>
      </w:r>
      <w:r w:rsidRPr="00781112">
        <w:rPr>
          <w:rFonts w:cs="Arial"/>
          <w:color w:val="000000" w:themeColor="text1"/>
          <w:szCs w:val="16"/>
        </w:rPr>
        <w:br/>
        <w:t>Data from 2018 was determined to be an appropriate baseline. With a baseline of 67.90%, targets will increase with consideration for COVID-19 impacts.</w:t>
      </w:r>
      <w:r w:rsidRPr="00781112">
        <w:rPr>
          <w:rFonts w:cs="Arial"/>
          <w:color w:val="000000" w:themeColor="text1"/>
          <w:szCs w:val="16"/>
        </w:rPr>
        <w:br/>
        <w:t>INDICATOR 2</w:t>
      </w:r>
      <w:r w:rsidRPr="00781112">
        <w:rPr>
          <w:rFonts w:cs="Arial"/>
          <w:color w:val="000000" w:themeColor="text1"/>
          <w:szCs w:val="16"/>
        </w:rPr>
        <w:br/>
        <w:t>Data from 2018 was determined to be an appropriate baseline. With a baseline of 25.81%, targets will decrease with consideration for COVID-19 impacts.</w:t>
      </w:r>
      <w:r w:rsidRPr="00781112">
        <w:rPr>
          <w:rFonts w:cs="Arial"/>
          <w:color w:val="000000" w:themeColor="text1"/>
          <w:szCs w:val="16"/>
        </w:rPr>
        <w:br/>
        <w:t>INDICATOR 3A</w:t>
      </w:r>
      <w:r w:rsidRPr="00781112">
        <w:rPr>
          <w:rFonts w:cs="Arial"/>
          <w:color w:val="000000" w:themeColor="text1"/>
          <w:szCs w:val="16"/>
        </w:rPr>
        <w:br/>
        <w:t>This target is set by OSEP. Stakeholders discussed ways to improve participation.</w:t>
      </w:r>
      <w:r w:rsidRPr="00781112">
        <w:rPr>
          <w:rFonts w:cs="Arial"/>
          <w:color w:val="000000" w:themeColor="text1"/>
          <w:szCs w:val="16"/>
        </w:rPr>
        <w:br/>
        <w:t>INDICATORS 3B, C, D</w:t>
      </w:r>
      <w:r w:rsidRPr="00781112">
        <w:rPr>
          <w:rFonts w:cs="Arial"/>
          <w:color w:val="000000" w:themeColor="text1"/>
          <w:szCs w:val="16"/>
        </w:rPr>
        <w:br/>
        <w:t>Participants looked at the average mean from the previous four years of data in conjunction with the linear trend and forecasting. This process allowed participants to analyze the best statistical guess of where Utah’s data would most likely be in six years while also seeing the forecasting of possible error over time for predicting far into the future.</w:t>
      </w:r>
      <w:r w:rsidRPr="00781112">
        <w:rPr>
          <w:rFonts w:cs="Arial"/>
          <w:color w:val="000000" w:themeColor="text1"/>
          <w:szCs w:val="16"/>
        </w:rPr>
        <w:br/>
        <w:t>INDICATOR 5</w:t>
      </w:r>
      <w:r w:rsidRPr="00781112">
        <w:rPr>
          <w:rFonts w:cs="Arial"/>
          <w:color w:val="000000" w:themeColor="text1"/>
          <w:szCs w:val="16"/>
        </w:rPr>
        <w:br/>
        <w:t>During FFY 2020, the Indicator 5 baseline was reset. In FFY 2021, all targets were met. A comprehensive approach was taken to provide informative learning sessions to support special education directors who are accountable for reviewing Indicator 5 outcome data. Recognizing the need to differentiate support, the USBE SES offered individual LEA data analysis and problem-solving sessions.</w:t>
      </w:r>
      <w:r w:rsidRPr="00781112">
        <w:rPr>
          <w:rFonts w:cs="Arial"/>
          <w:color w:val="000000" w:themeColor="text1"/>
          <w:szCs w:val="16"/>
        </w:rPr>
        <w:br/>
        <w:t>INDICATOR 6</w:t>
      </w:r>
      <w:r w:rsidRPr="00781112">
        <w:rPr>
          <w:rFonts w:cs="Arial"/>
          <w:color w:val="000000" w:themeColor="text1"/>
          <w:szCs w:val="16"/>
        </w:rPr>
        <w:br/>
        <w:t>Data from 2018 was determined to be an appropriate baseline. With baselines of (A) 46.86%, (B) 32.67%, (C) 0.25%, targets will gradually increase and decrease with consideration for COVID-19 impacts.</w:t>
      </w:r>
      <w:r w:rsidRPr="00781112">
        <w:rPr>
          <w:rFonts w:cs="Arial"/>
          <w:color w:val="000000" w:themeColor="text1"/>
          <w:szCs w:val="16"/>
        </w:rPr>
        <w:br/>
        <w:t>INDICATOR 7</w:t>
      </w:r>
      <w:r w:rsidRPr="00781112">
        <w:rPr>
          <w:rFonts w:cs="Arial"/>
          <w:color w:val="000000" w:themeColor="text1"/>
          <w:szCs w:val="16"/>
        </w:rPr>
        <w:br/>
        <w:t>Data from 2018 was determined to be an appropriate baseline. The USBE predicts outcomes for this indicator are still being largely impacted by COVID-19, and targets are currently set below the baseline. With baselines of (A1) 88.86%, (A2) 58.94%, (B1) 88.41%, (B2) 50.48%, (C1) 89.86%, (C2) 70.52%, targets will increase with consideration for COVID-19 impacts.</w:t>
      </w:r>
      <w:r w:rsidRPr="00781112">
        <w:rPr>
          <w:rFonts w:cs="Arial"/>
          <w:color w:val="000000" w:themeColor="text1"/>
          <w:szCs w:val="16"/>
        </w:rPr>
        <w:br/>
        <w:t>INDICATOR 8</w:t>
      </w:r>
      <w:r w:rsidRPr="00781112">
        <w:rPr>
          <w:rFonts w:cs="Arial"/>
          <w:color w:val="000000" w:themeColor="text1"/>
          <w:szCs w:val="16"/>
        </w:rPr>
        <w:br/>
        <w:t>Data from 2018 was determined to be an appropriate baseline. With a baseline of 78.38%, targets will gradually increase with consideration for COVID-19 impacts.</w:t>
      </w:r>
      <w:r w:rsidRPr="00781112">
        <w:rPr>
          <w:rFonts w:cs="Arial"/>
          <w:color w:val="000000" w:themeColor="text1"/>
          <w:szCs w:val="16"/>
        </w:rPr>
        <w:br/>
        <w:t>INDICATORS 4, 9, 10</w:t>
      </w:r>
      <w:r w:rsidRPr="00781112">
        <w:rPr>
          <w:rFonts w:cs="Arial"/>
          <w:color w:val="000000" w:themeColor="text1"/>
          <w:szCs w:val="16"/>
        </w:rPr>
        <w:br/>
        <w:t>During the APR Summit, stakeholders reviewed current data trends and ways to improve outcomes. Although targets cannot be changed, stakeholder input has been instrumental in meeting targets for these indicators. The calculations and data collection process for these indicators has been updated to improve outcomes for SWD. Stakeholder input has been utilized to determine processes, PL, and support provided to bridge the gap between current performance and targets.</w:t>
      </w:r>
      <w:r w:rsidRPr="00781112">
        <w:rPr>
          <w:rFonts w:cs="Arial"/>
          <w:color w:val="000000" w:themeColor="text1"/>
          <w:szCs w:val="16"/>
        </w:rPr>
        <w:br/>
        <w:t>INDICATORS 11, 12</w:t>
      </w:r>
      <w:r w:rsidRPr="00781112">
        <w:rPr>
          <w:rFonts w:cs="Arial"/>
          <w:color w:val="000000" w:themeColor="text1"/>
          <w:szCs w:val="16"/>
        </w:rPr>
        <w:br/>
        <w:t>During the APR Summit, stakeholders reviewed current data trends and ways to improve outcomes. Although targets cannot be changed, stakeholder input has been instrumental in meeting targets for these indicators. Input has been utilized to determine PL and support provided to bridge the gap between current performance and targets.</w:t>
      </w:r>
      <w:r w:rsidRPr="00781112">
        <w:rPr>
          <w:rFonts w:cs="Arial"/>
          <w:color w:val="000000" w:themeColor="text1"/>
          <w:szCs w:val="16"/>
        </w:rPr>
        <w:br/>
        <w:t>INDICATOR 13</w:t>
      </w:r>
      <w:r w:rsidRPr="00781112">
        <w:rPr>
          <w:rFonts w:cs="Arial"/>
          <w:color w:val="000000" w:themeColor="text1"/>
          <w:szCs w:val="16"/>
        </w:rPr>
        <w:br/>
        <w:t>The USBE SES recognizes this is an area requiring improvement. During the APR Summit, stakeholders reviewed current data trends and ways to improve outcomes. Although targets cannot be changed, stakeholder input has been instrumental in the progression toward meeting the target.</w:t>
      </w:r>
      <w:r w:rsidRPr="00781112">
        <w:rPr>
          <w:rFonts w:cs="Arial"/>
          <w:color w:val="000000" w:themeColor="text1"/>
          <w:szCs w:val="16"/>
        </w:rPr>
        <w:br/>
        <w:t>INDICATOR 14</w:t>
      </w:r>
      <w:r w:rsidRPr="00781112">
        <w:rPr>
          <w:rFonts w:cs="Arial"/>
          <w:color w:val="000000" w:themeColor="text1"/>
          <w:szCs w:val="16"/>
        </w:rPr>
        <w:br/>
        <w:t>Data from 2018 was determined to be an appropriate baseline. The USBE predicts outcomes for this indicator are still being largely impacted by COVID-19, and targets are currently set below the baseline. With baselines of (A) 19.62%, (B) 67.60%, (C) 84.37%, targets will increase with consideration for COVID-19 impacts.</w:t>
      </w:r>
      <w:r w:rsidRPr="00781112">
        <w:rPr>
          <w:rFonts w:cs="Arial"/>
          <w:color w:val="000000" w:themeColor="text1"/>
          <w:szCs w:val="16"/>
        </w:rPr>
        <w:br/>
        <w:t xml:space="preserve">INDICATOR 15 </w:t>
      </w:r>
      <w:r w:rsidRPr="00781112">
        <w:rPr>
          <w:rFonts w:cs="Arial"/>
          <w:color w:val="000000" w:themeColor="text1"/>
          <w:szCs w:val="16"/>
        </w:rPr>
        <w:br/>
        <w:t>The USBE continues to experience relatively low levels of due process hearing requests and resolution meetings and is not required to set a target.</w:t>
      </w:r>
      <w:r w:rsidRPr="00781112">
        <w:rPr>
          <w:rFonts w:cs="Arial"/>
          <w:color w:val="000000" w:themeColor="text1"/>
          <w:szCs w:val="16"/>
        </w:rPr>
        <w:br/>
        <w:t xml:space="preserve">INDICATOR 16 </w:t>
      </w:r>
      <w:r w:rsidRPr="00781112">
        <w:rPr>
          <w:rFonts w:cs="Arial"/>
          <w:color w:val="000000" w:themeColor="text1"/>
          <w:szCs w:val="16"/>
        </w:rPr>
        <w:br/>
        <w:t>The USBE continues to experience relatively low levels of dispute resolution requests, including mediation. Targets have been set based on the low level of mediation requests.</w:t>
      </w:r>
    </w:p>
    <w:p w14:paraId="71AF2AFF" w14:textId="77777777" w:rsidR="00487CBD" w:rsidRPr="00781112" w:rsidRDefault="00487CBD" w:rsidP="00487CBD">
      <w:pPr>
        <w:rPr>
          <w:rFonts w:cs="Arial"/>
          <w:color w:val="000000" w:themeColor="text1"/>
          <w:szCs w:val="16"/>
        </w:rPr>
      </w:pPr>
    </w:p>
    <w:p w14:paraId="339F3968" w14:textId="6278D154" w:rsidR="008B600B" w:rsidRPr="00781112" w:rsidRDefault="008B600B" w:rsidP="004369B2">
      <w:pPr>
        <w:rPr>
          <w:rFonts w:cs="Arial"/>
          <w:color w:val="000000" w:themeColor="text1"/>
          <w:szCs w:val="16"/>
        </w:rPr>
      </w:pPr>
    </w:p>
    <w:p w14:paraId="39D78FC4" w14:textId="60D247B6" w:rsidR="00ED0065" w:rsidRPr="00781112" w:rsidRDefault="00ED0065"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08BASELINEDATA"/>
      </w:tblPr>
      <w:tblGrid>
        <w:gridCol w:w="1797"/>
        <w:gridCol w:w="1798"/>
      </w:tblGrid>
      <w:tr w:rsidR="002E111A" w:rsidRPr="00781112" w14:paraId="4FD416E2" w14:textId="77777777" w:rsidTr="00123D76">
        <w:trPr>
          <w:trHeight w:val="311"/>
          <w:tblHeader/>
        </w:trPr>
        <w:tc>
          <w:tcPr>
            <w:tcW w:w="1797" w:type="dxa"/>
          </w:tcPr>
          <w:p w14:paraId="30EEE37E" w14:textId="77777777" w:rsidR="002E111A" w:rsidRPr="00781112" w:rsidRDefault="002E111A" w:rsidP="00123D76">
            <w:pPr>
              <w:jc w:val="center"/>
              <w:rPr>
                <w:b/>
                <w:color w:val="000000" w:themeColor="text1"/>
              </w:rPr>
            </w:pPr>
            <w:r w:rsidRPr="00781112">
              <w:rPr>
                <w:rFonts w:cs="Arial"/>
                <w:b/>
                <w:color w:val="000000" w:themeColor="text1"/>
                <w:szCs w:val="16"/>
              </w:rPr>
              <w:t>Baseline Year</w:t>
            </w:r>
          </w:p>
        </w:tc>
        <w:tc>
          <w:tcPr>
            <w:tcW w:w="1798" w:type="dxa"/>
          </w:tcPr>
          <w:p w14:paraId="579A26EC" w14:textId="77777777" w:rsidR="002E111A" w:rsidRPr="00781112" w:rsidRDefault="002E111A" w:rsidP="00123D76">
            <w:pPr>
              <w:jc w:val="center"/>
              <w:rPr>
                <w:b/>
                <w:color w:val="000000" w:themeColor="text1"/>
              </w:rPr>
            </w:pPr>
            <w:r w:rsidRPr="00781112">
              <w:rPr>
                <w:b/>
                <w:color w:val="000000" w:themeColor="text1"/>
              </w:rPr>
              <w:t>Baseline Data</w:t>
            </w:r>
          </w:p>
        </w:tc>
      </w:tr>
      <w:tr w:rsidR="002E111A" w:rsidRPr="00781112" w14:paraId="7FB18E4F" w14:textId="77777777" w:rsidTr="00123D76">
        <w:trPr>
          <w:trHeight w:val="311"/>
        </w:trPr>
        <w:tc>
          <w:tcPr>
            <w:tcW w:w="1797" w:type="dxa"/>
            <w:vAlign w:val="center"/>
          </w:tcPr>
          <w:p w14:paraId="167EAC34" w14:textId="69ED71A1" w:rsidR="002E111A" w:rsidRPr="00781112" w:rsidRDefault="002E111A" w:rsidP="00123D76">
            <w:pPr>
              <w:jc w:val="center"/>
              <w:rPr>
                <w:bCs/>
                <w:color w:val="000000" w:themeColor="text1"/>
              </w:rPr>
            </w:pPr>
            <w:r w:rsidRPr="00781112">
              <w:rPr>
                <w:bCs/>
                <w:color w:val="000000" w:themeColor="text1"/>
              </w:rPr>
              <w:t>2018</w:t>
            </w:r>
          </w:p>
        </w:tc>
        <w:tc>
          <w:tcPr>
            <w:tcW w:w="1798" w:type="dxa"/>
            <w:vAlign w:val="center"/>
          </w:tcPr>
          <w:p w14:paraId="14A1010A" w14:textId="403EDC7C" w:rsidR="002E111A" w:rsidRPr="00781112" w:rsidRDefault="002E111A" w:rsidP="00123D76">
            <w:pPr>
              <w:jc w:val="center"/>
              <w:rPr>
                <w:bCs/>
                <w:color w:val="000000" w:themeColor="text1"/>
              </w:rPr>
            </w:pPr>
            <w:r w:rsidRPr="00781112">
              <w:rPr>
                <w:bCs/>
                <w:color w:val="000000" w:themeColor="text1"/>
              </w:rPr>
              <w:t>78.38%</w:t>
            </w:r>
          </w:p>
        </w:tc>
      </w:tr>
    </w:tbl>
    <w:p w14:paraId="79684A14" w14:textId="77777777" w:rsidR="002E111A" w:rsidRPr="00781112" w:rsidRDefault="002E111A"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8HISTDATAOPT1"/>
      </w:tblPr>
      <w:tblGrid>
        <w:gridCol w:w="1798"/>
        <w:gridCol w:w="1798"/>
        <w:gridCol w:w="1798"/>
        <w:gridCol w:w="1798"/>
        <w:gridCol w:w="1798"/>
        <w:gridCol w:w="1800"/>
      </w:tblGrid>
      <w:tr w:rsidR="005C29F8" w:rsidRPr="00781112" w14:paraId="06FA8C8B" w14:textId="77777777" w:rsidTr="00C40E4D">
        <w:trPr>
          <w:trHeight w:val="287"/>
        </w:trPr>
        <w:tc>
          <w:tcPr>
            <w:tcW w:w="833" w:type="pct"/>
            <w:tcBorders>
              <w:bottom w:val="single" w:sz="4" w:space="0" w:color="auto"/>
            </w:tcBorders>
            <w:shd w:val="clear" w:color="auto" w:fill="auto"/>
          </w:tcPr>
          <w:p w14:paraId="31735078" w14:textId="77777777" w:rsidR="00FB6462" w:rsidRPr="00781112" w:rsidRDefault="00FB6462" w:rsidP="0033429D">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2FE2E19D" w14:textId="1650DFDD" w:rsidR="00FB6462" w:rsidRPr="00781112" w:rsidRDefault="002B7490" w:rsidP="00DC263A">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2DF60B98" w14:textId="1CF7D6BE" w:rsidR="00FB6462" w:rsidRPr="00781112" w:rsidRDefault="002B7490" w:rsidP="00DC263A">
            <w:pPr>
              <w:keepNext/>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53278B9A" w14:textId="6050DB27" w:rsidR="00FB6462" w:rsidRPr="00781112" w:rsidRDefault="002B7490" w:rsidP="00DC263A">
            <w:pPr>
              <w:jc w:val="center"/>
              <w:rPr>
                <w:rFonts w:cs="Arial"/>
                <w:b/>
                <w:color w:val="000000" w:themeColor="text1"/>
                <w:szCs w:val="16"/>
              </w:rPr>
            </w:pPr>
            <w:r w:rsidRPr="00781112">
              <w:rPr>
                <w:rFonts w:cs="Arial"/>
                <w:b/>
                <w:color w:val="000000" w:themeColor="text1"/>
                <w:szCs w:val="16"/>
              </w:rPr>
              <w:t>2018</w:t>
            </w:r>
          </w:p>
        </w:tc>
        <w:tc>
          <w:tcPr>
            <w:tcW w:w="833" w:type="pct"/>
            <w:shd w:val="clear" w:color="auto" w:fill="auto"/>
          </w:tcPr>
          <w:p w14:paraId="2F23746E" w14:textId="403244A2" w:rsidR="00FB6462" w:rsidRPr="00781112" w:rsidRDefault="002B7490" w:rsidP="00DC263A">
            <w:pPr>
              <w:jc w:val="center"/>
              <w:rPr>
                <w:rFonts w:cs="Arial"/>
                <w:b/>
                <w:color w:val="000000" w:themeColor="text1"/>
                <w:szCs w:val="16"/>
              </w:rPr>
            </w:pPr>
            <w:r w:rsidRPr="00781112">
              <w:rPr>
                <w:rFonts w:cs="Arial"/>
                <w:b/>
                <w:color w:val="000000" w:themeColor="text1"/>
                <w:szCs w:val="16"/>
              </w:rPr>
              <w:t>2019</w:t>
            </w:r>
          </w:p>
        </w:tc>
        <w:tc>
          <w:tcPr>
            <w:tcW w:w="834" w:type="pct"/>
            <w:shd w:val="clear" w:color="auto" w:fill="auto"/>
          </w:tcPr>
          <w:p w14:paraId="7E365F7F" w14:textId="686F85A1" w:rsidR="00FB6462" w:rsidRPr="00781112" w:rsidRDefault="002B7490" w:rsidP="00DC263A">
            <w:pPr>
              <w:jc w:val="center"/>
              <w:rPr>
                <w:rFonts w:cs="Arial"/>
                <w:b/>
                <w:color w:val="000000" w:themeColor="text1"/>
                <w:szCs w:val="16"/>
              </w:rPr>
            </w:pPr>
            <w:r w:rsidRPr="00781112">
              <w:rPr>
                <w:rFonts w:cs="Arial"/>
                <w:b/>
                <w:color w:val="000000" w:themeColor="text1"/>
                <w:szCs w:val="16"/>
              </w:rPr>
              <w:t>2020</w:t>
            </w:r>
          </w:p>
        </w:tc>
      </w:tr>
      <w:tr w:rsidR="005C29F8" w:rsidRPr="00781112" w14:paraId="040D0378" w14:textId="77777777" w:rsidTr="00C40E4D">
        <w:trPr>
          <w:trHeight w:val="357"/>
        </w:trPr>
        <w:tc>
          <w:tcPr>
            <w:tcW w:w="833" w:type="pct"/>
            <w:shd w:val="clear" w:color="auto" w:fill="auto"/>
          </w:tcPr>
          <w:p w14:paraId="54EE5848" w14:textId="7260CA74" w:rsidR="00FB6462" w:rsidRPr="00781112" w:rsidRDefault="00FB6462" w:rsidP="005A338D">
            <w:pPr>
              <w:rPr>
                <w:rFonts w:cs="Arial"/>
                <w:color w:val="000000" w:themeColor="text1"/>
                <w:szCs w:val="16"/>
              </w:rPr>
            </w:pPr>
            <w:r w:rsidRPr="00781112">
              <w:rPr>
                <w:rFonts w:cs="Arial"/>
                <w:color w:val="000000" w:themeColor="text1"/>
                <w:szCs w:val="16"/>
              </w:rPr>
              <w:t>Target &gt;=</w:t>
            </w:r>
          </w:p>
        </w:tc>
        <w:tc>
          <w:tcPr>
            <w:tcW w:w="833" w:type="pct"/>
            <w:shd w:val="clear" w:color="auto" w:fill="auto"/>
          </w:tcPr>
          <w:p w14:paraId="56BDAD4D" w14:textId="1C7EF6C0" w:rsidR="00FB6462" w:rsidRPr="00781112" w:rsidRDefault="002B7490" w:rsidP="00A018D4">
            <w:pPr>
              <w:jc w:val="center"/>
              <w:rPr>
                <w:rFonts w:cs="Arial"/>
                <w:color w:val="000000" w:themeColor="text1"/>
                <w:szCs w:val="16"/>
              </w:rPr>
            </w:pPr>
            <w:r w:rsidRPr="00781112">
              <w:rPr>
                <w:rFonts w:cs="Arial"/>
                <w:color w:val="000000" w:themeColor="text1"/>
                <w:szCs w:val="16"/>
              </w:rPr>
              <w:t>79.52%</w:t>
            </w:r>
          </w:p>
        </w:tc>
        <w:tc>
          <w:tcPr>
            <w:tcW w:w="833" w:type="pct"/>
            <w:shd w:val="clear" w:color="auto" w:fill="auto"/>
          </w:tcPr>
          <w:p w14:paraId="45AE596F" w14:textId="6983147C" w:rsidR="00FB6462" w:rsidRPr="00781112" w:rsidRDefault="002B7490" w:rsidP="00A018D4">
            <w:pPr>
              <w:jc w:val="center"/>
              <w:rPr>
                <w:rFonts w:cs="Arial"/>
                <w:color w:val="000000" w:themeColor="text1"/>
                <w:szCs w:val="16"/>
              </w:rPr>
            </w:pPr>
            <w:r w:rsidRPr="00781112">
              <w:rPr>
                <w:rFonts w:cs="Arial"/>
                <w:color w:val="000000" w:themeColor="text1"/>
                <w:szCs w:val="16"/>
              </w:rPr>
              <w:t>79.62%</w:t>
            </w:r>
          </w:p>
        </w:tc>
        <w:tc>
          <w:tcPr>
            <w:tcW w:w="833" w:type="pct"/>
            <w:shd w:val="clear" w:color="auto" w:fill="auto"/>
            <w:vAlign w:val="center"/>
          </w:tcPr>
          <w:p w14:paraId="4CA9D7D5" w14:textId="26724736" w:rsidR="00FB6462" w:rsidRPr="00781112" w:rsidRDefault="002B7490" w:rsidP="00A018D4">
            <w:pPr>
              <w:jc w:val="center"/>
              <w:rPr>
                <w:rFonts w:cs="Arial"/>
                <w:color w:val="000000" w:themeColor="text1"/>
                <w:szCs w:val="16"/>
              </w:rPr>
            </w:pPr>
            <w:r w:rsidRPr="00781112">
              <w:rPr>
                <w:rFonts w:cs="Arial"/>
                <w:color w:val="000000" w:themeColor="text1"/>
                <w:szCs w:val="16"/>
              </w:rPr>
              <w:t>80.52%</w:t>
            </w:r>
          </w:p>
        </w:tc>
        <w:tc>
          <w:tcPr>
            <w:tcW w:w="833" w:type="pct"/>
            <w:shd w:val="clear" w:color="auto" w:fill="auto"/>
            <w:vAlign w:val="center"/>
          </w:tcPr>
          <w:p w14:paraId="2AC9DE6C" w14:textId="662D879E" w:rsidR="00FB6462" w:rsidRPr="00781112" w:rsidRDefault="002B7490" w:rsidP="00A018D4">
            <w:pPr>
              <w:jc w:val="center"/>
              <w:rPr>
                <w:rFonts w:cs="Arial"/>
                <w:color w:val="000000" w:themeColor="text1"/>
                <w:szCs w:val="16"/>
              </w:rPr>
            </w:pPr>
            <w:r w:rsidRPr="00781112">
              <w:rPr>
                <w:rFonts w:cs="Arial"/>
                <w:color w:val="000000" w:themeColor="text1"/>
                <w:szCs w:val="16"/>
              </w:rPr>
              <w:t>81.33%</w:t>
            </w:r>
          </w:p>
        </w:tc>
        <w:tc>
          <w:tcPr>
            <w:tcW w:w="834" w:type="pct"/>
            <w:shd w:val="clear" w:color="auto" w:fill="auto"/>
            <w:vAlign w:val="center"/>
          </w:tcPr>
          <w:p w14:paraId="1D66991F" w14:textId="5308C1A9" w:rsidR="00FB6462" w:rsidRPr="00781112" w:rsidRDefault="002B7490" w:rsidP="00A018D4">
            <w:pPr>
              <w:jc w:val="center"/>
              <w:rPr>
                <w:rFonts w:cs="Arial"/>
                <w:color w:val="000000" w:themeColor="text1"/>
                <w:szCs w:val="16"/>
              </w:rPr>
            </w:pPr>
            <w:r w:rsidRPr="00781112">
              <w:rPr>
                <w:rFonts w:cs="Arial"/>
                <w:color w:val="000000" w:themeColor="text1"/>
                <w:szCs w:val="16"/>
              </w:rPr>
              <w:t>78.38%</w:t>
            </w:r>
          </w:p>
        </w:tc>
      </w:tr>
      <w:tr w:rsidR="005C29F8" w:rsidRPr="00781112" w14:paraId="0983C602" w14:textId="77777777" w:rsidTr="00C40E4D">
        <w:trPr>
          <w:trHeight w:val="85"/>
        </w:trPr>
        <w:tc>
          <w:tcPr>
            <w:tcW w:w="833" w:type="pct"/>
            <w:shd w:val="clear" w:color="auto" w:fill="auto"/>
          </w:tcPr>
          <w:p w14:paraId="024AD7D5" w14:textId="77777777" w:rsidR="00FB6462" w:rsidRPr="00781112" w:rsidRDefault="00FB6462" w:rsidP="005A338D">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0C46B390" w14:textId="75A5B1D9" w:rsidR="00FB6462" w:rsidRPr="00781112" w:rsidRDefault="002B7490" w:rsidP="00A018D4">
            <w:pPr>
              <w:jc w:val="center"/>
              <w:rPr>
                <w:rFonts w:cs="Arial"/>
                <w:color w:val="000000" w:themeColor="text1"/>
                <w:szCs w:val="16"/>
              </w:rPr>
            </w:pPr>
            <w:r w:rsidRPr="00781112">
              <w:rPr>
                <w:rFonts w:cs="Arial"/>
                <w:color w:val="000000" w:themeColor="text1"/>
                <w:szCs w:val="16"/>
              </w:rPr>
              <w:t>76.82%</w:t>
            </w:r>
          </w:p>
        </w:tc>
        <w:tc>
          <w:tcPr>
            <w:tcW w:w="833" w:type="pct"/>
            <w:shd w:val="clear" w:color="auto" w:fill="auto"/>
          </w:tcPr>
          <w:p w14:paraId="0F636319" w14:textId="7C4BA9E9" w:rsidR="00FB6462" w:rsidRPr="00781112" w:rsidRDefault="002B7490" w:rsidP="00A018D4">
            <w:pPr>
              <w:jc w:val="center"/>
              <w:rPr>
                <w:rFonts w:cs="Arial"/>
                <w:color w:val="000000" w:themeColor="text1"/>
                <w:szCs w:val="16"/>
              </w:rPr>
            </w:pPr>
            <w:r w:rsidRPr="00781112">
              <w:rPr>
                <w:rFonts w:cs="Arial"/>
                <w:color w:val="000000" w:themeColor="text1"/>
                <w:szCs w:val="16"/>
              </w:rPr>
              <w:t>79.65%</w:t>
            </w:r>
          </w:p>
        </w:tc>
        <w:tc>
          <w:tcPr>
            <w:tcW w:w="833" w:type="pct"/>
            <w:tcBorders>
              <w:bottom w:val="single" w:sz="4" w:space="0" w:color="auto"/>
            </w:tcBorders>
            <w:shd w:val="clear" w:color="auto" w:fill="auto"/>
            <w:vAlign w:val="center"/>
          </w:tcPr>
          <w:p w14:paraId="72DD8100" w14:textId="2078A0DC" w:rsidR="00FB6462" w:rsidRPr="00781112" w:rsidRDefault="002B7490" w:rsidP="00A018D4">
            <w:pPr>
              <w:jc w:val="center"/>
              <w:rPr>
                <w:rFonts w:cs="Arial"/>
                <w:color w:val="000000" w:themeColor="text1"/>
                <w:szCs w:val="16"/>
              </w:rPr>
            </w:pPr>
            <w:r w:rsidRPr="00781112">
              <w:rPr>
                <w:rFonts w:cs="Arial"/>
                <w:color w:val="000000" w:themeColor="text1"/>
                <w:szCs w:val="16"/>
              </w:rPr>
              <w:t>78.38%</w:t>
            </w:r>
          </w:p>
        </w:tc>
        <w:tc>
          <w:tcPr>
            <w:tcW w:w="833" w:type="pct"/>
            <w:tcBorders>
              <w:bottom w:val="single" w:sz="4" w:space="0" w:color="auto"/>
            </w:tcBorders>
            <w:shd w:val="clear" w:color="auto" w:fill="auto"/>
            <w:vAlign w:val="center"/>
          </w:tcPr>
          <w:p w14:paraId="36AAC02B" w14:textId="31D6381A" w:rsidR="00FB6462" w:rsidRPr="00781112" w:rsidRDefault="002B7490" w:rsidP="00A018D4">
            <w:pPr>
              <w:jc w:val="center"/>
              <w:rPr>
                <w:rFonts w:cs="Arial"/>
                <w:color w:val="000000" w:themeColor="text1"/>
                <w:szCs w:val="16"/>
              </w:rPr>
            </w:pPr>
            <w:r w:rsidRPr="00781112">
              <w:rPr>
                <w:rFonts w:cs="Arial"/>
                <w:color w:val="000000" w:themeColor="text1"/>
                <w:szCs w:val="16"/>
              </w:rPr>
              <w:t>78.84%</w:t>
            </w:r>
          </w:p>
        </w:tc>
        <w:tc>
          <w:tcPr>
            <w:tcW w:w="834" w:type="pct"/>
            <w:tcBorders>
              <w:bottom w:val="single" w:sz="4" w:space="0" w:color="auto"/>
            </w:tcBorders>
            <w:shd w:val="clear" w:color="auto" w:fill="auto"/>
            <w:vAlign w:val="center"/>
          </w:tcPr>
          <w:p w14:paraId="4F9B07B7" w14:textId="7D67594F" w:rsidR="00FB6462" w:rsidRPr="00781112" w:rsidRDefault="002B7490" w:rsidP="00A018D4">
            <w:pPr>
              <w:jc w:val="center"/>
              <w:rPr>
                <w:rFonts w:cs="Arial"/>
                <w:color w:val="000000" w:themeColor="text1"/>
                <w:szCs w:val="16"/>
              </w:rPr>
            </w:pPr>
            <w:r w:rsidRPr="00781112">
              <w:rPr>
                <w:rFonts w:cs="Arial"/>
                <w:color w:val="000000" w:themeColor="text1"/>
                <w:szCs w:val="16"/>
              </w:rPr>
              <w:t>78.56%</w:t>
            </w:r>
          </w:p>
        </w:tc>
      </w:tr>
    </w:tbl>
    <w:p w14:paraId="0E2D4617" w14:textId="77777777" w:rsidR="000417B4" w:rsidRPr="00781112" w:rsidRDefault="000417B4" w:rsidP="004369B2">
      <w:pPr>
        <w:rPr>
          <w:color w:val="000000" w:themeColor="text1"/>
        </w:rPr>
      </w:pPr>
    </w:p>
    <w:p w14:paraId="5038E6F4" w14:textId="77777777" w:rsidR="007123A2" w:rsidRDefault="007123A2">
      <w:pPr>
        <w:spacing w:before="0" w:after="200" w:line="276" w:lineRule="auto"/>
        <w:rPr>
          <w:b/>
          <w:color w:val="000000" w:themeColor="text1"/>
        </w:rPr>
      </w:pPr>
      <w:r>
        <w:rPr>
          <w:b/>
          <w:color w:val="000000" w:themeColor="text1"/>
        </w:rPr>
        <w:br w:type="page"/>
      </w:r>
    </w:p>
    <w:p w14:paraId="1F4FFBFE" w14:textId="07C94A6D" w:rsidR="00FB6462" w:rsidRPr="00781112" w:rsidRDefault="00FB6462" w:rsidP="004369B2">
      <w:pPr>
        <w:rPr>
          <w:color w:val="000000" w:themeColor="text1"/>
        </w:rPr>
      </w:pPr>
      <w:r w:rsidRPr="00781112">
        <w:rPr>
          <w:b/>
          <w:color w:val="000000" w:themeColor="text1"/>
        </w:rPr>
        <w:lastRenderedPageBreak/>
        <w:t>Targets</w:t>
      </w:r>
    </w:p>
    <w:tbl>
      <w:tblPr>
        <w:tblW w:w="42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8TARGETSOPT1"/>
      </w:tblPr>
      <w:tblGrid>
        <w:gridCol w:w="898"/>
        <w:gridCol w:w="1650"/>
        <w:gridCol w:w="1651"/>
        <w:gridCol w:w="1651"/>
        <w:gridCol w:w="1651"/>
        <w:gridCol w:w="1649"/>
      </w:tblGrid>
      <w:tr w:rsidR="00B14519" w:rsidRPr="00781112" w14:paraId="77450D85" w14:textId="217C23D8" w:rsidTr="00451D7E">
        <w:trPr>
          <w:trHeight w:val="242"/>
        </w:trPr>
        <w:tc>
          <w:tcPr>
            <w:tcW w:w="491" w:type="pct"/>
            <w:tcBorders>
              <w:bottom w:val="single" w:sz="4" w:space="0" w:color="auto"/>
            </w:tcBorders>
            <w:shd w:val="clear" w:color="auto" w:fill="auto"/>
            <w:vAlign w:val="center"/>
          </w:tcPr>
          <w:p w14:paraId="5A82FAC4" w14:textId="77777777" w:rsidR="00B14519" w:rsidRPr="003F088A" w:rsidRDefault="00B14519" w:rsidP="00AD5583">
            <w:pPr>
              <w:jc w:val="center"/>
              <w:rPr>
                <w:rFonts w:cs="Arial"/>
                <w:b/>
                <w:color w:val="000000" w:themeColor="text1"/>
                <w:szCs w:val="16"/>
              </w:rPr>
            </w:pPr>
            <w:r w:rsidRPr="003F088A">
              <w:rPr>
                <w:rFonts w:cs="Arial"/>
                <w:b/>
                <w:color w:val="000000" w:themeColor="text1"/>
                <w:szCs w:val="16"/>
              </w:rPr>
              <w:t>FFY</w:t>
            </w:r>
          </w:p>
        </w:tc>
        <w:tc>
          <w:tcPr>
            <w:tcW w:w="902" w:type="pct"/>
            <w:shd w:val="clear" w:color="auto" w:fill="auto"/>
            <w:vAlign w:val="center"/>
          </w:tcPr>
          <w:p w14:paraId="6DDB1395" w14:textId="489E70A4" w:rsidR="00B14519" w:rsidRPr="003F088A" w:rsidRDefault="00B14519" w:rsidP="00AD5583">
            <w:pPr>
              <w:jc w:val="center"/>
              <w:rPr>
                <w:rFonts w:cs="Arial"/>
                <w:b/>
                <w:color w:val="000000" w:themeColor="text1"/>
                <w:szCs w:val="16"/>
              </w:rPr>
            </w:pPr>
            <w:r w:rsidRPr="003F088A">
              <w:rPr>
                <w:rFonts w:cs="Arial"/>
                <w:b/>
                <w:color w:val="000000" w:themeColor="text1"/>
                <w:szCs w:val="16"/>
              </w:rPr>
              <w:t>2021</w:t>
            </w:r>
          </w:p>
        </w:tc>
        <w:tc>
          <w:tcPr>
            <w:tcW w:w="902" w:type="pct"/>
            <w:vAlign w:val="center"/>
          </w:tcPr>
          <w:p w14:paraId="3277D8E8" w14:textId="4A05E6F6" w:rsidR="00B14519" w:rsidRPr="003F088A" w:rsidRDefault="00B14519" w:rsidP="00730C62">
            <w:pPr>
              <w:jc w:val="center"/>
              <w:rPr>
                <w:rFonts w:cs="Arial"/>
                <w:b/>
                <w:color w:val="000000" w:themeColor="text1"/>
                <w:szCs w:val="16"/>
              </w:rPr>
            </w:pPr>
            <w:r w:rsidRPr="00781112">
              <w:rPr>
                <w:rFonts w:cs="Arial"/>
                <w:b/>
                <w:color w:val="000000" w:themeColor="text1"/>
                <w:szCs w:val="16"/>
              </w:rPr>
              <w:t>2022</w:t>
            </w:r>
          </w:p>
        </w:tc>
        <w:tc>
          <w:tcPr>
            <w:tcW w:w="902" w:type="pct"/>
            <w:vAlign w:val="center"/>
          </w:tcPr>
          <w:p w14:paraId="3AC9106D" w14:textId="5F7A56D0" w:rsidR="00B14519" w:rsidRPr="003F088A" w:rsidRDefault="00B14519" w:rsidP="00730C62">
            <w:pPr>
              <w:jc w:val="center"/>
              <w:rPr>
                <w:rFonts w:cs="Arial"/>
                <w:b/>
                <w:color w:val="000000" w:themeColor="text1"/>
                <w:szCs w:val="16"/>
              </w:rPr>
            </w:pPr>
            <w:r w:rsidRPr="00781112">
              <w:rPr>
                <w:rFonts w:cs="Arial"/>
                <w:b/>
                <w:color w:val="000000" w:themeColor="text1"/>
                <w:szCs w:val="16"/>
              </w:rPr>
              <w:t>2023</w:t>
            </w:r>
          </w:p>
        </w:tc>
        <w:tc>
          <w:tcPr>
            <w:tcW w:w="902" w:type="pct"/>
            <w:vAlign w:val="center"/>
          </w:tcPr>
          <w:p w14:paraId="4E87FEC3" w14:textId="73615588" w:rsidR="00B14519" w:rsidRPr="003F088A" w:rsidRDefault="00B14519" w:rsidP="00730C62">
            <w:pPr>
              <w:jc w:val="center"/>
              <w:rPr>
                <w:rFonts w:cs="Arial"/>
                <w:b/>
                <w:color w:val="000000" w:themeColor="text1"/>
                <w:szCs w:val="16"/>
              </w:rPr>
            </w:pPr>
            <w:r w:rsidRPr="00781112">
              <w:rPr>
                <w:rFonts w:cs="Arial"/>
                <w:b/>
                <w:color w:val="000000" w:themeColor="text1"/>
                <w:szCs w:val="16"/>
              </w:rPr>
              <w:t>2024</w:t>
            </w:r>
          </w:p>
        </w:tc>
        <w:tc>
          <w:tcPr>
            <w:tcW w:w="902" w:type="pct"/>
            <w:vAlign w:val="center"/>
          </w:tcPr>
          <w:p w14:paraId="52455E86" w14:textId="781B38CA" w:rsidR="00B14519" w:rsidRPr="003F088A" w:rsidRDefault="00B14519" w:rsidP="00730C62">
            <w:pPr>
              <w:jc w:val="center"/>
              <w:rPr>
                <w:rFonts w:cs="Arial"/>
                <w:b/>
                <w:color w:val="000000" w:themeColor="text1"/>
                <w:szCs w:val="16"/>
              </w:rPr>
            </w:pPr>
            <w:r w:rsidRPr="00781112">
              <w:rPr>
                <w:rFonts w:cs="Arial"/>
                <w:b/>
                <w:color w:val="000000" w:themeColor="text1"/>
                <w:szCs w:val="16"/>
              </w:rPr>
              <w:t>2025</w:t>
            </w:r>
          </w:p>
        </w:tc>
      </w:tr>
      <w:tr w:rsidR="00B14519" w:rsidRPr="00781112" w14:paraId="50A2A35E" w14:textId="13C4D5C2" w:rsidTr="00451D7E">
        <w:trPr>
          <w:trHeight w:val="370"/>
        </w:trPr>
        <w:tc>
          <w:tcPr>
            <w:tcW w:w="491" w:type="pct"/>
            <w:shd w:val="clear" w:color="auto" w:fill="auto"/>
          </w:tcPr>
          <w:p w14:paraId="2F249DEE" w14:textId="4AA3473F" w:rsidR="00B14519" w:rsidRPr="00781112" w:rsidRDefault="00B14519" w:rsidP="00AD5583">
            <w:pPr>
              <w:rPr>
                <w:rFonts w:cs="Arial"/>
                <w:color w:val="000000" w:themeColor="text1"/>
                <w:szCs w:val="16"/>
              </w:rPr>
            </w:pPr>
            <w:r w:rsidRPr="00781112">
              <w:rPr>
                <w:rFonts w:cs="Arial"/>
                <w:color w:val="000000" w:themeColor="text1"/>
                <w:szCs w:val="16"/>
              </w:rPr>
              <w:t>Target &gt;=</w:t>
            </w:r>
          </w:p>
        </w:tc>
        <w:tc>
          <w:tcPr>
            <w:tcW w:w="902" w:type="pct"/>
            <w:shd w:val="clear" w:color="auto" w:fill="auto"/>
            <w:vAlign w:val="center"/>
          </w:tcPr>
          <w:p w14:paraId="2ACB7B9E" w14:textId="427B5E78" w:rsidR="00B14519" w:rsidRPr="00781112" w:rsidRDefault="00B14519" w:rsidP="00AD5583">
            <w:pPr>
              <w:jc w:val="center"/>
              <w:rPr>
                <w:rFonts w:cs="Arial"/>
                <w:color w:val="000000" w:themeColor="text1"/>
                <w:szCs w:val="16"/>
              </w:rPr>
            </w:pPr>
            <w:r w:rsidRPr="00781112">
              <w:rPr>
                <w:rFonts w:cs="Arial"/>
                <w:color w:val="000000" w:themeColor="text1"/>
                <w:szCs w:val="16"/>
              </w:rPr>
              <w:t>78.38%</w:t>
            </w:r>
          </w:p>
        </w:tc>
        <w:tc>
          <w:tcPr>
            <w:tcW w:w="902" w:type="pct"/>
          </w:tcPr>
          <w:p w14:paraId="01493DF6" w14:textId="39FAD961" w:rsidR="00B14519" w:rsidRPr="00781112" w:rsidRDefault="00B14519" w:rsidP="00AD5583">
            <w:pPr>
              <w:spacing w:before="0" w:after="200" w:line="276" w:lineRule="auto"/>
            </w:pPr>
            <w:r w:rsidRPr="00781112">
              <w:rPr>
                <w:color w:val="000000" w:themeColor="text1"/>
                <w:szCs w:val="16"/>
              </w:rPr>
              <w:t>78.58%</w:t>
            </w:r>
          </w:p>
        </w:tc>
        <w:tc>
          <w:tcPr>
            <w:tcW w:w="902" w:type="pct"/>
          </w:tcPr>
          <w:p w14:paraId="71DAA89B" w14:textId="5FDD553A" w:rsidR="00B14519" w:rsidRPr="00781112" w:rsidRDefault="00B14519" w:rsidP="00AD5583">
            <w:pPr>
              <w:spacing w:before="0" w:after="200" w:line="276" w:lineRule="auto"/>
            </w:pPr>
            <w:r w:rsidRPr="00781112">
              <w:rPr>
                <w:color w:val="000000" w:themeColor="text1"/>
                <w:szCs w:val="16"/>
              </w:rPr>
              <w:t>78.79%</w:t>
            </w:r>
          </w:p>
        </w:tc>
        <w:tc>
          <w:tcPr>
            <w:tcW w:w="902" w:type="pct"/>
          </w:tcPr>
          <w:p w14:paraId="6C8342E2" w14:textId="3FBC30A4" w:rsidR="00B14519" w:rsidRPr="00781112" w:rsidRDefault="00B14519" w:rsidP="00AD5583">
            <w:pPr>
              <w:spacing w:before="0" w:after="200" w:line="276" w:lineRule="auto"/>
            </w:pPr>
            <w:r w:rsidRPr="00781112">
              <w:rPr>
                <w:color w:val="000000" w:themeColor="text1"/>
                <w:szCs w:val="16"/>
              </w:rPr>
              <w:t>79.19%</w:t>
            </w:r>
          </w:p>
        </w:tc>
        <w:tc>
          <w:tcPr>
            <w:tcW w:w="902" w:type="pct"/>
          </w:tcPr>
          <w:p w14:paraId="02A9D828" w14:textId="4D6EC210" w:rsidR="00B14519" w:rsidRPr="00781112" w:rsidRDefault="00B14519" w:rsidP="00AD5583">
            <w:pPr>
              <w:spacing w:before="0" w:after="200" w:line="276" w:lineRule="auto"/>
            </w:pPr>
            <w:r w:rsidRPr="00781112">
              <w:rPr>
                <w:color w:val="000000" w:themeColor="text1"/>
                <w:szCs w:val="16"/>
              </w:rPr>
              <w:t>80.00%</w:t>
            </w:r>
          </w:p>
        </w:tc>
      </w:tr>
    </w:tbl>
    <w:p w14:paraId="68BCE5ED" w14:textId="77777777" w:rsidR="007E2779" w:rsidRPr="00781112" w:rsidRDefault="007E2779" w:rsidP="000A2C83">
      <w:pPr>
        <w:rPr>
          <w:rFonts w:cs="Arial"/>
          <w:color w:val="000000" w:themeColor="text1"/>
          <w:szCs w:val="16"/>
        </w:rPr>
      </w:pPr>
    </w:p>
    <w:p w14:paraId="15954908" w14:textId="0AB73F14" w:rsidR="00FB6462" w:rsidRPr="00781112" w:rsidRDefault="0047313F" w:rsidP="004369B2">
      <w:pPr>
        <w:rPr>
          <w:color w:val="000000" w:themeColor="text1"/>
        </w:rPr>
      </w:pPr>
      <w:r>
        <w:rPr>
          <w:b/>
          <w:color w:val="000000" w:themeColor="text1"/>
        </w:rPr>
        <w:t>FFY 2021 SPP/APR Data</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8CFFYAPRDATAOPT1"/>
      </w:tblPr>
      <w:tblGrid>
        <w:gridCol w:w="2686"/>
        <w:gridCol w:w="15"/>
        <w:gridCol w:w="1440"/>
        <w:gridCol w:w="1170"/>
        <w:gridCol w:w="1440"/>
        <w:gridCol w:w="1170"/>
        <w:gridCol w:w="1349"/>
        <w:gridCol w:w="1524"/>
      </w:tblGrid>
      <w:tr w:rsidR="00206A65" w:rsidRPr="00781112" w14:paraId="2A3467FD" w14:textId="77777777" w:rsidTr="00AB0D6A">
        <w:trPr>
          <w:trHeight w:val="368"/>
          <w:tblHeader/>
        </w:trPr>
        <w:tc>
          <w:tcPr>
            <w:tcW w:w="1244" w:type="pct"/>
            <w:shd w:val="clear" w:color="auto" w:fill="auto"/>
            <w:vAlign w:val="bottom"/>
          </w:tcPr>
          <w:p w14:paraId="1B1F6FBB" w14:textId="77777777" w:rsidR="00206A65" w:rsidRPr="00781112" w:rsidRDefault="00206A65" w:rsidP="00206A65">
            <w:pPr>
              <w:jc w:val="center"/>
              <w:rPr>
                <w:b/>
                <w:color w:val="000000" w:themeColor="text1"/>
              </w:rPr>
            </w:pPr>
            <w:r w:rsidRPr="00781112">
              <w:rPr>
                <w:b/>
                <w:color w:val="000000" w:themeColor="text1"/>
              </w:rPr>
              <w:t>Number of respondent parents who report schools facilitated parent involvement as a means of improving services and results for children with disabilities</w:t>
            </w:r>
          </w:p>
        </w:tc>
        <w:tc>
          <w:tcPr>
            <w:tcW w:w="674" w:type="pct"/>
            <w:gridSpan w:val="2"/>
            <w:shd w:val="clear" w:color="auto" w:fill="auto"/>
            <w:vAlign w:val="bottom"/>
          </w:tcPr>
          <w:p w14:paraId="200E18C6" w14:textId="77777777" w:rsidR="00206A65" w:rsidRPr="00781112" w:rsidRDefault="00206A65" w:rsidP="00206A65">
            <w:pPr>
              <w:jc w:val="center"/>
              <w:rPr>
                <w:b/>
                <w:color w:val="000000" w:themeColor="text1"/>
              </w:rPr>
            </w:pPr>
            <w:r w:rsidRPr="00781112">
              <w:rPr>
                <w:b/>
                <w:color w:val="000000" w:themeColor="text1"/>
              </w:rPr>
              <w:t>Total number of respondent parents of children with disabilities</w:t>
            </w:r>
          </w:p>
        </w:tc>
        <w:tc>
          <w:tcPr>
            <w:tcW w:w="542" w:type="pct"/>
            <w:shd w:val="clear" w:color="auto" w:fill="auto"/>
            <w:vAlign w:val="bottom"/>
          </w:tcPr>
          <w:p w14:paraId="57D9347A" w14:textId="32FBABFF" w:rsidR="00206A65" w:rsidRPr="00CC1061" w:rsidRDefault="00206A65" w:rsidP="00206A65">
            <w:pPr>
              <w:jc w:val="center"/>
              <w:rPr>
                <w:b/>
                <w:bCs/>
                <w:color w:val="000000" w:themeColor="text1"/>
              </w:rPr>
            </w:pPr>
            <w:r w:rsidRPr="00CC1061">
              <w:rPr>
                <w:b/>
                <w:bCs/>
              </w:rPr>
              <w:t>FFY 2020 Data</w:t>
            </w:r>
          </w:p>
        </w:tc>
        <w:tc>
          <w:tcPr>
            <w:tcW w:w="667" w:type="pct"/>
            <w:shd w:val="clear" w:color="auto" w:fill="auto"/>
            <w:vAlign w:val="bottom"/>
          </w:tcPr>
          <w:p w14:paraId="42BF1046" w14:textId="7C022548" w:rsidR="00206A65" w:rsidRPr="00CC1061" w:rsidRDefault="00206A65" w:rsidP="00206A65">
            <w:pPr>
              <w:jc w:val="center"/>
              <w:rPr>
                <w:b/>
                <w:bCs/>
                <w:color w:val="000000" w:themeColor="text1"/>
              </w:rPr>
            </w:pPr>
            <w:r w:rsidRPr="00CC1061">
              <w:rPr>
                <w:b/>
                <w:bCs/>
              </w:rPr>
              <w:t>FFY 2021 Target</w:t>
            </w:r>
          </w:p>
        </w:tc>
        <w:tc>
          <w:tcPr>
            <w:tcW w:w="542" w:type="pct"/>
            <w:shd w:val="clear" w:color="auto" w:fill="auto"/>
            <w:vAlign w:val="bottom"/>
          </w:tcPr>
          <w:p w14:paraId="36E0331C" w14:textId="795D3E94" w:rsidR="00206A65" w:rsidRPr="00CC1061" w:rsidRDefault="00206A65" w:rsidP="00206A65">
            <w:pPr>
              <w:jc w:val="center"/>
              <w:rPr>
                <w:b/>
                <w:bCs/>
                <w:color w:val="000000" w:themeColor="text1"/>
              </w:rPr>
            </w:pPr>
            <w:r w:rsidRPr="00CC1061">
              <w:rPr>
                <w:b/>
                <w:bCs/>
              </w:rPr>
              <w:t>FFY 2021 Data</w:t>
            </w:r>
          </w:p>
        </w:tc>
        <w:tc>
          <w:tcPr>
            <w:tcW w:w="625" w:type="pct"/>
            <w:shd w:val="clear" w:color="auto" w:fill="auto"/>
            <w:vAlign w:val="bottom"/>
          </w:tcPr>
          <w:p w14:paraId="52157F4E" w14:textId="77777777" w:rsidR="00206A65" w:rsidRPr="00781112" w:rsidRDefault="00206A65" w:rsidP="00206A65">
            <w:pPr>
              <w:jc w:val="center"/>
              <w:rPr>
                <w:b/>
                <w:color w:val="000000" w:themeColor="text1"/>
              </w:rPr>
            </w:pPr>
            <w:r w:rsidRPr="00781112">
              <w:rPr>
                <w:b/>
                <w:color w:val="000000" w:themeColor="text1"/>
              </w:rPr>
              <w:t>Status</w:t>
            </w:r>
          </w:p>
        </w:tc>
        <w:tc>
          <w:tcPr>
            <w:tcW w:w="706" w:type="pct"/>
            <w:shd w:val="clear" w:color="auto" w:fill="auto"/>
            <w:vAlign w:val="bottom"/>
          </w:tcPr>
          <w:p w14:paraId="1DC1ADC7" w14:textId="77777777" w:rsidR="00206A65" w:rsidRPr="00781112" w:rsidRDefault="00206A65" w:rsidP="00206A65">
            <w:pPr>
              <w:jc w:val="center"/>
              <w:rPr>
                <w:b/>
                <w:color w:val="000000" w:themeColor="text1"/>
              </w:rPr>
            </w:pPr>
            <w:r w:rsidRPr="00781112">
              <w:rPr>
                <w:b/>
                <w:color w:val="000000" w:themeColor="text1"/>
              </w:rPr>
              <w:t>Slippage</w:t>
            </w:r>
          </w:p>
        </w:tc>
      </w:tr>
      <w:tr w:rsidR="005C29F8" w:rsidRPr="00781112" w14:paraId="4B4B0594" w14:textId="77777777" w:rsidTr="00AB0D6A">
        <w:trPr>
          <w:trHeight w:val="366"/>
        </w:trPr>
        <w:tc>
          <w:tcPr>
            <w:tcW w:w="1251" w:type="pct"/>
            <w:gridSpan w:val="2"/>
            <w:shd w:val="clear" w:color="auto" w:fill="auto"/>
            <w:vAlign w:val="bottom"/>
          </w:tcPr>
          <w:p w14:paraId="0933F330" w14:textId="2423D9E2" w:rsidR="00FB6462" w:rsidRPr="00781112" w:rsidRDefault="002B7490" w:rsidP="00A018D4">
            <w:pPr>
              <w:jc w:val="center"/>
              <w:rPr>
                <w:rFonts w:cs="Arial"/>
                <w:color w:val="000000" w:themeColor="text1"/>
                <w:szCs w:val="16"/>
              </w:rPr>
            </w:pPr>
            <w:r w:rsidRPr="00781112">
              <w:rPr>
                <w:rFonts w:cs="Arial"/>
                <w:color w:val="000000" w:themeColor="text1"/>
                <w:szCs w:val="16"/>
              </w:rPr>
              <w:t>1,526</w:t>
            </w:r>
          </w:p>
        </w:tc>
        <w:tc>
          <w:tcPr>
            <w:tcW w:w="667" w:type="pct"/>
            <w:shd w:val="clear" w:color="auto" w:fill="auto"/>
            <w:vAlign w:val="bottom"/>
          </w:tcPr>
          <w:p w14:paraId="2905391A" w14:textId="502FBF67" w:rsidR="00FB6462" w:rsidRPr="00781112" w:rsidRDefault="002B7490" w:rsidP="00A018D4">
            <w:pPr>
              <w:jc w:val="center"/>
              <w:rPr>
                <w:rFonts w:cs="Arial"/>
                <w:color w:val="000000" w:themeColor="text1"/>
                <w:szCs w:val="16"/>
              </w:rPr>
            </w:pPr>
            <w:r w:rsidRPr="00781112">
              <w:rPr>
                <w:rFonts w:cs="Arial"/>
                <w:color w:val="000000" w:themeColor="text1"/>
                <w:szCs w:val="16"/>
              </w:rPr>
              <w:t>1,905</w:t>
            </w:r>
          </w:p>
        </w:tc>
        <w:tc>
          <w:tcPr>
            <w:tcW w:w="542" w:type="pct"/>
            <w:shd w:val="clear" w:color="auto" w:fill="auto"/>
            <w:vAlign w:val="bottom"/>
          </w:tcPr>
          <w:p w14:paraId="486C6AEB" w14:textId="2AC5DAB9" w:rsidR="00FB6462" w:rsidRPr="00781112" w:rsidRDefault="002B7490" w:rsidP="00A018D4">
            <w:pPr>
              <w:jc w:val="center"/>
              <w:rPr>
                <w:rFonts w:cs="Arial"/>
                <w:color w:val="000000" w:themeColor="text1"/>
                <w:szCs w:val="16"/>
              </w:rPr>
            </w:pPr>
            <w:r w:rsidRPr="00781112">
              <w:rPr>
                <w:rFonts w:cs="Arial"/>
                <w:color w:val="000000" w:themeColor="text1"/>
                <w:szCs w:val="16"/>
              </w:rPr>
              <w:t>78.56%</w:t>
            </w:r>
          </w:p>
        </w:tc>
        <w:tc>
          <w:tcPr>
            <w:tcW w:w="667" w:type="pct"/>
            <w:shd w:val="clear" w:color="auto" w:fill="auto"/>
            <w:vAlign w:val="bottom"/>
          </w:tcPr>
          <w:p w14:paraId="024E965C" w14:textId="65736559" w:rsidR="00FB6462" w:rsidRPr="00781112" w:rsidRDefault="002B7490" w:rsidP="00A018D4">
            <w:pPr>
              <w:jc w:val="center"/>
              <w:rPr>
                <w:rFonts w:cs="Arial"/>
                <w:color w:val="000000" w:themeColor="text1"/>
                <w:szCs w:val="16"/>
              </w:rPr>
            </w:pPr>
            <w:r w:rsidRPr="00781112">
              <w:rPr>
                <w:rFonts w:cs="Arial"/>
                <w:color w:val="000000" w:themeColor="text1"/>
                <w:szCs w:val="16"/>
              </w:rPr>
              <w:t>78.38%</w:t>
            </w:r>
          </w:p>
        </w:tc>
        <w:tc>
          <w:tcPr>
            <w:tcW w:w="542" w:type="pct"/>
            <w:shd w:val="clear" w:color="auto" w:fill="auto"/>
            <w:vAlign w:val="bottom"/>
          </w:tcPr>
          <w:p w14:paraId="1BEB0ADC" w14:textId="5244B4D7" w:rsidR="00FB6462" w:rsidRPr="00781112" w:rsidRDefault="002B7490" w:rsidP="00A018D4">
            <w:pPr>
              <w:jc w:val="center"/>
              <w:rPr>
                <w:rFonts w:cs="Arial"/>
                <w:color w:val="000000" w:themeColor="text1"/>
                <w:szCs w:val="16"/>
              </w:rPr>
            </w:pPr>
            <w:r w:rsidRPr="00781112">
              <w:rPr>
                <w:rFonts w:cs="Arial"/>
                <w:color w:val="000000" w:themeColor="text1"/>
                <w:szCs w:val="16"/>
              </w:rPr>
              <w:t>80.10%</w:t>
            </w:r>
          </w:p>
        </w:tc>
        <w:tc>
          <w:tcPr>
            <w:tcW w:w="625" w:type="pct"/>
            <w:shd w:val="clear" w:color="auto" w:fill="auto"/>
            <w:vAlign w:val="bottom"/>
          </w:tcPr>
          <w:p w14:paraId="230C5FAF" w14:textId="6761CD40" w:rsidR="00FB6462"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706" w:type="pct"/>
            <w:shd w:val="clear" w:color="auto" w:fill="auto"/>
            <w:vAlign w:val="bottom"/>
          </w:tcPr>
          <w:p w14:paraId="2CBF8B2D" w14:textId="3929AFC6" w:rsidR="00FB6462"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p w14:paraId="22227E2D" w14:textId="3C53FA16" w:rsidR="00FB6462" w:rsidRPr="00781112" w:rsidRDefault="00FB6462" w:rsidP="005A338D">
      <w:pPr>
        <w:rPr>
          <w:rFonts w:cs="Arial"/>
          <w:b/>
          <w:color w:val="000000" w:themeColor="text1"/>
          <w:szCs w:val="16"/>
        </w:rPr>
      </w:pPr>
      <w:r w:rsidRPr="00781112">
        <w:rPr>
          <w:rFonts w:cs="Arial"/>
          <w:b/>
          <w:color w:val="000000" w:themeColor="text1"/>
          <w:szCs w:val="16"/>
        </w:rPr>
        <w:t>Since the State did not report preschool children separately, discuss the procedures used to combine data from school age and preschool surveys in a manner that is valid and reliable.</w:t>
      </w:r>
    </w:p>
    <w:p w14:paraId="7CADFB93" w14:textId="3119FB87" w:rsidR="00230EE6" w:rsidRPr="00781112" w:rsidRDefault="00230EE6" w:rsidP="005A338D">
      <w:pPr>
        <w:rPr>
          <w:rFonts w:cs="Arial"/>
          <w:color w:val="000000" w:themeColor="text1"/>
          <w:szCs w:val="16"/>
        </w:rPr>
      </w:pPr>
      <w:r w:rsidRPr="00781112">
        <w:rPr>
          <w:rFonts w:cs="Arial"/>
          <w:color w:val="000000" w:themeColor="text1"/>
          <w:szCs w:val="16"/>
        </w:rPr>
        <w:t>LEAs provide the USBE with contact information for all students with disabilities that are on the LEA’s student list. The parent survey sample is based on the number of students with disabilities enrolled in the LEA. Parents who receive the survey are based on a statistical sampling of the LEA. The contact information provided by the LEA is sorted based on student grade, least restrictive environment code, and disability category. The sorted data is used to gather a representative sample of the LEA. The student data sorting procedure ensures that parents from all student groups are represented in the sample. All parents receive the same survey. Parents do not report whether their student is a preschool or a school age student. Survey collection procedures ensure both preschool and school age students are represented in an equitable way. Please refer to the “Sampling Question” section below for additional discussion on how the USBE’s data collection procedures ensure equitable representation among preschool and school age students. Once the surveys are completed for all LEAs in the survey sample, the data is aggregated to determine the State rate for Indicator 8. The USBE uses the expertise of a statistician to aggregate the data and increase the validity and reliability of the data.</w:t>
      </w:r>
    </w:p>
    <w:p w14:paraId="75502588" w14:textId="77777777" w:rsidR="007E2779" w:rsidRPr="00781112" w:rsidRDefault="007E2779" w:rsidP="007E2779">
      <w:pPr>
        <w:pStyle w:val="Bold"/>
        <w:rPr>
          <w:color w:val="000000" w:themeColor="text1"/>
        </w:rPr>
      </w:pPr>
    </w:p>
    <w:p w14:paraId="194E8DAB" w14:textId="77777777" w:rsidR="00DF5DC9" w:rsidRDefault="00DF5DC9" w:rsidP="00415FE9">
      <w:pPr>
        <w:rPr>
          <w:rFonts w:cs="Arial"/>
          <w:b/>
          <w:color w:val="000000" w:themeColor="text1"/>
          <w:szCs w:val="16"/>
        </w:rPr>
      </w:pPr>
    </w:p>
    <w:p w14:paraId="1367D5CC" w14:textId="3D23966C" w:rsidR="00415FE9" w:rsidRPr="00781112" w:rsidRDefault="00415FE9" w:rsidP="00415FE9">
      <w:pPr>
        <w:rPr>
          <w:rFonts w:cs="Arial"/>
          <w:b/>
          <w:color w:val="000000" w:themeColor="text1"/>
          <w:szCs w:val="16"/>
        </w:rPr>
      </w:pPr>
      <w:r w:rsidRPr="00781112">
        <w:rPr>
          <w:rFonts w:cs="Arial"/>
          <w:b/>
          <w:color w:val="000000" w:themeColor="text1"/>
          <w:szCs w:val="16"/>
        </w:rPr>
        <w:t>The number of parents to whom the surveys were distributed.</w:t>
      </w:r>
    </w:p>
    <w:p w14:paraId="1181B460" w14:textId="042BF6E0" w:rsidR="00415FE9" w:rsidRPr="00781112" w:rsidRDefault="00415FE9" w:rsidP="00415FE9">
      <w:pPr>
        <w:rPr>
          <w:rFonts w:cs="Arial"/>
          <w:color w:val="000000" w:themeColor="text1"/>
          <w:szCs w:val="16"/>
        </w:rPr>
      </w:pPr>
      <w:r w:rsidRPr="00781112">
        <w:rPr>
          <w:rFonts w:cs="Arial"/>
          <w:color w:val="000000" w:themeColor="text1"/>
          <w:szCs w:val="16"/>
        </w:rPr>
        <w:t>7,419</w:t>
      </w:r>
    </w:p>
    <w:p w14:paraId="37F1825E" w14:textId="77777777" w:rsidR="00415FE9" w:rsidRPr="00781112" w:rsidRDefault="00415FE9" w:rsidP="00415FE9">
      <w:pPr>
        <w:rPr>
          <w:rFonts w:cs="Arial"/>
          <w:b/>
          <w:color w:val="000000" w:themeColor="text1"/>
          <w:szCs w:val="16"/>
        </w:rPr>
      </w:pPr>
      <w:r w:rsidRPr="00781112">
        <w:rPr>
          <w:rFonts w:cs="Arial"/>
          <w:b/>
          <w:color w:val="000000" w:themeColor="text1"/>
          <w:szCs w:val="16"/>
        </w:rPr>
        <w:t>Percentage of respondent parents</w:t>
      </w:r>
    </w:p>
    <w:p w14:paraId="47233287" w14:textId="25AA931E" w:rsidR="00415FE9" w:rsidRPr="00781112" w:rsidRDefault="00415FE9" w:rsidP="00415FE9">
      <w:pPr>
        <w:rPr>
          <w:rFonts w:cs="Arial"/>
          <w:color w:val="000000" w:themeColor="text1"/>
          <w:szCs w:val="16"/>
        </w:rPr>
      </w:pPr>
      <w:r w:rsidRPr="00781112">
        <w:rPr>
          <w:rFonts w:cs="Arial"/>
          <w:color w:val="000000" w:themeColor="text1"/>
          <w:szCs w:val="16"/>
        </w:rPr>
        <w:t>25.68%</w:t>
      </w:r>
    </w:p>
    <w:p w14:paraId="6E133112" w14:textId="714E6C68" w:rsidR="00090132" w:rsidRDefault="00090132" w:rsidP="00AF550B">
      <w:pPr>
        <w:rPr>
          <w:rFonts w:cs="Arial"/>
          <w:iCs/>
          <w:color w:val="000000" w:themeColor="text1"/>
          <w:szCs w:val="16"/>
        </w:rPr>
      </w:pPr>
    </w:p>
    <w:p w14:paraId="22944736" w14:textId="77777777" w:rsidR="00090132" w:rsidRPr="00F737BA" w:rsidRDefault="00090132" w:rsidP="00090132">
      <w:pPr>
        <w:rPr>
          <w:rFonts w:cs="Arial"/>
          <w:b/>
          <w:bCs/>
          <w:szCs w:val="16"/>
        </w:rPr>
      </w:pPr>
      <w:r w:rsidRPr="00F737BA">
        <w:rPr>
          <w:rFonts w:cs="Arial"/>
          <w:b/>
          <w:bCs/>
          <w:szCs w:val="16"/>
        </w:rPr>
        <w:t>Response Rate</w:t>
      </w:r>
    </w:p>
    <w:tbl>
      <w:tblPr>
        <w:tblStyle w:val="TableGrid"/>
        <w:tblW w:w="0" w:type="auto"/>
        <w:tblLook w:val="04A0" w:firstRow="1" w:lastRow="0" w:firstColumn="1" w:lastColumn="0" w:noHBand="0" w:noVBand="1"/>
        <w:tblCaption w:val="B08CFFYDISTPER"/>
      </w:tblPr>
      <w:tblGrid>
        <w:gridCol w:w="1885"/>
        <w:gridCol w:w="2340"/>
        <w:gridCol w:w="759"/>
      </w:tblGrid>
      <w:tr w:rsidR="00090132" w:rsidRPr="00F737BA" w14:paraId="0E1B543B" w14:textId="77777777" w:rsidTr="00DF5DC9">
        <w:tc>
          <w:tcPr>
            <w:tcW w:w="1885" w:type="dxa"/>
          </w:tcPr>
          <w:p w14:paraId="2D7C9FC3" w14:textId="77777777" w:rsidR="00090132" w:rsidRPr="00F737BA" w:rsidRDefault="00090132" w:rsidP="00DF5DC9">
            <w:pPr>
              <w:jc w:val="center"/>
              <w:rPr>
                <w:rFonts w:cs="Arial"/>
                <w:b/>
                <w:szCs w:val="16"/>
              </w:rPr>
            </w:pPr>
            <w:bookmarkStart w:id="49" w:name="_Hlk79652737"/>
            <w:r w:rsidRPr="00F737BA">
              <w:rPr>
                <w:rFonts w:cs="Arial"/>
                <w:b/>
                <w:szCs w:val="16"/>
              </w:rPr>
              <w:t>FFY</w:t>
            </w:r>
          </w:p>
        </w:tc>
        <w:tc>
          <w:tcPr>
            <w:tcW w:w="2340" w:type="dxa"/>
          </w:tcPr>
          <w:p w14:paraId="2109B7B6" w14:textId="77777777" w:rsidR="00090132" w:rsidRPr="004A62FE" w:rsidRDefault="00090132" w:rsidP="00DF5DC9">
            <w:pPr>
              <w:jc w:val="center"/>
              <w:rPr>
                <w:rFonts w:cs="Arial"/>
                <w:b/>
                <w:szCs w:val="16"/>
              </w:rPr>
            </w:pPr>
            <w:r w:rsidRPr="004A62FE">
              <w:rPr>
                <w:rFonts w:cs="Arial"/>
                <w:b/>
                <w:color w:val="000000" w:themeColor="text1"/>
                <w:szCs w:val="16"/>
              </w:rPr>
              <w:t>2020</w:t>
            </w:r>
          </w:p>
        </w:tc>
        <w:tc>
          <w:tcPr>
            <w:tcW w:w="360" w:type="dxa"/>
          </w:tcPr>
          <w:p w14:paraId="0CD9799E" w14:textId="77777777" w:rsidR="00090132" w:rsidRPr="004A62FE" w:rsidRDefault="00090132" w:rsidP="00DF5DC9">
            <w:pPr>
              <w:jc w:val="center"/>
              <w:rPr>
                <w:rFonts w:cs="Arial"/>
                <w:b/>
                <w:szCs w:val="16"/>
              </w:rPr>
            </w:pPr>
            <w:r w:rsidRPr="004A62FE">
              <w:rPr>
                <w:rFonts w:cs="Arial"/>
                <w:b/>
                <w:color w:val="000000" w:themeColor="text1"/>
                <w:szCs w:val="16"/>
              </w:rPr>
              <w:t>2021</w:t>
            </w:r>
          </w:p>
        </w:tc>
      </w:tr>
      <w:tr w:rsidR="00090132" w:rsidRPr="00F737BA" w14:paraId="3E600875" w14:textId="77777777" w:rsidTr="00DF5DC9">
        <w:tc>
          <w:tcPr>
            <w:tcW w:w="1885" w:type="dxa"/>
          </w:tcPr>
          <w:p w14:paraId="497B06E4" w14:textId="77777777" w:rsidR="00090132" w:rsidRPr="00F737BA" w:rsidRDefault="00090132" w:rsidP="00DF5DC9">
            <w:pPr>
              <w:rPr>
                <w:rFonts w:cs="Arial"/>
                <w:szCs w:val="16"/>
              </w:rPr>
            </w:pPr>
            <w:r w:rsidRPr="00F737BA">
              <w:rPr>
                <w:rFonts w:cs="Arial"/>
                <w:szCs w:val="16"/>
              </w:rPr>
              <w:t xml:space="preserve">Response Rate </w:t>
            </w:r>
          </w:p>
        </w:tc>
        <w:tc>
          <w:tcPr>
            <w:tcW w:w="2340" w:type="dxa"/>
            <w:shd w:val="clear" w:color="auto" w:fill="auto"/>
          </w:tcPr>
          <w:p w14:paraId="0FC44028" w14:textId="50784D2F" w:rsidR="00090132" w:rsidRPr="004A62FE" w:rsidRDefault="00090132" w:rsidP="000B4405">
            <w:pPr>
              <w:jc w:val="center"/>
              <w:rPr>
                <w:rFonts w:cs="Arial"/>
                <w:szCs w:val="16"/>
              </w:rPr>
            </w:pPr>
            <w:r w:rsidRPr="004A62FE">
              <w:rPr>
                <w:rFonts w:cs="Arial"/>
                <w:iCs/>
                <w:color w:val="000000" w:themeColor="text1"/>
                <w:szCs w:val="16"/>
              </w:rPr>
              <w:t>31.91%</w:t>
            </w:r>
          </w:p>
        </w:tc>
        <w:tc>
          <w:tcPr>
            <w:tcW w:w="360" w:type="dxa"/>
            <w:shd w:val="clear" w:color="auto" w:fill="auto"/>
          </w:tcPr>
          <w:p w14:paraId="76DE0483" w14:textId="3235EE79" w:rsidR="00090132" w:rsidRPr="004A62FE" w:rsidRDefault="00090132" w:rsidP="000B4405">
            <w:pPr>
              <w:jc w:val="center"/>
              <w:rPr>
                <w:rFonts w:cs="Arial"/>
                <w:szCs w:val="16"/>
              </w:rPr>
            </w:pPr>
            <w:r w:rsidRPr="00090132">
              <w:rPr>
                <w:rFonts w:cs="Arial"/>
                <w:iCs/>
                <w:color w:val="000000" w:themeColor="text1"/>
                <w:szCs w:val="16"/>
              </w:rPr>
              <w:t>25.68%</w:t>
            </w:r>
          </w:p>
        </w:tc>
      </w:tr>
      <w:bookmarkEnd w:id="49"/>
    </w:tbl>
    <w:p w14:paraId="05313584" w14:textId="77777777" w:rsidR="00090132" w:rsidRPr="00F737BA" w:rsidRDefault="00090132" w:rsidP="00090132">
      <w:pPr>
        <w:pStyle w:val="Header"/>
        <w:tabs>
          <w:tab w:val="clear" w:pos="4320"/>
          <w:tab w:val="clear" w:pos="8640"/>
        </w:tabs>
        <w:spacing w:before="0"/>
        <w:rPr>
          <w:rFonts w:ascii="Arial" w:hAnsi="Arial" w:cs="Arial"/>
          <w:bCs/>
          <w:sz w:val="16"/>
          <w:szCs w:val="16"/>
        </w:rPr>
      </w:pPr>
    </w:p>
    <w:p w14:paraId="4BDEC798" w14:textId="77777777" w:rsidR="00090132" w:rsidRPr="0061205F" w:rsidRDefault="00090132" w:rsidP="00090132">
      <w:pPr>
        <w:rPr>
          <w:rFonts w:cs="Arial"/>
          <w:b/>
          <w:color w:val="000000" w:themeColor="text1"/>
          <w:szCs w:val="16"/>
        </w:rPr>
      </w:pPr>
      <w:r w:rsidRPr="0061205F">
        <w:rPr>
          <w:rFonts w:cs="Arial"/>
          <w:b/>
          <w:color w:val="000000" w:themeColor="text1"/>
          <w:szCs w:val="16"/>
        </w:rPr>
        <w:t>Describe strategies that will be implemented which are expected to increase the response rate year over year, particularly for those groups that are underrepresented.</w:t>
      </w:r>
    </w:p>
    <w:p w14:paraId="3C9BE65D" w14:textId="77777777" w:rsidR="00090132" w:rsidRPr="000A2B9F" w:rsidRDefault="00090132" w:rsidP="00090132">
      <w:pPr>
        <w:rPr>
          <w:rFonts w:cs="Arial"/>
          <w:bCs/>
          <w:color w:val="000000" w:themeColor="text1"/>
          <w:szCs w:val="16"/>
        </w:rPr>
      </w:pPr>
      <w:r w:rsidRPr="0061205F">
        <w:rPr>
          <w:rFonts w:cs="Arial"/>
          <w:bCs/>
          <w:color w:val="000000" w:themeColor="text1"/>
          <w:szCs w:val="16"/>
        </w:rPr>
        <w:t>The USBE is taking steps to encourage more responses. To increase access to the survey, the USBE had a third party translate the survey and accompanying introduction letter into Vietnamese, Tongan, Farsi, Arabic, and Somali – the most common languages spoken in the state beyond English and Spanish. One LEA also requested translation of the survey into Marshallese as several parents in the LEA speak Marshallese as a primary language. This was approved and completed. Additionally, this was the third year the survey had a digital option for families who provided an email address and whose primary language was English and/or Spanish. LEA Special Education Directors stated the digital survey provided additional access to families, contributing to an increase in returned surveys in both English and Spanish.</w:t>
      </w:r>
      <w:r w:rsidRPr="0061205F">
        <w:rPr>
          <w:rFonts w:cs="Arial"/>
          <w:bCs/>
          <w:color w:val="000000" w:themeColor="text1"/>
          <w:szCs w:val="16"/>
        </w:rPr>
        <w:br/>
      </w:r>
      <w:r w:rsidRPr="0061205F">
        <w:rPr>
          <w:rFonts w:cs="Arial"/>
          <w:bCs/>
          <w:color w:val="000000" w:themeColor="text1"/>
          <w:szCs w:val="16"/>
        </w:rPr>
        <w:br/>
        <w:t>The mailing of the paper surveys included the following languages and quantities: English (991), Spanish (131), Arabic (4), Farsi (1), Vietnamese (4), and Marshallese (4). The online survey was sent in English (5595) and Spanish (636).</w:t>
      </w:r>
      <w:r w:rsidRPr="0061205F">
        <w:rPr>
          <w:rFonts w:cs="Arial"/>
          <w:bCs/>
          <w:color w:val="000000" w:themeColor="text1"/>
          <w:szCs w:val="16"/>
        </w:rPr>
        <w:br/>
      </w:r>
      <w:r w:rsidRPr="0061205F">
        <w:rPr>
          <w:rFonts w:cs="Arial"/>
          <w:bCs/>
          <w:color w:val="000000" w:themeColor="text1"/>
          <w:szCs w:val="16"/>
        </w:rPr>
        <w:br/>
        <w:t>The USBE works proactively with families, organizations, and LEAs to provide technical assistance and support to ensure parents are involved in their student’s education and LEAs are compliant with parental involvement/engagement as set forth in the IDEA. Parent involvement is a cornerstone of the IDEA and Utah is a state that values and honors parent rights. Parent involvement is a priority area addressed through multiple aspects of the USBE's general supervision obligation.</w:t>
      </w:r>
      <w:r w:rsidRPr="0061205F">
        <w:rPr>
          <w:rFonts w:cs="Arial"/>
          <w:bCs/>
          <w:color w:val="000000" w:themeColor="text1"/>
          <w:szCs w:val="16"/>
        </w:rPr>
        <w:br/>
      </w:r>
      <w:r w:rsidRPr="0061205F">
        <w:rPr>
          <w:rFonts w:cs="Arial"/>
          <w:bCs/>
          <w:color w:val="000000" w:themeColor="text1"/>
          <w:szCs w:val="16"/>
        </w:rPr>
        <w:br/>
        <w:t>The USBE’s monitoring process (UPIPS) has placed an emphasis on parent engagement through student focus groups and focused parent engagement questions in interviews with various educators, administrators, and related service providers. LEAs are provided verbal and written feedback and recommendations for improving parent involvement as part of the monitoring process.</w:t>
      </w:r>
      <w:r w:rsidRPr="0061205F">
        <w:rPr>
          <w:rFonts w:cs="Arial"/>
          <w:bCs/>
          <w:color w:val="000000" w:themeColor="text1"/>
          <w:szCs w:val="16"/>
        </w:rPr>
        <w:br/>
      </w:r>
      <w:r w:rsidRPr="0061205F">
        <w:rPr>
          <w:rFonts w:cs="Arial"/>
          <w:bCs/>
          <w:color w:val="000000" w:themeColor="text1"/>
          <w:szCs w:val="16"/>
        </w:rPr>
        <w:br/>
        <w:t xml:space="preserve">The USBE is working on creating system coherence regarding parent involvement by building this priority area into the program improvement plan (PIP) process. Each LEA is required to develop a PIP on an annual basis. The LEA must conduct </w:t>
      </w:r>
      <w:proofErr w:type="gramStart"/>
      <w:r w:rsidRPr="0061205F">
        <w:rPr>
          <w:rFonts w:cs="Arial"/>
          <w:bCs/>
          <w:color w:val="000000" w:themeColor="text1"/>
          <w:szCs w:val="16"/>
        </w:rPr>
        <w:t>a data</w:t>
      </w:r>
      <w:proofErr w:type="gramEnd"/>
      <w:r w:rsidRPr="0061205F">
        <w:rPr>
          <w:rFonts w:cs="Arial"/>
          <w:bCs/>
          <w:color w:val="000000" w:themeColor="text1"/>
          <w:szCs w:val="16"/>
        </w:rPr>
        <w:t xml:space="preserve"> and root cause analysis around parent involvement to identify areas of strength and areas of need. LEAs are required to develop goals for parent involvement in their plan if they were identified as having high risk for Indicator 8. As the PIP is reviewed and revised each year, the LEA must also report progress on previous year’s goals.</w:t>
      </w:r>
    </w:p>
    <w:p w14:paraId="43E156F3" w14:textId="001639B3" w:rsidR="00090132" w:rsidRDefault="00090132" w:rsidP="00090132">
      <w:pPr>
        <w:rPr>
          <w:rFonts w:cs="Arial"/>
          <w:b/>
          <w:color w:val="000000" w:themeColor="text1"/>
          <w:szCs w:val="16"/>
        </w:rPr>
      </w:pPr>
      <w:r w:rsidRPr="0061205F">
        <w:rPr>
          <w:rFonts w:cs="Arial"/>
          <w:b/>
          <w:color w:val="000000" w:themeColor="text1"/>
          <w:szCs w:val="16"/>
        </w:rPr>
        <w:t xml:space="preserve">Describe the analysis </w:t>
      </w:r>
      <w:bookmarkStart w:id="50" w:name="_Hlk81486999"/>
      <w:r w:rsidRPr="0061205F">
        <w:rPr>
          <w:rFonts w:cs="Arial"/>
          <w:b/>
          <w:color w:val="000000" w:themeColor="text1"/>
          <w:szCs w:val="16"/>
        </w:rPr>
        <w:t>of the response rate including any nonresponse bias that was identified,</w:t>
      </w:r>
      <w:bookmarkEnd w:id="50"/>
      <w:r w:rsidRPr="0061205F">
        <w:rPr>
          <w:rFonts w:cs="Arial"/>
          <w:b/>
          <w:color w:val="000000" w:themeColor="text1"/>
          <w:szCs w:val="16"/>
        </w:rPr>
        <w:t xml:space="preserve"> and the steps taken to reduce any identified bias and promote response from a broad cross section of </w:t>
      </w:r>
      <w:r w:rsidR="009B0EF0" w:rsidRPr="007A62B9">
        <w:rPr>
          <w:rFonts w:cs="Arial"/>
          <w:b/>
          <w:szCs w:val="16"/>
        </w:rPr>
        <w:t>parents of children with disabilities</w:t>
      </w:r>
      <w:r w:rsidRPr="0061205F">
        <w:rPr>
          <w:rFonts w:cs="Arial"/>
          <w:b/>
          <w:color w:val="000000" w:themeColor="text1"/>
          <w:szCs w:val="16"/>
        </w:rPr>
        <w:t>.</w:t>
      </w:r>
    </w:p>
    <w:p w14:paraId="36D187F6" w14:textId="77777777" w:rsidR="00090132" w:rsidRPr="000A2B9F" w:rsidRDefault="00090132" w:rsidP="00090132">
      <w:pPr>
        <w:rPr>
          <w:rFonts w:cs="Arial"/>
          <w:b/>
          <w:color w:val="000000" w:themeColor="text1"/>
          <w:szCs w:val="16"/>
        </w:rPr>
      </w:pPr>
      <w:r>
        <w:rPr>
          <w:rFonts w:cs="Arial"/>
          <w:szCs w:val="16"/>
        </w:rPr>
        <w:t>The USBE used statistical significance testing to determine if one demographic group was over- or under-represented based on their response rate. Although significant differences were found in response rates by race/ethnicity and disability, the actual responses of these different groups of parents showed no significant differences in the overall parent involvement percentage.</w:t>
      </w:r>
      <w:r>
        <w:rPr>
          <w:rFonts w:cs="Arial"/>
          <w:szCs w:val="16"/>
        </w:rPr>
        <w:br/>
      </w:r>
      <w:r>
        <w:rPr>
          <w:rFonts w:cs="Arial"/>
          <w:szCs w:val="16"/>
        </w:rPr>
        <w:br/>
        <w:t xml:space="preserve">The USBE also compared the responses of parents who responded early in the process to those who responded later in the process. The idea being </w:t>
      </w:r>
      <w:r>
        <w:rPr>
          <w:rFonts w:cs="Arial"/>
          <w:szCs w:val="16"/>
        </w:rPr>
        <w:lastRenderedPageBreak/>
        <w:t>that perhaps those who do not immediately respond are different in some meaningful way than those who respond immediately. These results showed no difference between parents who responded earlier and parents who responded later.</w:t>
      </w:r>
      <w:r>
        <w:rPr>
          <w:rFonts w:cs="Arial"/>
          <w:szCs w:val="16"/>
        </w:rPr>
        <w:br/>
      </w:r>
      <w:r>
        <w:rPr>
          <w:rFonts w:cs="Arial"/>
          <w:szCs w:val="16"/>
        </w:rPr>
        <w:br/>
        <w:t>Nonresponse bias is likely not an issue with respect to the variables the USBE examined.</w:t>
      </w:r>
    </w:p>
    <w:p w14:paraId="78A83A27" w14:textId="50D5E24D" w:rsidR="001F448F" w:rsidRDefault="001F448F" w:rsidP="00A12797">
      <w:pPr>
        <w:rPr>
          <w:b/>
          <w:bCs/>
        </w:rPr>
      </w:pPr>
    </w:p>
    <w:p w14:paraId="325464F9" w14:textId="77777777" w:rsidR="000762B0" w:rsidRPr="000762B0" w:rsidRDefault="000762B0" w:rsidP="000762B0">
      <w:pPr>
        <w:rPr>
          <w:b/>
          <w:bCs/>
        </w:rPr>
      </w:pPr>
      <w:r w:rsidRPr="000762B0">
        <w:rPr>
          <w:b/>
          <w:bCs/>
        </w:rPr>
        <w:t xml:space="preserve">Include the State’s analyses of the extent to which the demographics of the parents responding are representative of the demographics of children receiving special education services. </w:t>
      </w:r>
      <w:bookmarkStart w:id="51" w:name="_Hlk112070690"/>
      <w:bookmarkStart w:id="52" w:name="_Hlk92445770"/>
      <w:r w:rsidRPr="000762B0">
        <w:rPr>
          <w:b/>
          <w:bCs/>
        </w:rPr>
        <w:t>States must include race/ethnicity in their analysis. In addition, the State’s analysis must also include at least one of the following demographics: age of the student, disability category, gender, geographic location, and/or another demographic category approved through the stakeholder input process.</w:t>
      </w:r>
    </w:p>
    <w:bookmarkEnd w:id="51"/>
    <w:bookmarkEnd w:id="52"/>
    <w:p w14:paraId="513A1FE6" w14:textId="77777777" w:rsidR="00090132" w:rsidRDefault="00090132" w:rsidP="006F6351">
      <w:pPr>
        <w:rPr>
          <w:b/>
          <w:bCs/>
        </w:rPr>
      </w:pPr>
      <w:r w:rsidRPr="000A2B9F">
        <w:rPr>
          <w:bCs/>
          <w:color w:val="000000" w:themeColor="text1"/>
        </w:rPr>
        <w:t>The USBE used statistical significance testing of response rates to determine if one racial/ethnic group was over-or under-represented. Note that our survey sample was such that if all racial/ethnic groups had the same response rate, this would be representative of the demographics of students receiving special education services. For example, if all racial/ethnic groups had a 30% response rate, the demographics of the responding parents would be representative of the demographics of students receiving special education services. Whereas, if one racial/ethnic group had a 30% response rate and another had a 20% response rate, the demographics of the responding parents would not be representative of students receiving special education services.</w:t>
      </w:r>
      <w:r w:rsidRPr="000A2B9F">
        <w:rPr>
          <w:bCs/>
          <w:color w:val="000000" w:themeColor="text1"/>
        </w:rPr>
        <w:br/>
      </w:r>
      <w:r w:rsidRPr="000A2B9F">
        <w:rPr>
          <w:bCs/>
          <w:color w:val="000000" w:themeColor="text1"/>
        </w:rPr>
        <w:br/>
        <w:t>Response rates by race/ethnicity for FFY 2021:</w:t>
      </w:r>
      <w:r w:rsidRPr="000A2B9F">
        <w:rPr>
          <w:bCs/>
          <w:color w:val="000000" w:themeColor="text1"/>
        </w:rPr>
        <w:br/>
        <w:t xml:space="preserve">• African American/Black: 23% </w:t>
      </w:r>
      <w:r w:rsidRPr="000A2B9F">
        <w:rPr>
          <w:bCs/>
          <w:color w:val="000000" w:themeColor="text1"/>
        </w:rPr>
        <w:br/>
        <w:t>• Asian: 26%</w:t>
      </w:r>
      <w:r w:rsidRPr="000A2B9F">
        <w:rPr>
          <w:bCs/>
          <w:color w:val="000000" w:themeColor="text1"/>
        </w:rPr>
        <w:br/>
        <w:t>• Hispanic: 15%</w:t>
      </w:r>
      <w:r w:rsidRPr="000A2B9F">
        <w:rPr>
          <w:bCs/>
          <w:color w:val="000000" w:themeColor="text1"/>
        </w:rPr>
        <w:br/>
        <w:t>• Multiracial; 31%</w:t>
      </w:r>
      <w:r w:rsidRPr="000A2B9F">
        <w:rPr>
          <w:bCs/>
          <w:color w:val="000000" w:themeColor="text1"/>
        </w:rPr>
        <w:br/>
        <w:t>• Native American: 22%</w:t>
      </w:r>
      <w:r w:rsidRPr="000A2B9F">
        <w:rPr>
          <w:bCs/>
          <w:color w:val="000000" w:themeColor="text1"/>
        </w:rPr>
        <w:br/>
        <w:t>• Pacific Islander: 16%</w:t>
      </w:r>
      <w:r w:rsidRPr="000A2B9F">
        <w:rPr>
          <w:bCs/>
          <w:color w:val="000000" w:themeColor="text1"/>
        </w:rPr>
        <w:br/>
        <w:t>• White: 29%</w:t>
      </w:r>
      <w:r w:rsidRPr="000A2B9F">
        <w:rPr>
          <w:bCs/>
          <w:color w:val="000000" w:themeColor="text1"/>
        </w:rPr>
        <w:br/>
      </w:r>
      <w:r w:rsidRPr="000A2B9F">
        <w:rPr>
          <w:bCs/>
          <w:color w:val="000000" w:themeColor="text1"/>
        </w:rPr>
        <w:br/>
        <w:t>Percent of parents that met the involvement score by race/ethnicity for FFY 2021:</w:t>
      </w:r>
      <w:r w:rsidRPr="000A2B9F">
        <w:rPr>
          <w:bCs/>
          <w:color w:val="000000" w:themeColor="text1"/>
        </w:rPr>
        <w:br/>
        <w:t>• African American/Black: 39%</w:t>
      </w:r>
      <w:r w:rsidRPr="000A2B9F">
        <w:rPr>
          <w:bCs/>
          <w:color w:val="000000" w:themeColor="text1"/>
        </w:rPr>
        <w:br/>
        <w:t>• Asian: 90%</w:t>
      </w:r>
      <w:r w:rsidRPr="000A2B9F">
        <w:rPr>
          <w:bCs/>
          <w:color w:val="000000" w:themeColor="text1"/>
        </w:rPr>
        <w:br/>
        <w:t>• Hispanic: 81%</w:t>
      </w:r>
      <w:r w:rsidRPr="000A2B9F">
        <w:rPr>
          <w:bCs/>
          <w:color w:val="000000" w:themeColor="text1"/>
        </w:rPr>
        <w:br/>
        <w:t>• Multiracial: 79%</w:t>
      </w:r>
      <w:r w:rsidRPr="000A2B9F">
        <w:rPr>
          <w:bCs/>
          <w:color w:val="000000" w:themeColor="text1"/>
        </w:rPr>
        <w:br/>
        <w:t>• Native American: 96%</w:t>
      </w:r>
      <w:r w:rsidRPr="000A2B9F">
        <w:rPr>
          <w:bCs/>
          <w:color w:val="000000" w:themeColor="text1"/>
        </w:rPr>
        <w:br/>
        <w:t>• Pacific Islander: 99%</w:t>
      </w:r>
      <w:r w:rsidRPr="000A2B9F">
        <w:rPr>
          <w:bCs/>
          <w:color w:val="000000" w:themeColor="text1"/>
        </w:rPr>
        <w:br/>
        <w:t>• White: 80%</w:t>
      </w:r>
      <w:r w:rsidRPr="000A2B9F">
        <w:rPr>
          <w:bCs/>
          <w:color w:val="000000" w:themeColor="text1"/>
        </w:rPr>
        <w:br/>
      </w:r>
      <w:r w:rsidRPr="000A2B9F">
        <w:rPr>
          <w:bCs/>
          <w:color w:val="000000" w:themeColor="text1"/>
        </w:rPr>
        <w:br/>
        <w:t>The USBE is continually working to increase efforts to engage responses from parents in the Hispanic and Pacific Islander communities. Additional analysis and investigation into students and parents who are African American/Black will help identify strategies to increase participation from this community as well.</w:t>
      </w:r>
      <w:r w:rsidRPr="000A2B9F">
        <w:rPr>
          <w:bCs/>
          <w:color w:val="000000" w:themeColor="text1"/>
        </w:rPr>
        <w:br/>
      </w:r>
      <w:r w:rsidRPr="000A2B9F">
        <w:rPr>
          <w:bCs/>
          <w:color w:val="000000" w:themeColor="text1"/>
        </w:rPr>
        <w:br/>
        <w:t>Response rates by student disability category for FFY 2021:</w:t>
      </w:r>
      <w:r w:rsidRPr="000A2B9F">
        <w:rPr>
          <w:bCs/>
          <w:color w:val="000000" w:themeColor="text1"/>
        </w:rPr>
        <w:br/>
        <w:t>• Autism: 34%</w:t>
      </w:r>
      <w:r w:rsidRPr="000A2B9F">
        <w:rPr>
          <w:bCs/>
          <w:color w:val="000000" w:themeColor="text1"/>
        </w:rPr>
        <w:br/>
        <w:t>• Emotional Disturbance: 27%</w:t>
      </w:r>
      <w:r w:rsidRPr="000A2B9F">
        <w:rPr>
          <w:bCs/>
          <w:color w:val="000000" w:themeColor="text1"/>
        </w:rPr>
        <w:br/>
        <w:t xml:space="preserve">• </w:t>
      </w:r>
      <w:proofErr w:type="spellStart"/>
      <w:r w:rsidRPr="000A2B9F">
        <w:rPr>
          <w:bCs/>
          <w:color w:val="000000" w:themeColor="text1"/>
        </w:rPr>
        <w:t>Deafblindness</w:t>
      </w:r>
      <w:proofErr w:type="spellEnd"/>
      <w:r w:rsidRPr="000A2B9F">
        <w:rPr>
          <w:bCs/>
          <w:color w:val="000000" w:themeColor="text1"/>
        </w:rPr>
        <w:t>: 20%</w:t>
      </w:r>
      <w:r w:rsidRPr="000A2B9F">
        <w:rPr>
          <w:bCs/>
          <w:color w:val="000000" w:themeColor="text1"/>
        </w:rPr>
        <w:br/>
        <w:t>• Developmental Delay: 24%</w:t>
      </w:r>
      <w:r w:rsidRPr="000A2B9F">
        <w:rPr>
          <w:bCs/>
          <w:color w:val="000000" w:themeColor="text1"/>
        </w:rPr>
        <w:br/>
        <w:t>• Hard of Hearing/Deafness: 26%</w:t>
      </w:r>
      <w:r w:rsidRPr="000A2B9F">
        <w:rPr>
          <w:bCs/>
          <w:color w:val="000000" w:themeColor="text1"/>
        </w:rPr>
        <w:br/>
        <w:t>• Intellectual Disability: 29%</w:t>
      </w:r>
      <w:r w:rsidRPr="000A2B9F">
        <w:rPr>
          <w:bCs/>
          <w:color w:val="000000" w:themeColor="text1"/>
        </w:rPr>
        <w:br/>
        <w:t>• Multiple Disabilities: 28%</w:t>
      </w:r>
      <w:r w:rsidRPr="000A2B9F">
        <w:rPr>
          <w:bCs/>
          <w:color w:val="000000" w:themeColor="text1"/>
        </w:rPr>
        <w:br/>
        <w:t>• Orthopedic Impairment: 31%</w:t>
      </w:r>
      <w:r w:rsidRPr="000A2B9F">
        <w:rPr>
          <w:bCs/>
          <w:color w:val="000000" w:themeColor="text1"/>
        </w:rPr>
        <w:br/>
        <w:t>• Other Health Impairment: 31%</w:t>
      </w:r>
      <w:r w:rsidRPr="000A2B9F">
        <w:rPr>
          <w:bCs/>
          <w:color w:val="000000" w:themeColor="text1"/>
        </w:rPr>
        <w:br/>
        <w:t>• Specific Learning Disabilities: 21%</w:t>
      </w:r>
      <w:r w:rsidRPr="000A2B9F">
        <w:rPr>
          <w:bCs/>
          <w:color w:val="000000" w:themeColor="text1"/>
        </w:rPr>
        <w:br/>
        <w:t>• Speech Language Impairment: 27%</w:t>
      </w:r>
      <w:r w:rsidRPr="000A2B9F">
        <w:rPr>
          <w:bCs/>
          <w:color w:val="000000" w:themeColor="text1"/>
        </w:rPr>
        <w:br/>
        <w:t>• Traumatic Brain Injury: 30%</w:t>
      </w:r>
      <w:r w:rsidRPr="000A2B9F">
        <w:rPr>
          <w:bCs/>
          <w:color w:val="000000" w:themeColor="text1"/>
        </w:rPr>
        <w:br/>
        <w:t>• Visual Impairment (Including Blindness): 22%</w:t>
      </w:r>
      <w:r w:rsidRPr="000A2B9F">
        <w:rPr>
          <w:bCs/>
          <w:color w:val="000000" w:themeColor="text1"/>
        </w:rPr>
        <w:br/>
      </w:r>
      <w:r w:rsidRPr="000A2B9F">
        <w:rPr>
          <w:bCs/>
          <w:color w:val="000000" w:themeColor="text1"/>
        </w:rPr>
        <w:br/>
        <w:t>Percent of parents that met the involvement score by student disability category for FFY 2021:</w:t>
      </w:r>
      <w:r w:rsidRPr="000A2B9F">
        <w:rPr>
          <w:bCs/>
          <w:color w:val="000000" w:themeColor="text1"/>
        </w:rPr>
        <w:br/>
        <w:t>• Autism: 81%</w:t>
      </w:r>
      <w:r w:rsidRPr="000A2B9F">
        <w:rPr>
          <w:bCs/>
          <w:color w:val="000000" w:themeColor="text1"/>
        </w:rPr>
        <w:br/>
        <w:t>• Emotional Disturbance: 89%</w:t>
      </w:r>
      <w:r w:rsidRPr="000A2B9F">
        <w:rPr>
          <w:bCs/>
          <w:color w:val="000000" w:themeColor="text1"/>
        </w:rPr>
        <w:br/>
        <w:t xml:space="preserve">• </w:t>
      </w:r>
      <w:proofErr w:type="spellStart"/>
      <w:r w:rsidRPr="000A2B9F">
        <w:rPr>
          <w:bCs/>
          <w:color w:val="000000" w:themeColor="text1"/>
        </w:rPr>
        <w:t>Deafblindness</w:t>
      </w:r>
      <w:proofErr w:type="spellEnd"/>
      <w:r w:rsidRPr="000A2B9F">
        <w:rPr>
          <w:bCs/>
          <w:color w:val="000000" w:themeColor="text1"/>
        </w:rPr>
        <w:t>: 0%</w:t>
      </w:r>
      <w:r w:rsidRPr="000A2B9F">
        <w:rPr>
          <w:bCs/>
          <w:color w:val="000000" w:themeColor="text1"/>
        </w:rPr>
        <w:br/>
        <w:t>• Developmental Delay: 89%</w:t>
      </w:r>
      <w:r w:rsidRPr="000A2B9F">
        <w:rPr>
          <w:bCs/>
          <w:color w:val="000000" w:themeColor="text1"/>
        </w:rPr>
        <w:br/>
        <w:t>• Hard of Hearing/Deafness: 89%</w:t>
      </w:r>
      <w:r w:rsidRPr="000A2B9F">
        <w:rPr>
          <w:bCs/>
          <w:color w:val="000000" w:themeColor="text1"/>
        </w:rPr>
        <w:br/>
        <w:t>• Intellectual Disability: 81%</w:t>
      </w:r>
      <w:r w:rsidRPr="000A2B9F">
        <w:rPr>
          <w:bCs/>
          <w:color w:val="000000" w:themeColor="text1"/>
        </w:rPr>
        <w:br/>
        <w:t>• Multiple Disabilities: 77%</w:t>
      </w:r>
      <w:r w:rsidRPr="000A2B9F">
        <w:rPr>
          <w:bCs/>
          <w:color w:val="000000" w:themeColor="text1"/>
        </w:rPr>
        <w:br/>
        <w:t>• Orthopedic Impairment: 0%</w:t>
      </w:r>
      <w:r w:rsidRPr="000A2B9F">
        <w:rPr>
          <w:bCs/>
          <w:color w:val="000000" w:themeColor="text1"/>
        </w:rPr>
        <w:br/>
        <w:t>• Other Health Impairment: 69%</w:t>
      </w:r>
      <w:r w:rsidRPr="000A2B9F">
        <w:rPr>
          <w:bCs/>
          <w:color w:val="000000" w:themeColor="text1"/>
        </w:rPr>
        <w:br/>
        <w:t>• Specific Learning Disabilities: 78%</w:t>
      </w:r>
      <w:r w:rsidRPr="000A2B9F">
        <w:rPr>
          <w:bCs/>
          <w:color w:val="000000" w:themeColor="text1"/>
        </w:rPr>
        <w:br/>
        <w:t>• Speech Language Impairment: 83%</w:t>
      </w:r>
      <w:r w:rsidRPr="000A2B9F">
        <w:rPr>
          <w:bCs/>
          <w:color w:val="000000" w:themeColor="text1"/>
        </w:rPr>
        <w:br/>
        <w:t>• Traumatic Brain Injury: 0%</w:t>
      </w:r>
      <w:r w:rsidRPr="000A2B9F">
        <w:rPr>
          <w:bCs/>
          <w:color w:val="000000" w:themeColor="text1"/>
        </w:rPr>
        <w:br/>
        <w:t>• Visual Impairment (Including Blindness): 0%</w:t>
      </w:r>
      <w:r w:rsidRPr="000A2B9F">
        <w:rPr>
          <w:bCs/>
          <w:color w:val="000000" w:themeColor="text1"/>
        </w:rPr>
        <w:br/>
      </w:r>
      <w:r w:rsidRPr="000A2B9F">
        <w:rPr>
          <w:bCs/>
          <w:color w:val="000000" w:themeColor="text1"/>
        </w:rPr>
        <w:br/>
        <w:t>Parents of students with specific learning disabilities show a low response rate and low involvement score. Further steps will be taken to investigate any specific areas to focus efforts to improve response rates and involvement in the process. Consideration for low incident disabilities (</w:t>
      </w:r>
      <w:proofErr w:type="spellStart"/>
      <w:r w:rsidRPr="000A2B9F">
        <w:rPr>
          <w:bCs/>
          <w:color w:val="000000" w:themeColor="text1"/>
        </w:rPr>
        <w:t>e.g</w:t>
      </w:r>
      <w:proofErr w:type="spellEnd"/>
      <w:r w:rsidRPr="000A2B9F">
        <w:rPr>
          <w:bCs/>
          <w:color w:val="000000" w:themeColor="text1"/>
        </w:rPr>
        <w:t xml:space="preserve">, </w:t>
      </w:r>
      <w:proofErr w:type="spellStart"/>
      <w:r w:rsidRPr="000A2B9F">
        <w:rPr>
          <w:bCs/>
          <w:color w:val="000000" w:themeColor="text1"/>
        </w:rPr>
        <w:t>deafblindness</w:t>
      </w:r>
      <w:proofErr w:type="spellEnd"/>
      <w:r w:rsidRPr="000A2B9F">
        <w:rPr>
          <w:bCs/>
          <w:color w:val="000000" w:themeColor="text1"/>
        </w:rPr>
        <w:t>, traumatic brain injury) will also be considered.</w:t>
      </w:r>
      <w:r w:rsidRPr="000A2B9F">
        <w:rPr>
          <w:bCs/>
          <w:color w:val="000000" w:themeColor="text1"/>
        </w:rPr>
        <w:br/>
      </w:r>
      <w:r w:rsidRPr="000A2B9F">
        <w:rPr>
          <w:bCs/>
          <w:color w:val="000000" w:themeColor="text1"/>
        </w:rPr>
        <w:br/>
        <w:t xml:space="preserve">Although there are a few significant differences in response rates between groups of parents by race/ethnicity and disability category, there were no significant differences in the parent involvement percentage between the different groups of parents. For example, parents of White students had a similar parent involvement percentage as parents of Hispanic students and parents of Multiracial students. In addition, parents from a wide range of </w:t>
      </w:r>
      <w:r w:rsidRPr="000A2B9F">
        <w:rPr>
          <w:bCs/>
          <w:color w:val="000000" w:themeColor="text1"/>
        </w:rPr>
        <w:lastRenderedPageBreak/>
        <w:t xml:space="preserve">LEAs across the state responded to the survey. While we are confident the overall results are representative of the State </w:t>
      </w:r>
      <w:proofErr w:type="gramStart"/>
      <w:r w:rsidRPr="000A2B9F">
        <w:rPr>
          <w:bCs/>
          <w:color w:val="000000" w:themeColor="text1"/>
        </w:rPr>
        <w:t>as a whole despite</w:t>
      </w:r>
      <w:proofErr w:type="gramEnd"/>
      <w:r w:rsidRPr="000A2B9F">
        <w:rPr>
          <w:bCs/>
          <w:color w:val="000000" w:themeColor="text1"/>
        </w:rPr>
        <w:t xml:space="preserve"> the differences in response rates, they are not representative of the demographics of students receiving special education services in the State.</w:t>
      </w:r>
    </w:p>
    <w:p w14:paraId="524817D1" w14:textId="77777777" w:rsidR="000762B0" w:rsidRPr="000762B0" w:rsidRDefault="000762B0" w:rsidP="000762B0">
      <w:pPr>
        <w:pStyle w:val="Subhed"/>
        <w:rPr>
          <w:bCs/>
        </w:rPr>
      </w:pPr>
      <w:r w:rsidRPr="000762B0">
        <w:rPr>
          <w:bCs/>
        </w:rPr>
        <w:t>The demographics of the parents responding are representative of the demographics of children receiving special education services. (yes/no)</w:t>
      </w:r>
    </w:p>
    <w:p w14:paraId="547B39F9" w14:textId="77777777" w:rsidR="00090132" w:rsidRPr="000A2B9F" w:rsidRDefault="00090132" w:rsidP="00090132">
      <w:pPr>
        <w:pStyle w:val="Subhed"/>
        <w:rPr>
          <w:b w:val="0"/>
          <w:bCs/>
        </w:rPr>
      </w:pPr>
      <w:r w:rsidRPr="000A2B9F">
        <w:rPr>
          <w:b w:val="0"/>
          <w:bCs/>
          <w:color w:val="000000" w:themeColor="text1"/>
        </w:rPr>
        <w:t>NO</w:t>
      </w:r>
    </w:p>
    <w:p w14:paraId="166BD57C" w14:textId="36346D06" w:rsidR="00090132" w:rsidRPr="00A12797" w:rsidRDefault="000762B0" w:rsidP="00A12797">
      <w:pPr>
        <w:rPr>
          <w:b/>
          <w:bCs/>
        </w:rPr>
      </w:pPr>
      <w:r w:rsidRPr="000762B0">
        <w:rPr>
          <w:b/>
          <w:bCs/>
        </w:rPr>
        <w:t>If no, describe the strategies that the State will use to ensure that in the future the response data are representative of those demographics</w:t>
      </w:r>
    </w:p>
    <w:p w14:paraId="41E9A939" w14:textId="77777777" w:rsidR="00090132" w:rsidRPr="000A2B9F" w:rsidRDefault="00090132" w:rsidP="00090132">
      <w:pPr>
        <w:pStyle w:val="Subhed"/>
        <w:rPr>
          <w:b w:val="0"/>
          <w:bCs/>
        </w:rPr>
      </w:pPr>
      <w:r w:rsidRPr="000A2B9F">
        <w:rPr>
          <w:b w:val="0"/>
          <w:bCs/>
          <w:color w:val="000000" w:themeColor="text1"/>
        </w:rPr>
        <w:t>The strategies the USBE will use to ensure future response data are representative of the demographics of the students receiving special education services are described above in the "Describe strategies that will be implemented which are expected to increase the response rate year over year, particularly for those groups that are underrepresented" field.</w:t>
      </w:r>
    </w:p>
    <w:p w14:paraId="3C0DCBDF" w14:textId="77777777" w:rsidR="00090132" w:rsidRPr="00F737BA" w:rsidRDefault="00090132" w:rsidP="00090132">
      <w:pPr>
        <w:pStyle w:val="Subhed"/>
        <w:rPr>
          <w:b w:val="0"/>
        </w:rPr>
      </w:pPr>
    </w:p>
    <w:p w14:paraId="7852ED85" w14:textId="77777777" w:rsidR="00090132" w:rsidRPr="000B29F8" w:rsidRDefault="00090132" w:rsidP="000B29F8">
      <w:pPr>
        <w:rPr>
          <w:b/>
          <w:bCs/>
        </w:rPr>
      </w:pPr>
      <w:r w:rsidRPr="000B29F8">
        <w:rPr>
          <w:b/>
          <w:bCs/>
        </w:rPr>
        <w:t>Describe the metric used to determine representativeness (e.g., +/- 3% discrepancy in the proportion of responders compared to target group).</w:t>
      </w:r>
    </w:p>
    <w:p w14:paraId="206EFA69" w14:textId="77777777" w:rsidR="00090132" w:rsidRPr="000A2B9F" w:rsidRDefault="00090132" w:rsidP="00090132">
      <w:pPr>
        <w:pStyle w:val="Subhed"/>
        <w:rPr>
          <w:b w:val="0"/>
          <w:bCs/>
        </w:rPr>
      </w:pPr>
      <w:r w:rsidRPr="000A2B9F">
        <w:rPr>
          <w:b w:val="0"/>
          <w:bCs/>
        </w:rPr>
        <w:t>Statistical significance testing of response rates was used to determine representativeness with a threshold of p&lt;0.05.</w:t>
      </w:r>
    </w:p>
    <w:p w14:paraId="68A1CF22" w14:textId="77777777" w:rsidR="00090132" w:rsidRPr="00781112" w:rsidRDefault="00090132" w:rsidP="00AF550B">
      <w:pPr>
        <w:rPr>
          <w:rFonts w:cs="Arial"/>
          <w:iCs/>
          <w:color w:val="000000" w:themeColor="text1"/>
          <w:szCs w:val="16"/>
        </w:rPr>
      </w:pPr>
    </w:p>
    <w:tbl>
      <w:tblPr>
        <w:tblStyle w:val="TableGrid"/>
        <w:tblW w:w="0" w:type="auto"/>
        <w:tblLayout w:type="fixed"/>
        <w:tblLook w:val="04A0" w:firstRow="1" w:lastRow="0" w:firstColumn="1" w:lastColumn="0" w:noHBand="0" w:noVBand="1"/>
        <w:tblCaption w:val="B08SAMPLEUSED"/>
      </w:tblPr>
      <w:tblGrid>
        <w:gridCol w:w="8550"/>
        <w:gridCol w:w="2245"/>
      </w:tblGrid>
      <w:tr w:rsidR="005C29F8" w:rsidRPr="00781112" w14:paraId="4C454EA6" w14:textId="77777777" w:rsidTr="002B4D97">
        <w:trPr>
          <w:tblHeader/>
        </w:trPr>
        <w:tc>
          <w:tcPr>
            <w:tcW w:w="8550" w:type="dxa"/>
            <w:shd w:val="clear" w:color="auto" w:fill="auto"/>
          </w:tcPr>
          <w:p w14:paraId="641A3E2E" w14:textId="371AB589" w:rsidR="00564D95" w:rsidRPr="00781112" w:rsidRDefault="00E91363" w:rsidP="00B6413B">
            <w:pPr>
              <w:rPr>
                <w:rFonts w:cs="Arial"/>
                <w:b/>
                <w:bCs/>
                <w:color w:val="000000" w:themeColor="text1"/>
                <w:szCs w:val="16"/>
              </w:rPr>
            </w:pPr>
            <w:r w:rsidRPr="00781112">
              <w:rPr>
                <w:rFonts w:cs="Arial"/>
                <w:b/>
                <w:bCs/>
                <w:color w:val="000000" w:themeColor="text1"/>
                <w:szCs w:val="16"/>
              </w:rPr>
              <w:t>Sampling Question</w:t>
            </w:r>
          </w:p>
        </w:tc>
        <w:tc>
          <w:tcPr>
            <w:tcW w:w="2245" w:type="dxa"/>
            <w:shd w:val="clear" w:color="auto" w:fill="auto"/>
          </w:tcPr>
          <w:p w14:paraId="5DD050D6" w14:textId="45F46418" w:rsidR="00564D95" w:rsidRPr="00781112" w:rsidRDefault="00564D95"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65780CF1" w14:textId="46D0A53A" w:rsidTr="002B4D97">
        <w:tc>
          <w:tcPr>
            <w:tcW w:w="8550" w:type="dxa"/>
            <w:shd w:val="clear" w:color="auto" w:fill="auto"/>
          </w:tcPr>
          <w:p w14:paraId="43F69327" w14:textId="1229D955" w:rsidR="00564D95" w:rsidRPr="00781112" w:rsidRDefault="00564D95" w:rsidP="00B6413B">
            <w:pPr>
              <w:rPr>
                <w:rFonts w:cs="Arial"/>
                <w:color w:val="000000" w:themeColor="text1"/>
                <w:szCs w:val="16"/>
              </w:rPr>
            </w:pPr>
            <w:r w:rsidRPr="00781112">
              <w:rPr>
                <w:rFonts w:cs="Arial"/>
                <w:color w:val="000000" w:themeColor="text1"/>
                <w:szCs w:val="16"/>
              </w:rPr>
              <w:t xml:space="preserve">Was sampling used? </w:t>
            </w:r>
          </w:p>
        </w:tc>
        <w:tc>
          <w:tcPr>
            <w:tcW w:w="2245" w:type="dxa"/>
            <w:shd w:val="clear" w:color="auto" w:fill="auto"/>
          </w:tcPr>
          <w:p w14:paraId="1BA005BB" w14:textId="4AC8FD0F" w:rsidR="00564D95" w:rsidRPr="00781112" w:rsidRDefault="002B7490" w:rsidP="00A018D4">
            <w:pPr>
              <w:jc w:val="center"/>
              <w:rPr>
                <w:rFonts w:cs="Arial"/>
                <w:color w:val="000000" w:themeColor="text1"/>
                <w:szCs w:val="16"/>
              </w:rPr>
            </w:pPr>
            <w:r w:rsidRPr="00781112">
              <w:rPr>
                <w:rFonts w:cs="Arial"/>
                <w:color w:val="000000" w:themeColor="text1"/>
                <w:szCs w:val="16"/>
              </w:rPr>
              <w:t>YES</w:t>
            </w:r>
          </w:p>
        </w:tc>
      </w:tr>
      <w:tr w:rsidR="005C29F8" w:rsidRPr="00781112" w14:paraId="46B6D7FE" w14:textId="62FEECDE" w:rsidTr="002B4D97">
        <w:tc>
          <w:tcPr>
            <w:tcW w:w="8550" w:type="dxa"/>
            <w:shd w:val="clear" w:color="auto" w:fill="auto"/>
          </w:tcPr>
          <w:p w14:paraId="03CC110D" w14:textId="013D0EF2" w:rsidR="00564D95" w:rsidRPr="00781112" w:rsidRDefault="00EF1C23" w:rsidP="00B6413B">
            <w:pPr>
              <w:rPr>
                <w:rFonts w:cs="Arial"/>
                <w:color w:val="000000" w:themeColor="text1"/>
                <w:szCs w:val="16"/>
              </w:rPr>
            </w:pPr>
            <w:r w:rsidRPr="00781112">
              <w:rPr>
                <w:rFonts w:cs="Arial"/>
                <w:color w:val="000000" w:themeColor="text1"/>
                <w:szCs w:val="16"/>
              </w:rPr>
              <w:t>If yes, has your previously approved sampling plan changed?</w:t>
            </w:r>
          </w:p>
        </w:tc>
        <w:tc>
          <w:tcPr>
            <w:tcW w:w="2245" w:type="dxa"/>
            <w:shd w:val="clear" w:color="auto" w:fill="auto"/>
          </w:tcPr>
          <w:p w14:paraId="152E1EC0" w14:textId="4401EFC8" w:rsidR="00564D95" w:rsidRPr="00781112" w:rsidRDefault="002B7490" w:rsidP="00A018D4">
            <w:pPr>
              <w:jc w:val="center"/>
              <w:rPr>
                <w:rFonts w:cs="Arial"/>
                <w:color w:val="000000" w:themeColor="text1"/>
                <w:szCs w:val="16"/>
              </w:rPr>
            </w:pPr>
            <w:r w:rsidRPr="00781112">
              <w:rPr>
                <w:rFonts w:cs="Arial"/>
                <w:color w:val="000000" w:themeColor="text1"/>
                <w:szCs w:val="16"/>
              </w:rPr>
              <w:t>NO</w:t>
            </w:r>
          </w:p>
        </w:tc>
      </w:tr>
    </w:tbl>
    <w:p w14:paraId="7C7B18C6" w14:textId="2B0391C4" w:rsidR="009B37A2" w:rsidRPr="00781112" w:rsidRDefault="009B37A2" w:rsidP="00B6413B">
      <w:pPr>
        <w:rPr>
          <w:rFonts w:cs="Arial"/>
          <w:b/>
          <w:color w:val="000000" w:themeColor="text1"/>
          <w:szCs w:val="16"/>
        </w:rPr>
      </w:pPr>
      <w:r w:rsidRPr="00781112">
        <w:rPr>
          <w:rFonts w:cs="Arial"/>
          <w:b/>
          <w:color w:val="000000" w:themeColor="text1"/>
          <w:szCs w:val="16"/>
        </w:rPr>
        <w:t>Describe the sampling methodology outlining how the design will yield valid and reliable estimates.</w:t>
      </w:r>
    </w:p>
    <w:p w14:paraId="1972664F" w14:textId="35FA6AAA" w:rsidR="009B37A2" w:rsidRPr="00781112" w:rsidRDefault="002B7490" w:rsidP="00B6413B">
      <w:pPr>
        <w:rPr>
          <w:rFonts w:cs="Arial"/>
          <w:color w:val="000000" w:themeColor="text1"/>
          <w:szCs w:val="16"/>
        </w:rPr>
      </w:pPr>
      <w:r w:rsidRPr="00781112">
        <w:rPr>
          <w:rFonts w:cs="Arial"/>
          <w:color w:val="000000" w:themeColor="text1"/>
          <w:szCs w:val="16"/>
        </w:rPr>
        <w:t>All LEAs are divided into two rotating cohorts for receiving the parent survey on a biennial basis. The four largest LEAs in the state are included in both cohorts and receive the survey every year. LEAs were stratified by student enrollment, geographical region of the state, race/ethnicity demographics, and socioeconomic level. LEAs across the stratified categories were then randomly assigned to one of the two cohorts. Each of the two cohorts includes large, medium, and small LEAs.</w:t>
      </w:r>
      <w:r w:rsidRPr="00781112">
        <w:rPr>
          <w:rFonts w:cs="Arial"/>
          <w:color w:val="000000" w:themeColor="text1"/>
          <w:szCs w:val="16"/>
        </w:rPr>
        <w:br/>
      </w:r>
      <w:r w:rsidRPr="00781112">
        <w:rPr>
          <w:rFonts w:cs="Arial"/>
          <w:color w:val="000000" w:themeColor="text1"/>
          <w:szCs w:val="16"/>
        </w:rPr>
        <w:br/>
        <w:t>For each LEA, a stratified, representative group of parents is selected to receive the parent survey. The number of parents chosen is dependent on the number of students with disabilities in the LEA. The sample sizes selected ensure roughly similar margins of error across the different LEA sizes.</w:t>
      </w:r>
      <w:r w:rsidRPr="00781112">
        <w:rPr>
          <w:rFonts w:cs="Arial"/>
          <w:color w:val="000000" w:themeColor="text1"/>
          <w:szCs w:val="16"/>
        </w:rPr>
        <w:br/>
      </w:r>
      <w:r w:rsidRPr="00781112">
        <w:rPr>
          <w:rFonts w:cs="Arial"/>
          <w:color w:val="000000" w:themeColor="text1"/>
          <w:szCs w:val="16"/>
        </w:rPr>
        <w:br/>
        <w:t>For those LEAs that have more than 100 students, a sample of parents was chosen to receive the survey. The population was stratified by grade, race/ethnicity, primary disability, and gender to ensure representativeness of the resulting sample. When calculating state-level results, responses were weighted by the student population size (e.g., an LEA that had four times as many students with disabilities as another LEA received four times the weight in computing overall state results). The number of respondents who reported the school facilitated parent involvement and the total number of respondents are not whole numbers because weighting data often results in fractional weights.</w:t>
      </w:r>
      <w:r w:rsidRPr="00781112">
        <w:rPr>
          <w:rFonts w:cs="Arial"/>
          <w:color w:val="000000" w:themeColor="text1"/>
          <w:szCs w:val="16"/>
        </w:rPr>
        <w:br/>
      </w:r>
      <w:r w:rsidRPr="00781112">
        <w:rPr>
          <w:rFonts w:cs="Arial"/>
          <w:color w:val="000000" w:themeColor="text1"/>
          <w:szCs w:val="16"/>
        </w:rPr>
        <w:br/>
        <w:t>The parent survey is based on a Likert scale from “strongly agree” to “strongly disagree.” The maximum rating is 100% when a parent responds “strongly agree" on all questions. A 67% rating is when a parent responds “agree” on all questions, a 33% rating is when a parent responds “disagree” on all questions, and a 0% rating is when a parent responds “strongly disagree" on all questions. If a parent survey rating is 67% or higher, the survey has met the minimum threshold for Indicator 8. If a parent responds “strongly disagree” on any item, the survey has not met the indicator requirements.</w:t>
      </w:r>
      <w:r w:rsidRPr="00781112">
        <w:rPr>
          <w:rFonts w:cs="Arial"/>
          <w:color w:val="000000" w:themeColor="text1"/>
          <w:szCs w:val="16"/>
        </w:rPr>
        <w:br/>
      </w:r>
      <w:r w:rsidRPr="00781112">
        <w:rPr>
          <w:rFonts w:cs="Arial"/>
          <w:color w:val="000000" w:themeColor="text1"/>
          <w:szCs w:val="16"/>
        </w:rPr>
        <w:br/>
        <w:t>The USBE mails or emails a survey introduction letter, a survey, and a business reply envelope (for parents to submit completed mailed surveys) to every parent on the LEA’s determined sample list. Surveys are expected to be returned within one month. Any parents who have not returned the surveys within the first month are provided bi-weekly reminders and are offered additional options for responding to the survey until the LEA reaches the desired response rate of at least 20% or until the survey closes.</w:t>
      </w:r>
      <w:r w:rsidRPr="00781112">
        <w:rPr>
          <w:rFonts w:cs="Arial"/>
          <w:color w:val="000000" w:themeColor="text1"/>
          <w:szCs w:val="16"/>
        </w:rPr>
        <w:br/>
      </w:r>
      <w:r w:rsidRPr="00781112">
        <w:rPr>
          <w:rFonts w:cs="Arial"/>
          <w:color w:val="000000" w:themeColor="text1"/>
          <w:szCs w:val="16"/>
        </w:rPr>
        <w:br/>
        <w:t>The USBE made the survey available in a digital format for the third time this year. The digital version of the survey was sent out to all parents who provided their email addresses and whose primary language was Spanish and/or English. Digital surveys were completed through Qualtrics which produced a spreadsheet of parent answers.</w:t>
      </w:r>
      <w:r w:rsidRPr="00781112">
        <w:rPr>
          <w:rFonts w:cs="Arial"/>
          <w:color w:val="000000" w:themeColor="text1"/>
          <w:szCs w:val="16"/>
        </w:rPr>
        <w:br/>
      </w:r>
      <w:r w:rsidRPr="00781112">
        <w:rPr>
          <w:rFonts w:cs="Arial"/>
          <w:color w:val="000000" w:themeColor="text1"/>
          <w:szCs w:val="16"/>
        </w:rPr>
        <w:br/>
        <w:t>When the paper and pen survey is completed, it is scanned and processed with an Optical Mark Reader (OMR) software program. The software program helps eliminate human error during the scoring process. The program produces a spreadsheet of the parent answers. The OMR and Qualtrics survey data are merged into one spreadsheet which is securely provided to the USBE’s statistician who produces the state report.</w:t>
      </w:r>
    </w:p>
    <w:p w14:paraId="12C8B638" w14:textId="77777777" w:rsidR="00AF550B" w:rsidRPr="00781112" w:rsidRDefault="00AF550B" w:rsidP="00AF550B">
      <w:pPr>
        <w:rPr>
          <w:rFonts w:cs="Arial"/>
          <w:color w:val="000000" w:themeColor="text1"/>
          <w:szCs w:val="16"/>
        </w:rPr>
      </w:pPr>
    </w:p>
    <w:tbl>
      <w:tblPr>
        <w:tblStyle w:val="TableGrid"/>
        <w:tblW w:w="10800" w:type="dxa"/>
        <w:tblLayout w:type="fixed"/>
        <w:tblLook w:val="04A0" w:firstRow="1" w:lastRow="0" w:firstColumn="1" w:lastColumn="0" w:noHBand="0" w:noVBand="1"/>
        <w:tblCaption w:val="B08SURVEYUSED"/>
      </w:tblPr>
      <w:tblGrid>
        <w:gridCol w:w="8550"/>
        <w:gridCol w:w="2250"/>
      </w:tblGrid>
      <w:tr w:rsidR="005C29F8" w:rsidRPr="00781112" w14:paraId="5A4C524D" w14:textId="77777777" w:rsidTr="0033429D">
        <w:trPr>
          <w:tblHeader/>
        </w:trPr>
        <w:tc>
          <w:tcPr>
            <w:tcW w:w="8550" w:type="dxa"/>
          </w:tcPr>
          <w:p w14:paraId="3B302184" w14:textId="3C2CBF4D" w:rsidR="00B5350E" w:rsidRPr="00781112" w:rsidRDefault="00BC5CA0" w:rsidP="00B6413B">
            <w:pPr>
              <w:rPr>
                <w:rFonts w:cs="Arial"/>
                <w:b/>
                <w:bCs/>
                <w:color w:val="000000" w:themeColor="text1"/>
                <w:szCs w:val="16"/>
              </w:rPr>
            </w:pPr>
            <w:r w:rsidRPr="00781112">
              <w:rPr>
                <w:rFonts w:cs="Arial"/>
                <w:b/>
                <w:bCs/>
                <w:color w:val="000000" w:themeColor="text1"/>
                <w:szCs w:val="16"/>
              </w:rPr>
              <w:t>Survey Question</w:t>
            </w:r>
          </w:p>
        </w:tc>
        <w:tc>
          <w:tcPr>
            <w:tcW w:w="2250" w:type="dxa"/>
          </w:tcPr>
          <w:p w14:paraId="4082973A" w14:textId="148FA82D" w:rsidR="00B5350E" w:rsidRPr="00781112" w:rsidRDefault="00B5350E"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2BBB7A7B" w14:textId="530EE0A4" w:rsidTr="00E0321D">
        <w:tc>
          <w:tcPr>
            <w:tcW w:w="8550" w:type="dxa"/>
          </w:tcPr>
          <w:p w14:paraId="1C595FC3" w14:textId="00C59640" w:rsidR="00B5350E" w:rsidRPr="00781112" w:rsidRDefault="00B5350E" w:rsidP="00B6413B">
            <w:pPr>
              <w:rPr>
                <w:rFonts w:cs="Arial"/>
                <w:color w:val="000000" w:themeColor="text1"/>
                <w:szCs w:val="16"/>
              </w:rPr>
            </w:pPr>
            <w:r w:rsidRPr="00781112">
              <w:rPr>
                <w:rFonts w:cs="Arial"/>
                <w:color w:val="000000" w:themeColor="text1"/>
                <w:szCs w:val="16"/>
              </w:rPr>
              <w:t xml:space="preserve">Was a survey used? </w:t>
            </w:r>
          </w:p>
        </w:tc>
        <w:tc>
          <w:tcPr>
            <w:tcW w:w="2250" w:type="dxa"/>
          </w:tcPr>
          <w:p w14:paraId="694FDC95" w14:textId="251E84C1" w:rsidR="00B5350E" w:rsidRPr="00781112" w:rsidRDefault="002B7490" w:rsidP="00A018D4">
            <w:pPr>
              <w:jc w:val="center"/>
              <w:rPr>
                <w:rFonts w:cs="Arial"/>
                <w:color w:val="000000" w:themeColor="text1"/>
                <w:szCs w:val="16"/>
              </w:rPr>
            </w:pPr>
            <w:r w:rsidRPr="00781112">
              <w:rPr>
                <w:rFonts w:cs="Arial"/>
                <w:color w:val="000000" w:themeColor="text1"/>
                <w:szCs w:val="16"/>
              </w:rPr>
              <w:t>YES</w:t>
            </w:r>
          </w:p>
        </w:tc>
      </w:tr>
      <w:tr w:rsidR="005C29F8" w:rsidRPr="00781112" w14:paraId="1198B60F" w14:textId="5AD58247" w:rsidTr="00E0321D">
        <w:tc>
          <w:tcPr>
            <w:tcW w:w="8550" w:type="dxa"/>
          </w:tcPr>
          <w:p w14:paraId="7B6CA23B" w14:textId="49CC8BE9" w:rsidR="00B5350E" w:rsidRPr="00781112" w:rsidRDefault="0020552B" w:rsidP="00B6413B">
            <w:pPr>
              <w:rPr>
                <w:rFonts w:cs="Arial"/>
                <w:color w:val="000000" w:themeColor="text1"/>
                <w:szCs w:val="16"/>
              </w:rPr>
            </w:pPr>
            <w:r w:rsidRPr="00781112">
              <w:rPr>
                <w:rFonts w:cs="Arial"/>
                <w:color w:val="000000" w:themeColor="text1"/>
                <w:szCs w:val="16"/>
              </w:rPr>
              <w:t>If yes, is it a new or revised survey?</w:t>
            </w:r>
          </w:p>
        </w:tc>
        <w:tc>
          <w:tcPr>
            <w:tcW w:w="2250" w:type="dxa"/>
          </w:tcPr>
          <w:p w14:paraId="7CA6C425" w14:textId="5334C716" w:rsidR="00B5350E" w:rsidRPr="00781112" w:rsidRDefault="002B7490" w:rsidP="00A018D4">
            <w:pPr>
              <w:jc w:val="center"/>
              <w:rPr>
                <w:rFonts w:cs="Arial"/>
                <w:color w:val="000000" w:themeColor="text1"/>
                <w:szCs w:val="16"/>
              </w:rPr>
            </w:pPr>
            <w:r w:rsidRPr="00781112">
              <w:rPr>
                <w:rFonts w:cs="Arial"/>
                <w:color w:val="000000" w:themeColor="text1"/>
                <w:szCs w:val="16"/>
              </w:rPr>
              <w:t>NO</w:t>
            </w:r>
          </w:p>
        </w:tc>
      </w:tr>
      <w:tr w:rsidR="005C29F8" w:rsidRPr="00781112" w14:paraId="20B301BF" w14:textId="77777777" w:rsidTr="00E0321D">
        <w:tc>
          <w:tcPr>
            <w:tcW w:w="8550" w:type="dxa"/>
          </w:tcPr>
          <w:p w14:paraId="5941AFA2" w14:textId="5CB4672E" w:rsidR="00371D57" w:rsidRPr="00781112" w:rsidRDefault="00BB56EB" w:rsidP="00B6413B">
            <w:pPr>
              <w:rPr>
                <w:rFonts w:cs="Arial"/>
                <w:color w:val="000000" w:themeColor="text1"/>
                <w:szCs w:val="16"/>
              </w:rPr>
            </w:pPr>
            <w:r w:rsidRPr="00781112">
              <w:rPr>
                <w:rFonts w:cs="Arial"/>
                <w:color w:val="000000" w:themeColor="text1"/>
                <w:szCs w:val="16"/>
              </w:rPr>
              <w:t>If yes, provide a copy of the survey.</w:t>
            </w:r>
          </w:p>
        </w:tc>
        <w:tc>
          <w:tcPr>
            <w:tcW w:w="2250" w:type="dxa"/>
          </w:tcPr>
          <w:p w14:paraId="47FBC4A0" w14:textId="3B42F246" w:rsidR="00371D57" w:rsidRPr="00781112" w:rsidRDefault="00371D57" w:rsidP="00A018D4">
            <w:pPr>
              <w:jc w:val="center"/>
              <w:rPr>
                <w:rFonts w:cs="Arial"/>
                <w:color w:val="000000" w:themeColor="text1"/>
                <w:szCs w:val="16"/>
              </w:rPr>
            </w:pPr>
          </w:p>
        </w:tc>
      </w:tr>
    </w:tbl>
    <w:p w14:paraId="15C9B2F7" w14:textId="77777777" w:rsidR="00991685" w:rsidRDefault="00991685" w:rsidP="00221EC9">
      <w:pPr>
        <w:rPr>
          <w:rFonts w:cs="Arial"/>
          <w:b/>
          <w:color w:val="000000" w:themeColor="text1"/>
          <w:szCs w:val="16"/>
        </w:rPr>
      </w:pPr>
    </w:p>
    <w:p w14:paraId="1A0A4F5E" w14:textId="49FD4EED" w:rsidR="00221EC9" w:rsidRPr="00781112" w:rsidRDefault="00221EC9" w:rsidP="00221EC9">
      <w:pPr>
        <w:rPr>
          <w:rFonts w:cs="Arial"/>
          <w:b/>
          <w:color w:val="000000" w:themeColor="text1"/>
          <w:szCs w:val="16"/>
        </w:rPr>
      </w:pPr>
      <w:r w:rsidRPr="00781112">
        <w:rPr>
          <w:rFonts w:cs="Arial"/>
          <w:b/>
          <w:color w:val="000000" w:themeColor="text1"/>
          <w:szCs w:val="16"/>
        </w:rPr>
        <w:t>Provide additional information about this indicator (optional)</w:t>
      </w:r>
    </w:p>
    <w:p w14:paraId="7F22D6A0" w14:textId="105FEEC5" w:rsidR="009B37A2" w:rsidRPr="00781112" w:rsidRDefault="009B37A2" w:rsidP="007D435F">
      <w:pPr>
        <w:rPr>
          <w:rFonts w:cs="Arial"/>
          <w:color w:val="000000" w:themeColor="text1"/>
          <w:szCs w:val="16"/>
        </w:rPr>
      </w:pPr>
    </w:p>
    <w:p w14:paraId="1CDDE440" w14:textId="050C9555" w:rsidR="000A2C83" w:rsidRPr="00781112" w:rsidRDefault="00752BAF" w:rsidP="008645AD">
      <w:pPr>
        <w:pStyle w:val="Heading2"/>
      </w:pPr>
      <w:r w:rsidRPr="00781112">
        <w:t>8</w:t>
      </w:r>
      <w:r w:rsidR="001F6BAA" w:rsidRPr="00781112">
        <w:t xml:space="preserve"> </w:t>
      </w:r>
      <w:r w:rsidRPr="00781112">
        <w:t xml:space="preserve">- </w:t>
      </w:r>
      <w:r w:rsidR="000A2C83" w:rsidRPr="00781112">
        <w:t>Prior FFY Required Actions</w:t>
      </w:r>
    </w:p>
    <w:p w14:paraId="078A2B9E" w14:textId="64337A5A" w:rsidR="000A2C83" w:rsidRPr="00781112" w:rsidRDefault="002B7490" w:rsidP="000A2C83">
      <w:pPr>
        <w:rPr>
          <w:rFonts w:cs="Arial"/>
          <w:color w:val="000000" w:themeColor="text1"/>
          <w:szCs w:val="16"/>
        </w:rPr>
      </w:pPr>
      <w:r w:rsidRPr="00781112">
        <w:rPr>
          <w:rFonts w:cs="Arial"/>
          <w:color w:val="000000" w:themeColor="text1"/>
          <w:szCs w:val="16"/>
        </w:rPr>
        <w:t xml:space="preserve">In the FFY 2021 SPP/APR, the State must report whether its FFY 2021 data are from a response group that is representative of the demographics of children receiving special education services, and, if not, the actions the State is taking to address this issue. The State must also include its analysis of the extent to which the demographics of the parents responding are representative of the demographics of children receiving special education services. </w:t>
      </w:r>
    </w:p>
    <w:p w14:paraId="5AB800FF" w14:textId="58A809DB" w:rsidR="000A2C83" w:rsidRPr="00781112" w:rsidRDefault="007639D7" w:rsidP="004369B2">
      <w:pPr>
        <w:rPr>
          <w:b/>
          <w:color w:val="000000" w:themeColor="text1"/>
        </w:rPr>
      </w:pPr>
      <w:r>
        <w:rPr>
          <w:b/>
          <w:color w:val="000000" w:themeColor="text1"/>
        </w:rPr>
        <w:t>Response to actions required in FFY 2020 SPP/APR</w:t>
      </w:r>
    </w:p>
    <w:p w14:paraId="03E9CB46" w14:textId="594F3FDD" w:rsidR="007757B1" w:rsidRPr="00781112" w:rsidRDefault="002B7490" w:rsidP="007757B1">
      <w:pPr>
        <w:rPr>
          <w:rFonts w:cs="Arial"/>
          <w:color w:val="000000" w:themeColor="text1"/>
          <w:szCs w:val="16"/>
        </w:rPr>
      </w:pPr>
      <w:r w:rsidRPr="00781112">
        <w:rPr>
          <w:rFonts w:cs="Arial"/>
          <w:color w:val="000000" w:themeColor="text1"/>
          <w:szCs w:val="16"/>
        </w:rPr>
        <w:t>OSEP required the following action in the FFY 2020 SPP/APR:</w:t>
      </w:r>
      <w:r w:rsidRPr="00781112">
        <w:rPr>
          <w:rFonts w:cs="Arial"/>
          <w:color w:val="000000" w:themeColor="text1"/>
          <w:szCs w:val="16"/>
        </w:rPr>
        <w:br/>
      </w:r>
      <w:r w:rsidRPr="00781112">
        <w:rPr>
          <w:rFonts w:cs="Arial"/>
          <w:color w:val="000000" w:themeColor="text1"/>
          <w:szCs w:val="16"/>
        </w:rPr>
        <w:br/>
        <w:t xml:space="preserve">“In the FFY 2021 SPP/APR, the State must report whether its FFY 2021 data are from a response group that is representative of the demographics of </w:t>
      </w:r>
      <w:r w:rsidRPr="00781112">
        <w:rPr>
          <w:rFonts w:cs="Arial"/>
          <w:color w:val="000000" w:themeColor="text1"/>
          <w:szCs w:val="16"/>
        </w:rPr>
        <w:lastRenderedPageBreak/>
        <w:t xml:space="preserve">children receiving special education services, and, if not, the actions the State is taking to address this issue. The State must also include its analysis of the extent to which the demographics of the parents responding are representative of the demographics of children receiving special education services.” </w:t>
      </w:r>
      <w:r w:rsidRPr="00781112">
        <w:rPr>
          <w:rFonts w:cs="Arial"/>
          <w:color w:val="000000" w:themeColor="text1"/>
          <w:szCs w:val="16"/>
        </w:rPr>
        <w:br/>
      </w:r>
      <w:r w:rsidRPr="00781112">
        <w:rPr>
          <w:rFonts w:cs="Arial"/>
          <w:color w:val="000000" w:themeColor="text1"/>
          <w:szCs w:val="16"/>
        </w:rPr>
        <w:br/>
        <w:t xml:space="preserve">The USBE responded to this requirement in the sections above, including: </w:t>
      </w:r>
      <w:r w:rsidRPr="00781112">
        <w:rPr>
          <w:rFonts w:cs="Arial"/>
          <w:color w:val="000000" w:themeColor="text1"/>
          <w:szCs w:val="16"/>
        </w:rPr>
        <w:br/>
        <w:t xml:space="preserve">• Describe strategies that will be implemented which are expected to increase the response rate year over year, particularly for those groups that are underrepresented. </w:t>
      </w:r>
      <w:r w:rsidRPr="00781112">
        <w:rPr>
          <w:rFonts w:cs="Arial"/>
          <w:color w:val="000000" w:themeColor="text1"/>
          <w:szCs w:val="16"/>
        </w:rPr>
        <w:br/>
        <w:t xml:space="preserve">• Describe the analysis of the response rate including any nonresponse bias that was identified, and the steps taken to reduce any identified bias and promote response from a broad cross section of parents of children with disabilities. </w:t>
      </w:r>
      <w:r w:rsidRPr="00781112">
        <w:rPr>
          <w:rFonts w:cs="Arial"/>
          <w:color w:val="000000" w:themeColor="text1"/>
          <w:szCs w:val="16"/>
        </w:rPr>
        <w:br/>
        <w:t xml:space="preserve">• Include the State’s analyses of the extent to which the demographics of the parents responding are representative of the demographics of children receiving special education services. States must include race/ethnicity in their analysis. In addition, the State’s analysis must also include at least one of the following demographics: age of the student, disability category, gender, geographic location, and/or another demographic category approved through the stakeholder input process. </w:t>
      </w:r>
      <w:r w:rsidRPr="00781112">
        <w:rPr>
          <w:rFonts w:cs="Arial"/>
          <w:color w:val="000000" w:themeColor="text1"/>
          <w:szCs w:val="16"/>
        </w:rPr>
        <w:br/>
      </w:r>
      <w:r w:rsidRPr="00781112">
        <w:rPr>
          <w:rFonts w:cs="Arial"/>
          <w:color w:val="000000" w:themeColor="text1"/>
          <w:szCs w:val="16"/>
        </w:rPr>
        <w:br/>
        <w:t>If additional or more specific information is needed, please request it during the clarification period.</w:t>
      </w:r>
    </w:p>
    <w:p w14:paraId="5B521A52" w14:textId="17857299" w:rsidR="00221EC9" w:rsidRPr="00781112" w:rsidRDefault="00752BAF" w:rsidP="008645AD">
      <w:pPr>
        <w:pStyle w:val="Heading2"/>
      </w:pPr>
      <w:r w:rsidRPr="00781112">
        <w:t>8 - OSEP Response</w:t>
      </w:r>
    </w:p>
    <w:p w14:paraId="1A55D397" w14:textId="0DDAC080" w:rsidR="009B37A2" w:rsidRPr="00781112" w:rsidRDefault="002B7490" w:rsidP="001F692C">
      <w:pPr>
        <w:rPr>
          <w:rFonts w:cs="Arial"/>
          <w:color w:val="000000" w:themeColor="text1"/>
          <w:szCs w:val="16"/>
        </w:rPr>
      </w:pPr>
      <w:r w:rsidRPr="00781112">
        <w:rPr>
          <w:rFonts w:cs="Arial"/>
          <w:color w:val="000000" w:themeColor="text1"/>
          <w:szCs w:val="16"/>
        </w:rPr>
        <w:t>OSEP’s response to the State’s initial FFY 2021 SPP/APR submission required the State to incorporate additional information into its sampling plan and submit the revised sampling plan with its FFY 2021 SPP/APR. The State has incorporated the information into a revised plan and OSEP’s evaluation of the plan indicates that it is approvable.</w:t>
      </w:r>
    </w:p>
    <w:p w14:paraId="13389642" w14:textId="758A1D0A" w:rsidR="00221EC9" w:rsidRPr="00781112" w:rsidRDefault="00752BAF" w:rsidP="008645AD">
      <w:pPr>
        <w:pStyle w:val="Heading2"/>
      </w:pPr>
      <w:r w:rsidRPr="00781112">
        <w:t>8 - Required Actions</w:t>
      </w:r>
    </w:p>
    <w:p w14:paraId="48F68B87" w14:textId="7D160B08" w:rsidR="009B37A2" w:rsidRPr="00781112" w:rsidRDefault="002B7490" w:rsidP="001F692C">
      <w:pPr>
        <w:rPr>
          <w:rFonts w:cs="Arial"/>
          <w:color w:val="000000" w:themeColor="text1"/>
          <w:szCs w:val="16"/>
        </w:rPr>
      </w:pPr>
      <w:r w:rsidRPr="00781112">
        <w:rPr>
          <w:rFonts w:cs="Arial"/>
          <w:color w:val="000000" w:themeColor="text1"/>
          <w:szCs w:val="16"/>
        </w:rPr>
        <w:t xml:space="preserve">In the FFY 2022 SPP/APR, the State must report whether the FFY 2022 data are from a response group that is representative of the demographics of children receiving special education services, and, if not, the actions the State is taking to address this issue. The State must also include its analysis of the extent to which the demographics of the parents responding are representative of the demographics of children receiving special education services. </w:t>
      </w:r>
    </w:p>
    <w:p w14:paraId="6D95E736"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0E39FDA6" w14:textId="025763A2" w:rsidR="00D03701" w:rsidRPr="00781112" w:rsidRDefault="00D03701" w:rsidP="000444E2">
      <w:pPr>
        <w:pStyle w:val="Heading1"/>
        <w:rPr>
          <w:color w:val="000000" w:themeColor="text1"/>
          <w:sz w:val="22"/>
        </w:rPr>
      </w:pPr>
      <w:r w:rsidRPr="00781112">
        <w:rPr>
          <w:color w:val="000000" w:themeColor="text1"/>
          <w:sz w:val="22"/>
        </w:rPr>
        <w:lastRenderedPageBreak/>
        <w:t>Indicator 9: Disproportionate Representation</w:t>
      </w:r>
    </w:p>
    <w:p w14:paraId="30C4375D" w14:textId="77777777" w:rsidR="00AF5AFB" w:rsidRPr="00781112" w:rsidRDefault="00AF5AFB" w:rsidP="00A018D4">
      <w:pPr>
        <w:rPr>
          <w:color w:val="000000" w:themeColor="text1"/>
          <w:szCs w:val="20"/>
        </w:rPr>
      </w:pPr>
      <w:bookmarkStart w:id="53" w:name="_Toc384383343"/>
      <w:bookmarkStart w:id="54" w:name="_Toc392159311"/>
      <w:r w:rsidRPr="00781112">
        <w:rPr>
          <w:b/>
          <w:color w:val="000000" w:themeColor="text1"/>
          <w:sz w:val="20"/>
          <w:szCs w:val="20"/>
        </w:rPr>
        <w:t>Instructions and Measurement</w:t>
      </w:r>
    </w:p>
    <w:p w14:paraId="61C479DB" w14:textId="1E252334" w:rsidR="00CC634E" w:rsidRPr="00781112" w:rsidRDefault="00CC634E" w:rsidP="006357C5">
      <w:pPr>
        <w:rPr>
          <w:rFonts w:cs="Arial"/>
          <w:b/>
          <w:color w:val="000000" w:themeColor="text1"/>
          <w:szCs w:val="16"/>
        </w:rPr>
      </w:pPr>
      <w:r w:rsidRPr="00781112">
        <w:rPr>
          <w:rFonts w:cs="Arial"/>
          <w:b/>
          <w:color w:val="000000" w:themeColor="text1"/>
          <w:szCs w:val="16"/>
        </w:rPr>
        <w:t xml:space="preserve">Monitoring Priority: </w:t>
      </w:r>
      <w:r w:rsidRPr="00781112">
        <w:rPr>
          <w:rFonts w:cs="Arial"/>
          <w:color w:val="000000" w:themeColor="text1"/>
          <w:szCs w:val="16"/>
        </w:rPr>
        <w:t>Disproportionality</w:t>
      </w:r>
    </w:p>
    <w:p w14:paraId="2539829F" w14:textId="77777777" w:rsidR="00876394" w:rsidRPr="00781112" w:rsidRDefault="00CC634E" w:rsidP="006357C5">
      <w:pPr>
        <w:rPr>
          <w:rFonts w:cs="Arial"/>
          <w:color w:val="000000" w:themeColor="text1"/>
          <w:szCs w:val="16"/>
        </w:rPr>
      </w:pPr>
      <w:r w:rsidRPr="00781112">
        <w:rPr>
          <w:rFonts w:cs="Arial"/>
          <w:b/>
          <w:color w:val="000000" w:themeColor="text1"/>
          <w:szCs w:val="16"/>
        </w:rPr>
        <w:t>Compliance indicator</w:t>
      </w:r>
      <w:r w:rsidRPr="00781112">
        <w:rPr>
          <w:rFonts w:cs="Arial"/>
          <w:color w:val="000000" w:themeColor="text1"/>
          <w:szCs w:val="16"/>
        </w:rPr>
        <w:t xml:space="preserve">: Percent of districts with disproportionate representation of racial and ethnic groups in special education and related </w:t>
      </w:r>
      <w:proofErr w:type="gramStart"/>
      <w:r w:rsidRPr="00781112">
        <w:rPr>
          <w:rFonts w:cs="Arial"/>
          <w:color w:val="000000" w:themeColor="text1"/>
          <w:szCs w:val="16"/>
        </w:rPr>
        <w:t>services that</w:t>
      </w:r>
      <w:proofErr w:type="gramEnd"/>
      <w:r w:rsidRPr="00781112">
        <w:rPr>
          <w:rFonts w:cs="Arial"/>
          <w:color w:val="000000" w:themeColor="text1"/>
          <w:szCs w:val="16"/>
        </w:rPr>
        <w:t xml:space="preserve"> is the result of inappropriate identification. </w:t>
      </w:r>
    </w:p>
    <w:p w14:paraId="4983BB5F" w14:textId="28C83F84" w:rsidR="00CC634E" w:rsidRPr="00781112" w:rsidRDefault="00CC634E" w:rsidP="006357C5">
      <w:pPr>
        <w:rPr>
          <w:rFonts w:cs="Arial"/>
          <w:color w:val="000000" w:themeColor="text1"/>
          <w:szCs w:val="16"/>
        </w:rPr>
      </w:pPr>
      <w:r w:rsidRPr="00781112">
        <w:rPr>
          <w:rFonts w:cs="Arial"/>
          <w:color w:val="000000" w:themeColor="text1"/>
          <w:szCs w:val="16"/>
        </w:rPr>
        <w:t>(20 U.S.C. 1416(a)(3)(C))</w:t>
      </w:r>
    </w:p>
    <w:p w14:paraId="6D2519CF" w14:textId="77777777" w:rsidR="00A66715" w:rsidRPr="00781112" w:rsidRDefault="00A66715" w:rsidP="004369B2">
      <w:pPr>
        <w:rPr>
          <w:color w:val="000000" w:themeColor="text1"/>
        </w:rPr>
      </w:pPr>
      <w:r w:rsidRPr="00781112">
        <w:rPr>
          <w:b/>
          <w:color w:val="000000" w:themeColor="text1"/>
        </w:rPr>
        <w:t>Data Source</w:t>
      </w:r>
    </w:p>
    <w:p w14:paraId="435C1BC0" w14:textId="1F2EA9FD" w:rsidR="00A66715" w:rsidRPr="00781112" w:rsidRDefault="00A66715" w:rsidP="00286BDF">
      <w:pPr>
        <w:rPr>
          <w:rFonts w:cs="Arial"/>
          <w:color w:val="000000" w:themeColor="text1"/>
          <w:szCs w:val="16"/>
        </w:rPr>
      </w:pPr>
      <w:r w:rsidRPr="00781112">
        <w:rPr>
          <w:rFonts w:cs="Arial"/>
          <w:color w:val="000000" w:themeColor="text1"/>
          <w:szCs w:val="16"/>
          <w:shd w:val="clear" w:color="auto" w:fill="FFFFFF"/>
        </w:rPr>
        <w:t>State’s analysis, based on State’s Child Count data collected under IDEA section 618, to determine if the disproportionate representation of racial and ethnic groups in special education and related services was the result of inappropriate identification.</w:t>
      </w:r>
    </w:p>
    <w:p w14:paraId="3FA170D6" w14:textId="77777777" w:rsidR="00A66715" w:rsidRPr="00781112" w:rsidRDefault="00A66715" w:rsidP="004369B2">
      <w:pPr>
        <w:rPr>
          <w:color w:val="000000" w:themeColor="text1"/>
        </w:rPr>
      </w:pPr>
      <w:r w:rsidRPr="00781112">
        <w:rPr>
          <w:b/>
          <w:color w:val="000000" w:themeColor="text1"/>
        </w:rPr>
        <w:t>Measurement</w:t>
      </w:r>
    </w:p>
    <w:p w14:paraId="477AA533" w14:textId="06ADBA36" w:rsidR="00A66715" w:rsidRPr="00781112" w:rsidRDefault="00A66715" w:rsidP="00286BDF">
      <w:pPr>
        <w:rPr>
          <w:rFonts w:cs="Arial"/>
          <w:color w:val="000000" w:themeColor="text1"/>
          <w:szCs w:val="16"/>
        </w:rPr>
      </w:pPr>
      <w:r w:rsidRPr="00781112">
        <w:rPr>
          <w:rFonts w:cs="Arial"/>
          <w:color w:val="000000" w:themeColor="text1"/>
          <w:szCs w:val="16"/>
        </w:rPr>
        <w:t>Percent = [(# of districts, that meet the State-established n and/or cell size (if applicable) for one or more racial/ethnic groups, with disproportionate representation of racial and ethnic groups in special education and related services that is the result of inappropriate identification) divided by the (# of districts in the State that meet the State-established n and/or cell size (if applicable) for one or more racial/ethnic groups)] times 100.</w:t>
      </w:r>
    </w:p>
    <w:p w14:paraId="47207609" w14:textId="77777777" w:rsidR="00A66715" w:rsidRPr="00781112" w:rsidRDefault="00A66715" w:rsidP="00286BDF">
      <w:pPr>
        <w:rPr>
          <w:rFonts w:cs="Arial"/>
          <w:color w:val="000000" w:themeColor="text1"/>
          <w:szCs w:val="16"/>
        </w:rPr>
      </w:pPr>
      <w:r w:rsidRPr="00781112">
        <w:rPr>
          <w:rFonts w:cs="Arial"/>
          <w:color w:val="000000" w:themeColor="text1"/>
          <w:szCs w:val="16"/>
        </w:rPr>
        <w:t>Include State’s definition of “disproportionate representation.” Please specify in your definition: 1) the calculation method(s) being used (i.e., risk ratio, weighted risk ratio, e-formula, etc.); and 2) the threshold at which disproportionate representation is identified. Also include, as appropriate, 3) the number of years of data used in the calculation; and 4) any minimum cell and/or n-sizes (i.e., risk numerator and/or risk denominator).</w:t>
      </w:r>
    </w:p>
    <w:p w14:paraId="2F72A4A6" w14:textId="26750A87" w:rsidR="00A66715" w:rsidRPr="00781112" w:rsidRDefault="0016730D" w:rsidP="00286BDF">
      <w:pPr>
        <w:rPr>
          <w:rFonts w:cs="Arial"/>
          <w:color w:val="000000" w:themeColor="text1"/>
          <w:szCs w:val="16"/>
        </w:rPr>
      </w:pPr>
      <w:r w:rsidRPr="00781112">
        <w:rPr>
          <w:rFonts w:cs="Arial"/>
          <w:color w:val="000000" w:themeColor="text1"/>
          <w:szCs w:val="16"/>
        </w:rPr>
        <w:t xml:space="preserve">Based on its review of the 618 data for the reporting year, describe how the State made its annual determination as to whether the disproportionate representation it identified of racial and ethnic groups in special education and related services was the result of inappropriate identification as required by 34 CFR §§300.600(d)(3) and 300.602(a), e.g., using monitoring data; reviewing policies, </w:t>
      </w:r>
      <w:proofErr w:type="gramStart"/>
      <w:r w:rsidRPr="00781112">
        <w:rPr>
          <w:rFonts w:cs="Arial"/>
          <w:color w:val="000000" w:themeColor="text1"/>
          <w:szCs w:val="16"/>
        </w:rPr>
        <w:t>practices</w:t>
      </w:r>
      <w:proofErr w:type="gramEnd"/>
      <w:r w:rsidRPr="00781112">
        <w:rPr>
          <w:rFonts w:cs="Arial"/>
          <w:color w:val="000000" w:themeColor="text1"/>
          <w:szCs w:val="16"/>
        </w:rPr>
        <w:t xml:space="preserve"> and procedures, etc. In determining disproportionate representation, analyze data, for each district, for all racial and ethnic groups in the district, or all racial and ethnic groups in the district that meet a minimum n and/or cell size set by the State. Report on the percent of districts in which disproportionate representation of racial and ethnic groups in special education and related services is the result of inappropriate identification, even if the determination of inappropriate identification was made after the end of the FFY 2021 reporting period (i.e., after June 30, 2022).</w:t>
      </w:r>
    </w:p>
    <w:p w14:paraId="5C234527" w14:textId="77777777" w:rsidR="00A66715" w:rsidRPr="00781112" w:rsidRDefault="00A66715" w:rsidP="004369B2">
      <w:pPr>
        <w:rPr>
          <w:color w:val="000000" w:themeColor="text1"/>
        </w:rPr>
      </w:pPr>
      <w:r w:rsidRPr="00781112">
        <w:rPr>
          <w:b/>
          <w:color w:val="000000" w:themeColor="text1"/>
        </w:rPr>
        <w:t>Instructions</w:t>
      </w:r>
    </w:p>
    <w:p w14:paraId="66307925" w14:textId="257F2E4C" w:rsidR="00A66715" w:rsidRPr="00781112" w:rsidRDefault="00A66715" w:rsidP="00286BDF">
      <w:pPr>
        <w:rPr>
          <w:rFonts w:cs="Arial"/>
          <w:color w:val="000000" w:themeColor="text1"/>
          <w:szCs w:val="16"/>
        </w:rPr>
      </w:pPr>
      <w:r w:rsidRPr="00781112">
        <w:rPr>
          <w:rFonts w:cs="Arial"/>
          <w:iCs/>
          <w:color w:val="000000" w:themeColor="text1"/>
          <w:szCs w:val="16"/>
        </w:rPr>
        <w:t>P</w:t>
      </w:r>
      <w:r w:rsidRPr="00781112">
        <w:rPr>
          <w:rFonts w:cs="Arial"/>
          <w:color w:val="000000" w:themeColor="text1"/>
          <w:szCs w:val="16"/>
        </w:rPr>
        <w:t xml:space="preserve">rovide racial/ethnic disproportionality data for all children aged </w:t>
      </w:r>
      <w:r w:rsidR="00071D42" w:rsidRPr="00781112">
        <w:rPr>
          <w:rFonts w:cs="Arial"/>
        </w:rPr>
        <w:t xml:space="preserve">5 who are enrolled in kindergarten and </w:t>
      </w:r>
      <w:r w:rsidRPr="00781112">
        <w:rPr>
          <w:rFonts w:cs="Arial"/>
          <w:color w:val="000000" w:themeColor="text1"/>
          <w:szCs w:val="16"/>
        </w:rPr>
        <w:t>6 through 21 served under IDEA, aggregated across all disability categories.</w:t>
      </w:r>
    </w:p>
    <w:p w14:paraId="6CA47C85" w14:textId="77777777" w:rsidR="00A66715" w:rsidRPr="00781112" w:rsidRDefault="00A66715" w:rsidP="00286BDF">
      <w:pPr>
        <w:rPr>
          <w:rFonts w:cs="Arial"/>
          <w:color w:val="000000" w:themeColor="text1"/>
          <w:szCs w:val="16"/>
        </w:rPr>
      </w:pPr>
      <w:r w:rsidRPr="00781112">
        <w:rPr>
          <w:rFonts w:cs="Arial"/>
          <w:color w:val="000000" w:themeColor="text1"/>
          <w:szCs w:val="16"/>
        </w:rPr>
        <w:t>States are not required to report on underrepresentation.</w:t>
      </w:r>
    </w:p>
    <w:p w14:paraId="7D49F2B9" w14:textId="77777777" w:rsidR="00A66715" w:rsidRPr="00781112" w:rsidRDefault="00A66715" w:rsidP="00286BDF">
      <w:pPr>
        <w:rPr>
          <w:rFonts w:cs="Arial"/>
          <w:color w:val="000000" w:themeColor="text1"/>
          <w:szCs w:val="16"/>
        </w:rPr>
      </w:pPr>
      <w:r w:rsidRPr="00781112">
        <w:rPr>
          <w:rFonts w:cs="Arial"/>
          <w:color w:val="000000" w:themeColor="text1"/>
          <w:szCs w:val="16"/>
        </w:rPr>
        <w:t xml:space="preserve">If the State has established a minimum n and/or cell size requirement, the State may only include, in both the numerator and the denominator, districts that met that State-established n and/or cell size. If the State used a minimum n and/or cell size requirement, report the number of districts totally excluded from the calculation </w:t>
      </w:r>
      <w:proofErr w:type="gramStart"/>
      <w:r w:rsidRPr="00781112">
        <w:rPr>
          <w:rFonts w:cs="Arial"/>
          <w:color w:val="000000" w:themeColor="text1"/>
          <w:szCs w:val="16"/>
        </w:rPr>
        <w:t>as a result of</w:t>
      </w:r>
      <w:proofErr w:type="gramEnd"/>
      <w:r w:rsidRPr="00781112">
        <w:rPr>
          <w:rFonts w:cs="Arial"/>
          <w:color w:val="000000" w:themeColor="text1"/>
          <w:szCs w:val="16"/>
        </w:rPr>
        <w:t xml:space="preserve"> this requirement because the district did not meet the minimum n and/or cell size for any racial/ethnic group.</w:t>
      </w:r>
    </w:p>
    <w:p w14:paraId="18F19F84" w14:textId="77777777" w:rsidR="00A66715" w:rsidRPr="00781112" w:rsidRDefault="00A66715" w:rsidP="00286BDF">
      <w:pPr>
        <w:rPr>
          <w:rFonts w:cs="Arial"/>
          <w:color w:val="000000" w:themeColor="text1"/>
          <w:szCs w:val="16"/>
        </w:rPr>
      </w:pPr>
      <w:r w:rsidRPr="00781112">
        <w:rPr>
          <w:rFonts w:cs="Arial"/>
          <w:color w:val="000000" w:themeColor="text1"/>
          <w:szCs w:val="16"/>
        </w:rPr>
        <w:t>Consider using multiple methods in calculating disproportionate representation of racial and ethnic groups to reduce the risk of overlooking potential problems. Describe the method(s) used to calculate disproportionate representation.</w:t>
      </w:r>
    </w:p>
    <w:p w14:paraId="08814B9F" w14:textId="77777777" w:rsidR="00A66715" w:rsidRPr="00781112" w:rsidRDefault="00A66715" w:rsidP="00286BDF">
      <w:pPr>
        <w:rPr>
          <w:rFonts w:cs="Arial"/>
          <w:color w:val="000000" w:themeColor="text1"/>
          <w:szCs w:val="16"/>
        </w:rPr>
      </w:pPr>
      <w:r w:rsidRPr="00781112">
        <w:rPr>
          <w:rFonts w:cs="Arial"/>
          <w:color w:val="000000" w:themeColor="text1"/>
          <w:szCs w:val="16"/>
        </w:rPr>
        <w:t>Provide the number of districts that met the State-established n and/or cell size (if applicable) for one or more racial/ethnic groups identified with disproportionate representation of racial and ethnic groups in special education and related services and the number of those districts identified with disproportionate representation that is the result of inappropriate identification.</w:t>
      </w:r>
    </w:p>
    <w:p w14:paraId="633EBCDF" w14:textId="77777777" w:rsidR="00A66715" w:rsidRPr="00781112" w:rsidRDefault="00A66715" w:rsidP="00286BDF">
      <w:pPr>
        <w:rPr>
          <w:rFonts w:cs="Arial"/>
          <w:color w:val="000000" w:themeColor="text1"/>
          <w:szCs w:val="16"/>
        </w:rPr>
      </w:pPr>
      <w:r w:rsidRPr="00781112">
        <w:rPr>
          <w:rFonts w:cs="Arial"/>
          <w:color w:val="000000" w:themeColor="text1"/>
          <w:szCs w:val="16"/>
        </w:rPr>
        <w:t>Targets must be 0%.</w:t>
      </w:r>
    </w:p>
    <w:p w14:paraId="78E093FF" w14:textId="732199BB" w:rsidR="00A66715" w:rsidRPr="00781112" w:rsidRDefault="0016730D" w:rsidP="00286BDF">
      <w:pPr>
        <w:rPr>
          <w:rFonts w:cs="Arial"/>
          <w:color w:val="000000" w:themeColor="text1"/>
          <w:szCs w:val="16"/>
        </w:rPr>
      </w:pPr>
      <w:r w:rsidRPr="00781112">
        <w:rPr>
          <w:rFonts w:cs="Arial"/>
          <w:color w:val="000000" w:themeColor="text1"/>
          <w:szCs w:val="16"/>
        </w:rPr>
        <w:t>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 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p w14:paraId="1A6C01D0" w14:textId="1BD83E55" w:rsidR="00AF5AFB" w:rsidRPr="00781112" w:rsidRDefault="00400C56" w:rsidP="008645AD">
      <w:pPr>
        <w:pStyle w:val="Heading2"/>
      </w:pPr>
      <w:bookmarkStart w:id="55" w:name="_Toc384383344"/>
      <w:bookmarkStart w:id="56" w:name="_Toc392159312"/>
      <w:bookmarkEnd w:id="53"/>
      <w:bookmarkEnd w:id="54"/>
      <w:r w:rsidRPr="00781112">
        <w:t>9</w:t>
      </w:r>
      <w:r w:rsidR="000D746C" w:rsidRPr="00781112">
        <w:t xml:space="preserve"> </w:t>
      </w:r>
      <w:r w:rsidRPr="00781112">
        <w:t xml:space="preserve">- </w:t>
      </w:r>
      <w:r w:rsidR="00AF5AFB" w:rsidRPr="00781112">
        <w:t>Indicator Data</w:t>
      </w:r>
    </w:p>
    <w:p w14:paraId="3B629025" w14:textId="77777777" w:rsidR="0091098C" w:rsidRPr="00781112" w:rsidRDefault="0091098C" w:rsidP="004369B2">
      <w:pPr>
        <w:rPr>
          <w:color w:val="000000" w:themeColor="text1"/>
        </w:rPr>
      </w:pPr>
      <w:r w:rsidRPr="00781112">
        <w:rPr>
          <w:b/>
          <w:color w:val="000000" w:themeColor="text1"/>
        </w:rPr>
        <w:t>Not Applicable</w:t>
      </w:r>
    </w:p>
    <w:p w14:paraId="26955027" w14:textId="78EADA59" w:rsidR="003E7FC1" w:rsidRPr="00781112" w:rsidRDefault="00E54DDA">
      <w:pPr>
        <w:rPr>
          <w:b/>
          <w:color w:val="000000" w:themeColor="text1"/>
        </w:rPr>
      </w:pPr>
      <w:r w:rsidRPr="00781112">
        <w:rPr>
          <w:b/>
          <w:color w:val="000000" w:themeColor="text1"/>
        </w:rPr>
        <w:t>Select yes if this indicator is not applicable.</w:t>
      </w:r>
    </w:p>
    <w:p w14:paraId="6AB001BB" w14:textId="1DB937E1" w:rsidR="00043AC9" w:rsidRPr="00781112" w:rsidRDefault="00043AC9" w:rsidP="004369B2">
      <w:pPr>
        <w:rPr>
          <w:rFonts w:cs="Arial"/>
          <w:color w:val="000000" w:themeColor="text1"/>
          <w:szCs w:val="16"/>
        </w:rPr>
      </w:pPr>
      <w:r w:rsidRPr="00781112">
        <w:rPr>
          <w:rFonts w:cs="Arial"/>
          <w:color w:val="000000" w:themeColor="text1"/>
          <w:szCs w:val="16"/>
        </w:rPr>
        <w:t>NO</w:t>
      </w:r>
    </w:p>
    <w:p w14:paraId="3A71D697" w14:textId="346BA4D1" w:rsidR="00EC46E4" w:rsidRPr="00781112" w:rsidRDefault="00EC46E4"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09BASELINEDATA"/>
      </w:tblPr>
      <w:tblGrid>
        <w:gridCol w:w="1797"/>
        <w:gridCol w:w="1798"/>
      </w:tblGrid>
      <w:tr w:rsidR="00956DB0" w:rsidRPr="00781112" w14:paraId="5182274F" w14:textId="77777777" w:rsidTr="00123D76">
        <w:trPr>
          <w:trHeight w:val="311"/>
          <w:tblHeader/>
        </w:trPr>
        <w:tc>
          <w:tcPr>
            <w:tcW w:w="1797" w:type="dxa"/>
          </w:tcPr>
          <w:p w14:paraId="1A2818C6" w14:textId="77777777" w:rsidR="00956DB0" w:rsidRPr="00781112" w:rsidRDefault="00956DB0" w:rsidP="00123D76">
            <w:pPr>
              <w:jc w:val="center"/>
              <w:rPr>
                <w:b/>
                <w:color w:val="000000" w:themeColor="text1"/>
              </w:rPr>
            </w:pPr>
            <w:r w:rsidRPr="00781112">
              <w:rPr>
                <w:rFonts w:cs="Arial"/>
                <w:b/>
                <w:color w:val="000000" w:themeColor="text1"/>
                <w:szCs w:val="16"/>
              </w:rPr>
              <w:t>Baseline Year</w:t>
            </w:r>
          </w:p>
        </w:tc>
        <w:tc>
          <w:tcPr>
            <w:tcW w:w="1798" w:type="dxa"/>
          </w:tcPr>
          <w:p w14:paraId="0F4B2975" w14:textId="77777777" w:rsidR="00956DB0" w:rsidRPr="00781112" w:rsidRDefault="00956DB0" w:rsidP="00123D76">
            <w:pPr>
              <w:jc w:val="center"/>
              <w:rPr>
                <w:b/>
                <w:color w:val="000000" w:themeColor="text1"/>
              </w:rPr>
            </w:pPr>
            <w:r w:rsidRPr="00781112">
              <w:rPr>
                <w:b/>
                <w:color w:val="000000" w:themeColor="text1"/>
              </w:rPr>
              <w:t>Baseline Data</w:t>
            </w:r>
          </w:p>
        </w:tc>
      </w:tr>
      <w:tr w:rsidR="00956DB0" w:rsidRPr="00781112" w14:paraId="610EE192" w14:textId="77777777" w:rsidTr="00123D76">
        <w:trPr>
          <w:trHeight w:val="311"/>
        </w:trPr>
        <w:tc>
          <w:tcPr>
            <w:tcW w:w="1797" w:type="dxa"/>
            <w:vAlign w:val="center"/>
          </w:tcPr>
          <w:p w14:paraId="092AF3EE" w14:textId="300E0F13" w:rsidR="00956DB0" w:rsidRPr="00781112" w:rsidRDefault="00956DB0" w:rsidP="00123D76">
            <w:pPr>
              <w:jc w:val="center"/>
              <w:rPr>
                <w:bCs/>
                <w:color w:val="000000" w:themeColor="text1"/>
              </w:rPr>
            </w:pPr>
            <w:r w:rsidRPr="00781112">
              <w:rPr>
                <w:bCs/>
                <w:color w:val="000000" w:themeColor="text1"/>
              </w:rPr>
              <w:t>2021</w:t>
            </w:r>
          </w:p>
        </w:tc>
        <w:tc>
          <w:tcPr>
            <w:tcW w:w="1798" w:type="dxa"/>
            <w:vAlign w:val="center"/>
          </w:tcPr>
          <w:p w14:paraId="4FDCB4BF" w14:textId="0D2A0C74" w:rsidR="00956DB0" w:rsidRPr="00781112" w:rsidRDefault="00956DB0" w:rsidP="00123D76">
            <w:pPr>
              <w:jc w:val="center"/>
              <w:rPr>
                <w:bCs/>
                <w:color w:val="000000" w:themeColor="text1"/>
              </w:rPr>
            </w:pPr>
            <w:r w:rsidRPr="00781112">
              <w:rPr>
                <w:bCs/>
                <w:color w:val="000000" w:themeColor="text1"/>
              </w:rPr>
              <w:t>1.44%</w:t>
            </w:r>
          </w:p>
        </w:tc>
      </w:tr>
    </w:tbl>
    <w:p w14:paraId="209EB354" w14:textId="77777777" w:rsidR="00956DB0" w:rsidRPr="00781112" w:rsidRDefault="00956DB0"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9HISTDATA"/>
      </w:tblPr>
      <w:tblGrid>
        <w:gridCol w:w="1798"/>
        <w:gridCol w:w="1798"/>
        <w:gridCol w:w="1798"/>
        <w:gridCol w:w="1798"/>
        <w:gridCol w:w="1798"/>
        <w:gridCol w:w="1800"/>
      </w:tblGrid>
      <w:tr w:rsidR="005C29F8" w:rsidRPr="00781112" w14:paraId="29257DEC" w14:textId="77777777" w:rsidTr="002B4D97">
        <w:trPr>
          <w:trHeight w:val="350"/>
        </w:trPr>
        <w:tc>
          <w:tcPr>
            <w:tcW w:w="833" w:type="pct"/>
            <w:tcBorders>
              <w:bottom w:val="single" w:sz="4" w:space="0" w:color="auto"/>
            </w:tcBorders>
            <w:shd w:val="clear" w:color="auto" w:fill="auto"/>
          </w:tcPr>
          <w:p w14:paraId="2ACD0221" w14:textId="77777777" w:rsidR="006357C5" w:rsidRPr="00781112" w:rsidRDefault="006357C5"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15D764B6" w14:textId="19C54EAA" w:rsidR="006357C5" w:rsidRPr="00781112" w:rsidRDefault="002B7490" w:rsidP="00B6413B">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033F60DB" w14:textId="27C2FA3D" w:rsidR="006357C5" w:rsidRPr="00781112" w:rsidRDefault="002B7490" w:rsidP="00B6413B">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vAlign w:val="center"/>
          </w:tcPr>
          <w:p w14:paraId="317350A8" w14:textId="7D4D6C23" w:rsidR="006357C5" w:rsidRPr="00781112" w:rsidRDefault="002B7490" w:rsidP="00B6413B">
            <w:pPr>
              <w:jc w:val="center"/>
              <w:rPr>
                <w:rFonts w:cs="Arial"/>
                <w:b/>
                <w:color w:val="000000" w:themeColor="text1"/>
                <w:szCs w:val="16"/>
              </w:rPr>
            </w:pPr>
            <w:r w:rsidRPr="00781112">
              <w:rPr>
                <w:rFonts w:cs="Arial"/>
                <w:b/>
                <w:color w:val="000000" w:themeColor="text1"/>
                <w:szCs w:val="16"/>
              </w:rPr>
              <w:t>2018</w:t>
            </w:r>
          </w:p>
        </w:tc>
        <w:tc>
          <w:tcPr>
            <w:tcW w:w="833" w:type="pct"/>
            <w:shd w:val="clear" w:color="auto" w:fill="auto"/>
            <w:vAlign w:val="center"/>
          </w:tcPr>
          <w:p w14:paraId="2FE9FF1F" w14:textId="6B14CCED" w:rsidR="006357C5" w:rsidRPr="00781112" w:rsidRDefault="002B7490" w:rsidP="00B6413B">
            <w:pPr>
              <w:jc w:val="center"/>
              <w:rPr>
                <w:rFonts w:cs="Arial"/>
                <w:b/>
                <w:color w:val="000000" w:themeColor="text1"/>
                <w:szCs w:val="16"/>
              </w:rPr>
            </w:pPr>
            <w:r w:rsidRPr="00781112">
              <w:rPr>
                <w:rFonts w:cs="Arial"/>
                <w:b/>
                <w:color w:val="000000" w:themeColor="text1"/>
                <w:szCs w:val="16"/>
              </w:rPr>
              <w:t>2019</w:t>
            </w:r>
          </w:p>
        </w:tc>
        <w:tc>
          <w:tcPr>
            <w:tcW w:w="834" w:type="pct"/>
            <w:shd w:val="clear" w:color="auto" w:fill="auto"/>
            <w:vAlign w:val="center"/>
          </w:tcPr>
          <w:p w14:paraId="3EED1AAF" w14:textId="5F49372A" w:rsidR="006357C5" w:rsidRPr="00781112" w:rsidRDefault="002B7490" w:rsidP="00B6413B">
            <w:pPr>
              <w:jc w:val="center"/>
              <w:rPr>
                <w:rFonts w:cs="Arial"/>
                <w:b/>
                <w:color w:val="000000" w:themeColor="text1"/>
                <w:szCs w:val="16"/>
              </w:rPr>
            </w:pPr>
            <w:r w:rsidRPr="00781112">
              <w:rPr>
                <w:rFonts w:cs="Arial"/>
                <w:b/>
                <w:color w:val="000000" w:themeColor="text1"/>
                <w:szCs w:val="16"/>
              </w:rPr>
              <w:t>2020</w:t>
            </w:r>
          </w:p>
        </w:tc>
      </w:tr>
      <w:tr w:rsidR="005C29F8" w:rsidRPr="00781112" w14:paraId="2B1048CB" w14:textId="77777777" w:rsidTr="002B4D97">
        <w:trPr>
          <w:trHeight w:val="357"/>
        </w:trPr>
        <w:tc>
          <w:tcPr>
            <w:tcW w:w="833" w:type="pct"/>
            <w:shd w:val="clear" w:color="auto" w:fill="auto"/>
          </w:tcPr>
          <w:p w14:paraId="1E5C921D" w14:textId="10B75CEC" w:rsidR="006357C5" w:rsidRPr="00781112" w:rsidRDefault="006357C5" w:rsidP="006357C5">
            <w:pPr>
              <w:rPr>
                <w:rFonts w:cs="Arial"/>
                <w:color w:val="000000" w:themeColor="text1"/>
                <w:szCs w:val="16"/>
              </w:rPr>
            </w:pPr>
            <w:r w:rsidRPr="00781112">
              <w:rPr>
                <w:rFonts w:cs="Arial"/>
                <w:color w:val="000000" w:themeColor="text1"/>
                <w:szCs w:val="16"/>
              </w:rPr>
              <w:t xml:space="preserve">Target </w:t>
            </w:r>
          </w:p>
        </w:tc>
        <w:tc>
          <w:tcPr>
            <w:tcW w:w="833" w:type="pct"/>
            <w:shd w:val="clear" w:color="auto" w:fill="auto"/>
          </w:tcPr>
          <w:p w14:paraId="605E3208" w14:textId="6058696A" w:rsidR="006357C5" w:rsidRPr="00781112" w:rsidRDefault="00BA56C8">
            <w:pPr>
              <w:jc w:val="center"/>
              <w:rPr>
                <w:rFonts w:cs="Arial"/>
                <w:color w:val="000000" w:themeColor="text1"/>
                <w:szCs w:val="16"/>
              </w:rPr>
            </w:pPr>
            <w:r w:rsidRPr="00781112">
              <w:rPr>
                <w:rFonts w:cs="Arial"/>
                <w:color w:val="000000" w:themeColor="text1"/>
                <w:szCs w:val="16"/>
              </w:rPr>
              <w:t>0%</w:t>
            </w:r>
          </w:p>
        </w:tc>
        <w:tc>
          <w:tcPr>
            <w:tcW w:w="833" w:type="pct"/>
            <w:shd w:val="clear" w:color="auto" w:fill="auto"/>
          </w:tcPr>
          <w:p w14:paraId="18B25266" w14:textId="3AD0FECB" w:rsidR="006357C5" w:rsidRPr="00781112" w:rsidRDefault="00BA56C8">
            <w:pPr>
              <w:jc w:val="center"/>
              <w:rPr>
                <w:rFonts w:cs="Arial"/>
                <w:color w:val="000000" w:themeColor="text1"/>
                <w:szCs w:val="16"/>
              </w:rPr>
            </w:pPr>
            <w:r w:rsidRPr="00781112">
              <w:rPr>
                <w:rFonts w:cs="Arial"/>
                <w:color w:val="000000" w:themeColor="text1"/>
                <w:szCs w:val="16"/>
              </w:rPr>
              <w:t>0%</w:t>
            </w:r>
          </w:p>
        </w:tc>
        <w:tc>
          <w:tcPr>
            <w:tcW w:w="833" w:type="pct"/>
            <w:shd w:val="clear" w:color="auto" w:fill="auto"/>
          </w:tcPr>
          <w:p w14:paraId="0C0FBF57" w14:textId="7ECB922D" w:rsidR="006357C5" w:rsidRPr="00781112" w:rsidRDefault="00BA56C8">
            <w:pPr>
              <w:jc w:val="center"/>
              <w:rPr>
                <w:rFonts w:cs="Arial"/>
                <w:color w:val="000000" w:themeColor="text1"/>
                <w:szCs w:val="16"/>
              </w:rPr>
            </w:pPr>
            <w:r w:rsidRPr="00781112">
              <w:rPr>
                <w:rFonts w:cs="Arial"/>
                <w:color w:val="000000" w:themeColor="text1"/>
                <w:szCs w:val="16"/>
              </w:rPr>
              <w:t>0%</w:t>
            </w:r>
          </w:p>
        </w:tc>
        <w:tc>
          <w:tcPr>
            <w:tcW w:w="833" w:type="pct"/>
            <w:shd w:val="clear" w:color="auto" w:fill="auto"/>
          </w:tcPr>
          <w:p w14:paraId="532C2D7E" w14:textId="62B3BFC8" w:rsidR="006357C5" w:rsidRPr="00781112" w:rsidRDefault="00BA56C8">
            <w:pPr>
              <w:jc w:val="center"/>
              <w:rPr>
                <w:rFonts w:cs="Arial"/>
                <w:color w:val="000000" w:themeColor="text1"/>
                <w:szCs w:val="16"/>
              </w:rPr>
            </w:pPr>
            <w:r w:rsidRPr="00781112">
              <w:rPr>
                <w:rFonts w:cs="Arial"/>
                <w:color w:val="000000" w:themeColor="text1"/>
                <w:szCs w:val="16"/>
              </w:rPr>
              <w:t>0%</w:t>
            </w:r>
          </w:p>
        </w:tc>
        <w:tc>
          <w:tcPr>
            <w:tcW w:w="834" w:type="pct"/>
            <w:shd w:val="clear" w:color="auto" w:fill="auto"/>
          </w:tcPr>
          <w:p w14:paraId="60DA2026" w14:textId="24D14A2D" w:rsidR="006357C5" w:rsidRPr="00781112" w:rsidRDefault="00BA56C8">
            <w:pPr>
              <w:jc w:val="center"/>
              <w:rPr>
                <w:rFonts w:cs="Arial"/>
                <w:color w:val="000000" w:themeColor="text1"/>
                <w:szCs w:val="16"/>
              </w:rPr>
            </w:pPr>
            <w:r w:rsidRPr="00781112">
              <w:rPr>
                <w:rFonts w:cs="Arial"/>
                <w:color w:val="000000" w:themeColor="text1"/>
                <w:szCs w:val="16"/>
              </w:rPr>
              <w:t>0%</w:t>
            </w:r>
          </w:p>
        </w:tc>
      </w:tr>
      <w:tr w:rsidR="005C29F8" w:rsidRPr="00781112" w14:paraId="3159C03B" w14:textId="77777777" w:rsidTr="002B4D97">
        <w:trPr>
          <w:trHeight w:val="85"/>
        </w:trPr>
        <w:tc>
          <w:tcPr>
            <w:tcW w:w="833" w:type="pct"/>
            <w:shd w:val="clear" w:color="auto" w:fill="auto"/>
          </w:tcPr>
          <w:p w14:paraId="2AC5584F" w14:textId="77777777" w:rsidR="006357C5" w:rsidRPr="00781112" w:rsidRDefault="006357C5" w:rsidP="00B6413B">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6FD989E4" w14:textId="34237C82" w:rsidR="006357C5"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shd w:val="clear" w:color="auto" w:fill="auto"/>
          </w:tcPr>
          <w:p w14:paraId="078BDCB4" w14:textId="6678F601" w:rsidR="006357C5"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tcBorders>
              <w:bottom w:val="single" w:sz="4" w:space="0" w:color="auto"/>
            </w:tcBorders>
            <w:shd w:val="clear" w:color="auto" w:fill="auto"/>
            <w:vAlign w:val="center"/>
          </w:tcPr>
          <w:p w14:paraId="1B9E9606" w14:textId="2C899E5A" w:rsidR="006357C5" w:rsidRPr="00781112" w:rsidRDefault="002B7490" w:rsidP="00A018D4">
            <w:pPr>
              <w:jc w:val="center"/>
              <w:rPr>
                <w:rFonts w:cs="Arial"/>
                <w:color w:val="000000" w:themeColor="text1"/>
                <w:szCs w:val="16"/>
              </w:rPr>
            </w:pPr>
            <w:r w:rsidRPr="00781112">
              <w:rPr>
                <w:rFonts w:cs="Arial"/>
                <w:color w:val="000000" w:themeColor="text1"/>
                <w:szCs w:val="16"/>
              </w:rPr>
              <w:t>NVR</w:t>
            </w:r>
          </w:p>
        </w:tc>
        <w:tc>
          <w:tcPr>
            <w:tcW w:w="833" w:type="pct"/>
            <w:tcBorders>
              <w:bottom w:val="single" w:sz="4" w:space="0" w:color="auto"/>
            </w:tcBorders>
            <w:shd w:val="clear" w:color="auto" w:fill="auto"/>
            <w:vAlign w:val="center"/>
          </w:tcPr>
          <w:p w14:paraId="2DEE133C" w14:textId="4FA56B64" w:rsidR="006357C5"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4" w:type="pct"/>
            <w:tcBorders>
              <w:bottom w:val="single" w:sz="4" w:space="0" w:color="auto"/>
            </w:tcBorders>
            <w:shd w:val="clear" w:color="auto" w:fill="auto"/>
            <w:vAlign w:val="center"/>
          </w:tcPr>
          <w:p w14:paraId="2164C156" w14:textId="136C88F4" w:rsidR="006357C5" w:rsidRPr="00781112" w:rsidRDefault="002B7490" w:rsidP="00A018D4">
            <w:pPr>
              <w:jc w:val="center"/>
              <w:rPr>
                <w:rFonts w:cs="Arial"/>
                <w:color w:val="000000" w:themeColor="text1"/>
                <w:szCs w:val="16"/>
              </w:rPr>
            </w:pPr>
            <w:r w:rsidRPr="00781112">
              <w:rPr>
                <w:rFonts w:cs="Arial"/>
                <w:color w:val="000000" w:themeColor="text1"/>
                <w:szCs w:val="16"/>
              </w:rPr>
              <w:t>0.00%</w:t>
            </w:r>
          </w:p>
        </w:tc>
      </w:tr>
    </w:tbl>
    <w:p w14:paraId="38D93E0F" w14:textId="77777777" w:rsidR="00870121" w:rsidRPr="00781112" w:rsidRDefault="00870121" w:rsidP="004369B2">
      <w:pPr>
        <w:rPr>
          <w:color w:val="000000" w:themeColor="text1"/>
        </w:rPr>
      </w:pPr>
    </w:p>
    <w:p w14:paraId="1D3DD603" w14:textId="00F457CF" w:rsidR="0016730D" w:rsidRPr="00781112" w:rsidRDefault="0016730D" w:rsidP="004369B2">
      <w:pPr>
        <w:rPr>
          <w:color w:val="000000" w:themeColor="text1"/>
        </w:rPr>
      </w:pPr>
      <w:r w:rsidRPr="00781112">
        <w:rPr>
          <w:b/>
          <w:color w:val="000000" w:themeColor="text1"/>
        </w:rPr>
        <w:t>Targets</w:t>
      </w:r>
    </w:p>
    <w:tbl>
      <w:tblPr>
        <w:tblW w:w="41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9TARGETS"/>
      </w:tblPr>
      <w:tblGrid>
        <w:gridCol w:w="679"/>
        <w:gridCol w:w="1585"/>
        <w:gridCol w:w="1698"/>
        <w:gridCol w:w="1699"/>
        <w:gridCol w:w="1699"/>
        <w:gridCol w:w="1697"/>
      </w:tblGrid>
      <w:tr w:rsidR="00B14519" w:rsidRPr="00781112" w14:paraId="3B5E697E" w14:textId="22491944" w:rsidTr="00451D7E">
        <w:trPr>
          <w:trHeight w:val="307"/>
        </w:trPr>
        <w:tc>
          <w:tcPr>
            <w:tcW w:w="278" w:type="pct"/>
            <w:tcBorders>
              <w:bottom w:val="single" w:sz="4" w:space="0" w:color="auto"/>
            </w:tcBorders>
            <w:shd w:val="clear" w:color="auto" w:fill="auto"/>
          </w:tcPr>
          <w:p w14:paraId="6847FBDE" w14:textId="77777777" w:rsidR="00B14519" w:rsidRPr="00781112" w:rsidRDefault="00B14519" w:rsidP="00AD5583">
            <w:pPr>
              <w:jc w:val="center"/>
              <w:rPr>
                <w:b/>
                <w:color w:val="000000" w:themeColor="text1"/>
              </w:rPr>
            </w:pPr>
            <w:r w:rsidRPr="00781112">
              <w:rPr>
                <w:b/>
                <w:color w:val="000000" w:themeColor="text1"/>
              </w:rPr>
              <w:t>FFY</w:t>
            </w:r>
          </w:p>
        </w:tc>
        <w:tc>
          <w:tcPr>
            <w:tcW w:w="895" w:type="pct"/>
            <w:shd w:val="clear" w:color="auto" w:fill="auto"/>
          </w:tcPr>
          <w:p w14:paraId="2C965821" w14:textId="77777777" w:rsidR="00B14519" w:rsidRPr="00781112" w:rsidRDefault="00B14519" w:rsidP="00AD5583">
            <w:pPr>
              <w:jc w:val="center"/>
              <w:rPr>
                <w:b/>
                <w:color w:val="000000" w:themeColor="text1"/>
              </w:rPr>
            </w:pPr>
            <w:r w:rsidRPr="00781112">
              <w:rPr>
                <w:b/>
                <w:color w:val="000000" w:themeColor="text1"/>
              </w:rPr>
              <w:t>2021</w:t>
            </w:r>
          </w:p>
        </w:tc>
        <w:tc>
          <w:tcPr>
            <w:tcW w:w="957" w:type="pct"/>
          </w:tcPr>
          <w:p w14:paraId="695B1CC5" w14:textId="0A8E7C74" w:rsidR="00B14519" w:rsidRPr="00781112" w:rsidRDefault="00B14519" w:rsidP="00AD5583">
            <w:pPr>
              <w:jc w:val="center"/>
              <w:rPr>
                <w:b/>
                <w:color w:val="000000" w:themeColor="text1"/>
              </w:rPr>
            </w:pPr>
            <w:r w:rsidRPr="00781112">
              <w:rPr>
                <w:rFonts w:cs="Arial"/>
                <w:b/>
                <w:color w:val="000000" w:themeColor="text1"/>
                <w:szCs w:val="16"/>
              </w:rPr>
              <w:t>2022</w:t>
            </w:r>
          </w:p>
        </w:tc>
        <w:tc>
          <w:tcPr>
            <w:tcW w:w="957" w:type="pct"/>
          </w:tcPr>
          <w:p w14:paraId="676B8DF3" w14:textId="1749272A" w:rsidR="00B14519" w:rsidRPr="00781112" w:rsidRDefault="00B14519" w:rsidP="00AD5583">
            <w:pPr>
              <w:jc w:val="center"/>
              <w:rPr>
                <w:b/>
                <w:color w:val="000000" w:themeColor="text1"/>
              </w:rPr>
            </w:pPr>
            <w:r w:rsidRPr="00781112">
              <w:rPr>
                <w:rFonts w:cs="Arial"/>
                <w:b/>
                <w:color w:val="000000" w:themeColor="text1"/>
                <w:szCs w:val="16"/>
              </w:rPr>
              <w:t>2023</w:t>
            </w:r>
          </w:p>
        </w:tc>
        <w:tc>
          <w:tcPr>
            <w:tcW w:w="957" w:type="pct"/>
          </w:tcPr>
          <w:p w14:paraId="2431A20F" w14:textId="6C70327F" w:rsidR="00B14519" w:rsidRPr="00781112" w:rsidRDefault="00B14519" w:rsidP="00AD5583">
            <w:pPr>
              <w:jc w:val="center"/>
              <w:rPr>
                <w:b/>
                <w:color w:val="000000" w:themeColor="text1"/>
              </w:rPr>
            </w:pPr>
            <w:r w:rsidRPr="00781112">
              <w:rPr>
                <w:rFonts w:cs="Arial"/>
                <w:b/>
                <w:color w:val="000000" w:themeColor="text1"/>
                <w:szCs w:val="16"/>
              </w:rPr>
              <w:t>2024</w:t>
            </w:r>
          </w:p>
        </w:tc>
        <w:tc>
          <w:tcPr>
            <w:tcW w:w="957" w:type="pct"/>
          </w:tcPr>
          <w:p w14:paraId="1F22D9D1" w14:textId="274E33D7" w:rsidR="00B14519" w:rsidRPr="00781112" w:rsidRDefault="00B14519" w:rsidP="00AD5583">
            <w:pPr>
              <w:jc w:val="center"/>
              <w:rPr>
                <w:b/>
                <w:color w:val="000000" w:themeColor="text1"/>
              </w:rPr>
            </w:pPr>
            <w:r w:rsidRPr="00781112">
              <w:rPr>
                <w:rFonts w:cs="Arial"/>
                <w:b/>
                <w:color w:val="000000" w:themeColor="text1"/>
                <w:szCs w:val="16"/>
              </w:rPr>
              <w:t>2025</w:t>
            </w:r>
          </w:p>
        </w:tc>
      </w:tr>
      <w:tr w:rsidR="00B14519" w:rsidRPr="00781112" w14:paraId="48E9BF63" w14:textId="16949127" w:rsidTr="00451D7E">
        <w:trPr>
          <w:trHeight w:val="313"/>
        </w:trPr>
        <w:tc>
          <w:tcPr>
            <w:tcW w:w="278" w:type="pct"/>
            <w:shd w:val="clear" w:color="auto" w:fill="auto"/>
            <w:vAlign w:val="center"/>
          </w:tcPr>
          <w:p w14:paraId="3001E3D6" w14:textId="77777777" w:rsidR="00B14519" w:rsidRPr="00781112" w:rsidRDefault="00B14519" w:rsidP="00AD5583">
            <w:pPr>
              <w:rPr>
                <w:rFonts w:cs="Arial"/>
                <w:color w:val="000000" w:themeColor="text1"/>
                <w:szCs w:val="16"/>
              </w:rPr>
            </w:pPr>
            <w:r w:rsidRPr="00781112">
              <w:rPr>
                <w:rFonts w:cs="Arial"/>
                <w:color w:val="000000" w:themeColor="text1"/>
                <w:szCs w:val="16"/>
              </w:rPr>
              <w:t xml:space="preserve">Target </w:t>
            </w:r>
          </w:p>
        </w:tc>
        <w:tc>
          <w:tcPr>
            <w:tcW w:w="895" w:type="pct"/>
            <w:shd w:val="clear" w:color="auto" w:fill="auto"/>
            <w:vAlign w:val="center"/>
          </w:tcPr>
          <w:p w14:paraId="538E5325" w14:textId="0C17771E" w:rsidR="00B14519" w:rsidRPr="00781112" w:rsidRDefault="00B14519" w:rsidP="00AD5583">
            <w:pPr>
              <w:jc w:val="center"/>
              <w:rPr>
                <w:rFonts w:cs="Arial"/>
                <w:color w:val="000000" w:themeColor="text1"/>
                <w:szCs w:val="16"/>
              </w:rPr>
            </w:pPr>
            <w:r w:rsidRPr="00781112">
              <w:rPr>
                <w:rFonts w:cs="Arial"/>
                <w:color w:val="000000" w:themeColor="text1"/>
                <w:szCs w:val="16"/>
              </w:rPr>
              <w:t>0%</w:t>
            </w:r>
          </w:p>
        </w:tc>
        <w:tc>
          <w:tcPr>
            <w:tcW w:w="957" w:type="pct"/>
          </w:tcPr>
          <w:p w14:paraId="5C91471A" w14:textId="351E6F13" w:rsidR="00B14519" w:rsidRPr="00781112" w:rsidRDefault="00B14519" w:rsidP="00AD5583">
            <w:pPr>
              <w:jc w:val="center"/>
              <w:rPr>
                <w:rFonts w:cs="Arial"/>
                <w:color w:val="000000" w:themeColor="text1"/>
                <w:szCs w:val="16"/>
              </w:rPr>
            </w:pPr>
            <w:r w:rsidRPr="00781112">
              <w:rPr>
                <w:color w:val="000000" w:themeColor="text1"/>
                <w:szCs w:val="16"/>
              </w:rPr>
              <w:t>0%</w:t>
            </w:r>
          </w:p>
        </w:tc>
        <w:tc>
          <w:tcPr>
            <w:tcW w:w="957" w:type="pct"/>
          </w:tcPr>
          <w:p w14:paraId="4C61AAA7" w14:textId="75046312" w:rsidR="00B14519" w:rsidRPr="00781112" w:rsidRDefault="00B14519" w:rsidP="00AD5583">
            <w:pPr>
              <w:jc w:val="center"/>
              <w:rPr>
                <w:rFonts w:cs="Arial"/>
                <w:color w:val="000000" w:themeColor="text1"/>
                <w:szCs w:val="16"/>
              </w:rPr>
            </w:pPr>
            <w:r w:rsidRPr="00781112">
              <w:rPr>
                <w:color w:val="000000" w:themeColor="text1"/>
                <w:szCs w:val="16"/>
              </w:rPr>
              <w:t>0%</w:t>
            </w:r>
          </w:p>
        </w:tc>
        <w:tc>
          <w:tcPr>
            <w:tcW w:w="957" w:type="pct"/>
          </w:tcPr>
          <w:p w14:paraId="59DCAC52" w14:textId="3AB87F0D" w:rsidR="00B14519" w:rsidRPr="00781112" w:rsidRDefault="00B14519" w:rsidP="00AD5583">
            <w:pPr>
              <w:jc w:val="center"/>
              <w:rPr>
                <w:rFonts w:cs="Arial"/>
                <w:color w:val="000000" w:themeColor="text1"/>
                <w:szCs w:val="16"/>
              </w:rPr>
            </w:pPr>
            <w:r w:rsidRPr="00781112">
              <w:rPr>
                <w:color w:val="000000" w:themeColor="text1"/>
                <w:szCs w:val="16"/>
              </w:rPr>
              <w:t>0%</w:t>
            </w:r>
          </w:p>
        </w:tc>
        <w:tc>
          <w:tcPr>
            <w:tcW w:w="957" w:type="pct"/>
          </w:tcPr>
          <w:p w14:paraId="01CBB5F6" w14:textId="30E27615" w:rsidR="00B14519" w:rsidRPr="00781112" w:rsidRDefault="00B14519" w:rsidP="00AD5583">
            <w:pPr>
              <w:jc w:val="center"/>
              <w:rPr>
                <w:rFonts w:cs="Arial"/>
                <w:color w:val="000000" w:themeColor="text1"/>
                <w:szCs w:val="16"/>
              </w:rPr>
            </w:pPr>
            <w:r w:rsidRPr="00781112">
              <w:rPr>
                <w:color w:val="000000" w:themeColor="text1"/>
                <w:szCs w:val="16"/>
              </w:rPr>
              <w:t>0%</w:t>
            </w:r>
          </w:p>
        </w:tc>
      </w:tr>
      <w:bookmarkEnd w:id="55"/>
      <w:bookmarkEnd w:id="56"/>
    </w:tbl>
    <w:p w14:paraId="691E65CE" w14:textId="77777777" w:rsidR="007123A2" w:rsidRDefault="007123A2">
      <w:pPr>
        <w:rPr>
          <w:b/>
          <w:color w:val="000000" w:themeColor="text1"/>
        </w:rPr>
      </w:pPr>
    </w:p>
    <w:p w14:paraId="4CB298EA" w14:textId="77777777" w:rsidR="007123A2" w:rsidRDefault="007123A2">
      <w:pPr>
        <w:spacing w:before="0" w:after="200" w:line="276" w:lineRule="auto"/>
        <w:rPr>
          <w:b/>
          <w:color w:val="000000" w:themeColor="text1"/>
        </w:rPr>
      </w:pPr>
      <w:r>
        <w:rPr>
          <w:b/>
          <w:color w:val="000000" w:themeColor="text1"/>
        </w:rPr>
        <w:br w:type="page"/>
      </w:r>
    </w:p>
    <w:p w14:paraId="77101B89" w14:textId="4E346FD2" w:rsidR="00D03701" w:rsidRPr="00781112" w:rsidRDefault="0047313F">
      <w:pPr>
        <w:rPr>
          <w:b/>
          <w:color w:val="000000" w:themeColor="text1"/>
        </w:rPr>
      </w:pPr>
      <w:r>
        <w:rPr>
          <w:b/>
          <w:color w:val="000000" w:themeColor="text1"/>
        </w:rPr>
        <w:lastRenderedPageBreak/>
        <w:t>FFY 2021 SPP/APR Data</w:t>
      </w:r>
    </w:p>
    <w:p w14:paraId="5771AAAE" w14:textId="3421DD27" w:rsidR="003E7FC1" w:rsidRPr="00781112" w:rsidRDefault="003E7FC1">
      <w:pPr>
        <w:rPr>
          <w:rFonts w:cs="Arial"/>
          <w:b/>
          <w:color w:val="000000" w:themeColor="text1"/>
          <w:szCs w:val="16"/>
        </w:rPr>
      </w:pPr>
      <w:r w:rsidRPr="00781112">
        <w:rPr>
          <w:rFonts w:cs="Arial"/>
          <w:b/>
          <w:color w:val="000000" w:themeColor="text1"/>
          <w:szCs w:val="16"/>
        </w:rPr>
        <w:t>Has the state established a minimum n and/or cell size requirement? (yes/no)</w:t>
      </w:r>
    </w:p>
    <w:p w14:paraId="122DE20F" w14:textId="4373CB68" w:rsidR="003E7FC1" w:rsidRPr="00781112" w:rsidRDefault="003E7FC1">
      <w:pPr>
        <w:rPr>
          <w:rFonts w:cs="Arial"/>
          <w:color w:val="000000" w:themeColor="text1"/>
          <w:szCs w:val="16"/>
        </w:rPr>
      </w:pPr>
      <w:r w:rsidRPr="00781112">
        <w:rPr>
          <w:rFonts w:cs="Arial"/>
          <w:color w:val="000000" w:themeColor="text1"/>
          <w:szCs w:val="16"/>
        </w:rPr>
        <w:t>YES</w:t>
      </w:r>
    </w:p>
    <w:p w14:paraId="76B8CAF9" w14:textId="53FE4658" w:rsidR="003E7FC1" w:rsidRPr="00781112" w:rsidRDefault="003E7FC1">
      <w:pPr>
        <w:rPr>
          <w:rFonts w:cs="Arial"/>
          <w:b/>
          <w:color w:val="000000" w:themeColor="text1"/>
          <w:szCs w:val="16"/>
        </w:rPr>
      </w:pPr>
      <w:r w:rsidRPr="00781112">
        <w:rPr>
          <w:rFonts w:cs="Arial"/>
          <w:b/>
          <w:color w:val="000000" w:themeColor="text1"/>
          <w:szCs w:val="16"/>
        </w:rPr>
        <w:t xml:space="preserve">If yes, the State may only include, in both the numerator and the denominator, districts that </w:t>
      </w:r>
      <w:proofErr w:type="gramStart"/>
      <w:r w:rsidRPr="00781112">
        <w:rPr>
          <w:rFonts w:cs="Arial"/>
          <w:b/>
          <w:color w:val="000000" w:themeColor="text1"/>
          <w:szCs w:val="16"/>
        </w:rPr>
        <w:t>met</w:t>
      </w:r>
      <w:proofErr w:type="gramEnd"/>
      <w:r w:rsidRPr="00781112">
        <w:rPr>
          <w:rFonts w:cs="Arial"/>
          <w:b/>
          <w:color w:val="000000" w:themeColor="text1"/>
          <w:szCs w:val="16"/>
        </w:rPr>
        <w:t xml:space="preserve"> the State-established n and/or cell size. Report the number of districts excluded from the calculation </w:t>
      </w:r>
      <w:proofErr w:type="gramStart"/>
      <w:r w:rsidRPr="00781112">
        <w:rPr>
          <w:rFonts w:cs="Arial"/>
          <w:b/>
          <w:color w:val="000000" w:themeColor="text1"/>
          <w:szCs w:val="16"/>
        </w:rPr>
        <w:t>as a result of</w:t>
      </w:r>
      <w:proofErr w:type="gramEnd"/>
      <w:r w:rsidRPr="00781112">
        <w:rPr>
          <w:rFonts w:cs="Arial"/>
          <w:b/>
          <w:color w:val="000000" w:themeColor="text1"/>
          <w:szCs w:val="16"/>
        </w:rPr>
        <w:t xml:space="preserve"> the requirement.</w:t>
      </w:r>
    </w:p>
    <w:p w14:paraId="62270301" w14:textId="20B3D538" w:rsidR="003E7FC1" w:rsidRPr="00781112" w:rsidRDefault="003E7FC1" w:rsidP="004369B2">
      <w:pPr>
        <w:rPr>
          <w:rFonts w:cs="Arial"/>
          <w:color w:val="000000" w:themeColor="text1"/>
          <w:szCs w:val="16"/>
        </w:rPr>
      </w:pPr>
      <w:r w:rsidRPr="00781112">
        <w:rPr>
          <w:rFonts w:cs="Arial"/>
          <w:color w:val="000000" w:themeColor="text1"/>
          <w:szCs w:val="16"/>
        </w:rPr>
        <w:t>17</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9CFFYAPRDATA"/>
      </w:tblPr>
      <w:tblGrid>
        <w:gridCol w:w="1488"/>
        <w:gridCol w:w="1488"/>
        <w:gridCol w:w="1709"/>
        <w:gridCol w:w="1079"/>
        <w:gridCol w:w="1627"/>
        <w:gridCol w:w="970"/>
        <w:gridCol w:w="1235"/>
        <w:gridCol w:w="1194"/>
      </w:tblGrid>
      <w:tr w:rsidR="00206A65" w:rsidRPr="00781112" w14:paraId="53F272CD" w14:textId="23013B7B" w:rsidTr="002B4D97">
        <w:trPr>
          <w:trHeight w:val="354"/>
          <w:jc w:val="center"/>
        </w:trPr>
        <w:tc>
          <w:tcPr>
            <w:tcW w:w="652" w:type="pct"/>
            <w:shd w:val="clear" w:color="auto" w:fill="auto"/>
            <w:vAlign w:val="bottom"/>
          </w:tcPr>
          <w:p w14:paraId="18E013DB" w14:textId="1E730C58" w:rsidR="00206A65" w:rsidRPr="00781112" w:rsidRDefault="00206A65" w:rsidP="00206A65">
            <w:pPr>
              <w:jc w:val="center"/>
              <w:rPr>
                <w:b/>
                <w:color w:val="000000" w:themeColor="text1"/>
              </w:rPr>
            </w:pPr>
            <w:r w:rsidRPr="00781112">
              <w:rPr>
                <w:b/>
                <w:color w:val="000000" w:themeColor="text1"/>
              </w:rPr>
              <w:t>Number of districts with disproportionate representation of racial/ethnic groups in special education and related services</w:t>
            </w:r>
          </w:p>
        </w:tc>
        <w:tc>
          <w:tcPr>
            <w:tcW w:w="583" w:type="pct"/>
            <w:shd w:val="clear" w:color="auto" w:fill="auto"/>
            <w:vAlign w:val="bottom"/>
          </w:tcPr>
          <w:p w14:paraId="67667553" w14:textId="3EAD48D0" w:rsidR="00206A65" w:rsidRPr="00781112" w:rsidRDefault="00206A65" w:rsidP="00206A65">
            <w:pPr>
              <w:jc w:val="center"/>
              <w:rPr>
                <w:b/>
                <w:color w:val="000000" w:themeColor="text1"/>
              </w:rPr>
            </w:pPr>
            <w:r w:rsidRPr="00781112">
              <w:rPr>
                <w:b/>
                <w:color w:val="000000" w:themeColor="text1"/>
              </w:rPr>
              <w:t>Number of districts with disproportionate representation of racial/ethnic groups in special education and related services that is the result of inappropriate identification</w:t>
            </w:r>
          </w:p>
        </w:tc>
        <w:tc>
          <w:tcPr>
            <w:tcW w:w="816" w:type="pct"/>
            <w:shd w:val="clear" w:color="auto" w:fill="auto"/>
            <w:vAlign w:val="bottom"/>
          </w:tcPr>
          <w:p w14:paraId="33AFFA6F" w14:textId="7F185165" w:rsidR="00206A65" w:rsidRPr="00781112" w:rsidRDefault="00206A65" w:rsidP="00206A65">
            <w:pPr>
              <w:jc w:val="center"/>
              <w:rPr>
                <w:b/>
                <w:color w:val="000000" w:themeColor="text1"/>
              </w:rPr>
            </w:pPr>
            <w:r w:rsidRPr="00781112">
              <w:rPr>
                <w:b/>
                <w:color w:val="000000" w:themeColor="text1"/>
              </w:rPr>
              <w:t>Number of districts that met the State's minimum n and/or cell size</w:t>
            </w:r>
          </w:p>
        </w:tc>
        <w:tc>
          <w:tcPr>
            <w:tcW w:w="524" w:type="pct"/>
            <w:shd w:val="clear" w:color="auto" w:fill="auto"/>
            <w:vAlign w:val="bottom"/>
          </w:tcPr>
          <w:p w14:paraId="600C49E0" w14:textId="6AF116EC" w:rsidR="00206A65" w:rsidRPr="00CC1061" w:rsidRDefault="00206A65" w:rsidP="00206A65">
            <w:pPr>
              <w:jc w:val="center"/>
              <w:rPr>
                <w:b/>
                <w:bCs/>
                <w:color w:val="000000" w:themeColor="text1"/>
              </w:rPr>
            </w:pPr>
            <w:r w:rsidRPr="00CC1061">
              <w:rPr>
                <w:b/>
                <w:bCs/>
              </w:rPr>
              <w:t>FFY 2020 Data</w:t>
            </w:r>
          </w:p>
        </w:tc>
        <w:tc>
          <w:tcPr>
            <w:tcW w:w="778" w:type="pct"/>
            <w:shd w:val="clear" w:color="auto" w:fill="auto"/>
            <w:vAlign w:val="bottom"/>
          </w:tcPr>
          <w:p w14:paraId="1B6D5875" w14:textId="08919282" w:rsidR="00206A65" w:rsidRPr="00CC1061" w:rsidRDefault="00206A65" w:rsidP="00206A65">
            <w:pPr>
              <w:jc w:val="center"/>
              <w:rPr>
                <w:b/>
                <w:bCs/>
                <w:color w:val="000000" w:themeColor="text1"/>
              </w:rPr>
            </w:pPr>
            <w:r w:rsidRPr="00CC1061">
              <w:rPr>
                <w:b/>
                <w:bCs/>
              </w:rPr>
              <w:t>FFY 2021 Target</w:t>
            </w:r>
          </w:p>
        </w:tc>
        <w:tc>
          <w:tcPr>
            <w:tcW w:w="473" w:type="pct"/>
            <w:shd w:val="clear" w:color="auto" w:fill="auto"/>
            <w:vAlign w:val="bottom"/>
          </w:tcPr>
          <w:p w14:paraId="33B20FA6" w14:textId="53AE2B97" w:rsidR="00206A65" w:rsidRPr="00CC1061" w:rsidRDefault="00206A65" w:rsidP="00206A65">
            <w:pPr>
              <w:jc w:val="center"/>
              <w:rPr>
                <w:b/>
                <w:bCs/>
                <w:color w:val="000000" w:themeColor="text1"/>
              </w:rPr>
            </w:pPr>
            <w:r w:rsidRPr="00CC1061">
              <w:rPr>
                <w:b/>
                <w:bCs/>
              </w:rPr>
              <w:t>FFY 2021 Data</w:t>
            </w:r>
          </w:p>
        </w:tc>
        <w:tc>
          <w:tcPr>
            <w:tcW w:w="596" w:type="pct"/>
            <w:shd w:val="clear" w:color="auto" w:fill="auto"/>
            <w:vAlign w:val="bottom"/>
          </w:tcPr>
          <w:p w14:paraId="7561FBFF" w14:textId="5BCCF9DB" w:rsidR="00206A65" w:rsidRPr="00781112" w:rsidRDefault="00206A65" w:rsidP="00206A65">
            <w:pPr>
              <w:jc w:val="center"/>
              <w:rPr>
                <w:b/>
                <w:color w:val="000000" w:themeColor="text1"/>
              </w:rPr>
            </w:pPr>
            <w:r w:rsidRPr="00781112">
              <w:rPr>
                <w:b/>
                <w:color w:val="000000" w:themeColor="text1"/>
              </w:rPr>
              <w:t>Status</w:t>
            </w:r>
          </w:p>
        </w:tc>
        <w:tc>
          <w:tcPr>
            <w:tcW w:w="577" w:type="pct"/>
            <w:shd w:val="clear" w:color="auto" w:fill="auto"/>
            <w:vAlign w:val="bottom"/>
          </w:tcPr>
          <w:p w14:paraId="0153B20F" w14:textId="69571E1B" w:rsidR="00206A65" w:rsidRPr="00781112" w:rsidRDefault="00206A65" w:rsidP="00206A65">
            <w:pPr>
              <w:jc w:val="center"/>
              <w:rPr>
                <w:b/>
                <w:color w:val="000000" w:themeColor="text1"/>
              </w:rPr>
            </w:pPr>
            <w:r w:rsidRPr="00781112">
              <w:rPr>
                <w:b/>
                <w:color w:val="000000" w:themeColor="text1"/>
              </w:rPr>
              <w:t>Slippage</w:t>
            </w:r>
          </w:p>
        </w:tc>
      </w:tr>
      <w:tr w:rsidR="005C29F8" w:rsidRPr="00781112" w14:paraId="57CF8532" w14:textId="02E28ACC" w:rsidTr="002B4D97">
        <w:trPr>
          <w:trHeight w:val="361"/>
          <w:jc w:val="center"/>
        </w:trPr>
        <w:tc>
          <w:tcPr>
            <w:tcW w:w="652" w:type="pct"/>
            <w:shd w:val="clear" w:color="auto" w:fill="auto"/>
            <w:vAlign w:val="center"/>
          </w:tcPr>
          <w:p w14:paraId="172AFDD0" w14:textId="0A73037E" w:rsidR="004B2A77" w:rsidRPr="00781112" w:rsidRDefault="004B2A77" w:rsidP="00A018D4">
            <w:pPr>
              <w:jc w:val="center"/>
              <w:rPr>
                <w:rFonts w:cs="Arial"/>
                <w:color w:val="000000" w:themeColor="text1"/>
                <w:szCs w:val="16"/>
              </w:rPr>
            </w:pPr>
            <w:r w:rsidRPr="00781112">
              <w:rPr>
                <w:rFonts w:cs="Arial"/>
                <w:color w:val="000000" w:themeColor="text1"/>
                <w:szCs w:val="16"/>
              </w:rPr>
              <w:t>10</w:t>
            </w:r>
          </w:p>
        </w:tc>
        <w:tc>
          <w:tcPr>
            <w:tcW w:w="583" w:type="pct"/>
            <w:shd w:val="clear" w:color="auto" w:fill="auto"/>
            <w:vAlign w:val="center"/>
          </w:tcPr>
          <w:p w14:paraId="6757D825" w14:textId="1A92A410" w:rsidR="004B2A77" w:rsidRPr="00781112" w:rsidRDefault="004B2A77" w:rsidP="00A018D4">
            <w:pPr>
              <w:jc w:val="center"/>
              <w:rPr>
                <w:rFonts w:cs="Arial"/>
                <w:color w:val="000000" w:themeColor="text1"/>
                <w:szCs w:val="16"/>
              </w:rPr>
            </w:pPr>
            <w:r w:rsidRPr="00781112">
              <w:rPr>
                <w:rFonts w:cs="Arial"/>
                <w:color w:val="000000" w:themeColor="text1"/>
                <w:szCs w:val="16"/>
              </w:rPr>
              <w:t>2</w:t>
            </w:r>
          </w:p>
        </w:tc>
        <w:tc>
          <w:tcPr>
            <w:tcW w:w="816" w:type="pct"/>
            <w:shd w:val="clear" w:color="auto" w:fill="auto"/>
          </w:tcPr>
          <w:p w14:paraId="5A5C0509" w14:textId="06ACAFFD" w:rsidR="004B2A77" w:rsidRPr="00781112" w:rsidRDefault="004B2A77" w:rsidP="00A018D4">
            <w:pPr>
              <w:jc w:val="center"/>
              <w:rPr>
                <w:rFonts w:cs="Arial"/>
                <w:color w:val="000000" w:themeColor="text1"/>
                <w:szCs w:val="16"/>
              </w:rPr>
            </w:pPr>
            <w:r w:rsidRPr="00781112">
              <w:rPr>
                <w:rFonts w:cs="Arial"/>
                <w:color w:val="000000" w:themeColor="text1"/>
                <w:szCs w:val="16"/>
              </w:rPr>
              <w:t>139</w:t>
            </w:r>
          </w:p>
        </w:tc>
        <w:tc>
          <w:tcPr>
            <w:tcW w:w="524" w:type="pct"/>
            <w:shd w:val="clear" w:color="auto" w:fill="auto"/>
          </w:tcPr>
          <w:p w14:paraId="5124C23D" w14:textId="44EC7AED" w:rsidR="004B2A77" w:rsidRPr="00781112" w:rsidRDefault="004B2A77" w:rsidP="00A018D4">
            <w:pPr>
              <w:jc w:val="center"/>
              <w:rPr>
                <w:rFonts w:cs="Arial"/>
                <w:color w:val="000000" w:themeColor="text1"/>
                <w:szCs w:val="16"/>
              </w:rPr>
            </w:pPr>
            <w:r w:rsidRPr="00781112">
              <w:rPr>
                <w:rFonts w:cs="Arial"/>
                <w:color w:val="000000" w:themeColor="text1"/>
                <w:szCs w:val="16"/>
              </w:rPr>
              <w:t>0.00%</w:t>
            </w:r>
          </w:p>
        </w:tc>
        <w:tc>
          <w:tcPr>
            <w:tcW w:w="778" w:type="pct"/>
            <w:shd w:val="clear" w:color="auto" w:fill="auto"/>
          </w:tcPr>
          <w:p w14:paraId="60374E05" w14:textId="3E7E167C" w:rsidR="004B2A77" w:rsidRPr="00781112" w:rsidRDefault="009C65E9" w:rsidP="00A018D4">
            <w:pPr>
              <w:jc w:val="center"/>
              <w:rPr>
                <w:rFonts w:cs="Arial"/>
                <w:color w:val="000000" w:themeColor="text1"/>
                <w:szCs w:val="16"/>
              </w:rPr>
            </w:pPr>
            <w:r w:rsidRPr="00781112">
              <w:rPr>
                <w:rFonts w:cs="Arial"/>
                <w:color w:val="000000" w:themeColor="text1"/>
                <w:szCs w:val="16"/>
              </w:rPr>
              <w:t>0%</w:t>
            </w:r>
          </w:p>
        </w:tc>
        <w:tc>
          <w:tcPr>
            <w:tcW w:w="473" w:type="pct"/>
            <w:shd w:val="clear" w:color="auto" w:fill="auto"/>
          </w:tcPr>
          <w:p w14:paraId="4C77CACE" w14:textId="610C95DA" w:rsidR="004B2A77" w:rsidRPr="00781112" w:rsidRDefault="004B2A77" w:rsidP="00A018D4">
            <w:pPr>
              <w:jc w:val="center"/>
              <w:rPr>
                <w:rFonts w:cs="Arial"/>
                <w:color w:val="000000" w:themeColor="text1"/>
                <w:szCs w:val="16"/>
              </w:rPr>
            </w:pPr>
            <w:r w:rsidRPr="00781112">
              <w:rPr>
                <w:rFonts w:cs="Arial"/>
                <w:color w:val="000000" w:themeColor="text1"/>
                <w:szCs w:val="16"/>
              </w:rPr>
              <w:t>1.44%</w:t>
            </w:r>
          </w:p>
        </w:tc>
        <w:tc>
          <w:tcPr>
            <w:tcW w:w="596" w:type="pct"/>
            <w:shd w:val="clear" w:color="auto" w:fill="auto"/>
          </w:tcPr>
          <w:p w14:paraId="58A781DA" w14:textId="678D3288" w:rsidR="004B2A77" w:rsidRPr="00781112" w:rsidRDefault="004B2A77" w:rsidP="00A018D4">
            <w:pPr>
              <w:jc w:val="center"/>
              <w:rPr>
                <w:rFonts w:cs="Arial"/>
                <w:color w:val="000000" w:themeColor="text1"/>
                <w:szCs w:val="16"/>
              </w:rPr>
            </w:pPr>
            <w:r w:rsidRPr="00781112">
              <w:rPr>
                <w:rFonts w:cs="Arial"/>
                <w:color w:val="000000" w:themeColor="text1"/>
                <w:szCs w:val="16"/>
              </w:rPr>
              <w:t>N/A</w:t>
            </w:r>
          </w:p>
        </w:tc>
        <w:tc>
          <w:tcPr>
            <w:tcW w:w="577" w:type="pct"/>
            <w:shd w:val="clear" w:color="auto" w:fill="auto"/>
          </w:tcPr>
          <w:p w14:paraId="47F36111" w14:textId="3F2C8DFF" w:rsidR="004B2A77" w:rsidRPr="00781112" w:rsidRDefault="004B2A77" w:rsidP="00A018D4">
            <w:pPr>
              <w:jc w:val="center"/>
              <w:rPr>
                <w:rFonts w:cs="Arial"/>
                <w:color w:val="000000" w:themeColor="text1"/>
                <w:szCs w:val="16"/>
              </w:rPr>
            </w:pPr>
            <w:r w:rsidRPr="00781112">
              <w:rPr>
                <w:rFonts w:cs="Arial"/>
                <w:color w:val="000000" w:themeColor="text1"/>
                <w:szCs w:val="16"/>
              </w:rPr>
              <w:t>N/A</w:t>
            </w:r>
          </w:p>
        </w:tc>
      </w:tr>
    </w:tbl>
    <w:p w14:paraId="220899ED" w14:textId="09CDAC50" w:rsidR="003E7FC1" w:rsidRPr="00781112" w:rsidRDefault="00955FDB" w:rsidP="007D435F">
      <w:pPr>
        <w:rPr>
          <w:rFonts w:cs="Arial"/>
          <w:b/>
          <w:color w:val="000000" w:themeColor="text1"/>
          <w:szCs w:val="16"/>
        </w:rPr>
      </w:pPr>
      <w:r w:rsidRPr="00781112">
        <w:rPr>
          <w:rFonts w:cs="Arial"/>
          <w:b/>
          <w:color w:val="000000" w:themeColor="text1"/>
          <w:szCs w:val="16"/>
        </w:rPr>
        <w:t xml:space="preserve">Were all races and ethnicities included in the review? </w:t>
      </w:r>
    </w:p>
    <w:p w14:paraId="64B5C6B5" w14:textId="17D64090" w:rsidR="003E7FC1" w:rsidRPr="00781112" w:rsidRDefault="003E7FC1" w:rsidP="007D435F">
      <w:pPr>
        <w:rPr>
          <w:rFonts w:cs="Arial"/>
          <w:color w:val="000000" w:themeColor="text1"/>
          <w:szCs w:val="16"/>
        </w:rPr>
      </w:pPr>
      <w:r w:rsidRPr="00781112">
        <w:rPr>
          <w:rFonts w:cs="Arial"/>
          <w:color w:val="000000" w:themeColor="text1"/>
          <w:szCs w:val="16"/>
        </w:rPr>
        <w:t>YES</w:t>
      </w:r>
    </w:p>
    <w:p w14:paraId="6A959542" w14:textId="25AC6B55" w:rsidR="00030B45" w:rsidRPr="00781112" w:rsidRDefault="000F256B" w:rsidP="004369B2">
      <w:pPr>
        <w:rPr>
          <w:b/>
          <w:color w:val="000000" w:themeColor="text1"/>
        </w:rPr>
      </w:pPr>
      <w:r w:rsidRPr="00781112">
        <w:rPr>
          <w:b/>
          <w:color w:val="000000" w:themeColor="text1"/>
        </w:rPr>
        <w:t xml:space="preserve">Define “disproportionate representation.” Please specify in your definition: 1) the calculation method(s) being used (i.e., risk ratio, weighted risk ratio, e-formula, etc.); and 2) the threshold at which disproportionate representation is identified. Also include, as appropriate, 3) the number of years of data used in the calculation; and 4) any minimum cell and/or n-sizes (i.e., risk numerator and/or risk denominator). </w:t>
      </w:r>
    </w:p>
    <w:p w14:paraId="6885C863" w14:textId="66F69B19" w:rsidR="009B37A2" w:rsidRPr="00781112" w:rsidRDefault="002B7490" w:rsidP="00CE1CE8">
      <w:pPr>
        <w:rPr>
          <w:rFonts w:cs="Arial"/>
          <w:color w:val="000000" w:themeColor="text1"/>
          <w:szCs w:val="16"/>
        </w:rPr>
      </w:pPr>
      <w:bookmarkStart w:id="57" w:name="_Hlk494459610"/>
      <w:r w:rsidRPr="00781112">
        <w:rPr>
          <w:rFonts w:cs="Arial"/>
          <w:color w:val="000000" w:themeColor="text1"/>
          <w:szCs w:val="16"/>
        </w:rPr>
        <w:t>Disproportionate representation is a weighted risk ratio of 3.00 or above. One year of data is used for this calculation. For all analysis group and comparison group calculations, the minimum cell size (the numerator) is five, and the minimum n-size (the denominator) is 10.</w:t>
      </w:r>
      <w:r w:rsidRPr="00781112">
        <w:rPr>
          <w:rFonts w:cs="Arial"/>
          <w:color w:val="000000" w:themeColor="text1"/>
          <w:szCs w:val="16"/>
        </w:rPr>
        <w:br/>
      </w:r>
      <w:r w:rsidRPr="00781112">
        <w:rPr>
          <w:rFonts w:cs="Arial"/>
          <w:color w:val="000000" w:themeColor="text1"/>
          <w:szCs w:val="16"/>
        </w:rPr>
        <w:br/>
        <w:t>Using school year (SY) 2021–2022 data, the USBE SES calculated a weighted risk ratio for every racial/ethnic group in each LEA in the State based on the identification rates in each of 156 LEAs. Of these 156 LEAs, 139 met the minimum n- and cell size requirements to receive a final weighted risk ratio. If an LEA's weighted risk ratio exceeded the 3.00 threshold for racial/ethnic groups that had five or more students with disabilities (cell size) and 10 or more total students enrolled (n-size) in the LEA with the comparison group (all other racial/ethnic groups combined) also having five or more students with disabilities (cell size) and 10 or more total students enrolled (n-size) in the LEA, the LEA was identified for disproportionate representation.</w:t>
      </w:r>
    </w:p>
    <w:bookmarkEnd w:id="57"/>
    <w:p w14:paraId="7574A63E" w14:textId="34AB5613" w:rsidR="000F256B" w:rsidRPr="00781112" w:rsidRDefault="000F256B" w:rsidP="004369B2">
      <w:pPr>
        <w:rPr>
          <w:b/>
          <w:color w:val="000000" w:themeColor="text1"/>
        </w:rPr>
      </w:pPr>
      <w:r w:rsidRPr="00781112">
        <w:rPr>
          <w:b/>
          <w:color w:val="000000" w:themeColor="text1"/>
        </w:rPr>
        <w:t>Describe how the State made its annual determination as to whether the disproportionate representation it identified of racial and ethnic groups in special education and related services was the result of inappropriate identification.</w:t>
      </w:r>
    </w:p>
    <w:p w14:paraId="43771B17" w14:textId="1EE1B86A" w:rsidR="009B37A2" w:rsidRPr="00781112" w:rsidRDefault="002B7490" w:rsidP="003817C0">
      <w:pPr>
        <w:rPr>
          <w:rFonts w:cs="Arial"/>
          <w:color w:val="000000" w:themeColor="text1"/>
          <w:szCs w:val="16"/>
        </w:rPr>
      </w:pPr>
      <w:r w:rsidRPr="00781112">
        <w:rPr>
          <w:rFonts w:cs="Arial"/>
          <w:color w:val="000000" w:themeColor="text1"/>
          <w:szCs w:val="16"/>
        </w:rPr>
        <w:t>All LEAs flagged for disproportionate representation were required to complete a pilot self-assessment to determine if the disproportionate representation was due to inappropriate identification. This included a review of the LEA's policies, procedures, and practices related to referral, evaluation, and eligibility determination, as well as individual student record reviews regarding evaluation and eligibility determination measures taken for students in the flagged group(s). LEAs were determined to have disproportionate representation as the result of inappropriate identification when any level of noncompliance was identified by the USBE SES during the review of their self-assessments. The LEAs were also issued written findings of noncompliance. The findings identified the specific area(s) the LEAs were noncompliant in and provided corresponding regulation. The LEAs have been required to revise policies, procedures, and/or practices related to the development and implementation of eligibility and IEP documents. Within one year of identification, all corrections will be verified through individual student file reviews to ensure 100% compliance. To determine whether the LEAs are subsequently implementing regulatory requirements, the USBE SES will review a sample of additional student files and will provide training as necessary. The USBE SES will report on the findings of noncompliance in the FFY 2022 SPP/APR.</w:t>
      </w:r>
    </w:p>
    <w:p w14:paraId="3B71A72A" w14:textId="77777777" w:rsidR="00DF1529" w:rsidRPr="00781112" w:rsidRDefault="00DF1529" w:rsidP="00DF1529">
      <w:pPr>
        <w:rPr>
          <w:rFonts w:cs="Arial"/>
          <w:b/>
          <w:color w:val="000000" w:themeColor="text1"/>
          <w:szCs w:val="16"/>
        </w:rPr>
      </w:pPr>
      <w:bookmarkStart w:id="58" w:name="_Toc381956337"/>
      <w:bookmarkStart w:id="59" w:name="_Toc384383347"/>
      <w:bookmarkStart w:id="60" w:name="_Toc392159315"/>
      <w:r w:rsidRPr="00781112">
        <w:rPr>
          <w:rFonts w:cs="Arial"/>
          <w:b/>
          <w:color w:val="000000" w:themeColor="text1"/>
          <w:szCs w:val="16"/>
        </w:rPr>
        <w:t>Provide additional information about this indicator (optional)</w:t>
      </w:r>
    </w:p>
    <w:p w14:paraId="0CC85C5C" w14:textId="196142DC" w:rsidR="009B37A2" w:rsidRPr="00781112" w:rsidRDefault="002B7490" w:rsidP="007D435F">
      <w:pPr>
        <w:rPr>
          <w:rFonts w:cs="Arial"/>
          <w:color w:val="000000" w:themeColor="text1"/>
          <w:szCs w:val="16"/>
        </w:rPr>
      </w:pPr>
      <w:r w:rsidRPr="00781112">
        <w:rPr>
          <w:rFonts w:cs="Arial"/>
          <w:color w:val="000000" w:themeColor="text1"/>
          <w:szCs w:val="16"/>
        </w:rPr>
        <w:t>The USBE SES worked directly with IDC to improve and update the Indicator 9 process. The change in process required a revised baseline for consistency with the updated method. As part of the process change, the USBE SES developed a pilot self-assessment that LEAs flagged for disproportionate representation were required to complete.</w:t>
      </w:r>
      <w:r w:rsidRPr="00781112">
        <w:rPr>
          <w:rFonts w:cs="Arial"/>
          <w:color w:val="000000" w:themeColor="text1"/>
          <w:szCs w:val="16"/>
        </w:rPr>
        <w:br/>
      </w:r>
      <w:r w:rsidRPr="00781112">
        <w:rPr>
          <w:rFonts w:cs="Arial"/>
          <w:color w:val="000000" w:themeColor="text1"/>
          <w:szCs w:val="16"/>
        </w:rPr>
        <w:br/>
        <w:t>OSEP previously asked the USBE SES to clarify whether, in circumstances where the USBE SES is unable to verify correction of noncompliance consistent with OSEP Memo 09-02 within the three-week window, findings are issued to LEAs regardless of the level of noncompliance identified.</w:t>
      </w:r>
      <w:r w:rsidRPr="00781112">
        <w:rPr>
          <w:rFonts w:cs="Arial"/>
          <w:color w:val="000000" w:themeColor="text1"/>
          <w:szCs w:val="16"/>
        </w:rPr>
        <w:br/>
        <w:t>• The USBE SES has not identified noncompliance with Indicator 9 that has required verification of correction and the issuance of findings.</w:t>
      </w:r>
      <w:r w:rsidRPr="00781112">
        <w:rPr>
          <w:rFonts w:cs="Arial"/>
          <w:color w:val="000000" w:themeColor="text1"/>
          <w:szCs w:val="16"/>
        </w:rPr>
        <w:br/>
        <w:t>• If the USBE SES had identified noncompliance for Indicator 9, and had been unable to verify correction within the three-week window, the USBE SES would have issued findings for all areas below 100% compliant.</w:t>
      </w:r>
      <w:r w:rsidRPr="00781112">
        <w:rPr>
          <w:rFonts w:cs="Arial"/>
          <w:color w:val="000000" w:themeColor="text1"/>
          <w:szCs w:val="16"/>
        </w:rPr>
        <w:br/>
        <w:t>• The USBE SES previously used a three-week window for correction before issuing findings of noncompliance. This is no longer a part of our policies, procedures, or practices. Written findings of noncompliance are issued for all areas below 100% compliant within 90 days of identification.</w:t>
      </w:r>
    </w:p>
    <w:p w14:paraId="1FEDA55E" w14:textId="77777777" w:rsidR="00F14FC6" w:rsidRPr="00781112" w:rsidRDefault="00F14FC6" w:rsidP="004369B2">
      <w:pPr>
        <w:rPr>
          <w:color w:val="000000" w:themeColor="text1"/>
        </w:rPr>
      </w:pPr>
    </w:p>
    <w:p w14:paraId="69DF7E10" w14:textId="5BCB19B1" w:rsidR="009A755E" w:rsidRPr="00781112" w:rsidRDefault="00450F98" w:rsidP="004369B2">
      <w:pPr>
        <w:rPr>
          <w:color w:val="000000" w:themeColor="text1"/>
        </w:rPr>
      </w:pPr>
      <w:r>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B09PFFYNCFINDINGS"/>
      </w:tblPr>
      <w:tblGrid>
        <w:gridCol w:w="2650"/>
        <w:gridCol w:w="2780"/>
        <w:gridCol w:w="2656"/>
        <w:gridCol w:w="2704"/>
      </w:tblGrid>
      <w:tr w:rsidR="005C29F8" w:rsidRPr="00781112" w14:paraId="435C2E3A" w14:textId="77777777" w:rsidTr="004671FF">
        <w:trPr>
          <w:trHeight w:val="389"/>
          <w:tblHeader/>
        </w:trPr>
        <w:tc>
          <w:tcPr>
            <w:tcW w:w="1228" w:type="pct"/>
            <w:shd w:val="clear" w:color="auto" w:fill="auto"/>
            <w:vAlign w:val="bottom"/>
          </w:tcPr>
          <w:p w14:paraId="3DF4178F"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Identified</w:t>
            </w:r>
          </w:p>
        </w:tc>
        <w:tc>
          <w:tcPr>
            <w:tcW w:w="1288" w:type="pct"/>
            <w:shd w:val="clear" w:color="auto" w:fill="auto"/>
            <w:vAlign w:val="bottom"/>
          </w:tcPr>
          <w:p w14:paraId="5838AA6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31" w:type="pct"/>
            <w:shd w:val="clear" w:color="auto" w:fill="auto"/>
            <w:vAlign w:val="bottom"/>
          </w:tcPr>
          <w:p w14:paraId="10EF23D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254" w:type="pct"/>
            <w:shd w:val="clear" w:color="auto" w:fill="auto"/>
            <w:vAlign w:val="bottom"/>
          </w:tcPr>
          <w:p w14:paraId="413FB053"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764124D7" w14:textId="77777777" w:rsidTr="004671FF">
        <w:tc>
          <w:tcPr>
            <w:tcW w:w="1228" w:type="pct"/>
            <w:shd w:val="clear" w:color="auto" w:fill="auto"/>
          </w:tcPr>
          <w:p w14:paraId="42664B40" w14:textId="26FCEE8E"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88" w:type="pct"/>
            <w:shd w:val="clear" w:color="auto" w:fill="auto"/>
          </w:tcPr>
          <w:p w14:paraId="6961AA78" w14:textId="6F435E76"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31" w:type="pct"/>
            <w:shd w:val="clear" w:color="auto" w:fill="auto"/>
          </w:tcPr>
          <w:p w14:paraId="62D59DBA" w14:textId="3A100C9A"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54" w:type="pct"/>
            <w:shd w:val="clear" w:color="auto" w:fill="auto"/>
          </w:tcPr>
          <w:p w14:paraId="3810C422" w14:textId="3AC4106C"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r>
    </w:tbl>
    <w:p w14:paraId="47600374" w14:textId="77777777" w:rsidR="00F5391D" w:rsidRPr="00781112" w:rsidRDefault="00F5391D" w:rsidP="004369B2">
      <w:pPr>
        <w:rPr>
          <w:color w:val="000000" w:themeColor="text1"/>
        </w:rPr>
      </w:pPr>
    </w:p>
    <w:p w14:paraId="13CB249C" w14:textId="77777777" w:rsidR="007123A2" w:rsidRDefault="007123A2">
      <w:pPr>
        <w:spacing w:before="0" w:after="200" w:line="276" w:lineRule="auto"/>
        <w:rPr>
          <w:b/>
          <w:color w:val="000000" w:themeColor="text1"/>
        </w:rPr>
      </w:pPr>
      <w:r>
        <w:rPr>
          <w:b/>
          <w:color w:val="000000" w:themeColor="text1"/>
        </w:rPr>
        <w:br w:type="page"/>
      </w:r>
    </w:p>
    <w:p w14:paraId="287CA0E8" w14:textId="7AA129BD" w:rsidR="009A755E" w:rsidRPr="00781112" w:rsidRDefault="00450F98" w:rsidP="004369B2">
      <w:pPr>
        <w:rPr>
          <w:color w:val="000000" w:themeColor="text1"/>
        </w:rPr>
      </w:pPr>
      <w:r>
        <w:rPr>
          <w:b/>
          <w:color w:val="000000" w:themeColor="text1"/>
        </w:rPr>
        <w:lastRenderedPageBreak/>
        <w:t>Correction of Findings of Noncompliance Identified Prior to FFY 2020</w:t>
      </w:r>
    </w:p>
    <w:tbl>
      <w:tblPr>
        <w:tblStyle w:val="TableGrid"/>
        <w:tblW w:w="5000" w:type="pct"/>
        <w:tblLook w:val="04A0" w:firstRow="1" w:lastRow="0" w:firstColumn="1" w:lastColumn="0" w:noHBand="0" w:noVBand="1"/>
        <w:tblCaption w:val="B09PPFFYNCFINDINGS"/>
      </w:tblPr>
      <w:tblGrid>
        <w:gridCol w:w="1888"/>
        <w:gridCol w:w="3133"/>
        <w:gridCol w:w="3123"/>
        <w:gridCol w:w="2646"/>
      </w:tblGrid>
      <w:tr w:rsidR="005C29F8" w:rsidRPr="00781112" w14:paraId="45BB80A1" w14:textId="77777777" w:rsidTr="000E4061">
        <w:trPr>
          <w:tblHeader/>
        </w:trPr>
        <w:tc>
          <w:tcPr>
            <w:tcW w:w="875" w:type="pct"/>
            <w:shd w:val="clear" w:color="auto" w:fill="auto"/>
            <w:vAlign w:val="bottom"/>
          </w:tcPr>
          <w:p w14:paraId="5035B654" w14:textId="11C86A56" w:rsidR="009A755E" w:rsidRPr="00781112" w:rsidRDefault="003A4027" w:rsidP="009A755E">
            <w:pPr>
              <w:jc w:val="center"/>
              <w:rPr>
                <w:rFonts w:cs="Arial"/>
                <w:b/>
                <w:color w:val="000000" w:themeColor="text1"/>
                <w:szCs w:val="16"/>
              </w:rPr>
            </w:pPr>
            <w:r w:rsidRPr="00781112">
              <w:rPr>
                <w:rFonts w:cs="Arial"/>
                <w:b/>
                <w:color w:val="000000" w:themeColor="text1"/>
                <w:szCs w:val="16"/>
              </w:rPr>
              <w:t>Year Findings of Noncompliance Were Identified</w:t>
            </w:r>
          </w:p>
        </w:tc>
        <w:tc>
          <w:tcPr>
            <w:tcW w:w="1452" w:type="pct"/>
            <w:shd w:val="clear" w:color="auto" w:fill="auto"/>
            <w:vAlign w:val="bottom"/>
          </w:tcPr>
          <w:p w14:paraId="37A08A62" w14:textId="5B0E5317" w:rsidR="009A755E" w:rsidRPr="00781112" w:rsidRDefault="00450F98" w:rsidP="009A755E">
            <w:pPr>
              <w:jc w:val="center"/>
              <w:rPr>
                <w:rFonts w:cs="Arial"/>
                <w:b/>
                <w:color w:val="000000" w:themeColor="text1"/>
                <w:szCs w:val="16"/>
              </w:rPr>
            </w:pPr>
            <w:r>
              <w:rPr>
                <w:rFonts w:cs="Arial"/>
                <w:b/>
                <w:color w:val="000000" w:themeColor="text1"/>
                <w:szCs w:val="16"/>
              </w:rPr>
              <w:t>Findings of Noncompliance Not Yet Verified as Corrected as of FFY 2020 APR</w:t>
            </w:r>
          </w:p>
        </w:tc>
        <w:tc>
          <w:tcPr>
            <w:tcW w:w="1447" w:type="pct"/>
            <w:shd w:val="clear" w:color="auto" w:fill="auto"/>
            <w:vAlign w:val="bottom"/>
          </w:tcPr>
          <w:p w14:paraId="24E9B196"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226" w:type="pct"/>
            <w:shd w:val="clear" w:color="auto" w:fill="auto"/>
            <w:vAlign w:val="bottom"/>
          </w:tcPr>
          <w:p w14:paraId="344E951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5988805E" w14:textId="77777777" w:rsidTr="000E4061">
        <w:tc>
          <w:tcPr>
            <w:tcW w:w="875" w:type="pct"/>
            <w:shd w:val="clear" w:color="auto" w:fill="auto"/>
          </w:tcPr>
          <w:p w14:paraId="45428D6F" w14:textId="7D4EAEAA" w:rsidR="009A755E" w:rsidRPr="00781112" w:rsidRDefault="009A755E" w:rsidP="00A018D4">
            <w:pPr>
              <w:jc w:val="center"/>
              <w:rPr>
                <w:rFonts w:cs="Arial"/>
                <w:color w:val="000000" w:themeColor="text1"/>
                <w:szCs w:val="16"/>
              </w:rPr>
            </w:pPr>
          </w:p>
        </w:tc>
        <w:tc>
          <w:tcPr>
            <w:tcW w:w="1452" w:type="pct"/>
            <w:shd w:val="clear" w:color="auto" w:fill="auto"/>
          </w:tcPr>
          <w:p w14:paraId="2538B936" w14:textId="1E5EBCEA" w:rsidR="009A755E" w:rsidRPr="00781112" w:rsidRDefault="009A755E">
            <w:pPr>
              <w:jc w:val="center"/>
              <w:rPr>
                <w:rFonts w:cs="Arial"/>
                <w:noProof/>
                <w:color w:val="000000" w:themeColor="text1"/>
                <w:szCs w:val="16"/>
              </w:rPr>
            </w:pPr>
          </w:p>
        </w:tc>
        <w:tc>
          <w:tcPr>
            <w:tcW w:w="1447" w:type="pct"/>
            <w:shd w:val="clear" w:color="auto" w:fill="auto"/>
          </w:tcPr>
          <w:p w14:paraId="0C2616F3" w14:textId="51C19A6F" w:rsidR="009A755E" w:rsidRPr="00781112" w:rsidRDefault="009A755E">
            <w:pPr>
              <w:jc w:val="center"/>
              <w:rPr>
                <w:rFonts w:cs="Arial"/>
                <w:noProof/>
                <w:color w:val="000000" w:themeColor="text1"/>
                <w:szCs w:val="16"/>
              </w:rPr>
            </w:pPr>
          </w:p>
        </w:tc>
        <w:tc>
          <w:tcPr>
            <w:tcW w:w="1226" w:type="pct"/>
            <w:shd w:val="clear" w:color="auto" w:fill="auto"/>
          </w:tcPr>
          <w:p w14:paraId="2C4B22F3" w14:textId="328F69BF" w:rsidR="009A755E" w:rsidRPr="00781112" w:rsidRDefault="009A755E">
            <w:pPr>
              <w:jc w:val="center"/>
              <w:rPr>
                <w:rFonts w:cs="Arial"/>
                <w:noProof/>
                <w:color w:val="000000" w:themeColor="text1"/>
                <w:szCs w:val="16"/>
              </w:rPr>
            </w:pPr>
          </w:p>
        </w:tc>
      </w:tr>
      <w:tr w:rsidR="005C29F8" w:rsidRPr="00781112" w14:paraId="64C29D12" w14:textId="77777777" w:rsidTr="000E4061">
        <w:tc>
          <w:tcPr>
            <w:tcW w:w="875" w:type="pct"/>
            <w:shd w:val="clear" w:color="auto" w:fill="auto"/>
          </w:tcPr>
          <w:p w14:paraId="64B189E9" w14:textId="0AFBAB97" w:rsidR="009A755E" w:rsidRPr="00781112" w:rsidRDefault="009A755E" w:rsidP="00A018D4">
            <w:pPr>
              <w:jc w:val="center"/>
              <w:rPr>
                <w:rFonts w:cs="Arial"/>
                <w:color w:val="000000" w:themeColor="text1"/>
                <w:szCs w:val="16"/>
              </w:rPr>
            </w:pPr>
          </w:p>
        </w:tc>
        <w:tc>
          <w:tcPr>
            <w:tcW w:w="1452" w:type="pct"/>
            <w:shd w:val="clear" w:color="auto" w:fill="auto"/>
          </w:tcPr>
          <w:p w14:paraId="0A04A1D7" w14:textId="686FEC4A" w:rsidR="009A755E" w:rsidRPr="00781112" w:rsidRDefault="009A755E">
            <w:pPr>
              <w:jc w:val="center"/>
              <w:rPr>
                <w:rFonts w:cs="Arial"/>
                <w:noProof/>
                <w:color w:val="000000" w:themeColor="text1"/>
                <w:szCs w:val="16"/>
              </w:rPr>
            </w:pPr>
          </w:p>
        </w:tc>
        <w:tc>
          <w:tcPr>
            <w:tcW w:w="1447" w:type="pct"/>
            <w:shd w:val="clear" w:color="auto" w:fill="auto"/>
          </w:tcPr>
          <w:p w14:paraId="6EC161AF" w14:textId="6E0D3C99" w:rsidR="009A755E" w:rsidRPr="00781112" w:rsidRDefault="009A755E">
            <w:pPr>
              <w:jc w:val="center"/>
              <w:rPr>
                <w:rFonts w:cs="Arial"/>
                <w:noProof/>
                <w:color w:val="000000" w:themeColor="text1"/>
                <w:szCs w:val="16"/>
              </w:rPr>
            </w:pPr>
          </w:p>
        </w:tc>
        <w:tc>
          <w:tcPr>
            <w:tcW w:w="1226" w:type="pct"/>
            <w:shd w:val="clear" w:color="auto" w:fill="auto"/>
          </w:tcPr>
          <w:p w14:paraId="0BCD79B4" w14:textId="02E3B9EE" w:rsidR="009A755E" w:rsidRPr="00781112" w:rsidRDefault="009A755E">
            <w:pPr>
              <w:jc w:val="center"/>
              <w:rPr>
                <w:rFonts w:cs="Arial"/>
                <w:noProof/>
                <w:color w:val="000000" w:themeColor="text1"/>
                <w:szCs w:val="16"/>
              </w:rPr>
            </w:pPr>
          </w:p>
        </w:tc>
      </w:tr>
      <w:tr w:rsidR="005C29F8" w:rsidRPr="00781112" w14:paraId="5DBE1D84" w14:textId="77777777" w:rsidTr="000E4061">
        <w:tc>
          <w:tcPr>
            <w:tcW w:w="875" w:type="pct"/>
            <w:shd w:val="clear" w:color="auto" w:fill="auto"/>
          </w:tcPr>
          <w:p w14:paraId="19109B9A" w14:textId="16CEFD65" w:rsidR="009A755E" w:rsidRPr="00781112" w:rsidRDefault="009A755E" w:rsidP="00A018D4">
            <w:pPr>
              <w:jc w:val="center"/>
              <w:rPr>
                <w:rFonts w:cs="Arial"/>
                <w:color w:val="000000" w:themeColor="text1"/>
                <w:szCs w:val="16"/>
              </w:rPr>
            </w:pPr>
          </w:p>
        </w:tc>
        <w:tc>
          <w:tcPr>
            <w:tcW w:w="1452" w:type="pct"/>
            <w:shd w:val="clear" w:color="auto" w:fill="auto"/>
          </w:tcPr>
          <w:p w14:paraId="2D2E112D" w14:textId="794C18F8" w:rsidR="009A755E" w:rsidRPr="00781112" w:rsidRDefault="009A755E">
            <w:pPr>
              <w:jc w:val="center"/>
              <w:rPr>
                <w:rFonts w:cs="Arial"/>
                <w:noProof/>
                <w:color w:val="000000" w:themeColor="text1"/>
                <w:szCs w:val="16"/>
              </w:rPr>
            </w:pPr>
          </w:p>
        </w:tc>
        <w:tc>
          <w:tcPr>
            <w:tcW w:w="1447" w:type="pct"/>
            <w:shd w:val="clear" w:color="auto" w:fill="auto"/>
          </w:tcPr>
          <w:p w14:paraId="5B55C7F5" w14:textId="3406276E" w:rsidR="009A755E" w:rsidRPr="00781112" w:rsidRDefault="009A755E">
            <w:pPr>
              <w:jc w:val="center"/>
              <w:rPr>
                <w:rFonts w:cs="Arial"/>
                <w:noProof/>
                <w:color w:val="000000" w:themeColor="text1"/>
                <w:szCs w:val="16"/>
              </w:rPr>
            </w:pPr>
          </w:p>
        </w:tc>
        <w:tc>
          <w:tcPr>
            <w:tcW w:w="1226" w:type="pct"/>
            <w:shd w:val="clear" w:color="auto" w:fill="auto"/>
          </w:tcPr>
          <w:p w14:paraId="04E4EF54" w14:textId="064E0A7A" w:rsidR="009A755E" w:rsidRPr="00781112" w:rsidRDefault="009A755E">
            <w:pPr>
              <w:jc w:val="center"/>
              <w:rPr>
                <w:rFonts w:cs="Arial"/>
                <w:noProof/>
                <w:color w:val="000000" w:themeColor="text1"/>
                <w:szCs w:val="16"/>
              </w:rPr>
            </w:pPr>
          </w:p>
        </w:tc>
      </w:tr>
    </w:tbl>
    <w:p w14:paraId="7A74DCD8" w14:textId="61B7BAF7" w:rsidR="004E2151" w:rsidRPr="00781112" w:rsidRDefault="00400C56" w:rsidP="008645AD">
      <w:pPr>
        <w:pStyle w:val="Heading2"/>
      </w:pPr>
      <w:r w:rsidRPr="00781112">
        <w:t>9</w:t>
      </w:r>
      <w:r w:rsidR="00844ADE" w:rsidRPr="00781112">
        <w:t xml:space="preserve"> </w:t>
      </w:r>
      <w:r w:rsidRPr="00781112">
        <w:t xml:space="preserve">- </w:t>
      </w:r>
      <w:r w:rsidR="004E2151" w:rsidRPr="00781112">
        <w:t>Prior FFY Required Actions</w:t>
      </w:r>
    </w:p>
    <w:p w14:paraId="704944D3" w14:textId="21E697E2" w:rsidR="004E2151" w:rsidRPr="00781112" w:rsidRDefault="002B7490" w:rsidP="004E2151">
      <w:pPr>
        <w:rPr>
          <w:rFonts w:cs="Arial"/>
          <w:color w:val="000000" w:themeColor="text1"/>
          <w:szCs w:val="16"/>
        </w:rPr>
      </w:pPr>
      <w:r w:rsidRPr="00781112">
        <w:rPr>
          <w:rFonts w:cs="Arial"/>
          <w:color w:val="000000" w:themeColor="text1"/>
          <w:szCs w:val="16"/>
        </w:rPr>
        <w:t xml:space="preserve">With the FFY 2021 SPP/APR, the State must clarify whether, in circumstances where the State is unable to verify correction of noncompliance consistent with OSEP Memo 09-02 within the three-week window, findings are issued to LEAs regardless of the level of noncompliance identified. </w:t>
      </w:r>
    </w:p>
    <w:p w14:paraId="7A2A42E5" w14:textId="77777777" w:rsidR="00591597" w:rsidRPr="00781112" w:rsidRDefault="00591597" w:rsidP="004E2151">
      <w:pPr>
        <w:rPr>
          <w:rFonts w:cs="Arial"/>
          <w:color w:val="000000" w:themeColor="text1"/>
          <w:szCs w:val="16"/>
        </w:rPr>
      </w:pPr>
    </w:p>
    <w:p w14:paraId="45E24452" w14:textId="4F967F1C" w:rsidR="004E2151" w:rsidRPr="00781112" w:rsidRDefault="007639D7" w:rsidP="004369B2">
      <w:pPr>
        <w:rPr>
          <w:b/>
          <w:color w:val="000000" w:themeColor="text1"/>
        </w:rPr>
      </w:pPr>
      <w:r>
        <w:rPr>
          <w:b/>
          <w:color w:val="000000" w:themeColor="text1"/>
        </w:rPr>
        <w:t>Response to actions required in FFY 2020 SPP/APR</w:t>
      </w:r>
    </w:p>
    <w:p w14:paraId="1463C666" w14:textId="6EC072C3" w:rsidR="004E2151" w:rsidRPr="00781112" w:rsidRDefault="004E2151" w:rsidP="004E2151">
      <w:pPr>
        <w:rPr>
          <w:rFonts w:cs="Arial"/>
          <w:color w:val="000000" w:themeColor="text1"/>
          <w:szCs w:val="16"/>
        </w:rPr>
      </w:pPr>
    </w:p>
    <w:p w14:paraId="1139CB4A" w14:textId="77777777" w:rsidR="00591597" w:rsidRPr="00781112" w:rsidRDefault="00591597" w:rsidP="004E2151">
      <w:pPr>
        <w:rPr>
          <w:rFonts w:cs="Arial"/>
          <w:color w:val="000000" w:themeColor="text1"/>
          <w:szCs w:val="16"/>
        </w:rPr>
      </w:pPr>
    </w:p>
    <w:p w14:paraId="6FDBF7F5" w14:textId="608C7842" w:rsidR="007F5071" w:rsidRPr="00781112" w:rsidRDefault="00400C56" w:rsidP="008645AD">
      <w:pPr>
        <w:pStyle w:val="Heading2"/>
      </w:pPr>
      <w:r w:rsidRPr="00781112">
        <w:t>9 - OSEP Response</w:t>
      </w:r>
    </w:p>
    <w:p w14:paraId="77DED45E" w14:textId="3920B295" w:rsidR="00481536" w:rsidRPr="00781112" w:rsidRDefault="002B7490" w:rsidP="00212954">
      <w:pPr>
        <w:rPr>
          <w:rFonts w:cs="Arial"/>
          <w:color w:val="000000" w:themeColor="text1"/>
          <w:szCs w:val="16"/>
        </w:rPr>
      </w:pPr>
      <w:r w:rsidRPr="00781112">
        <w:rPr>
          <w:rFonts w:cs="Arial"/>
          <w:color w:val="000000" w:themeColor="text1"/>
          <w:szCs w:val="16"/>
        </w:rPr>
        <w:t>The State has revised the baseline for this indicator, using data from FFY 2021, and OSEP accepts that revision.</w:t>
      </w:r>
    </w:p>
    <w:p w14:paraId="3F79B021" w14:textId="16E0C852" w:rsidR="007F5071" w:rsidRPr="00781112" w:rsidRDefault="00977D0D" w:rsidP="008645AD">
      <w:pPr>
        <w:pStyle w:val="Heading2"/>
      </w:pPr>
      <w:r w:rsidRPr="00781112">
        <w:t>9 - Required Actions</w:t>
      </w:r>
    </w:p>
    <w:p w14:paraId="0B404586" w14:textId="0A97D85C" w:rsidR="00481536" w:rsidRPr="00781112" w:rsidRDefault="002B7490" w:rsidP="00212954">
      <w:pPr>
        <w:rPr>
          <w:rFonts w:cs="Arial"/>
          <w:color w:val="000000" w:themeColor="text1"/>
          <w:szCs w:val="16"/>
        </w:rPr>
      </w:pPr>
      <w:r w:rsidRPr="00781112">
        <w:rPr>
          <w:rFonts w:cs="Arial"/>
          <w:color w:val="000000" w:themeColor="text1"/>
          <w:szCs w:val="16"/>
        </w:rPr>
        <w:t>Because the State reported less than 100% compliance for FFY 2021 (greater than 0% actual target data for this indicator), the State must report on the status of correction of noncompliance identified in FFY 2021 for this indicator. The State must demonstrate, in the FFY 2022 SPP/APR, that the two districts identified in FFY 2021 with disproportionate representation of racial and ethnic groups in special education and related services that was the result of inappropriate identification are in compliance with the requirements in 34 C.F.R. §§ 300.111, 300.201, and 300.301 through 300.311, including that the State verified that each district with noncompliance: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district, consistent with OSEP Memo 09-02. In the FFY 2022 SPP/APR, the State must describe the specific actions that were taken to verify the correction.</w:t>
      </w:r>
      <w:r w:rsidRPr="00781112">
        <w:rPr>
          <w:rFonts w:cs="Arial"/>
          <w:color w:val="000000" w:themeColor="text1"/>
          <w:szCs w:val="16"/>
        </w:rPr>
        <w:br/>
      </w:r>
      <w:r w:rsidRPr="00781112">
        <w:rPr>
          <w:rFonts w:cs="Arial"/>
          <w:color w:val="000000" w:themeColor="text1"/>
          <w:szCs w:val="16"/>
        </w:rPr>
        <w:br/>
        <w:t>If the State did not identify any findings of noncompliance in FFY 2021, although its FFY 2021 data reflect less than 100% compliance (greater than 0% actual target data for this indicator), provide an explanation of why the State did not identify any findings of noncompliance in FFY 2021.</w:t>
      </w:r>
    </w:p>
    <w:p w14:paraId="20A15EBC"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5D8087B6" w14:textId="0C652DF9" w:rsidR="00D03701" w:rsidRPr="00781112" w:rsidRDefault="00D03701" w:rsidP="000444E2">
      <w:pPr>
        <w:pStyle w:val="Heading1"/>
        <w:rPr>
          <w:color w:val="000000" w:themeColor="text1"/>
          <w:sz w:val="22"/>
        </w:rPr>
      </w:pPr>
      <w:r w:rsidRPr="00781112">
        <w:rPr>
          <w:color w:val="000000" w:themeColor="text1"/>
          <w:sz w:val="22"/>
        </w:rPr>
        <w:lastRenderedPageBreak/>
        <w:t>Indicator 10: Disproportionate Representation in Specific Disability Categories</w:t>
      </w:r>
      <w:bookmarkEnd w:id="58"/>
      <w:bookmarkEnd w:id="59"/>
      <w:bookmarkEnd w:id="60"/>
      <w:r w:rsidRPr="00781112">
        <w:rPr>
          <w:color w:val="000000" w:themeColor="text1"/>
          <w:sz w:val="22"/>
        </w:rPr>
        <w:t xml:space="preserve"> </w:t>
      </w:r>
    </w:p>
    <w:p w14:paraId="139B488B" w14:textId="77777777" w:rsidR="00B70FBF" w:rsidRPr="00781112" w:rsidRDefault="00B70FBF" w:rsidP="00A018D4">
      <w:pPr>
        <w:rPr>
          <w:color w:val="000000" w:themeColor="text1"/>
          <w:szCs w:val="20"/>
        </w:rPr>
      </w:pPr>
      <w:bookmarkStart w:id="61" w:name="_Toc384383348"/>
      <w:bookmarkStart w:id="62" w:name="_Toc392159316"/>
      <w:r w:rsidRPr="00781112">
        <w:rPr>
          <w:b/>
          <w:color w:val="000000" w:themeColor="text1"/>
          <w:sz w:val="20"/>
          <w:szCs w:val="20"/>
        </w:rPr>
        <w:t>Instructions and Measurement</w:t>
      </w:r>
    </w:p>
    <w:p w14:paraId="26E33C31" w14:textId="3616C8E9" w:rsidR="00CC634E" w:rsidRPr="00781112" w:rsidRDefault="00CC634E" w:rsidP="005A3C12">
      <w:pPr>
        <w:rPr>
          <w:rFonts w:cs="Arial"/>
          <w:b/>
          <w:color w:val="000000" w:themeColor="text1"/>
          <w:szCs w:val="16"/>
        </w:rPr>
      </w:pPr>
      <w:r w:rsidRPr="00781112">
        <w:rPr>
          <w:rFonts w:cs="Arial"/>
          <w:b/>
          <w:color w:val="000000" w:themeColor="text1"/>
          <w:szCs w:val="16"/>
        </w:rPr>
        <w:t>Monitoring Priority:</w:t>
      </w:r>
      <w:r w:rsidRPr="00781112">
        <w:rPr>
          <w:rFonts w:cs="Arial"/>
          <w:color w:val="000000" w:themeColor="text1"/>
          <w:szCs w:val="16"/>
        </w:rPr>
        <w:t xml:space="preserve"> Disproportionality</w:t>
      </w:r>
    </w:p>
    <w:p w14:paraId="2D2ACC66" w14:textId="77777777" w:rsidR="001D677D" w:rsidRPr="00781112" w:rsidRDefault="00CC634E" w:rsidP="005A3C12">
      <w:pPr>
        <w:rPr>
          <w:rFonts w:cs="Arial"/>
          <w:color w:val="000000" w:themeColor="text1"/>
          <w:szCs w:val="16"/>
        </w:rPr>
      </w:pPr>
      <w:r w:rsidRPr="00781112">
        <w:rPr>
          <w:rFonts w:cs="Arial"/>
          <w:b/>
          <w:color w:val="000000" w:themeColor="text1"/>
          <w:szCs w:val="16"/>
        </w:rPr>
        <w:t>Compliance indicator</w:t>
      </w:r>
      <w:r w:rsidRPr="00781112">
        <w:rPr>
          <w:rFonts w:cs="Arial"/>
          <w:color w:val="000000" w:themeColor="text1"/>
          <w:szCs w:val="16"/>
        </w:rPr>
        <w:t xml:space="preserve">: Percent of districts with disproportionate representation of racial and ethnic groups in specific disability </w:t>
      </w:r>
      <w:proofErr w:type="gramStart"/>
      <w:r w:rsidRPr="00781112">
        <w:rPr>
          <w:rFonts w:cs="Arial"/>
          <w:color w:val="000000" w:themeColor="text1"/>
          <w:szCs w:val="16"/>
        </w:rPr>
        <w:t>categories that</w:t>
      </w:r>
      <w:proofErr w:type="gramEnd"/>
      <w:r w:rsidRPr="00781112">
        <w:rPr>
          <w:rFonts w:cs="Arial"/>
          <w:color w:val="000000" w:themeColor="text1"/>
          <w:szCs w:val="16"/>
        </w:rPr>
        <w:t xml:space="preserve"> is the result of inappropriate identification.</w:t>
      </w:r>
    </w:p>
    <w:p w14:paraId="7688ECEE" w14:textId="1C1D5AA2" w:rsidR="00CC634E" w:rsidRPr="00781112" w:rsidRDefault="00CC634E" w:rsidP="005A3C12">
      <w:pPr>
        <w:rPr>
          <w:rFonts w:cs="Arial"/>
          <w:color w:val="000000" w:themeColor="text1"/>
          <w:szCs w:val="16"/>
        </w:rPr>
      </w:pPr>
      <w:r w:rsidRPr="00781112">
        <w:rPr>
          <w:rFonts w:cs="Arial"/>
          <w:color w:val="000000" w:themeColor="text1"/>
          <w:szCs w:val="16"/>
        </w:rPr>
        <w:t xml:space="preserve"> (20 U.S.C. 1416(a)(3)(C))</w:t>
      </w:r>
    </w:p>
    <w:p w14:paraId="37F13F1F" w14:textId="77777777" w:rsidR="001D677D" w:rsidRPr="00781112" w:rsidRDefault="001D677D" w:rsidP="004369B2">
      <w:pPr>
        <w:rPr>
          <w:color w:val="000000" w:themeColor="text1"/>
        </w:rPr>
      </w:pPr>
      <w:r w:rsidRPr="00781112">
        <w:rPr>
          <w:b/>
          <w:color w:val="000000" w:themeColor="text1"/>
        </w:rPr>
        <w:t>Data Source</w:t>
      </w:r>
    </w:p>
    <w:p w14:paraId="3D0F53DD" w14:textId="1C69F23D" w:rsidR="001D677D" w:rsidRPr="00781112" w:rsidRDefault="007A3964" w:rsidP="00286BDF">
      <w:pPr>
        <w:rPr>
          <w:rFonts w:cs="Arial"/>
          <w:color w:val="000000" w:themeColor="text1"/>
          <w:szCs w:val="16"/>
        </w:rPr>
      </w:pPr>
      <w:r w:rsidRPr="00781112">
        <w:rPr>
          <w:rFonts w:cs="Arial"/>
          <w:color w:val="000000" w:themeColor="text1"/>
          <w:szCs w:val="16"/>
          <w:shd w:val="clear" w:color="auto" w:fill="FFFFFF"/>
        </w:rPr>
        <w:t>State’s analysis, based on State’s Child Count data collected under IDEA section 618, to determine if the disproportionate representation of racial and ethnic groups in specific disability categories was the result of inappropriate identification.</w:t>
      </w:r>
    </w:p>
    <w:p w14:paraId="101129B1" w14:textId="77777777" w:rsidR="001D677D" w:rsidRPr="00781112" w:rsidRDefault="001D677D" w:rsidP="004369B2">
      <w:pPr>
        <w:rPr>
          <w:color w:val="000000" w:themeColor="text1"/>
        </w:rPr>
      </w:pPr>
      <w:r w:rsidRPr="00781112">
        <w:rPr>
          <w:b/>
          <w:color w:val="000000" w:themeColor="text1"/>
        </w:rPr>
        <w:t>Measurement</w:t>
      </w:r>
    </w:p>
    <w:p w14:paraId="564157FF" w14:textId="77777777" w:rsidR="007A3964" w:rsidRPr="00781112" w:rsidRDefault="007A3964" w:rsidP="007A3964">
      <w:pPr>
        <w:rPr>
          <w:rFonts w:cs="Arial"/>
          <w:color w:val="000000" w:themeColor="text1"/>
          <w:szCs w:val="16"/>
        </w:rPr>
      </w:pPr>
      <w:r w:rsidRPr="00781112">
        <w:rPr>
          <w:rFonts w:cs="Arial"/>
          <w:color w:val="000000" w:themeColor="text1"/>
          <w:szCs w:val="16"/>
        </w:rPr>
        <w:t>Percent = [(# of districts, that meet the State-established n and/or cell size (if applicable) for one or more racial/ethnic groups, with disproportionate representation of racial and ethnic groups in specific disability categories that is the result of inappropriate identification) divided by the (# of districts in the State that meet the State-established n and/or cell size (if applicable) for one or more racial/ethnic groups)] times 100.</w:t>
      </w:r>
    </w:p>
    <w:p w14:paraId="23D9C135" w14:textId="77777777" w:rsidR="007A3964" w:rsidRPr="00781112" w:rsidRDefault="007A3964" w:rsidP="007A3964">
      <w:pPr>
        <w:rPr>
          <w:rFonts w:cs="Arial"/>
          <w:color w:val="000000" w:themeColor="text1"/>
          <w:szCs w:val="16"/>
        </w:rPr>
      </w:pPr>
      <w:r w:rsidRPr="00781112">
        <w:rPr>
          <w:rFonts w:cs="Arial"/>
          <w:color w:val="000000" w:themeColor="text1"/>
          <w:szCs w:val="16"/>
        </w:rPr>
        <w:t>Include State’s definition of “disproportionate representation.” Please specify in your definition: 1) the calculation method(s) being used (i.e., risk ratio, weighted risk ratio, e-formula, etc.); and 2) the threshold at which disproportionate representation is identified. Also include, as appropriate, 3) the number of years of data used in the calculation; and 4) any minimum cell and/or n-sizes (i.e., risk numerator and/or risk denominator).</w:t>
      </w:r>
    </w:p>
    <w:p w14:paraId="7F3C03F6" w14:textId="1C3D4495" w:rsidR="001D677D" w:rsidRPr="00781112" w:rsidRDefault="007A3964" w:rsidP="007A3964">
      <w:pPr>
        <w:rPr>
          <w:rFonts w:cs="Arial"/>
          <w:color w:val="000000" w:themeColor="text1"/>
          <w:szCs w:val="16"/>
        </w:rPr>
      </w:pPr>
      <w:r w:rsidRPr="00781112">
        <w:rPr>
          <w:rFonts w:cs="Arial"/>
          <w:color w:val="000000" w:themeColor="text1"/>
          <w:szCs w:val="16"/>
        </w:rPr>
        <w:t xml:space="preserve">Based on its review of the 618 data for the reporting year, describe how the State made its annual determination as to whether the disproportionate representation it identified of racial and ethnic groups in specific disability categories was the result of inappropriate identification as required by 34 CFR §§300.600(d)(3) and 300.602(a), e.g., using monitoring data; reviewing policies, </w:t>
      </w:r>
      <w:proofErr w:type="gramStart"/>
      <w:r w:rsidRPr="00781112">
        <w:rPr>
          <w:rFonts w:cs="Arial"/>
          <w:color w:val="000000" w:themeColor="text1"/>
          <w:szCs w:val="16"/>
        </w:rPr>
        <w:t>practices</w:t>
      </w:r>
      <w:proofErr w:type="gramEnd"/>
      <w:r w:rsidRPr="00781112">
        <w:rPr>
          <w:rFonts w:cs="Arial"/>
          <w:color w:val="000000" w:themeColor="text1"/>
          <w:szCs w:val="16"/>
        </w:rPr>
        <w:t xml:space="preserve"> and procedures, etc. In determining disproportionate representation, analyze data, for each district, for all racial and ethnic groups in the district, or all racial and ethnic groups in the district that meet a minimum n and/or cell size set by the State. Report on the percent of districts in which disproportionate representation of racial and ethnic groups in </w:t>
      </w:r>
      <w:r w:rsidR="00C77D8E" w:rsidRPr="00781112">
        <w:rPr>
          <w:rFonts w:cs="Arial"/>
          <w:szCs w:val="16"/>
        </w:rPr>
        <w:t xml:space="preserve">specific disability categories </w:t>
      </w:r>
      <w:r w:rsidRPr="00781112">
        <w:rPr>
          <w:rFonts w:cs="Arial"/>
          <w:color w:val="000000" w:themeColor="text1"/>
          <w:szCs w:val="16"/>
        </w:rPr>
        <w:t xml:space="preserve">is the result of inappropriate identification, even if the determination of inappropriate identification was made after the end of the FFY </w:t>
      </w:r>
      <w:r w:rsidR="00206A65" w:rsidRPr="00781112">
        <w:rPr>
          <w:rFonts w:cs="Arial"/>
          <w:color w:val="000000" w:themeColor="text1"/>
          <w:szCs w:val="16"/>
        </w:rPr>
        <w:t>202</w:t>
      </w:r>
      <w:r w:rsidR="00206A65">
        <w:rPr>
          <w:rFonts w:cs="Arial"/>
          <w:color w:val="000000" w:themeColor="text1"/>
          <w:szCs w:val="16"/>
        </w:rPr>
        <w:t>1</w:t>
      </w:r>
      <w:r w:rsidR="00206A65" w:rsidRPr="00781112">
        <w:rPr>
          <w:rFonts w:cs="Arial"/>
          <w:color w:val="000000" w:themeColor="text1"/>
          <w:szCs w:val="16"/>
        </w:rPr>
        <w:t xml:space="preserve"> </w:t>
      </w:r>
      <w:r w:rsidRPr="00781112">
        <w:rPr>
          <w:rFonts w:cs="Arial"/>
          <w:color w:val="000000" w:themeColor="text1"/>
          <w:szCs w:val="16"/>
        </w:rPr>
        <w:t xml:space="preserve">reporting period (i.e., after June 30, </w:t>
      </w:r>
      <w:r w:rsidR="00206A65" w:rsidRPr="00781112">
        <w:rPr>
          <w:rFonts w:cs="Arial"/>
          <w:color w:val="000000" w:themeColor="text1"/>
          <w:szCs w:val="16"/>
        </w:rPr>
        <w:t>202</w:t>
      </w:r>
      <w:r w:rsidR="00206A65">
        <w:rPr>
          <w:rFonts w:cs="Arial"/>
          <w:color w:val="000000" w:themeColor="text1"/>
          <w:szCs w:val="16"/>
        </w:rPr>
        <w:t>2</w:t>
      </w:r>
      <w:r w:rsidRPr="00781112">
        <w:rPr>
          <w:rFonts w:cs="Arial"/>
          <w:color w:val="000000" w:themeColor="text1"/>
          <w:szCs w:val="16"/>
        </w:rPr>
        <w:t>).</w:t>
      </w:r>
    </w:p>
    <w:p w14:paraId="3C70F698" w14:textId="77777777" w:rsidR="001D677D" w:rsidRPr="00781112" w:rsidRDefault="001D677D" w:rsidP="004369B2">
      <w:pPr>
        <w:rPr>
          <w:color w:val="000000" w:themeColor="text1"/>
        </w:rPr>
      </w:pPr>
      <w:r w:rsidRPr="00781112">
        <w:rPr>
          <w:b/>
          <w:color w:val="000000" w:themeColor="text1"/>
        </w:rPr>
        <w:t>Instructions</w:t>
      </w:r>
    </w:p>
    <w:p w14:paraId="54B0F35E" w14:textId="0E1ED80A" w:rsidR="001D677D" w:rsidRPr="00781112" w:rsidRDefault="001D677D" w:rsidP="00286BDF">
      <w:pPr>
        <w:rPr>
          <w:rFonts w:cs="Arial"/>
          <w:color w:val="000000" w:themeColor="text1"/>
          <w:szCs w:val="16"/>
        </w:rPr>
      </w:pPr>
      <w:r w:rsidRPr="00781112">
        <w:rPr>
          <w:rFonts w:cs="Arial"/>
          <w:iCs/>
          <w:color w:val="000000" w:themeColor="text1"/>
          <w:szCs w:val="16"/>
        </w:rPr>
        <w:t>P</w:t>
      </w:r>
      <w:r w:rsidRPr="00781112">
        <w:rPr>
          <w:rFonts w:cs="Arial"/>
          <w:color w:val="000000" w:themeColor="text1"/>
          <w:szCs w:val="16"/>
        </w:rPr>
        <w:t>rovide racial/ethnic disproportionality data for all children</w:t>
      </w:r>
      <w:r w:rsidR="00522BEA" w:rsidRPr="00522BEA">
        <w:t xml:space="preserve"> </w:t>
      </w:r>
      <w:r w:rsidR="00522BEA" w:rsidRPr="00522BEA">
        <w:rPr>
          <w:rFonts w:cs="Arial"/>
          <w:color w:val="000000" w:themeColor="text1"/>
          <w:szCs w:val="16"/>
        </w:rPr>
        <w:t>aged 5 who are enrolled in kindergarten and</w:t>
      </w:r>
      <w:r w:rsidRPr="00781112">
        <w:rPr>
          <w:rFonts w:cs="Arial"/>
          <w:color w:val="000000" w:themeColor="text1"/>
          <w:szCs w:val="16"/>
        </w:rPr>
        <w:t xml:space="preserve"> aged 6 through 21 served under IDEA.</w:t>
      </w:r>
      <w:r w:rsidR="006E0CC6" w:rsidRPr="00781112">
        <w:rPr>
          <w:rFonts w:cs="Arial"/>
          <w:color w:val="000000" w:themeColor="text1"/>
          <w:szCs w:val="16"/>
        </w:rPr>
        <w:t xml:space="preserve"> </w:t>
      </w:r>
      <w:r w:rsidR="006E0CC6" w:rsidRPr="00781112">
        <w:rPr>
          <w:rFonts w:cs="Arial"/>
          <w:szCs w:val="16"/>
        </w:rPr>
        <w:t>Provide these data at a minimum for children in the following six disability categories: intellectual disability, specific learning disabilities, emotional disturbance, speech or language impairments, other health impairments, and autism. If a State has identified disproportionate representation of racial and ethnic groups in specific disability categories other than these six disability categories, the State must include these data and report on whether the State determined that the disproportionate representation of racial and ethnic groups in specific disability categories was the result of inappropriate identification</w:t>
      </w:r>
      <w:r w:rsidR="009F2D7B" w:rsidRPr="00781112">
        <w:rPr>
          <w:rFonts w:cs="Arial"/>
          <w:szCs w:val="16"/>
        </w:rPr>
        <w:t>.</w:t>
      </w:r>
    </w:p>
    <w:p w14:paraId="2375484C" w14:textId="77777777" w:rsidR="001D677D" w:rsidRPr="00781112" w:rsidRDefault="001D677D" w:rsidP="00286BDF">
      <w:pPr>
        <w:rPr>
          <w:rFonts w:cs="Arial"/>
          <w:color w:val="000000" w:themeColor="text1"/>
          <w:szCs w:val="16"/>
        </w:rPr>
      </w:pPr>
      <w:r w:rsidRPr="00781112">
        <w:rPr>
          <w:rFonts w:cs="Arial"/>
          <w:color w:val="000000" w:themeColor="text1"/>
          <w:szCs w:val="16"/>
        </w:rPr>
        <w:t>States are not required to report on underrepresentation.</w:t>
      </w:r>
    </w:p>
    <w:p w14:paraId="65635BB5" w14:textId="77777777" w:rsidR="001D677D" w:rsidRPr="00781112" w:rsidRDefault="001D677D" w:rsidP="00286BDF">
      <w:pPr>
        <w:rPr>
          <w:rFonts w:cs="Arial"/>
          <w:color w:val="000000" w:themeColor="text1"/>
          <w:szCs w:val="16"/>
        </w:rPr>
      </w:pPr>
      <w:r w:rsidRPr="00781112">
        <w:rPr>
          <w:rFonts w:cs="Arial"/>
          <w:color w:val="000000" w:themeColor="text1"/>
          <w:szCs w:val="16"/>
        </w:rPr>
        <w:t xml:space="preserve">If the State has established a minimum n and/or cell size requirement, the State may only include, in both the numerator and the denominator, districts that met that State-established n and/or cell size. If the State used a minimum n and/or cell size requirement, report the number of districts totally excluded from the calculation </w:t>
      </w:r>
      <w:proofErr w:type="gramStart"/>
      <w:r w:rsidRPr="00781112">
        <w:rPr>
          <w:rFonts w:cs="Arial"/>
          <w:color w:val="000000" w:themeColor="text1"/>
          <w:szCs w:val="16"/>
        </w:rPr>
        <w:t>as a result of</w:t>
      </w:r>
      <w:proofErr w:type="gramEnd"/>
      <w:r w:rsidRPr="00781112">
        <w:rPr>
          <w:rFonts w:cs="Arial"/>
          <w:color w:val="000000" w:themeColor="text1"/>
          <w:szCs w:val="16"/>
        </w:rPr>
        <w:t xml:space="preserve"> this requirement because the district did not meet the minimum n and/or cell size for any racial/ethnic group.</w:t>
      </w:r>
    </w:p>
    <w:p w14:paraId="2FC20F43" w14:textId="77777777" w:rsidR="001D677D" w:rsidRPr="00781112" w:rsidRDefault="001D677D" w:rsidP="00286BDF">
      <w:pPr>
        <w:rPr>
          <w:rFonts w:cs="Arial"/>
          <w:color w:val="000000" w:themeColor="text1"/>
          <w:szCs w:val="16"/>
        </w:rPr>
      </w:pPr>
      <w:r w:rsidRPr="00781112">
        <w:rPr>
          <w:rFonts w:cs="Arial"/>
          <w:color w:val="000000" w:themeColor="text1"/>
          <w:szCs w:val="16"/>
        </w:rPr>
        <w:t>Consider using multiple methods in calculating disproportionate representation of racial and ethnic groups to reduce the risk of overlooking potential problems. Describe the method(s) used to calculate disproportionate representation.</w:t>
      </w:r>
    </w:p>
    <w:p w14:paraId="42D05561" w14:textId="057A6DF7" w:rsidR="001D677D" w:rsidRPr="00781112" w:rsidRDefault="001D677D" w:rsidP="00286BDF">
      <w:pPr>
        <w:rPr>
          <w:rFonts w:cs="Arial"/>
          <w:color w:val="000000" w:themeColor="text1"/>
          <w:szCs w:val="16"/>
        </w:rPr>
      </w:pPr>
      <w:r w:rsidRPr="00781112">
        <w:rPr>
          <w:rFonts w:cs="Arial"/>
          <w:color w:val="000000" w:themeColor="text1"/>
          <w:szCs w:val="16"/>
        </w:rPr>
        <w:t xml:space="preserve">Provide the number of districts that met the State-established n and/or cell size (if applicable) for one or more racial/ethnic groups identified with disproportionate representation of racial and ethnic groups in </w:t>
      </w:r>
      <w:r w:rsidR="00175656" w:rsidRPr="00781112">
        <w:rPr>
          <w:rFonts w:cs="Arial"/>
          <w:szCs w:val="16"/>
        </w:rPr>
        <w:t>specific disability categories</w:t>
      </w:r>
      <w:r w:rsidRPr="00781112">
        <w:rPr>
          <w:rFonts w:cs="Arial"/>
          <w:color w:val="000000" w:themeColor="text1"/>
          <w:szCs w:val="16"/>
        </w:rPr>
        <w:t xml:space="preserve"> and the number of those districts identified with disproportionate representation that is the result of inappropriate identification.</w:t>
      </w:r>
    </w:p>
    <w:p w14:paraId="4D68547C" w14:textId="77777777" w:rsidR="001D677D" w:rsidRPr="00781112" w:rsidRDefault="001D677D" w:rsidP="00286BDF">
      <w:pPr>
        <w:rPr>
          <w:rFonts w:cs="Arial"/>
          <w:color w:val="000000" w:themeColor="text1"/>
          <w:szCs w:val="16"/>
        </w:rPr>
      </w:pPr>
      <w:r w:rsidRPr="00781112">
        <w:rPr>
          <w:rFonts w:cs="Arial"/>
          <w:color w:val="000000" w:themeColor="text1"/>
          <w:szCs w:val="16"/>
        </w:rPr>
        <w:t>Targets must be 0%.</w:t>
      </w:r>
    </w:p>
    <w:p w14:paraId="7F575E8E" w14:textId="77777777" w:rsidR="001D677D" w:rsidRPr="00781112" w:rsidRDefault="001D677D" w:rsidP="00286BDF">
      <w:pPr>
        <w:rPr>
          <w:rFonts w:cs="Arial"/>
          <w:color w:val="000000" w:themeColor="text1"/>
          <w:szCs w:val="16"/>
        </w:rPr>
      </w:pPr>
      <w:r w:rsidRPr="00781112">
        <w:rPr>
          <w:rFonts w:cs="Arial"/>
          <w:color w:val="000000" w:themeColor="text1"/>
          <w:szCs w:val="16"/>
        </w:rPr>
        <w:t>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367E089E" w14:textId="7DBCE06A" w:rsidR="001D677D" w:rsidRDefault="007A3964" w:rsidP="00286BDF">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p w14:paraId="32DA043C" w14:textId="77777777" w:rsidR="007123A2" w:rsidRPr="00781112" w:rsidRDefault="007123A2" w:rsidP="00286BDF">
      <w:pPr>
        <w:rPr>
          <w:rFonts w:cs="Arial"/>
          <w:color w:val="000000" w:themeColor="text1"/>
          <w:szCs w:val="16"/>
        </w:rPr>
      </w:pPr>
    </w:p>
    <w:p w14:paraId="307820E6" w14:textId="2418F86F" w:rsidR="00B70FBF" w:rsidRPr="00781112" w:rsidRDefault="009F64D5" w:rsidP="008645AD">
      <w:pPr>
        <w:pStyle w:val="Heading2"/>
      </w:pPr>
      <w:bookmarkStart w:id="63" w:name="_Toc384383349"/>
      <w:bookmarkStart w:id="64" w:name="_Toc392159317"/>
      <w:bookmarkEnd w:id="61"/>
      <w:bookmarkEnd w:id="62"/>
      <w:r w:rsidRPr="00781112">
        <w:t>10</w:t>
      </w:r>
      <w:r w:rsidR="00596F4D" w:rsidRPr="00781112">
        <w:t xml:space="preserve"> </w:t>
      </w:r>
      <w:r w:rsidRPr="00781112">
        <w:t xml:space="preserve">- </w:t>
      </w:r>
      <w:r w:rsidR="00D853AE" w:rsidRPr="00781112">
        <w:t>Indicator Data</w:t>
      </w:r>
    </w:p>
    <w:p w14:paraId="198C31F1" w14:textId="77777777" w:rsidR="0091098C" w:rsidRPr="00781112" w:rsidRDefault="0091098C" w:rsidP="004369B2">
      <w:pPr>
        <w:rPr>
          <w:color w:val="000000" w:themeColor="text1"/>
        </w:rPr>
      </w:pPr>
      <w:r w:rsidRPr="00781112">
        <w:rPr>
          <w:b/>
          <w:color w:val="000000" w:themeColor="text1"/>
        </w:rPr>
        <w:t>Not Applicable</w:t>
      </w:r>
    </w:p>
    <w:p w14:paraId="769429F9" w14:textId="2143DCD6" w:rsidR="00C2395D" w:rsidRPr="00781112" w:rsidRDefault="001B07D3">
      <w:pPr>
        <w:rPr>
          <w:b/>
          <w:color w:val="000000" w:themeColor="text1"/>
        </w:rPr>
      </w:pPr>
      <w:r w:rsidRPr="00781112">
        <w:rPr>
          <w:b/>
          <w:color w:val="000000" w:themeColor="text1"/>
        </w:rPr>
        <w:t>Select yes if this indicator is not applicable.</w:t>
      </w:r>
    </w:p>
    <w:p w14:paraId="5BEDAC27" w14:textId="63B8B677" w:rsidR="00043AC9" w:rsidRPr="00781112" w:rsidRDefault="00043AC9" w:rsidP="004369B2">
      <w:pPr>
        <w:rPr>
          <w:rFonts w:cs="Arial"/>
          <w:color w:val="000000" w:themeColor="text1"/>
          <w:szCs w:val="16"/>
        </w:rPr>
      </w:pPr>
      <w:r w:rsidRPr="00781112">
        <w:rPr>
          <w:rFonts w:cs="Arial"/>
          <w:color w:val="000000" w:themeColor="text1"/>
          <w:szCs w:val="16"/>
        </w:rPr>
        <w:t>NO</w:t>
      </w:r>
    </w:p>
    <w:p w14:paraId="74ABC795" w14:textId="77777777" w:rsidR="00C50290" w:rsidRPr="00781112" w:rsidRDefault="00C50290" w:rsidP="004369B2">
      <w:pPr>
        <w:rPr>
          <w:color w:val="000000" w:themeColor="text1"/>
        </w:rPr>
      </w:pPr>
    </w:p>
    <w:p w14:paraId="07402C56" w14:textId="1ED19344" w:rsidR="005A3C12" w:rsidRPr="00781112" w:rsidRDefault="005A3C12"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0BASELINEDATA"/>
      </w:tblPr>
      <w:tblGrid>
        <w:gridCol w:w="1797"/>
        <w:gridCol w:w="1798"/>
      </w:tblGrid>
      <w:tr w:rsidR="00D533A5" w:rsidRPr="00781112" w14:paraId="7C3AA767" w14:textId="77777777" w:rsidTr="00123D76">
        <w:trPr>
          <w:trHeight w:val="311"/>
          <w:tblHeader/>
        </w:trPr>
        <w:tc>
          <w:tcPr>
            <w:tcW w:w="1797" w:type="dxa"/>
          </w:tcPr>
          <w:p w14:paraId="1A4E37E9" w14:textId="77777777" w:rsidR="00D533A5" w:rsidRPr="00781112" w:rsidRDefault="00D533A5" w:rsidP="00123D76">
            <w:pPr>
              <w:jc w:val="center"/>
              <w:rPr>
                <w:b/>
                <w:color w:val="000000" w:themeColor="text1"/>
              </w:rPr>
            </w:pPr>
            <w:r w:rsidRPr="00781112">
              <w:rPr>
                <w:rFonts w:cs="Arial"/>
                <w:b/>
                <w:color w:val="000000" w:themeColor="text1"/>
                <w:szCs w:val="16"/>
              </w:rPr>
              <w:t>Baseline Year</w:t>
            </w:r>
          </w:p>
        </w:tc>
        <w:tc>
          <w:tcPr>
            <w:tcW w:w="1798" w:type="dxa"/>
          </w:tcPr>
          <w:p w14:paraId="45C39BBE" w14:textId="77777777" w:rsidR="00D533A5" w:rsidRPr="00781112" w:rsidRDefault="00D533A5" w:rsidP="00123D76">
            <w:pPr>
              <w:jc w:val="center"/>
              <w:rPr>
                <w:b/>
                <w:color w:val="000000" w:themeColor="text1"/>
              </w:rPr>
            </w:pPr>
            <w:r w:rsidRPr="00781112">
              <w:rPr>
                <w:b/>
                <w:color w:val="000000" w:themeColor="text1"/>
              </w:rPr>
              <w:t>Baseline Data</w:t>
            </w:r>
          </w:p>
        </w:tc>
      </w:tr>
      <w:tr w:rsidR="00D533A5" w:rsidRPr="00781112" w14:paraId="4AFD3BFF" w14:textId="77777777" w:rsidTr="00123D76">
        <w:trPr>
          <w:trHeight w:val="311"/>
        </w:trPr>
        <w:tc>
          <w:tcPr>
            <w:tcW w:w="1797" w:type="dxa"/>
            <w:vAlign w:val="center"/>
          </w:tcPr>
          <w:p w14:paraId="71352362" w14:textId="3C2D4289" w:rsidR="00D533A5" w:rsidRPr="00781112" w:rsidRDefault="00D533A5" w:rsidP="00123D76">
            <w:pPr>
              <w:jc w:val="center"/>
              <w:rPr>
                <w:bCs/>
                <w:color w:val="000000" w:themeColor="text1"/>
              </w:rPr>
            </w:pPr>
            <w:r w:rsidRPr="00781112">
              <w:rPr>
                <w:bCs/>
                <w:color w:val="000000" w:themeColor="text1"/>
              </w:rPr>
              <w:t>2021</w:t>
            </w:r>
          </w:p>
        </w:tc>
        <w:tc>
          <w:tcPr>
            <w:tcW w:w="1798" w:type="dxa"/>
            <w:vAlign w:val="center"/>
          </w:tcPr>
          <w:p w14:paraId="1E9B684E" w14:textId="004A2B05" w:rsidR="00D533A5" w:rsidRPr="00781112" w:rsidRDefault="00D533A5" w:rsidP="00123D76">
            <w:pPr>
              <w:jc w:val="center"/>
              <w:rPr>
                <w:bCs/>
                <w:color w:val="000000" w:themeColor="text1"/>
              </w:rPr>
            </w:pPr>
            <w:r w:rsidRPr="00781112">
              <w:rPr>
                <w:bCs/>
                <w:color w:val="000000" w:themeColor="text1"/>
              </w:rPr>
              <w:t>5.69%</w:t>
            </w:r>
          </w:p>
        </w:tc>
      </w:tr>
    </w:tbl>
    <w:p w14:paraId="690B4CC0" w14:textId="77777777" w:rsidR="00D533A5" w:rsidRPr="00781112" w:rsidRDefault="00D533A5"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0HISTDATA"/>
      </w:tblPr>
      <w:tblGrid>
        <w:gridCol w:w="1798"/>
        <w:gridCol w:w="1798"/>
        <w:gridCol w:w="1798"/>
        <w:gridCol w:w="1798"/>
        <w:gridCol w:w="1798"/>
        <w:gridCol w:w="1800"/>
      </w:tblGrid>
      <w:tr w:rsidR="005C29F8" w:rsidRPr="00781112" w14:paraId="489E6808" w14:textId="77777777" w:rsidTr="002B4D97">
        <w:trPr>
          <w:trHeight w:val="350"/>
        </w:trPr>
        <w:tc>
          <w:tcPr>
            <w:tcW w:w="833" w:type="pct"/>
            <w:tcBorders>
              <w:bottom w:val="single" w:sz="4" w:space="0" w:color="auto"/>
            </w:tcBorders>
            <w:shd w:val="clear" w:color="auto" w:fill="auto"/>
          </w:tcPr>
          <w:p w14:paraId="0171756F" w14:textId="77777777" w:rsidR="005A3C12" w:rsidRPr="00781112" w:rsidRDefault="005A3C12" w:rsidP="004369B2">
            <w:pPr>
              <w:jc w:val="center"/>
              <w:rPr>
                <w:b/>
                <w:color w:val="000000" w:themeColor="text1"/>
              </w:rPr>
            </w:pPr>
            <w:r w:rsidRPr="00781112">
              <w:rPr>
                <w:b/>
                <w:color w:val="000000" w:themeColor="text1"/>
              </w:rPr>
              <w:t>FFY</w:t>
            </w:r>
          </w:p>
        </w:tc>
        <w:tc>
          <w:tcPr>
            <w:tcW w:w="833" w:type="pct"/>
            <w:shd w:val="clear" w:color="auto" w:fill="auto"/>
          </w:tcPr>
          <w:p w14:paraId="78B2C5F0" w14:textId="44C4ABDF" w:rsidR="005A3C12" w:rsidRPr="00781112" w:rsidRDefault="002B7490" w:rsidP="0077257F">
            <w:pPr>
              <w:jc w:val="center"/>
              <w:rPr>
                <w:b/>
                <w:color w:val="000000" w:themeColor="text1"/>
              </w:rPr>
            </w:pPr>
            <w:r w:rsidRPr="00781112">
              <w:rPr>
                <w:b/>
                <w:color w:val="000000" w:themeColor="text1"/>
              </w:rPr>
              <w:t>2016</w:t>
            </w:r>
          </w:p>
        </w:tc>
        <w:tc>
          <w:tcPr>
            <w:tcW w:w="833" w:type="pct"/>
            <w:shd w:val="clear" w:color="auto" w:fill="auto"/>
          </w:tcPr>
          <w:p w14:paraId="7D60853E" w14:textId="148AFB2D" w:rsidR="005A3C12" w:rsidRPr="00781112" w:rsidRDefault="002B7490" w:rsidP="0077257F">
            <w:pPr>
              <w:jc w:val="center"/>
              <w:rPr>
                <w:b/>
                <w:color w:val="000000" w:themeColor="text1"/>
              </w:rPr>
            </w:pPr>
            <w:r w:rsidRPr="00781112">
              <w:rPr>
                <w:b/>
                <w:color w:val="000000" w:themeColor="text1"/>
              </w:rPr>
              <w:t>2017</w:t>
            </w:r>
          </w:p>
        </w:tc>
        <w:tc>
          <w:tcPr>
            <w:tcW w:w="833" w:type="pct"/>
            <w:shd w:val="clear" w:color="auto" w:fill="auto"/>
          </w:tcPr>
          <w:p w14:paraId="7AE4870B" w14:textId="1CBB7B36" w:rsidR="005A3C12" w:rsidRPr="00781112" w:rsidRDefault="002B7490" w:rsidP="0077257F">
            <w:pPr>
              <w:jc w:val="center"/>
              <w:rPr>
                <w:b/>
                <w:color w:val="000000" w:themeColor="text1"/>
              </w:rPr>
            </w:pPr>
            <w:r w:rsidRPr="00781112">
              <w:rPr>
                <w:b/>
                <w:color w:val="000000" w:themeColor="text1"/>
              </w:rPr>
              <w:t>2018</w:t>
            </w:r>
          </w:p>
        </w:tc>
        <w:tc>
          <w:tcPr>
            <w:tcW w:w="833" w:type="pct"/>
            <w:shd w:val="clear" w:color="auto" w:fill="auto"/>
          </w:tcPr>
          <w:p w14:paraId="2C1DA403" w14:textId="484DDCF7" w:rsidR="005A3C12" w:rsidRPr="00781112" w:rsidRDefault="002B7490" w:rsidP="0077257F">
            <w:pPr>
              <w:jc w:val="center"/>
              <w:rPr>
                <w:b/>
                <w:color w:val="000000" w:themeColor="text1"/>
              </w:rPr>
            </w:pPr>
            <w:r w:rsidRPr="00781112">
              <w:rPr>
                <w:b/>
                <w:color w:val="000000" w:themeColor="text1"/>
              </w:rPr>
              <w:t>2019</w:t>
            </w:r>
          </w:p>
        </w:tc>
        <w:tc>
          <w:tcPr>
            <w:tcW w:w="834" w:type="pct"/>
            <w:shd w:val="clear" w:color="auto" w:fill="auto"/>
          </w:tcPr>
          <w:p w14:paraId="0829DA0A" w14:textId="7480CDCA" w:rsidR="005A3C12" w:rsidRPr="00781112" w:rsidRDefault="002B7490" w:rsidP="0077257F">
            <w:pPr>
              <w:jc w:val="center"/>
              <w:rPr>
                <w:b/>
                <w:color w:val="000000" w:themeColor="text1"/>
              </w:rPr>
            </w:pPr>
            <w:r w:rsidRPr="00781112">
              <w:rPr>
                <w:b/>
                <w:color w:val="000000" w:themeColor="text1"/>
              </w:rPr>
              <w:t>2020</w:t>
            </w:r>
          </w:p>
        </w:tc>
      </w:tr>
      <w:tr w:rsidR="005C29F8" w:rsidRPr="00781112" w14:paraId="070DB2EE" w14:textId="77777777" w:rsidTr="002B4D97">
        <w:trPr>
          <w:trHeight w:val="357"/>
        </w:trPr>
        <w:tc>
          <w:tcPr>
            <w:tcW w:w="833" w:type="pct"/>
            <w:shd w:val="clear" w:color="auto" w:fill="auto"/>
          </w:tcPr>
          <w:p w14:paraId="0009CFCE" w14:textId="3FC698CF" w:rsidR="005A3C12" w:rsidRPr="00781112" w:rsidRDefault="005A3C12" w:rsidP="00B6413B">
            <w:pPr>
              <w:rPr>
                <w:rFonts w:cs="Arial"/>
                <w:color w:val="000000" w:themeColor="text1"/>
                <w:szCs w:val="16"/>
              </w:rPr>
            </w:pPr>
            <w:r w:rsidRPr="00781112">
              <w:rPr>
                <w:rFonts w:cs="Arial"/>
                <w:color w:val="000000" w:themeColor="text1"/>
                <w:szCs w:val="16"/>
              </w:rPr>
              <w:t xml:space="preserve">Target </w:t>
            </w:r>
          </w:p>
        </w:tc>
        <w:tc>
          <w:tcPr>
            <w:tcW w:w="833" w:type="pct"/>
            <w:shd w:val="clear" w:color="auto" w:fill="auto"/>
          </w:tcPr>
          <w:p w14:paraId="1375BD99" w14:textId="6D10741B" w:rsidR="005A3C12" w:rsidRPr="00781112" w:rsidRDefault="009C65E9" w:rsidP="004369B2">
            <w:pPr>
              <w:jc w:val="center"/>
              <w:rPr>
                <w:rFonts w:cs="Arial"/>
                <w:color w:val="000000" w:themeColor="text1"/>
                <w:szCs w:val="16"/>
              </w:rPr>
            </w:pPr>
            <w:r w:rsidRPr="00781112">
              <w:rPr>
                <w:rFonts w:cs="Arial"/>
                <w:color w:val="000000" w:themeColor="text1"/>
                <w:szCs w:val="16"/>
              </w:rPr>
              <w:t>0%</w:t>
            </w:r>
          </w:p>
        </w:tc>
        <w:tc>
          <w:tcPr>
            <w:tcW w:w="833" w:type="pct"/>
            <w:shd w:val="clear" w:color="auto" w:fill="auto"/>
          </w:tcPr>
          <w:p w14:paraId="26F74D0F" w14:textId="4AE09CE9" w:rsidR="005A3C12" w:rsidRPr="00781112" w:rsidRDefault="009C65E9" w:rsidP="004369B2">
            <w:pPr>
              <w:jc w:val="center"/>
              <w:rPr>
                <w:rFonts w:cs="Arial"/>
                <w:color w:val="000000" w:themeColor="text1"/>
                <w:szCs w:val="16"/>
              </w:rPr>
            </w:pPr>
            <w:r w:rsidRPr="00781112">
              <w:rPr>
                <w:rFonts w:cs="Arial"/>
                <w:color w:val="000000" w:themeColor="text1"/>
                <w:szCs w:val="16"/>
              </w:rPr>
              <w:t>0%</w:t>
            </w:r>
          </w:p>
        </w:tc>
        <w:tc>
          <w:tcPr>
            <w:tcW w:w="833" w:type="pct"/>
            <w:shd w:val="clear" w:color="auto" w:fill="auto"/>
          </w:tcPr>
          <w:p w14:paraId="7853FB9A" w14:textId="12B0C6E3" w:rsidR="005A3C12" w:rsidRPr="00781112" w:rsidRDefault="009C65E9" w:rsidP="004369B2">
            <w:pPr>
              <w:jc w:val="center"/>
              <w:rPr>
                <w:rFonts w:cs="Arial"/>
                <w:color w:val="000000" w:themeColor="text1"/>
                <w:szCs w:val="16"/>
              </w:rPr>
            </w:pPr>
            <w:r w:rsidRPr="00781112">
              <w:rPr>
                <w:rFonts w:cs="Arial"/>
                <w:color w:val="000000" w:themeColor="text1"/>
                <w:szCs w:val="16"/>
              </w:rPr>
              <w:t>0%</w:t>
            </w:r>
          </w:p>
        </w:tc>
        <w:tc>
          <w:tcPr>
            <w:tcW w:w="833" w:type="pct"/>
            <w:shd w:val="clear" w:color="auto" w:fill="auto"/>
          </w:tcPr>
          <w:p w14:paraId="48E831B0" w14:textId="55B124AD" w:rsidR="005A3C12" w:rsidRPr="00781112" w:rsidRDefault="009C65E9" w:rsidP="004369B2">
            <w:pPr>
              <w:jc w:val="center"/>
              <w:rPr>
                <w:rFonts w:cs="Arial"/>
                <w:color w:val="000000" w:themeColor="text1"/>
                <w:szCs w:val="16"/>
              </w:rPr>
            </w:pPr>
            <w:r w:rsidRPr="00781112">
              <w:rPr>
                <w:rFonts w:cs="Arial"/>
                <w:color w:val="000000" w:themeColor="text1"/>
                <w:szCs w:val="16"/>
              </w:rPr>
              <w:t>0%</w:t>
            </w:r>
          </w:p>
        </w:tc>
        <w:tc>
          <w:tcPr>
            <w:tcW w:w="834" w:type="pct"/>
            <w:shd w:val="clear" w:color="auto" w:fill="auto"/>
          </w:tcPr>
          <w:p w14:paraId="0EC718C3" w14:textId="25E87C80" w:rsidR="005A3C12" w:rsidRPr="00781112" w:rsidRDefault="009C65E9" w:rsidP="004369B2">
            <w:pPr>
              <w:jc w:val="center"/>
              <w:rPr>
                <w:rFonts w:cs="Arial"/>
                <w:color w:val="000000" w:themeColor="text1"/>
                <w:szCs w:val="16"/>
              </w:rPr>
            </w:pPr>
            <w:r w:rsidRPr="00781112">
              <w:rPr>
                <w:rFonts w:cs="Arial"/>
                <w:color w:val="000000" w:themeColor="text1"/>
                <w:szCs w:val="16"/>
              </w:rPr>
              <w:t>0%</w:t>
            </w:r>
          </w:p>
        </w:tc>
      </w:tr>
      <w:tr w:rsidR="005C29F8" w:rsidRPr="00781112" w14:paraId="72345F0E" w14:textId="77777777" w:rsidTr="002B4D97">
        <w:trPr>
          <w:trHeight w:val="85"/>
        </w:trPr>
        <w:tc>
          <w:tcPr>
            <w:tcW w:w="833" w:type="pct"/>
            <w:shd w:val="clear" w:color="auto" w:fill="auto"/>
          </w:tcPr>
          <w:p w14:paraId="33960FE1" w14:textId="77777777" w:rsidR="005A3C12" w:rsidRPr="00781112" w:rsidRDefault="005A3C12" w:rsidP="00B6413B">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1EEC0627" w14:textId="677F8A3D" w:rsidR="005A3C12" w:rsidRPr="00781112" w:rsidRDefault="002B7490" w:rsidP="004369B2">
            <w:pPr>
              <w:jc w:val="center"/>
              <w:rPr>
                <w:rFonts w:cs="Arial"/>
                <w:color w:val="000000" w:themeColor="text1"/>
                <w:szCs w:val="16"/>
              </w:rPr>
            </w:pPr>
            <w:r w:rsidRPr="00781112">
              <w:rPr>
                <w:rFonts w:cs="Arial"/>
                <w:color w:val="000000" w:themeColor="text1"/>
                <w:szCs w:val="16"/>
              </w:rPr>
              <w:t>0.00%</w:t>
            </w:r>
          </w:p>
        </w:tc>
        <w:tc>
          <w:tcPr>
            <w:tcW w:w="833" w:type="pct"/>
            <w:shd w:val="clear" w:color="auto" w:fill="auto"/>
          </w:tcPr>
          <w:p w14:paraId="5FB4D0B8" w14:textId="190E02CD" w:rsidR="005A3C12" w:rsidRPr="00781112" w:rsidRDefault="002B7490" w:rsidP="004369B2">
            <w:pPr>
              <w:jc w:val="center"/>
              <w:rPr>
                <w:rFonts w:cs="Arial"/>
                <w:color w:val="000000" w:themeColor="text1"/>
                <w:szCs w:val="16"/>
              </w:rPr>
            </w:pPr>
            <w:r w:rsidRPr="00781112">
              <w:rPr>
                <w:rFonts w:cs="Arial"/>
                <w:color w:val="000000" w:themeColor="text1"/>
                <w:szCs w:val="16"/>
              </w:rPr>
              <w:t>0.00%</w:t>
            </w:r>
          </w:p>
        </w:tc>
        <w:tc>
          <w:tcPr>
            <w:tcW w:w="833" w:type="pct"/>
            <w:tcBorders>
              <w:bottom w:val="single" w:sz="4" w:space="0" w:color="auto"/>
            </w:tcBorders>
            <w:shd w:val="clear" w:color="auto" w:fill="auto"/>
            <w:vAlign w:val="center"/>
          </w:tcPr>
          <w:p w14:paraId="36B818C8" w14:textId="70F8E2EA" w:rsidR="005A3C12" w:rsidRPr="00781112" w:rsidRDefault="002B7490" w:rsidP="004369B2">
            <w:pPr>
              <w:jc w:val="center"/>
              <w:rPr>
                <w:rFonts w:cs="Arial"/>
                <w:color w:val="000000" w:themeColor="text1"/>
                <w:szCs w:val="16"/>
              </w:rPr>
            </w:pPr>
            <w:r w:rsidRPr="00781112">
              <w:rPr>
                <w:rFonts w:cs="Arial"/>
                <w:color w:val="000000" w:themeColor="text1"/>
                <w:szCs w:val="16"/>
              </w:rPr>
              <w:t>NVR</w:t>
            </w:r>
          </w:p>
        </w:tc>
        <w:tc>
          <w:tcPr>
            <w:tcW w:w="833" w:type="pct"/>
            <w:tcBorders>
              <w:bottom w:val="single" w:sz="4" w:space="0" w:color="auto"/>
            </w:tcBorders>
            <w:shd w:val="clear" w:color="auto" w:fill="auto"/>
            <w:vAlign w:val="center"/>
          </w:tcPr>
          <w:p w14:paraId="4F9B86C0" w14:textId="2EC4A366" w:rsidR="005A3C12" w:rsidRPr="00781112" w:rsidRDefault="002B7490" w:rsidP="004369B2">
            <w:pPr>
              <w:jc w:val="center"/>
              <w:rPr>
                <w:rFonts w:cs="Arial"/>
                <w:color w:val="000000" w:themeColor="text1"/>
                <w:szCs w:val="16"/>
              </w:rPr>
            </w:pPr>
            <w:r w:rsidRPr="00781112">
              <w:rPr>
                <w:rFonts w:cs="Arial"/>
                <w:color w:val="000000" w:themeColor="text1"/>
                <w:szCs w:val="16"/>
              </w:rPr>
              <w:t>0.00%</w:t>
            </w:r>
          </w:p>
        </w:tc>
        <w:tc>
          <w:tcPr>
            <w:tcW w:w="834" w:type="pct"/>
            <w:tcBorders>
              <w:bottom w:val="single" w:sz="4" w:space="0" w:color="auto"/>
            </w:tcBorders>
            <w:shd w:val="clear" w:color="auto" w:fill="auto"/>
            <w:vAlign w:val="center"/>
          </w:tcPr>
          <w:p w14:paraId="1C8D4247" w14:textId="1E5D4F59" w:rsidR="005A3C12" w:rsidRPr="00781112" w:rsidRDefault="002B7490" w:rsidP="004369B2">
            <w:pPr>
              <w:jc w:val="center"/>
              <w:rPr>
                <w:rFonts w:cs="Arial"/>
                <w:color w:val="000000" w:themeColor="text1"/>
                <w:szCs w:val="16"/>
              </w:rPr>
            </w:pPr>
            <w:r w:rsidRPr="00781112">
              <w:rPr>
                <w:rFonts w:cs="Arial"/>
                <w:color w:val="000000" w:themeColor="text1"/>
                <w:szCs w:val="16"/>
              </w:rPr>
              <w:t>0.00%</w:t>
            </w:r>
          </w:p>
        </w:tc>
      </w:tr>
      <w:bookmarkEnd w:id="63"/>
      <w:bookmarkEnd w:id="64"/>
    </w:tbl>
    <w:p w14:paraId="1840A66A" w14:textId="77777777" w:rsidR="00BA687C" w:rsidRDefault="00BA687C" w:rsidP="004369B2">
      <w:pPr>
        <w:rPr>
          <w:color w:val="000000" w:themeColor="text1"/>
        </w:rPr>
      </w:pPr>
    </w:p>
    <w:p w14:paraId="61760B17" w14:textId="77777777" w:rsidR="007123A2" w:rsidRPr="00781112" w:rsidRDefault="007123A2" w:rsidP="004369B2">
      <w:pPr>
        <w:rPr>
          <w:color w:val="000000" w:themeColor="text1"/>
        </w:rPr>
      </w:pPr>
    </w:p>
    <w:p w14:paraId="618FFFDA" w14:textId="2F1D75E5" w:rsidR="007A3964" w:rsidRPr="00781112" w:rsidRDefault="007A3964" w:rsidP="004369B2">
      <w:pPr>
        <w:rPr>
          <w:color w:val="000000" w:themeColor="text1"/>
        </w:rPr>
      </w:pPr>
      <w:r w:rsidRPr="00781112">
        <w:rPr>
          <w:b/>
          <w:color w:val="000000" w:themeColor="text1"/>
        </w:rPr>
        <w:lastRenderedPageBreak/>
        <w:t>Targets</w:t>
      </w:r>
    </w:p>
    <w:tbl>
      <w:tblPr>
        <w:tblW w:w="42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0TARGETS"/>
      </w:tblPr>
      <w:tblGrid>
        <w:gridCol w:w="1540"/>
        <w:gridCol w:w="1541"/>
        <w:gridCol w:w="1543"/>
        <w:gridCol w:w="1541"/>
        <w:gridCol w:w="1543"/>
        <w:gridCol w:w="1541"/>
      </w:tblGrid>
      <w:tr w:rsidR="00B14519" w:rsidRPr="00781112" w14:paraId="66B5B2AB" w14:textId="77A1A8F1" w:rsidTr="00451D7E">
        <w:trPr>
          <w:trHeight w:val="424"/>
        </w:trPr>
        <w:tc>
          <w:tcPr>
            <w:tcW w:w="833" w:type="pct"/>
            <w:tcBorders>
              <w:bottom w:val="single" w:sz="4" w:space="0" w:color="auto"/>
            </w:tcBorders>
            <w:shd w:val="clear" w:color="auto" w:fill="auto"/>
          </w:tcPr>
          <w:p w14:paraId="6C572A94" w14:textId="77777777" w:rsidR="00B14519" w:rsidRPr="00781112" w:rsidRDefault="00B14519" w:rsidP="00D0796B">
            <w:pPr>
              <w:jc w:val="center"/>
              <w:rPr>
                <w:b/>
                <w:color w:val="000000" w:themeColor="text1"/>
              </w:rPr>
            </w:pPr>
            <w:r w:rsidRPr="00781112">
              <w:rPr>
                <w:b/>
                <w:color w:val="000000" w:themeColor="text1"/>
              </w:rPr>
              <w:t>FFY</w:t>
            </w:r>
          </w:p>
        </w:tc>
        <w:tc>
          <w:tcPr>
            <w:tcW w:w="833" w:type="pct"/>
            <w:shd w:val="clear" w:color="auto" w:fill="auto"/>
          </w:tcPr>
          <w:p w14:paraId="67096E8B" w14:textId="77777777" w:rsidR="00B14519" w:rsidRPr="00781112" w:rsidRDefault="00B14519" w:rsidP="00D0796B">
            <w:pPr>
              <w:jc w:val="center"/>
              <w:rPr>
                <w:b/>
                <w:color w:val="000000" w:themeColor="text1"/>
              </w:rPr>
            </w:pPr>
            <w:r w:rsidRPr="00781112">
              <w:rPr>
                <w:b/>
                <w:color w:val="000000" w:themeColor="text1"/>
              </w:rPr>
              <w:t>2021</w:t>
            </w:r>
          </w:p>
        </w:tc>
        <w:tc>
          <w:tcPr>
            <w:tcW w:w="834" w:type="pct"/>
          </w:tcPr>
          <w:p w14:paraId="0FDB27DB" w14:textId="2A7CA3D5" w:rsidR="00B14519" w:rsidRPr="00781112" w:rsidRDefault="00B14519" w:rsidP="00D0796B">
            <w:pPr>
              <w:jc w:val="center"/>
              <w:rPr>
                <w:b/>
                <w:color w:val="000000" w:themeColor="text1"/>
              </w:rPr>
            </w:pPr>
            <w:r w:rsidRPr="00781112">
              <w:rPr>
                <w:rFonts w:cs="Arial"/>
                <w:b/>
                <w:color w:val="000000" w:themeColor="text1"/>
                <w:szCs w:val="16"/>
              </w:rPr>
              <w:t>2022</w:t>
            </w:r>
          </w:p>
        </w:tc>
        <w:tc>
          <w:tcPr>
            <w:tcW w:w="833" w:type="pct"/>
          </w:tcPr>
          <w:p w14:paraId="6594AB3D" w14:textId="0AA5EB84" w:rsidR="00B14519" w:rsidRPr="00781112" w:rsidRDefault="00B14519" w:rsidP="00D0796B">
            <w:pPr>
              <w:jc w:val="center"/>
              <w:rPr>
                <w:b/>
                <w:color w:val="000000" w:themeColor="text1"/>
              </w:rPr>
            </w:pPr>
            <w:r w:rsidRPr="00781112">
              <w:rPr>
                <w:rFonts w:cs="Arial"/>
                <w:b/>
                <w:color w:val="000000" w:themeColor="text1"/>
                <w:szCs w:val="16"/>
              </w:rPr>
              <w:t>2023</w:t>
            </w:r>
          </w:p>
        </w:tc>
        <w:tc>
          <w:tcPr>
            <w:tcW w:w="834" w:type="pct"/>
          </w:tcPr>
          <w:p w14:paraId="137A2339" w14:textId="1A48CA5C" w:rsidR="00B14519" w:rsidRPr="00781112" w:rsidRDefault="00B14519" w:rsidP="00D0796B">
            <w:pPr>
              <w:jc w:val="center"/>
              <w:rPr>
                <w:b/>
                <w:color w:val="000000" w:themeColor="text1"/>
              </w:rPr>
            </w:pPr>
            <w:r w:rsidRPr="00781112">
              <w:rPr>
                <w:rFonts w:cs="Arial"/>
                <w:b/>
                <w:color w:val="000000" w:themeColor="text1"/>
                <w:szCs w:val="16"/>
              </w:rPr>
              <w:t>2024</w:t>
            </w:r>
          </w:p>
        </w:tc>
        <w:tc>
          <w:tcPr>
            <w:tcW w:w="833" w:type="pct"/>
          </w:tcPr>
          <w:p w14:paraId="4FA5EFF0" w14:textId="7587EB5F" w:rsidR="00B14519" w:rsidRPr="00781112" w:rsidRDefault="00B14519" w:rsidP="00D0796B">
            <w:pPr>
              <w:jc w:val="center"/>
              <w:rPr>
                <w:b/>
                <w:color w:val="000000" w:themeColor="text1"/>
              </w:rPr>
            </w:pPr>
            <w:r w:rsidRPr="00781112">
              <w:rPr>
                <w:rFonts w:cs="Arial"/>
                <w:b/>
                <w:color w:val="000000" w:themeColor="text1"/>
                <w:szCs w:val="16"/>
              </w:rPr>
              <w:t>2025</w:t>
            </w:r>
          </w:p>
        </w:tc>
      </w:tr>
      <w:tr w:rsidR="00B14519" w:rsidRPr="00781112" w14:paraId="169ED4F0" w14:textId="16F5CD6F" w:rsidTr="00451D7E">
        <w:trPr>
          <w:trHeight w:val="432"/>
        </w:trPr>
        <w:tc>
          <w:tcPr>
            <w:tcW w:w="833" w:type="pct"/>
            <w:shd w:val="clear" w:color="auto" w:fill="auto"/>
            <w:vAlign w:val="center"/>
          </w:tcPr>
          <w:p w14:paraId="639437BD" w14:textId="77777777" w:rsidR="00B14519" w:rsidRPr="00781112" w:rsidRDefault="00B14519" w:rsidP="00D0796B">
            <w:pPr>
              <w:rPr>
                <w:rFonts w:cs="Arial"/>
                <w:color w:val="000000" w:themeColor="text1"/>
                <w:szCs w:val="16"/>
              </w:rPr>
            </w:pPr>
            <w:r w:rsidRPr="00781112">
              <w:rPr>
                <w:rFonts w:cs="Arial"/>
                <w:color w:val="000000" w:themeColor="text1"/>
                <w:szCs w:val="16"/>
              </w:rPr>
              <w:t xml:space="preserve">Target </w:t>
            </w:r>
          </w:p>
        </w:tc>
        <w:tc>
          <w:tcPr>
            <w:tcW w:w="833" w:type="pct"/>
            <w:shd w:val="clear" w:color="auto" w:fill="auto"/>
            <w:vAlign w:val="center"/>
          </w:tcPr>
          <w:p w14:paraId="482B43E6" w14:textId="62FCF10C" w:rsidR="00B14519" w:rsidRPr="00781112" w:rsidRDefault="00B14519" w:rsidP="00D0796B">
            <w:pPr>
              <w:jc w:val="center"/>
              <w:rPr>
                <w:rFonts w:cs="Arial"/>
                <w:color w:val="000000" w:themeColor="text1"/>
                <w:szCs w:val="16"/>
              </w:rPr>
            </w:pPr>
            <w:r w:rsidRPr="00781112">
              <w:rPr>
                <w:rFonts w:cs="Arial"/>
                <w:color w:val="000000" w:themeColor="text1"/>
                <w:szCs w:val="16"/>
              </w:rPr>
              <w:t>0%</w:t>
            </w:r>
          </w:p>
        </w:tc>
        <w:tc>
          <w:tcPr>
            <w:tcW w:w="834" w:type="pct"/>
          </w:tcPr>
          <w:p w14:paraId="6ED6CF52" w14:textId="07C8F82B" w:rsidR="00B14519" w:rsidRPr="00781112" w:rsidRDefault="00B14519" w:rsidP="00D0796B">
            <w:pPr>
              <w:jc w:val="center"/>
              <w:rPr>
                <w:rFonts w:cs="Arial"/>
                <w:color w:val="000000" w:themeColor="text1"/>
                <w:szCs w:val="16"/>
              </w:rPr>
            </w:pPr>
            <w:r w:rsidRPr="00781112">
              <w:rPr>
                <w:color w:val="000000" w:themeColor="text1"/>
                <w:szCs w:val="16"/>
              </w:rPr>
              <w:t>0%</w:t>
            </w:r>
          </w:p>
        </w:tc>
        <w:tc>
          <w:tcPr>
            <w:tcW w:w="833" w:type="pct"/>
          </w:tcPr>
          <w:p w14:paraId="41DC7F3D" w14:textId="129F7B75" w:rsidR="00B14519" w:rsidRPr="00781112" w:rsidRDefault="00B14519" w:rsidP="00D0796B">
            <w:pPr>
              <w:jc w:val="center"/>
              <w:rPr>
                <w:rFonts w:cs="Arial"/>
                <w:color w:val="000000" w:themeColor="text1"/>
                <w:szCs w:val="16"/>
              </w:rPr>
            </w:pPr>
            <w:r w:rsidRPr="00781112">
              <w:rPr>
                <w:color w:val="000000" w:themeColor="text1"/>
                <w:szCs w:val="16"/>
              </w:rPr>
              <w:t>0%</w:t>
            </w:r>
          </w:p>
        </w:tc>
        <w:tc>
          <w:tcPr>
            <w:tcW w:w="834" w:type="pct"/>
          </w:tcPr>
          <w:p w14:paraId="430A2A24" w14:textId="13021BDA" w:rsidR="00B14519" w:rsidRPr="00781112" w:rsidRDefault="00B14519" w:rsidP="00D0796B">
            <w:pPr>
              <w:jc w:val="center"/>
              <w:rPr>
                <w:rFonts w:cs="Arial"/>
                <w:color w:val="000000" w:themeColor="text1"/>
                <w:szCs w:val="16"/>
              </w:rPr>
            </w:pPr>
            <w:r w:rsidRPr="00781112">
              <w:rPr>
                <w:color w:val="000000" w:themeColor="text1"/>
                <w:szCs w:val="16"/>
              </w:rPr>
              <w:t>0%</w:t>
            </w:r>
          </w:p>
        </w:tc>
        <w:tc>
          <w:tcPr>
            <w:tcW w:w="833" w:type="pct"/>
          </w:tcPr>
          <w:p w14:paraId="77FF7EE4" w14:textId="56DB4944" w:rsidR="00B14519" w:rsidRPr="00781112" w:rsidRDefault="00B14519" w:rsidP="00D0796B">
            <w:pPr>
              <w:jc w:val="center"/>
              <w:rPr>
                <w:rFonts w:cs="Arial"/>
                <w:color w:val="000000" w:themeColor="text1"/>
                <w:szCs w:val="16"/>
              </w:rPr>
            </w:pPr>
            <w:r w:rsidRPr="00781112">
              <w:rPr>
                <w:color w:val="000000" w:themeColor="text1"/>
                <w:szCs w:val="16"/>
              </w:rPr>
              <w:t>0%</w:t>
            </w:r>
          </w:p>
        </w:tc>
      </w:tr>
    </w:tbl>
    <w:p w14:paraId="52F4815B" w14:textId="77777777" w:rsidR="00BA687C" w:rsidRPr="00781112" w:rsidRDefault="00BA687C" w:rsidP="004369B2">
      <w:pPr>
        <w:rPr>
          <w:color w:val="000000" w:themeColor="text1"/>
        </w:rPr>
      </w:pPr>
    </w:p>
    <w:p w14:paraId="7CAE922F" w14:textId="51FA40C3" w:rsidR="005A3C12" w:rsidRPr="00781112" w:rsidRDefault="0047313F">
      <w:pPr>
        <w:rPr>
          <w:b/>
          <w:color w:val="000000" w:themeColor="text1"/>
        </w:rPr>
      </w:pPr>
      <w:r>
        <w:rPr>
          <w:b/>
          <w:color w:val="000000" w:themeColor="text1"/>
        </w:rPr>
        <w:t>FFY 2021 SPP/APR Data</w:t>
      </w:r>
    </w:p>
    <w:p w14:paraId="2910402D" w14:textId="579385FD" w:rsidR="00C2395D" w:rsidRPr="00781112" w:rsidRDefault="00C2395D">
      <w:pPr>
        <w:rPr>
          <w:rFonts w:cs="Arial"/>
          <w:b/>
          <w:color w:val="000000" w:themeColor="text1"/>
          <w:szCs w:val="16"/>
        </w:rPr>
      </w:pPr>
      <w:r w:rsidRPr="00781112">
        <w:rPr>
          <w:rFonts w:cs="Arial"/>
          <w:b/>
          <w:color w:val="000000" w:themeColor="text1"/>
          <w:szCs w:val="16"/>
        </w:rPr>
        <w:t>Has the state established a minimum n and/or cell size requirement? (yes/no)</w:t>
      </w:r>
    </w:p>
    <w:p w14:paraId="51881593" w14:textId="15FAF06D" w:rsidR="00C2395D" w:rsidRPr="00781112" w:rsidRDefault="00C2395D">
      <w:pPr>
        <w:rPr>
          <w:rFonts w:cs="Arial"/>
          <w:color w:val="000000" w:themeColor="text1"/>
          <w:szCs w:val="16"/>
        </w:rPr>
      </w:pPr>
      <w:bookmarkStart w:id="65" w:name="_Hlk20258880"/>
      <w:r w:rsidRPr="00781112">
        <w:rPr>
          <w:rFonts w:cs="Arial"/>
          <w:color w:val="000000" w:themeColor="text1"/>
          <w:szCs w:val="16"/>
        </w:rPr>
        <w:t>YES</w:t>
      </w:r>
    </w:p>
    <w:bookmarkEnd w:id="65"/>
    <w:p w14:paraId="68C2343A" w14:textId="52DDFC94" w:rsidR="00C2395D" w:rsidRPr="00781112" w:rsidRDefault="00C2395D">
      <w:pPr>
        <w:rPr>
          <w:rFonts w:cs="Arial"/>
          <w:b/>
          <w:color w:val="000000" w:themeColor="text1"/>
          <w:szCs w:val="16"/>
        </w:rPr>
      </w:pPr>
      <w:r w:rsidRPr="00781112">
        <w:rPr>
          <w:rFonts w:cs="Arial"/>
          <w:b/>
          <w:color w:val="000000" w:themeColor="text1"/>
          <w:szCs w:val="16"/>
        </w:rPr>
        <w:t xml:space="preserve">If yes, the State may only include, in both the numerator and the denominator, districts that </w:t>
      </w:r>
      <w:proofErr w:type="gramStart"/>
      <w:r w:rsidRPr="00781112">
        <w:rPr>
          <w:rFonts w:cs="Arial"/>
          <w:b/>
          <w:color w:val="000000" w:themeColor="text1"/>
          <w:szCs w:val="16"/>
        </w:rPr>
        <w:t>met</w:t>
      </w:r>
      <w:proofErr w:type="gramEnd"/>
      <w:r w:rsidRPr="00781112">
        <w:rPr>
          <w:rFonts w:cs="Arial"/>
          <w:b/>
          <w:color w:val="000000" w:themeColor="text1"/>
          <w:szCs w:val="16"/>
        </w:rPr>
        <w:t xml:space="preserve"> the State-established n and/or cell size. Report the number of districts excluded from the calculation </w:t>
      </w:r>
      <w:proofErr w:type="gramStart"/>
      <w:r w:rsidRPr="00781112">
        <w:rPr>
          <w:rFonts w:cs="Arial"/>
          <w:b/>
          <w:color w:val="000000" w:themeColor="text1"/>
          <w:szCs w:val="16"/>
        </w:rPr>
        <w:t>as a result of</w:t>
      </w:r>
      <w:proofErr w:type="gramEnd"/>
      <w:r w:rsidRPr="00781112">
        <w:rPr>
          <w:rFonts w:cs="Arial"/>
          <w:b/>
          <w:color w:val="000000" w:themeColor="text1"/>
          <w:szCs w:val="16"/>
        </w:rPr>
        <w:t xml:space="preserve"> the requirement.</w:t>
      </w:r>
    </w:p>
    <w:p w14:paraId="0B319A04" w14:textId="0BE2333F" w:rsidR="00C2395D" w:rsidRPr="00781112" w:rsidRDefault="00C2395D">
      <w:pPr>
        <w:rPr>
          <w:rFonts w:cs="Arial"/>
          <w:color w:val="000000" w:themeColor="text1"/>
          <w:szCs w:val="16"/>
        </w:rPr>
      </w:pPr>
      <w:r w:rsidRPr="00781112">
        <w:rPr>
          <w:rFonts w:cs="Arial"/>
          <w:color w:val="000000" w:themeColor="text1"/>
          <w:szCs w:val="16"/>
        </w:rPr>
        <w:t>33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0CFFYAPRDATA"/>
      </w:tblPr>
      <w:tblGrid>
        <w:gridCol w:w="1488"/>
        <w:gridCol w:w="1488"/>
        <w:gridCol w:w="1720"/>
        <w:gridCol w:w="1073"/>
        <w:gridCol w:w="1638"/>
        <w:gridCol w:w="958"/>
        <w:gridCol w:w="1233"/>
        <w:gridCol w:w="1192"/>
      </w:tblGrid>
      <w:tr w:rsidR="00206A65" w:rsidRPr="00781112" w14:paraId="46B7EEE9" w14:textId="299BDFCD" w:rsidTr="002B4D97">
        <w:trPr>
          <w:trHeight w:val="354"/>
        </w:trPr>
        <w:tc>
          <w:tcPr>
            <w:tcW w:w="556" w:type="pct"/>
            <w:shd w:val="clear" w:color="auto" w:fill="auto"/>
            <w:vAlign w:val="bottom"/>
          </w:tcPr>
          <w:p w14:paraId="0E28349C" w14:textId="44D96017" w:rsidR="00206A65" w:rsidRPr="00781112" w:rsidRDefault="00206A65" w:rsidP="00206A65">
            <w:pPr>
              <w:jc w:val="center"/>
              <w:rPr>
                <w:b/>
                <w:color w:val="000000" w:themeColor="text1"/>
              </w:rPr>
            </w:pPr>
            <w:r w:rsidRPr="00781112">
              <w:rPr>
                <w:b/>
                <w:color w:val="000000" w:themeColor="text1"/>
              </w:rPr>
              <w:t>Number of districts with disproportionate representation of racial/ethnic groups in specific disability categories</w:t>
            </w:r>
          </w:p>
        </w:tc>
        <w:tc>
          <w:tcPr>
            <w:tcW w:w="583" w:type="pct"/>
            <w:shd w:val="clear" w:color="auto" w:fill="auto"/>
            <w:vAlign w:val="bottom"/>
          </w:tcPr>
          <w:p w14:paraId="3776FC0B" w14:textId="62483782" w:rsidR="00206A65" w:rsidRPr="00781112" w:rsidRDefault="00206A65" w:rsidP="00206A65">
            <w:pPr>
              <w:jc w:val="center"/>
              <w:rPr>
                <w:b/>
                <w:color w:val="000000" w:themeColor="text1"/>
              </w:rPr>
            </w:pPr>
            <w:r w:rsidRPr="00781112">
              <w:rPr>
                <w:b/>
                <w:color w:val="000000" w:themeColor="text1"/>
              </w:rPr>
              <w:t>Number of districts with disproportionate representation of racial/ethnic groups in specific disability categories that is the result of inappropriate identification</w:t>
            </w:r>
          </w:p>
        </w:tc>
        <w:tc>
          <w:tcPr>
            <w:tcW w:w="837" w:type="pct"/>
            <w:shd w:val="clear" w:color="auto" w:fill="auto"/>
            <w:vAlign w:val="bottom"/>
          </w:tcPr>
          <w:p w14:paraId="355E2973" w14:textId="5007428A" w:rsidR="00206A65" w:rsidRPr="00781112" w:rsidRDefault="00206A65" w:rsidP="00206A65">
            <w:pPr>
              <w:jc w:val="center"/>
              <w:rPr>
                <w:b/>
                <w:color w:val="000000" w:themeColor="text1"/>
              </w:rPr>
            </w:pPr>
            <w:r w:rsidRPr="00781112">
              <w:rPr>
                <w:b/>
                <w:color w:val="000000" w:themeColor="text1"/>
              </w:rPr>
              <w:t>Number of districts that met the State's minimum n and/or cell size</w:t>
            </w:r>
          </w:p>
        </w:tc>
        <w:tc>
          <w:tcPr>
            <w:tcW w:w="537" w:type="pct"/>
            <w:shd w:val="clear" w:color="auto" w:fill="auto"/>
            <w:vAlign w:val="bottom"/>
          </w:tcPr>
          <w:p w14:paraId="7466F790" w14:textId="0893553B" w:rsidR="00206A65" w:rsidRPr="00CC1061" w:rsidRDefault="00206A65" w:rsidP="00206A65">
            <w:pPr>
              <w:jc w:val="center"/>
              <w:rPr>
                <w:b/>
                <w:bCs/>
                <w:color w:val="000000" w:themeColor="text1"/>
              </w:rPr>
            </w:pPr>
            <w:r w:rsidRPr="00CC1061">
              <w:rPr>
                <w:b/>
                <w:bCs/>
              </w:rPr>
              <w:t>FFY 2020 Data</w:t>
            </w:r>
          </w:p>
        </w:tc>
        <w:tc>
          <w:tcPr>
            <w:tcW w:w="799" w:type="pct"/>
            <w:shd w:val="clear" w:color="auto" w:fill="auto"/>
            <w:vAlign w:val="bottom"/>
          </w:tcPr>
          <w:p w14:paraId="72475F3B" w14:textId="17396A7D" w:rsidR="00206A65" w:rsidRPr="00CC1061" w:rsidRDefault="00206A65" w:rsidP="00206A65">
            <w:pPr>
              <w:jc w:val="center"/>
              <w:rPr>
                <w:b/>
                <w:bCs/>
                <w:color w:val="000000" w:themeColor="text1"/>
              </w:rPr>
            </w:pPr>
            <w:r w:rsidRPr="00CC1061">
              <w:rPr>
                <w:b/>
                <w:bCs/>
              </w:rPr>
              <w:t>FFY 2021 Target</w:t>
            </w:r>
          </w:p>
        </w:tc>
        <w:tc>
          <w:tcPr>
            <w:tcW w:w="484" w:type="pct"/>
            <w:shd w:val="clear" w:color="auto" w:fill="auto"/>
            <w:vAlign w:val="bottom"/>
          </w:tcPr>
          <w:p w14:paraId="71FC938A" w14:textId="10B6FDC7" w:rsidR="00206A65" w:rsidRPr="00CC1061" w:rsidRDefault="00206A65" w:rsidP="00206A65">
            <w:pPr>
              <w:jc w:val="center"/>
              <w:rPr>
                <w:b/>
                <w:bCs/>
                <w:color w:val="000000" w:themeColor="text1"/>
              </w:rPr>
            </w:pPr>
            <w:r w:rsidRPr="00CC1061">
              <w:rPr>
                <w:b/>
                <w:bCs/>
              </w:rPr>
              <w:t>FFY 2021 Data</w:t>
            </w:r>
          </w:p>
        </w:tc>
        <w:tc>
          <w:tcPr>
            <w:tcW w:w="611" w:type="pct"/>
            <w:shd w:val="clear" w:color="auto" w:fill="auto"/>
            <w:vAlign w:val="bottom"/>
          </w:tcPr>
          <w:p w14:paraId="3412B11F" w14:textId="60F985B5" w:rsidR="00206A65" w:rsidRPr="00781112" w:rsidRDefault="00206A65" w:rsidP="00206A65">
            <w:pPr>
              <w:jc w:val="center"/>
              <w:rPr>
                <w:b/>
                <w:color w:val="000000" w:themeColor="text1"/>
              </w:rPr>
            </w:pPr>
            <w:r w:rsidRPr="00781112">
              <w:rPr>
                <w:b/>
                <w:color w:val="000000" w:themeColor="text1"/>
              </w:rPr>
              <w:t>Status</w:t>
            </w:r>
          </w:p>
        </w:tc>
        <w:tc>
          <w:tcPr>
            <w:tcW w:w="592" w:type="pct"/>
            <w:shd w:val="clear" w:color="auto" w:fill="auto"/>
            <w:vAlign w:val="bottom"/>
          </w:tcPr>
          <w:p w14:paraId="5BE578EA" w14:textId="42655681" w:rsidR="00206A65" w:rsidRPr="00781112" w:rsidRDefault="00206A65" w:rsidP="00206A65">
            <w:pPr>
              <w:jc w:val="center"/>
              <w:rPr>
                <w:b/>
                <w:color w:val="000000" w:themeColor="text1"/>
              </w:rPr>
            </w:pPr>
            <w:r w:rsidRPr="00781112">
              <w:rPr>
                <w:b/>
                <w:color w:val="000000" w:themeColor="text1"/>
              </w:rPr>
              <w:t>Slippage</w:t>
            </w:r>
          </w:p>
        </w:tc>
      </w:tr>
      <w:tr w:rsidR="005C29F8" w:rsidRPr="00781112" w14:paraId="15B9A5E7" w14:textId="77777777" w:rsidTr="002B4D97">
        <w:tblPrEx>
          <w:jc w:val="center"/>
        </w:tblPrEx>
        <w:trPr>
          <w:trHeight w:val="361"/>
          <w:jc w:val="center"/>
        </w:trPr>
        <w:tc>
          <w:tcPr>
            <w:tcW w:w="556" w:type="pct"/>
            <w:shd w:val="clear" w:color="auto" w:fill="auto"/>
            <w:vAlign w:val="center"/>
          </w:tcPr>
          <w:p w14:paraId="4E60E5C8" w14:textId="6324B6DD" w:rsidR="00832807" w:rsidRPr="00781112" w:rsidRDefault="002B7490" w:rsidP="00A018D4">
            <w:pPr>
              <w:jc w:val="center"/>
              <w:rPr>
                <w:rFonts w:cs="Arial"/>
                <w:color w:val="000000" w:themeColor="text1"/>
                <w:szCs w:val="16"/>
              </w:rPr>
            </w:pPr>
            <w:r w:rsidRPr="00781112">
              <w:rPr>
                <w:rFonts w:cs="Arial"/>
                <w:color w:val="000000" w:themeColor="text1"/>
                <w:szCs w:val="16"/>
              </w:rPr>
              <w:t>37</w:t>
            </w:r>
          </w:p>
        </w:tc>
        <w:tc>
          <w:tcPr>
            <w:tcW w:w="583" w:type="pct"/>
            <w:shd w:val="clear" w:color="auto" w:fill="auto"/>
            <w:vAlign w:val="center"/>
          </w:tcPr>
          <w:p w14:paraId="765C1600" w14:textId="09979D5F" w:rsidR="00832807" w:rsidRPr="00781112" w:rsidRDefault="002B7490">
            <w:pPr>
              <w:jc w:val="center"/>
              <w:rPr>
                <w:rFonts w:cs="Arial"/>
                <w:color w:val="000000" w:themeColor="text1"/>
                <w:szCs w:val="16"/>
              </w:rPr>
            </w:pPr>
            <w:r w:rsidRPr="00781112">
              <w:rPr>
                <w:rFonts w:cs="Arial"/>
                <w:color w:val="000000" w:themeColor="text1"/>
                <w:szCs w:val="16"/>
              </w:rPr>
              <w:t>7</w:t>
            </w:r>
          </w:p>
        </w:tc>
        <w:tc>
          <w:tcPr>
            <w:tcW w:w="837" w:type="pct"/>
            <w:shd w:val="clear" w:color="auto" w:fill="auto"/>
          </w:tcPr>
          <w:p w14:paraId="2F5939A9" w14:textId="0BB9A6FC" w:rsidR="00832807" w:rsidRPr="00781112" w:rsidRDefault="002B7490">
            <w:pPr>
              <w:jc w:val="center"/>
              <w:rPr>
                <w:rFonts w:cs="Arial"/>
                <w:color w:val="000000" w:themeColor="text1"/>
                <w:szCs w:val="16"/>
              </w:rPr>
            </w:pPr>
            <w:r w:rsidRPr="00781112">
              <w:rPr>
                <w:rFonts w:cs="Arial"/>
                <w:color w:val="000000" w:themeColor="text1"/>
                <w:szCs w:val="16"/>
              </w:rPr>
              <w:t>123</w:t>
            </w:r>
          </w:p>
        </w:tc>
        <w:tc>
          <w:tcPr>
            <w:tcW w:w="537" w:type="pct"/>
            <w:shd w:val="clear" w:color="auto" w:fill="auto"/>
          </w:tcPr>
          <w:p w14:paraId="0D05C70A" w14:textId="18F3C221" w:rsidR="00832807" w:rsidRPr="00781112" w:rsidRDefault="002B7490">
            <w:pPr>
              <w:jc w:val="center"/>
              <w:rPr>
                <w:rFonts w:cs="Arial"/>
                <w:color w:val="000000" w:themeColor="text1"/>
                <w:szCs w:val="16"/>
              </w:rPr>
            </w:pPr>
            <w:r w:rsidRPr="00781112">
              <w:rPr>
                <w:rFonts w:cs="Arial"/>
                <w:color w:val="000000" w:themeColor="text1"/>
                <w:szCs w:val="16"/>
              </w:rPr>
              <w:t>0.00%</w:t>
            </w:r>
          </w:p>
        </w:tc>
        <w:tc>
          <w:tcPr>
            <w:tcW w:w="799" w:type="pct"/>
            <w:shd w:val="clear" w:color="auto" w:fill="auto"/>
          </w:tcPr>
          <w:p w14:paraId="31B1786A" w14:textId="1C0FB493" w:rsidR="00832807" w:rsidRPr="00781112" w:rsidRDefault="009C65E9">
            <w:pPr>
              <w:jc w:val="center"/>
              <w:rPr>
                <w:rFonts w:cs="Arial"/>
                <w:color w:val="000000" w:themeColor="text1"/>
                <w:szCs w:val="16"/>
              </w:rPr>
            </w:pPr>
            <w:r w:rsidRPr="00781112">
              <w:rPr>
                <w:rFonts w:cs="Arial"/>
                <w:color w:val="000000" w:themeColor="text1"/>
                <w:szCs w:val="16"/>
              </w:rPr>
              <w:t>0%</w:t>
            </w:r>
          </w:p>
        </w:tc>
        <w:tc>
          <w:tcPr>
            <w:tcW w:w="484" w:type="pct"/>
            <w:shd w:val="clear" w:color="auto" w:fill="auto"/>
          </w:tcPr>
          <w:p w14:paraId="006553AD" w14:textId="5CF8CF00" w:rsidR="00832807" w:rsidRPr="00781112" w:rsidRDefault="002B7490">
            <w:pPr>
              <w:jc w:val="center"/>
              <w:rPr>
                <w:rFonts w:cs="Arial"/>
                <w:color w:val="000000" w:themeColor="text1"/>
                <w:szCs w:val="16"/>
              </w:rPr>
            </w:pPr>
            <w:r w:rsidRPr="00781112">
              <w:rPr>
                <w:rFonts w:cs="Arial"/>
                <w:color w:val="000000" w:themeColor="text1"/>
                <w:szCs w:val="16"/>
              </w:rPr>
              <w:t>5.69%</w:t>
            </w:r>
          </w:p>
        </w:tc>
        <w:tc>
          <w:tcPr>
            <w:tcW w:w="611" w:type="pct"/>
            <w:shd w:val="clear" w:color="auto" w:fill="auto"/>
          </w:tcPr>
          <w:p w14:paraId="4A47CD2B" w14:textId="7BEFFB19" w:rsidR="00832807" w:rsidRPr="00781112" w:rsidRDefault="002B7490">
            <w:pPr>
              <w:jc w:val="center"/>
              <w:rPr>
                <w:rFonts w:cs="Arial"/>
                <w:color w:val="000000" w:themeColor="text1"/>
                <w:szCs w:val="16"/>
              </w:rPr>
            </w:pPr>
            <w:r w:rsidRPr="00781112">
              <w:rPr>
                <w:rFonts w:cs="Arial"/>
                <w:color w:val="000000" w:themeColor="text1"/>
                <w:szCs w:val="16"/>
              </w:rPr>
              <w:t>N/A</w:t>
            </w:r>
          </w:p>
        </w:tc>
        <w:tc>
          <w:tcPr>
            <w:tcW w:w="592" w:type="pct"/>
            <w:shd w:val="clear" w:color="auto" w:fill="auto"/>
          </w:tcPr>
          <w:p w14:paraId="3F96C2BD" w14:textId="2A9BD6CA" w:rsidR="00832807" w:rsidRPr="00781112" w:rsidRDefault="002B7490">
            <w:pPr>
              <w:jc w:val="center"/>
              <w:rPr>
                <w:rFonts w:cs="Arial"/>
                <w:color w:val="000000" w:themeColor="text1"/>
                <w:szCs w:val="16"/>
              </w:rPr>
            </w:pPr>
            <w:r w:rsidRPr="00781112">
              <w:rPr>
                <w:rFonts w:cs="Arial"/>
                <w:color w:val="000000" w:themeColor="text1"/>
                <w:szCs w:val="16"/>
              </w:rPr>
              <w:t>N/A</w:t>
            </w:r>
          </w:p>
        </w:tc>
      </w:tr>
    </w:tbl>
    <w:p w14:paraId="59BA2CEF" w14:textId="4C507427" w:rsidR="00590296" w:rsidRPr="00781112" w:rsidRDefault="00A479A0" w:rsidP="00B6413B">
      <w:pPr>
        <w:rPr>
          <w:rFonts w:cs="Arial"/>
          <w:b/>
          <w:color w:val="000000" w:themeColor="text1"/>
          <w:szCs w:val="16"/>
        </w:rPr>
      </w:pPr>
      <w:r w:rsidRPr="00781112">
        <w:rPr>
          <w:rFonts w:cs="Arial"/>
          <w:b/>
          <w:color w:val="000000" w:themeColor="text1"/>
          <w:szCs w:val="16"/>
        </w:rPr>
        <w:t xml:space="preserve">Were all races and ethnicities included in the review? </w:t>
      </w:r>
    </w:p>
    <w:p w14:paraId="1590ED0F" w14:textId="7DC32C1D" w:rsidR="00590296" w:rsidRPr="00781112" w:rsidRDefault="00590296" w:rsidP="00B6413B">
      <w:pPr>
        <w:rPr>
          <w:rFonts w:cs="Arial"/>
          <w:color w:val="000000" w:themeColor="text1"/>
          <w:szCs w:val="16"/>
        </w:rPr>
      </w:pPr>
      <w:r w:rsidRPr="00781112">
        <w:rPr>
          <w:rFonts w:cs="Arial"/>
          <w:color w:val="000000" w:themeColor="text1"/>
          <w:szCs w:val="16"/>
        </w:rPr>
        <w:t>YES</w:t>
      </w:r>
    </w:p>
    <w:p w14:paraId="6EC83BB6" w14:textId="77777777" w:rsidR="0057259D" w:rsidRPr="00781112" w:rsidRDefault="0057259D" w:rsidP="004369B2">
      <w:pPr>
        <w:rPr>
          <w:b/>
          <w:color w:val="000000" w:themeColor="text1"/>
        </w:rPr>
      </w:pPr>
      <w:r w:rsidRPr="00781112">
        <w:rPr>
          <w:b/>
          <w:color w:val="000000" w:themeColor="text1"/>
        </w:rPr>
        <w:t xml:space="preserve">Define “disproportionate representation.” Please specify in your definition: 1) the calculation method(s) being used (i.e., risk ratio, weighted risk ratio, e-formula, etc.); and 2) the threshold at which disproportionate representation is identified. Also include, as appropriate, 3) the number of years of data used in the calculation; and 4) any minimum cell and/or n-sizes (i.e., risk numerator and/or risk denominator). </w:t>
      </w:r>
    </w:p>
    <w:p w14:paraId="5C0E7099" w14:textId="60F75C08" w:rsidR="00481536" w:rsidRPr="00781112" w:rsidRDefault="002B7490" w:rsidP="003817C0">
      <w:pPr>
        <w:rPr>
          <w:rFonts w:cs="Arial"/>
          <w:color w:val="000000" w:themeColor="text1"/>
          <w:szCs w:val="16"/>
        </w:rPr>
      </w:pPr>
      <w:r w:rsidRPr="00781112">
        <w:rPr>
          <w:rFonts w:cs="Arial"/>
          <w:color w:val="000000" w:themeColor="text1"/>
          <w:szCs w:val="16"/>
        </w:rPr>
        <w:t>Disproportionate representation is a weighted risk ratio of 3.00 or above. One year of data is used for this calculation. For all analysis group and comparison group calculations the minimum cell size (the numerator) is five, and the minimum n size (the denominator) is 10.</w:t>
      </w:r>
      <w:r w:rsidRPr="00781112">
        <w:rPr>
          <w:rFonts w:cs="Arial"/>
          <w:color w:val="000000" w:themeColor="text1"/>
          <w:szCs w:val="16"/>
        </w:rPr>
        <w:br/>
      </w:r>
      <w:r w:rsidRPr="00781112">
        <w:rPr>
          <w:rFonts w:cs="Arial"/>
          <w:color w:val="000000" w:themeColor="text1"/>
          <w:szCs w:val="16"/>
        </w:rPr>
        <w:br/>
        <w:t>Using school year (SY) 2021–2022 data, the USBE SES calculated a weighted risk ratio for every racial/ethnic group and disability category combination in each LEA in the State based on the identification rates in each of 156 LEAs. For each LEA, in theory, 42 risk ratios could be calculated—one for each of the seven racial/ethnic groups times the six primary disability categories. However, many LEAs in Utah have between zero and five students with a particular disability of a particular race/ethnicity. Thus, very small numbers prevent reliable and meaningful risk ratios from being calculated.</w:t>
      </w:r>
      <w:r w:rsidRPr="00781112">
        <w:rPr>
          <w:rFonts w:cs="Arial"/>
          <w:color w:val="000000" w:themeColor="text1"/>
          <w:szCs w:val="16"/>
        </w:rPr>
        <w:br/>
      </w:r>
      <w:r w:rsidRPr="00781112">
        <w:rPr>
          <w:rFonts w:cs="Arial"/>
          <w:color w:val="000000" w:themeColor="text1"/>
          <w:szCs w:val="16"/>
        </w:rPr>
        <w:br/>
        <w:t>Of the 156 LEAs in Utah in SY 2021–2022, 123 met the minimum n- and cell size requirements to receive a final weighted risk ratio. If an LEA's weighted risk ratio exceeded the 3.00 threshold for a target racial/ethnic group that had five or more students in a specific disability category (cell size) and 10 or more students with disabilities of the target racial/ethnic group enrolled (n-size) in the LEA with the comparison group (all other racial/ethnic groups in the specific disability category) also having five or more students (cell size) and 10 or more total students of the target racial/ethnic group enrolled (n-size) in the LEA, the LEA was identified for disproportionate representation.</w:t>
      </w:r>
    </w:p>
    <w:p w14:paraId="469A27F6" w14:textId="13AEF7C8" w:rsidR="0057259D" w:rsidRPr="00781112" w:rsidRDefault="0057259D" w:rsidP="004369B2">
      <w:pPr>
        <w:rPr>
          <w:b/>
          <w:color w:val="000000" w:themeColor="text1"/>
        </w:rPr>
      </w:pPr>
      <w:r w:rsidRPr="00781112">
        <w:rPr>
          <w:b/>
          <w:color w:val="000000" w:themeColor="text1"/>
        </w:rPr>
        <w:t>Describe how the State made its annual determination as to whether the disproportionate overrepresentation it identified of racial and ethnic groups in specific disability categories was the result of inappropriate identification.</w:t>
      </w:r>
    </w:p>
    <w:p w14:paraId="37B23307" w14:textId="467F2F39" w:rsidR="00481536" w:rsidRPr="00781112" w:rsidRDefault="002B7490" w:rsidP="003817C0">
      <w:pPr>
        <w:rPr>
          <w:rFonts w:cs="Arial"/>
          <w:color w:val="000000" w:themeColor="text1"/>
          <w:szCs w:val="16"/>
        </w:rPr>
      </w:pPr>
      <w:r w:rsidRPr="00781112">
        <w:rPr>
          <w:rFonts w:cs="Arial"/>
          <w:color w:val="000000" w:themeColor="text1"/>
          <w:szCs w:val="16"/>
        </w:rPr>
        <w:t>All LEAs flagged for disproportionate representation were required to complete a pilot self-assessment to determine if the disproportionate representation was due to inappropriate identification. This included a review of the LEA's policies, procedures, and practices related to referral, evaluation, and eligibility determination, as well as individual student record reviews regarding evaluation and eligibility determination measures taken for students in the flagged combination(s). LEAs were determined to have disproportionate representation as the result of inappropriate identification when any level of noncompliance was identified by the USBE SES during the review of their self-assessments. The LEAs were also issued written findings of noncompliance. The findings identified the specific area(s) the LEAs were noncompliant in and provided corresponding regulation. The LEAs have been required to revise policies, procedures, and/or practices related to the development and implementation of eligibility and IEP documents. Within one year of identification, all corrections will be verified through individual student file reviews to ensure 100% compliance. To determine whether the LEAs are subsequently implementing regulatory requirements, the USBE SES will review a sample of additional student files and will provide training as necessary. The USBE SES will report on the findings of noncompliance in the FFY 2022 SPP/APR.</w:t>
      </w:r>
    </w:p>
    <w:p w14:paraId="1FCF1BF3" w14:textId="77777777" w:rsidR="00DF1529" w:rsidRPr="00781112" w:rsidRDefault="00DF1529" w:rsidP="00DF1529">
      <w:pPr>
        <w:rPr>
          <w:rFonts w:cs="Arial"/>
          <w:b/>
          <w:color w:val="000000" w:themeColor="text1"/>
          <w:szCs w:val="16"/>
        </w:rPr>
      </w:pPr>
      <w:bookmarkStart w:id="66" w:name="_Toc381956338"/>
      <w:bookmarkStart w:id="67" w:name="_Toc384383352"/>
      <w:bookmarkStart w:id="68" w:name="_Toc392159320"/>
      <w:r w:rsidRPr="00781112">
        <w:rPr>
          <w:rFonts w:cs="Arial"/>
          <w:b/>
          <w:color w:val="000000" w:themeColor="text1"/>
          <w:szCs w:val="16"/>
        </w:rPr>
        <w:t>Provide additional information about this indicator (optional)</w:t>
      </w:r>
    </w:p>
    <w:p w14:paraId="6A3194C2" w14:textId="40939986" w:rsidR="00481536" w:rsidRPr="00781112" w:rsidRDefault="002B7490" w:rsidP="007D435F">
      <w:pPr>
        <w:rPr>
          <w:rFonts w:cs="Arial"/>
          <w:color w:val="000000" w:themeColor="text1"/>
          <w:szCs w:val="16"/>
        </w:rPr>
      </w:pPr>
      <w:r w:rsidRPr="00781112">
        <w:rPr>
          <w:rFonts w:cs="Arial"/>
          <w:color w:val="000000" w:themeColor="text1"/>
          <w:szCs w:val="16"/>
        </w:rPr>
        <w:t>The USBE SES worked directly with IDC to improve and update the Indicator 10 process. The change in process required a revised baseline for consistency with the updated method. As part of the process change, the USBE SES developed a pilot self-assessment that LEAs flagged for disproportionate representation were required to complete.</w:t>
      </w:r>
      <w:r w:rsidRPr="00781112">
        <w:rPr>
          <w:rFonts w:cs="Arial"/>
          <w:color w:val="000000" w:themeColor="text1"/>
          <w:szCs w:val="16"/>
        </w:rPr>
        <w:br/>
      </w:r>
      <w:r w:rsidRPr="00781112">
        <w:rPr>
          <w:rFonts w:cs="Arial"/>
          <w:color w:val="000000" w:themeColor="text1"/>
          <w:szCs w:val="16"/>
        </w:rPr>
        <w:br/>
        <w:t>OSEP previously asked the USBE SES to clarify whether, in circumstances where the USBE SES is unable to verify correction of noncompliance consistent with OSEP Memo 09-02 within the three-week window, findings are issued to LEAs regardless of the level of noncompliance identified.</w:t>
      </w:r>
      <w:r w:rsidRPr="00781112">
        <w:rPr>
          <w:rFonts w:cs="Arial"/>
          <w:color w:val="000000" w:themeColor="text1"/>
          <w:szCs w:val="16"/>
        </w:rPr>
        <w:br/>
        <w:t>• The USBE SES has not identified noncompliance with Indicator 10 that has required verification of correction and the issuance of findings.</w:t>
      </w:r>
      <w:r w:rsidRPr="00781112">
        <w:rPr>
          <w:rFonts w:cs="Arial"/>
          <w:color w:val="000000" w:themeColor="text1"/>
          <w:szCs w:val="16"/>
        </w:rPr>
        <w:br/>
        <w:t>• If the USBE SES had identified noncompliance for Indicator 10, and had been unable to verify correction within the three-week window, the USBE SES would have issued findings for all areas below 100% compliant.</w:t>
      </w:r>
      <w:r w:rsidRPr="00781112">
        <w:rPr>
          <w:rFonts w:cs="Arial"/>
          <w:color w:val="000000" w:themeColor="text1"/>
          <w:szCs w:val="16"/>
        </w:rPr>
        <w:br/>
        <w:t>• The USBE SES previously used a three-week window for correction before issuing findings of noncompliance. This is no longer a part of our policies, procedures, or practices. Written findings of noncompliance are issued for all areas below 100% compliant within 90 days of identification.</w:t>
      </w:r>
    </w:p>
    <w:p w14:paraId="4638F78F" w14:textId="77777777" w:rsidR="00BA687C" w:rsidRPr="00781112" w:rsidRDefault="00BA687C" w:rsidP="004369B2">
      <w:pPr>
        <w:rPr>
          <w:color w:val="000000" w:themeColor="text1"/>
        </w:rPr>
      </w:pPr>
    </w:p>
    <w:p w14:paraId="1B531984" w14:textId="77777777" w:rsidR="007123A2" w:rsidRDefault="007123A2" w:rsidP="004369B2">
      <w:pPr>
        <w:rPr>
          <w:b/>
          <w:color w:val="000000" w:themeColor="text1"/>
        </w:rPr>
      </w:pPr>
    </w:p>
    <w:p w14:paraId="6268B372" w14:textId="373F880D" w:rsidR="009A755E" w:rsidRPr="00781112" w:rsidRDefault="00450F98" w:rsidP="004369B2">
      <w:pPr>
        <w:rPr>
          <w:color w:val="000000" w:themeColor="text1"/>
        </w:rPr>
      </w:pPr>
      <w:r>
        <w:rPr>
          <w:b/>
          <w:color w:val="000000" w:themeColor="text1"/>
        </w:rPr>
        <w:lastRenderedPageBreak/>
        <w:t>Correction of Findings of Noncompliance Identified in FFY 2020</w:t>
      </w:r>
    </w:p>
    <w:tbl>
      <w:tblPr>
        <w:tblStyle w:val="TableGrid"/>
        <w:tblW w:w="5000" w:type="pct"/>
        <w:tblLook w:val="04A0" w:firstRow="1" w:lastRow="0" w:firstColumn="1" w:lastColumn="0" w:noHBand="0" w:noVBand="1"/>
        <w:tblCaption w:val="B10PFFYNCFINDINGS"/>
      </w:tblPr>
      <w:tblGrid>
        <w:gridCol w:w="2650"/>
        <w:gridCol w:w="2780"/>
        <w:gridCol w:w="2656"/>
        <w:gridCol w:w="2704"/>
      </w:tblGrid>
      <w:tr w:rsidR="005C29F8" w:rsidRPr="00781112" w14:paraId="56588706" w14:textId="77777777" w:rsidTr="0033429D">
        <w:trPr>
          <w:trHeight w:val="389"/>
          <w:tblHeader/>
        </w:trPr>
        <w:tc>
          <w:tcPr>
            <w:tcW w:w="1228" w:type="pct"/>
            <w:shd w:val="clear" w:color="auto" w:fill="auto"/>
            <w:vAlign w:val="bottom"/>
          </w:tcPr>
          <w:p w14:paraId="65B8FFC5"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Identified</w:t>
            </w:r>
          </w:p>
        </w:tc>
        <w:tc>
          <w:tcPr>
            <w:tcW w:w="1288" w:type="pct"/>
            <w:shd w:val="clear" w:color="auto" w:fill="auto"/>
            <w:vAlign w:val="bottom"/>
          </w:tcPr>
          <w:p w14:paraId="053913D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31" w:type="pct"/>
            <w:shd w:val="clear" w:color="auto" w:fill="auto"/>
            <w:vAlign w:val="bottom"/>
          </w:tcPr>
          <w:p w14:paraId="79BBE351"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254" w:type="pct"/>
            <w:shd w:val="clear" w:color="auto" w:fill="auto"/>
            <w:vAlign w:val="bottom"/>
          </w:tcPr>
          <w:p w14:paraId="380C990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7C6EB489" w14:textId="77777777" w:rsidTr="00690A61">
        <w:tc>
          <w:tcPr>
            <w:tcW w:w="1228" w:type="pct"/>
            <w:shd w:val="clear" w:color="auto" w:fill="auto"/>
          </w:tcPr>
          <w:p w14:paraId="1D40E253" w14:textId="63B8E0E2" w:rsidR="009A755E" w:rsidRPr="00781112" w:rsidRDefault="002B7490" w:rsidP="004369B2">
            <w:pPr>
              <w:jc w:val="center"/>
              <w:rPr>
                <w:rFonts w:cs="Arial"/>
                <w:color w:val="000000" w:themeColor="text1"/>
                <w:szCs w:val="16"/>
              </w:rPr>
            </w:pPr>
            <w:r w:rsidRPr="00781112">
              <w:rPr>
                <w:rFonts w:cs="Arial"/>
                <w:color w:val="000000" w:themeColor="text1"/>
                <w:szCs w:val="16"/>
              </w:rPr>
              <w:t>0</w:t>
            </w:r>
          </w:p>
        </w:tc>
        <w:tc>
          <w:tcPr>
            <w:tcW w:w="1288" w:type="pct"/>
            <w:shd w:val="clear" w:color="auto" w:fill="auto"/>
          </w:tcPr>
          <w:p w14:paraId="5D374844" w14:textId="5622CFF8" w:rsidR="009A755E" w:rsidRPr="00781112" w:rsidRDefault="002B7490" w:rsidP="004369B2">
            <w:pPr>
              <w:jc w:val="center"/>
              <w:rPr>
                <w:rFonts w:cs="Arial"/>
                <w:color w:val="000000" w:themeColor="text1"/>
                <w:szCs w:val="16"/>
              </w:rPr>
            </w:pPr>
            <w:r w:rsidRPr="00781112">
              <w:rPr>
                <w:rFonts w:cs="Arial"/>
                <w:color w:val="000000" w:themeColor="text1"/>
                <w:szCs w:val="16"/>
              </w:rPr>
              <w:t>0</w:t>
            </w:r>
          </w:p>
        </w:tc>
        <w:tc>
          <w:tcPr>
            <w:tcW w:w="1231" w:type="pct"/>
            <w:shd w:val="clear" w:color="auto" w:fill="auto"/>
          </w:tcPr>
          <w:p w14:paraId="2CDC48CC" w14:textId="2F009478" w:rsidR="009A755E" w:rsidRPr="00781112" w:rsidRDefault="002B7490" w:rsidP="004369B2">
            <w:pPr>
              <w:jc w:val="center"/>
              <w:rPr>
                <w:rFonts w:cs="Arial"/>
                <w:color w:val="000000" w:themeColor="text1"/>
                <w:szCs w:val="16"/>
              </w:rPr>
            </w:pPr>
            <w:r w:rsidRPr="00781112">
              <w:rPr>
                <w:rFonts w:cs="Arial"/>
                <w:color w:val="000000" w:themeColor="text1"/>
                <w:szCs w:val="16"/>
              </w:rPr>
              <w:t>0</w:t>
            </w:r>
          </w:p>
        </w:tc>
        <w:tc>
          <w:tcPr>
            <w:tcW w:w="1254" w:type="pct"/>
            <w:shd w:val="clear" w:color="auto" w:fill="auto"/>
          </w:tcPr>
          <w:p w14:paraId="19E189C3" w14:textId="39CA8E23" w:rsidR="009A755E" w:rsidRPr="00781112" w:rsidRDefault="002B7490" w:rsidP="004369B2">
            <w:pPr>
              <w:jc w:val="center"/>
              <w:rPr>
                <w:rFonts w:cs="Arial"/>
                <w:color w:val="000000" w:themeColor="text1"/>
                <w:szCs w:val="16"/>
              </w:rPr>
            </w:pPr>
            <w:r w:rsidRPr="00781112">
              <w:rPr>
                <w:rFonts w:cs="Arial"/>
                <w:color w:val="000000" w:themeColor="text1"/>
                <w:szCs w:val="16"/>
              </w:rPr>
              <w:t>0</w:t>
            </w:r>
          </w:p>
        </w:tc>
      </w:tr>
    </w:tbl>
    <w:p w14:paraId="3E1BCF68" w14:textId="77777777" w:rsidR="007123A2" w:rsidRDefault="007123A2" w:rsidP="004369B2">
      <w:pPr>
        <w:rPr>
          <w:b/>
          <w:color w:val="000000" w:themeColor="text1"/>
        </w:rPr>
      </w:pPr>
    </w:p>
    <w:p w14:paraId="60BB42FC" w14:textId="5E0698AB" w:rsidR="009A755E" w:rsidRPr="00781112" w:rsidRDefault="00450F98" w:rsidP="004369B2">
      <w:pPr>
        <w:rPr>
          <w:color w:val="000000" w:themeColor="text1"/>
        </w:rPr>
      </w:pPr>
      <w:r>
        <w:rPr>
          <w:b/>
          <w:color w:val="000000" w:themeColor="text1"/>
        </w:rPr>
        <w:t>Correction of Findings of Noncompliance Identified Prior to FFY 2020</w:t>
      </w:r>
    </w:p>
    <w:tbl>
      <w:tblPr>
        <w:tblStyle w:val="TableGrid"/>
        <w:tblW w:w="5000" w:type="pct"/>
        <w:tblLook w:val="04A0" w:firstRow="1" w:lastRow="0" w:firstColumn="1" w:lastColumn="0" w:noHBand="0" w:noVBand="1"/>
        <w:tblCaption w:val="B10BPPFFYNCFINDINGS"/>
      </w:tblPr>
      <w:tblGrid>
        <w:gridCol w:w="1888"/>
        <w:gridCol w:w="3334"/>
        <w:gridCol w:w="2743"/>
        <w:gridCol w:w="2825"/>
      </w:tblGrid>
      <w:tr w:rsidR="005C29F8" w:rsidRPr="00781112" w14:paraId="730926F0" w14:textId="77777777" w:rsidTr="00690A61">
        <w:trPr>
          <w:tblHeader/>
        </w:trPr>
        <w:tc>
          <w:tcPr>
            <w:tcW w:w="875" w:type="pct"/>
            <w:shd w:val="clear" w:color="auto" w:fill="auto"/>
            <w:vAlign w:val="bottom"/>
          </w:tcPr>
          <w:p w14:paraId="0B05B92F" w14:textId="50A415B8" w:rsidR="009A755E" w:rsidRPr="00781112" w:rsidRDefault="003A4027" w:rsidP="009A755E">
            <w:pPr>
              <w:jc w:val="center"/>
              <w:rPr>
                <w:rFonts w:cs="Arial"/>
                <w:b/>
                <w:color w:val="000000" w:themeColor="text1"/>
                <w:szCs w:val="16"/>
              </w:rPr>
            </w:pPr>
            <w:r w:rsidRPr="00781112">
              <w:rPr>
                <w:rFonts w:cs="Arial"/>
                <w:b/>
                <w:color w:val="000000" w:themeColor="text1"/>
                <w:szCs w:val="16"/>
              </w:rPr>
              <w:t>Year Findings of Noncompliance Were Identified</w:t>
            </w:r>
          </w:p>
        </w:tc>
        <w:tc>
          <w:tcPr>
            <w:tcW w:w="1545" w:type="pct"/>
            <w:shd w:val="clear" w:color="auto" w:fill="auto"/>
            <w:vAlign w:val="bottom"/>
          </w:tcPr>
          <w:p w14:paraId="759DE84F" w14:textId="319E9F24" w:rsidR="009A755E" w:rsidRPr="00781112" w:rsidRDefault="00450F98" w:rsidP="009A755E">
            <w:pPr>
              <w:jc w:val="center"/>
              <w:rPr>
                <w:rFonts w:cs="Arial"/>
                <w:b/>
                <w:color w:val="000000" w:themeColor="text1"/>
                <w:szCs w:val="16"/>
              </w:rPr>
            </w:pPr>
            <w:r>
              <w:rPr>
                <w:rFonts w:cs="Arial"/>
                <w:b/>
                <w:color w:val="000000" w:themeColor="text1"/>
                <w:szCs w:val="16"/>
              </w:rPr>
              <w:t>Findings of Noncompliance Not Yet Verified as Corrected as of FFY 2020 APR</w:t>
            </w:r>
          </w:p>
        </w:tc>
        <w:tc>
          <w:tcPr>
            <w:tcW w:w="1271" w:type="pct"/>
            <w:shd w:val="clear" w:color="auto" w:fill="auto"/>
            <w:vAlign w:val="bottom"/>
          </w:tcPr>
          <w:p w14:paraId="45E60D4B"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309" w:type="pct"/>
            <w:shd w:val="clear" w:color="auto" w:fill="auto"/>
            <w:vAlign w:val="bottom"/>
          </w:tcPr>
          <w:p w14:paraId="2598D3FC"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27C292A1" w14:textId="77777777" w:rsidTr="00690A61">
        <w:tc>
          <w:tcPr>
            <w:tcW w:w="875" w:type="pct"/>
            <w:shd w:val="clear" w:color="auto" w:fill="auto"/>
          </w:tcPr>
          <w:p w14:paraId="4127AE76" w14:textId="36C06893" w:rsidR="009A755E" w:rsidRPr="00781112" w:rsidRDefault="009A755E" w:rsidP="00A018D4">
            <w:pPr>
              <w:jc w:val="center"/>
              <w:rPr>
                <w:rFonts w:cs="Arial"/>
                <w:color w:val="000000" w:themeColor="text1"/>
                <w:szCs w:val="16"/>
              </w:rPr>
            </w:pPr>
          </w:p>
        </w:tc>
        <w:tc>
          <w:tcPr>
            <w:tcW w:w="1545" w:type="pct"/>
            <w:shd w:val="clear" w:color="auto" w:fill="auto"/>
          </w:tcPr>
          <w:p w14:paraId="2A5CC6A6" w14:textId="3962DD57" w:rsidR="009A755E" w:rsidRPr="00781112" w:rsidRDefault="009A755E">
            <w:pPr>
              <w:jc w:val="center"/>
              <w:rPr>
                <w:rFonts w:cs="Arial"/>
                <w:noProof/>
                <w:color w:val="000000" w:themeColor="text1"/>
                <w:szCs w:val="16"/>
              </w:rPr>
            </w:pPr>
          </w:p>
        </w:tc>
        <w:tc>
          <w:tcPr>
            <w:tcW w:w="1271" w:type="pct"/>
            <w:shd w:val="clear" w:color="auto" w:fill="auto"/>
          </w:tcPr>
          <w:p w14:paraId="443DA9B8" w14:textId="5BA02353" w:rsidR="009A755E" w:rsidRPr="00781112" w:rsidRDefault="009A755E">
            <w:pPr>
              <w:jc w:val="center"/>
              <w:rPr>
                <w:rFonts w:cs="Arial"/>
                <w:noProof/>
                <w:color w:val="000000" w:themeColor="text1"/>
                <w:szCs w:val="16"/>
              </w:rPr>
            </w:pPr>
          </w:p>
        </w:tc>
        <w:tc>
          <w:tcPr>
            <w:tcW w:w="1309" w:type="pct"/>
            <w:shd w:val="clear" w:color="auto" w:fill="auto"/>
          </w:tcPr>
          <w:p w14:paraId="0CA4C267" w14:textId="5E5F97F2" w:rsidR="009A755E" w:rsidRPr="00781112" w:rsidRDefault="009A755E">
            <w:pPr>
              <w:jc w:val="center"/>
              <w:rPr>
                <w:rFonts w:cs="Arial"/>
                <w:noProof/>
                <w:color w:val="000000" w:themeColor="text1"/>
                <w:szCs w:val="16"/>
              </w:rPr>
            </w:pPr>
          </w:p>
        </w:tc>
      </w:tr>
      <w:tr w:rsidR="005C29F8" w:rsidRPr="00781112" w14:paraId="21AB92FA" w14:textId="77777777" w:rsidTr="00690A61">
        <w:tc>
          <w:tcPr>
            <w:tcW w:w="875" w:type="pct"/>
            <w:shd w:val="clear" w:color="auto" w:fill="auto"/>
          </w:tcPr>
          <w:p w14:paraId="6E800094" w14:textId="1F782081" w:rsidR="009A755E" w:rsidRPr="00781112" w:rsidRDefault="009A755E" w:rsidP="00A018D4">
            <w:pPr>
              <w:jc w:val="center"/>
              <w:rPr>
                <w:rFonts w:cs="Arial"/>
                <w:color w:val="000000" w:themeColor="text1"/>
                <w:szCs w:val="16"/>
              </w:rPr>
            </w:pPr>
          </w:p>
        </w:tc>
        <w:tc>
          <w:tcPr>
            <w:tcW w:w="1545" w:type="pct"/>
            <w:shd w:val="clear" w:color="auto" w:fill="auto"/>
          </w:tcPr>
          <w:p w14:paraId="3FA322A7" w14:textId="2543A74B" w:rsidR="009A755E" w:rsidRPr="00781112" w:rsidRDefault="009A755E">
            <w:pPr>
              <w:jc w:val="center"/>
              <w:rPr>
                <w:rFonts w:cs="Arial"/>
                <w:noProof/>
                <w:color w:val="000000" w:themeColor="text1"/>
                <w:szCs w:val="16"/>
              </w:rPr>
            </w:pPr>
          </w:p>
        </w:tc>
        <w:tc>
          <w:tcPr>
            <w:tcW w:w="1271" w:type="pct"/>
            <w:shd w:val="clear" w:color="auto" w:fill="auto"/>
          </w:tcPr>
          <w:p w14:paraId="7075484B" w14:textId="56719905" w:rsidR="009A755E" w:rsidRPr="00781112" w:rsidRDefault="009A755E">
            <w:pPr>
              <w:jc w:val="center"/>
              <w:rPr>
                <w:rFonts w:cs="Arial"/>
                <w:noProof/>
                <w:color w:val="000000" w:themeColor="text1"/>
                <w:szCs w:val="16"/>
              </w:rPr>
            </w:pPr>
          </w:p>
        </w:tc>
        <w:tc>
          <w:tcPr>
            <w:tcW w:w="1309" w:type="pct"/>
            <w:shd w:val="clear" w:color="auto" w:fill="auto"/>
          </w:tcPr>
          <w:p w14:paraId="5E63471A" w14:textId="5230E0AF" w:rsidR="009A755E" w:rsidRPr="00781112" w:rsidRDefault="009A755E">
            <w:pPr>
              <w:jc w:val="center"/>
              <w:rPr>
                <w:rFonts w:cs="Arial"/>
                <w:noProof/>
                <w:color w:val="000000" w:themeColor="text1"/>
                <w:szCs w:val="16"/>
              </w:rPr>
            </w:pPr>
          </w:p>
        </w:tc>
      </w:tr>
      <w:tr w:rsidR="005C29F8" w:rsidRPr="00781112" w14:paraId="57ACE7BC" w14:textId="77777777" w:rsidTr="00690A61">
        <w:tc>
          <w:tcPr>
            <w:tcW w:w="875" w:type="pct"/>
            <w:shd w:val="clear" w:color="auto" w:fill="auto"/>
          </w:tcPr>
          <w:p w14:paraId="4E325530" w14:textId="03DA8FEF" w:rsidR="009A755E" w:rsidRPr="00781112" w:rsidRDefault="009A755E" w:rsidP="00A018D4">
            <w:pPr>
              <w:jc w:val="center"/>
              <w:rPr>
                <w:rFonts w:cs="Arial"/>
                <w:color w:val="000000" w:themeColor="text1"/>
                <w:szCs w:val="16"/>
              </w:rPr>
            </w:pPr>
          </w:p>
        </w:tc>
        <w:tc>
          <w:tcPr>
            <w:tcW w:w="1545" w:type="pct"/>
            <w:shd w:val="clear" w:color="auto" w:fill="auto"/>
          </w:tcPr>
          <w:p w14:paraId="7BFB0081" w14:textId="12B35F6B" w:rsidR="009A755E" w:rsidRPr="00781112" w:rsidRDefault="009A755E">
            <w:pPr>
              <w:jc w:val="center"/>
              <w:rPr>
                <w:rFonts w:cs="Arial"/>
                <w:noProof/>
                <w:color w:val="000000" w:themeColor="text1"/>
                <w:szCs w:val="16"/>
              </w:rPr>
            </w:pPr>
          </w:p>
        </w:tc>
        <w:tc>
          <w:tcPr>
            <w:tcW w:w="1271" w:type="pct"/>
            <w:shd w:val="clear" w:color="auto" w:fill="auto"/>
          </w:tcPr>
          <w:p w14:paraId="674F4E8B" w14:textId="257F6F9E" w:rsidR="009A755E" w:rsidRPr="00781112" w:rsidRDefault="009A755E">
            <w:pPr>
              <w:jc w:val="center"/>
              <w:rPr>
                <w:rFonts w:cs="Arial"/>
                <w:noProof/>
                <w:color w:val="000000" w:themeColor="text1"/>
                <w:szCs w:val="16"/>
              </w:rPr>
            </w:pPr>
          </w:p>
        </w:tc>
        <w:tc>
          <w:tcPr>
            <w:tcW w:w="1309" w:type="pct"/>
            <w:shd w:val="clear" w:color="auto" w:fill="auto"/>
          </w:tcPr>
          <w:p w14:paraId="68852A19" w14:textId="65403F00" w:rsidR="009A755E" w:rsidRPr="00781112" w:rsidRDefault="009A755E">
            <w:pPr>
              <w:jc w:val="center"/>
              <w:rPr>
                <w:rFonts w:cs="Arial"/>
                <w:noProof/>
                <w:color w:val="000000" w:themeColor="text1"/>
                <w:szCs w:val="16"/>
              </w:rPr>
            </w:pPr>
          </w:p>
        </w:tc>
      </w:tr>
    </w:tbl>
    <w:p w14:paraId="53A11FEB" w14:textId="6CFF8254" w:rsidR="004E2151" w:rsidRPr="00781112" w:rsidRDefault="009F64D5" w:rsidP="008645AD">
      <w:pPr>
        <w:pStyle w:val="Heading2"/>
      </w:pPr>
      <w:r w:rsidRPr="00781112">
        <w:t>10</w:t>
      </w:r>
      <w:r w:rsidR="00596F4D" w:rsidRPr="00781112">
        <w:t xml:space="preserve"> </w:t>
      </w:r>
      <w:r w:rsidRPr="00781112">
        <w:t xml:space="preserve">- </w:t>
      </w:r>
      <w:r w:rsidR="004E2151" w:rsidRPr="00781112">
        <w:t>Prior FFY Required Actions</w:t>
      </w:r>
    </w:p>
    <w:p w14:paraId="67525E19" w14:textId="2FAD1162" w:rsidR="004E2151" w:rsidRPr="00781112" w:rsidRDefault="002B7490" w:rsidP="004E2151">
      <w:pPr>
        <w:rPr>
          <w:rFonts w:cs="Arial"/>
          <w:color w:val="000000" w:themeColor="text1"/>
          <w:szCs w:val="16"/>
        </w:rPr>
      </w:pPr>
      <w:r w:rsidRPr="00781112">
        <w:rPr>
          <w:rFonts w:cs="Arial"/>
          <w:color w:val="000000" w:themeColor="text1"/>
          <w:szCs w:val="16"/>
        </w:rPr>
        <w:t xml:space="preserve">With the FFY 2021 SPP/APR, the State must clarify whether, in circumstances where the State is unable to verify correction of noncompliance consistent with OSEP Memo 09-02 within the three-week window, findings are issued to LEAs regardless of the level of noncompliance identified. </w:t>
      </w:r>
    </w:p>
    <w:p w14:paraId="7C7C5568" w14:textId="77777777" w:rsidR="009F69E7" w:rsidRPr="00781112" w:rsidRDefault="009F69E7" w:rsidP="004E2151">
      <w:pPr>
        <w:rPr>
          <w:rFonts w:cs="Arial"/>
          <w:color w:val="000000" w:themeColor="text1"/>
          <w:szCs w:val="16"/>
        </w:rPr>
      </w:pPr>
    </w:p>
    <w:p w14:paraId="5DF0DC37" w14:textId="2D4BF8DA" w:rsidR="004E2151" w:rsidRPr="00781112" w:rsidRDefault="007639D7" w:rsidP="004369B2">
      <w:pPr>
        <w:rPr>
          <w:b/>
          <w:color w:val="000000" w:themeColor="text1"/>
        </w:rPr>
      </w:pPr>
      <w:r>
        <w:rPr>
          <w:b/>
          <w:color w:val="000000" w:themeColor="text1"/>
        </w:rPr>
        <w:t>Response to actions required in FFY 2020 SPP/APR</w:t>
      </w:r>
    </w:p>
    <w:p w14:paraId="16241B8F" w14:textId="77777777" w:rsidR="009F69E7" w:rsidRPr="00781112" w:rsidRDefault="009F69E7" w:rsidP="004E2151">
      <w:pPr>
        <w:rPr>
          <w:rFonts w:cs="Arial"/>
          <w:color w:val="000000" w:themeColor="text1"/>
          <w:szCs w:val="16"/>
        </w:rPr>
      </w:pPr>
    </w:p>
    <w:p w14:paraId="7C3D22D6" w14:textId="3FC2A3F5" w:rsidR="004E2151" w:rsidRPr="00781112" w:rsidRDefault="004E2151" w:rsidP="004E2151">
      <w:pPr>
        <w:rPr>
          <w:rFonts w:cs="Arial"/>
          <w:color w:val="000000" w:themeColor="text1"/>
          <w:szCs w:val="16"/>
        </w:rPr>
      </w:pPr>
    </w:p>
    <w:p w14:paraId="024AE3FE" w14:textId="2137BFB6" w:rsidR="007F5071" w:rsidRPr="00781112" w:rsidRDefault="008B2598" w:rsidP="008645AD">
      <w:pPr>
        <w:pStyle w:val="Heading2"/>
      </w:pPr>
      <w:r w:rsidRPr="00781112">
        <w:t>10 - OSEP Response</w:t>
      </w:r>
    </w:p>
    <w:p w14:paraId="4384A342" w14:textId="2981C3D3" w:rsidR="00481536" w:rsidRPr="00781112" w:rsidRDefault="002B7490" w:rsidP="00212954">
      <w:pPr>
        <w:rPr>
          <w:rFonts w:cs="Arial"/>
          <w:color w:val="000000" w:themeColor="text1"/>
          <w:szCs w:val="16"/>
        </w:rPr>
      </w:pPr>
      <w:r w:rsidRPr="00781112">
        <w:rPr>
          <w:rFonts w:cs="Arial"/>
          <w:color w:val="000000" w:themeColor="text1"/>
          <w:szCs w:val="16"/>
        </w:rPr>
        <w:t>The State has revised the baseline for this indicator, using data from FFY 2021, and OSEP accepts that revision.</w:t>
      </w:r>
    </w:p>
    <w:p w14:paraId="36F60250" w14:textId="56BA36D9" w:rsidR="007F5071" w:rsidRPr="00781112" w:rsidRDefault="007C1BCF" w:rsidP="008645AD">
      <w:pPr>
        <w:pStyle w:val="Heading2"/>
      </w:pPr>
      <w:r w:rsidRPr="00781112">
        <w:t xml:space="preserve">10 - </w:t>
      </w:r>
      <w:r w:rsidR="007F5071" w:rsidRPr="00781112">
        <w:t>Required Actions</w:t>
      </w:r>
    </w:p>
    <w:p w14:paraId="12C0EBBF" w14:textId="69C4D7D0" w:rsidR="00481536" w:rsidRPr="00781112" w:rsidRDefault="002B7490" w:rsidP="00212954">
      <w:pPr>
        <w:rPr>
          <w:rFonts w:cs="Arial"/>
          <w:color w:val="000000" w:themeColor="text1"/>
          <w:szCs w:val="16"/>
        </w:rPr>
      </w:pPr>
      <w:r w:rsidRPr="00781112">
        <w:rPr>
          <w:rFonts w:cs="Arial"/>
          <w:color w:val="000000" w:themeColor="text1"/>
          <w:szCs w:val="16"/>
        </w:rPr>
        <w:t>Because the State reported less than 100% compliance for FFY 2021 (greater than 0% actual target data for this indicator), the State must report on the status of correction of noncompliance identified in FFY 2021 for this indicator. The State must demonstrate, in the FFY 2022 SPP/APR, that the seven districts identified in FFY 2021 with disproportionate representation of racial and ethnic groups in specific disability categories that was the result of inappropriate identification are in compliance with the requirements in 34 C.F.R. §§ 300.111, 300.201, and 300.301 through 300.311, including that the State verified that each district with noncompliance: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district, consistent with OSEP Memo 09-02. In the FFY 2022 SPP/APR, the State must describe the specific actions that were taken to verify the correction.</w:t>
      </w:r>
      <w:r w:rsidRPr="00781112">
        <w:rPr>
          <w:rFonts w:cs="Arial"/>
          <w:color w:val="000000" w:themeColor="text1"/>
          <w:szCs w:val="16"/>
        </w:rPr>
        <w:br/>
      </w:r>
      <w:r w:rsidRPr="00781112">
        <w:rPr>
          <w:rFonts w:cs="Arial"/>
          <w:color w:val="000000" w:themeColor="text1"/>
          <w:szCs w:val="16"/>
        </w:rPr>
        <w:br/>
        <w:t>If the State did not identify any findings of noncompliance in FFY 2021, although its FFY 2021 data reflect less than 100% compliance (greater than 0% actual target data for this indicator), provide an explanation of why the State did not identify any findings of noncompliance in FFY 2021.</w:t>
      </w:r>
    </w:p>
    <w:p w14:paraId="2B0C5DE2"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11F067DF" w14:textId="45BAD1B8" w:rsidR="00D03701" w:rsidRPr="00781112" w:rsidRDefault="00D03701" w:rsidP="000444E2">
      <w:pPr>
        <w:pStyle w:val="Heading1"/>
        <w:rPr>
          <w:color w:val="000000" w:themeColor="text1"/>
          <w:sz w:val="22"/>
        </w:rPr>
      </w:pPr>
      <w:r w:rsidRPr="00781112">
        <w:rPr>
          <w:color w:val="000000" w:themeColor="text1"/>
          <w:sz w:val="22"/>
        </w:rPr>
        <w:lastRenderedPageBreak/>
        <w:t>Indicator 11: Child Find</w:t>
      </w:r>
      <w:bookmarkEnd w:id="66"/>
      <w:bookmarkEnd w:id="67"/>
      <w:bookmarkEnd w:id="68"/>
    </w:p>
    <w:p w14:paraId="4F5D642D" w14:textId="77777777" w:rsidR="00E119B0" w:rsidRPr="00781112" w:rsidRDefault="00E119B0" w:rsidP="00A018D4">
      <w:pPr>
        <w:rPr>
          <w:color w:val="000000" w:themeColor="text1"/>
          <w:szCs w:val="20"/>
        </w:rPr>
      </w:pPr>
      <w:bookmarkStart w:id="69" w:name="_Toc384383353"/>
      <w:bookmarkStart w:id="70" w:name="_Toc392159321"/>
      <w:r w:rsidRPr="00781112">
        <w:rPr>
          <w:b/>
          <w:color w:val="000000" w:themeColor="text1"/>
          <w:sz w:val="20"/>
          <w:szCs w:val="20"/>
        </w:rPr>
        <w:t>Instructions and Measurement</w:t>
      </w:r>
    </w:p>
    <w:p w14:paraId="4ECD8CEF" w14:textId="094F874E" w:rsidR="001F3A65" w:rsidRPr="00781112" w:rsidRDefault="001F3A65" w:rsidP="00832807">
      <w:pPr>
        <w:rPr>
          <w:rFonts w:cs="Arial"/>
          <w:color w:val="000000" w:themeColor="text1"/>
          <w:szCs w:val="16"/>
        </w:rPr>
      </w:pPr>
      <w:r w:rsidRPr="00781112">
        <w:rPr>
          <w:rFonts w:cs="Arial"/>
          <w:b/>
          <w:color w:val="000000" w:themeColor="text1"/>
          <w:szCs w:val="16"/>
        </w:rPr>
        <w:t>Monitoring Priority</w:t>
      </w:r>
      <w:r w:rsidRPr="00781112">
        <w:rPr>
          <w:rFonts w:cs="Arial"/>
          <w:color w:val="000000" w:themeColor="text1"/>
          <w:szCs w:val="16"/>
        </w:rPr>
        <w:t>: Effective General Supervision Part B / Child Find</w:t>
      </w:r>
    </w:p>
    <w:p w14:paraId="56D17CB3" w14:textId="77777777" w:rsidR="003356F1" w:rsidRPr="00781112" w:rsidRDefault="001F3A65" w:rsidP="00832807">
      <w:pPr>
        <w:rPr>
          <w:rFonts w:cs="Arial"/>
          <w:color w:val="000000" w:themeColor="text1"/>
          <w:szCs w:val="16"/>
        </w:rPr>
      </w:pPr>
      <w:r w:rsidRPr="00781112">
        <w:rPr>
          <w:rFonts w:cs="Arial"/>
          <w:b/>
          <w:color w:val="000000" w:themeColor="text1"/>
          <w:szCs w:val="16"/>
        </w:rPr>
        <w:t>Compliance indicator</w:t>
      </w:r>
      <w:r w:rsidRPr="00781112">
        <w:rPr>
          <w:rFonts w:cs="Arial"/>
          <w:color w:val="000000" w:themeColor="text1"/>
          <w:szCs w:val="16"/>
        </w:rPr>
        <w:t xml:space="preserve">: Percent of children who were evaluated within 60 days of receiving parental consent for initial evaluation or, if the State establishes a timeframe within which the evaluation must be conducted, within that timeframe. </w:t>
      </w:r>
    </w:p>
    <w:p w14:paraId="3EA48C22" w14:textId="29F5D3F7" w:rsidR="001F3A65" w:rsidRPr="00781112" w:rsidRDefault="001F3A65" w:rsidP="00832807">
      <w:pPr>
        <w:rPr>
          <w:rFonts w:cs="Arial"/>
          <w:color w:val="000000" w:themeColor="text1"/>
          <w:szCs w:val="16"/>
        </w:rPr>
      </w:pPr>
      <w:r w:rsidRPr="00781112">
        <w:rPr>
          <w:rFonts w:cs="Arial"/>
          <w:color w:val="000000" w:themeColor="text1"/>
          <w:szCs w:val="16"/>
        </w:rPr>
        <w:t>(20 U.S.C. 1416(a)(3)(B))</w:t>
      </w:r>
    </w:p>
    <w:p w14:paraId="3DA9D44A" w14:textId="77777777" w:rsidR="003356F1" w:rsidRPr="00781112" w:rsidRDefault="003356F1" w:rsidP="004369B2">
      <w:pPr>
        <w:rPr>
          <w:color w:val="000000" w:themeColor="text1"/>
        </w:rPr>
      </w:pPr>
      <w:r w:rsidRPr="00781112">
        <w:rPr>
          <w:b/>
          <w:color w:val="000000" w:themeColor="text1"/>
        </w:rPr>
        <w:t>Data Source</w:t>
      </w:r>
    </w:p>
    <w:p w14:paraId="3741FEFD" w14:textId="2D50FC3E" w:rsidR="003356F1" w:rsidRPr="00781112" w:rsidRDefault="003356F1" w:rsidP="00286BDF">
      <w:pPr>
        <w:rPr>
          <w:rFonts w:cs="Arial"/>
          <w:color w:val="000000" w:themeColor="text1"/>
          <w:szCs w:val="16"/>
        </w:rPr>
      </w:pPr>
      <w:r w:rsidRPr="00781112">
        <w:rPr>
          <w:rFonts w:cs="Arial"/>
          <w:color w:val="000000" w:themeColor="text1"/>
          <w:szCs w:val="16"/>
          <w:shd w:val="clear" w:color="auto" w:fill="FFFFFF"/>
        </w:rPr>
        <w:t>Data to be taken from State monitoring or State data system and must be based on actual, not an average, number of days. Indicate if the State has established a timeline and, if so, what is the State’s timeline for initial evaluations.</w:t>
      </w:r>
    </w:p>
    <w:p w14:paraId="79DFFD28" w14:textId="77777777" w:rsidR="003356F1" w:rsidRPr="00781112" w:rsidRDefault="003356F1" w:rsidP="004369B2">
      <w:pPr>
        <w:rPr>
          <w:color w:val="000000" w:themeColor="text1"/>
        </w:rPr>
      </w:pPr>
      <w:r w:rsidRPr="00781112">
        <w:rPr>
          <w:b/>
          <w:color w:val="000000" w:themeColor="text1"/>
        </w:rPr>
        <w:t>Measurement</w:t>
      </w:r>
    </w:p>
    <w:p w14:paraId="6421FFFB" w14:textId="6BB4E0C2" w:rsidR="003356F1" w:rsidRPr="00781112" w:rsidRDefault="003F4D08" w:rsidP="006A01BD">
      <w:pPr>
        <w:spacing w:before="0" w:after="0"/>
        <w:ind w:firstLine="720"/>
        <w:rPr>
          <w:rFonts w:eastAsia="Times New Roman" w:cs="Arial"/>
          <w:color w:val="000000" w:themeColor="text1"/>
          <w:szCs w:val="16"/>
        </w:rPr>
      </w:pPr>
      <w:r w:rsidRPr="00781112">
        <w:rPr>
          <w:rFonts w:eastAsia="Times New Roman" w:cs="Arial"/>
          <w:color w:val="000000" w:themeColor="text1"/>
          <w:szCs w:val="16"/>
        </w:rPr>
        <w:t>a. # of children for whom parental consent to evaluate was received.</w:t>
      </w:r>
    </w:p>
    <w:p w14:paraId="07661B9A" w14:textId="43097164" w:rsidR="003356F1" w:rsidRPr="00781112" w:rsidRDefault="003F4D08" w:rsidP="006A01BD">
      <w:pPr>
        <w:spacing w:before="0" w:after="0"/>
        <w:ind w:firstLine="720"/>
        <w:rPr>
          <w:rFonts w:eastAsia="Times New Roman" w:cs="Arial"/>
          <w:color w:val="000000" w:themeColor="text1"/>
          <w:szCs w:val="16"/>
        </w:rPr>
      </w:pPr>
      <w:r w:rsidRPr="00781112">
        <w:rPr>
          <w:rFonts w:eastAsia="Times New Roman" w:cs="Arial"/>
          <w:color w:val="000000" w:themeColor="text1"/>
          <w:szCs w:val="16"/>
        </w:rPr>
        <w:t>b. # of children whose evaluations were completed within 60 days (or State-established timeline).</w:t>
      </w:r>
    </w:p>
    <w:p w14:paraId="733D8722" w14:textId="77777777" w:rsidR="003356F1" w:rsidRPr="00781112" w:rsidRDefault="003356F1" w:rsidP="006A01BD">
      <w:pPr>
        <w:spacing w:before="0" w:after="210"/>
        <w:ind w:left="720"/>
        <w:rPr>
          <w:rFonts w:eastAsia="Times New Roman" w:cs="Arial"/>
          <w:color w:val="000000" w:themeColor="text1"/>
          <w:szCs w:val="16"/>
        </w:rPr>
      </w:pPr>
      <w:proofErr w:type="gramStart"/>
      <w:r w:rsidRPr="00781112">
        <w:rPr>
          <w:rFonts w:eastAsia="Times New Roman" w:cs="Arial"/>
          <w:color w:val="000000" w:themeColor="text1"/>
          <w:szCs w:val="16"/>
        </w:rPr>
        <w:t>Account</w:t>
      </w:r>
      <w:proofErr w:type="gramEnd"/>
      <w:r w:rsidRPr="00781112">
        <w:rPr>
          <w:rFonts w:eastAsia="Times New Roman" w:cs="Arial"/>
          <w:color w:val="000000" w:themeColor="text1"/>
          <w:szCs w:val="16"/>
        </w:rPr>
        <w:t xml:space="preserve"> for children included in (a), but not included in (b). Indicate the range of days beyond the timeline when the evaluation was completed and any reasons for the delays.</w:t>
      </w:r>
    </w:p>
    <w:p w14:paraId="1A76194B" w14:textId="382D2A54" w:rsidR="003356F1" w:rsidRPr="00781112" w:rsidRDefault="003356F1" w:rsidP="006A01BD">
      <w:pPr>
        <w:spacing w:before="0" w:after="210"/>
        <w:ind w:firstLine="720"/>
        <w:rPr>
          <w:rFonts w:eastAsia="Times New Roman" w:cs="Arial"/>
          <w:color w:val="000000" w:themeColor="text1"/>
          <w:szCs w:val="16"/>
        </w:rPr>
      </w:pPr>
      <w:r w:rsidRPr="00781112">
        <w:rPr>
          <w:rFonts w:eastAsia="Times New Roman" w:cs="Arial"/>
          <w:color w:val="000000" w:themeColor="text1"/>
          <w:szCs w:val="16"/>
        </w:rPr>
        <w:t>Percent = [(b) divided by (a)] times 100.</w:t>
      </w:r>
    </w:p>
    <w:p w14:paraId="5F28023C" w14:textId="77777777" w:rsidR="003356F1" w:rsidRPr="00781112" w:rsidRDefault="003356F1" w:rsidP="004369B2">
      <w:pPr>
        <w:rPr>
          <w:color w:val="000000" w:themeColor="text1"/>
        </w:rPr>
      </w:pPr>
      <w:r w:rsidRPr="00781112">
        <w:rPr>
          <w:b/>
          <w:color w:val="000000" w:themeColor="text1"/>
        </w:rPr>
        <w:t>Instructions</w:t>
      </w:r>
    </w:p>
    <w:p w14:paraId="3DD8C135" w14:textId="77777777" w:rsidR="003356F1" w:rsidRPr="00781112" w:rsidRDefault="003356F1" w:rsidP="00286BDF">
      <w:pPr>
        <w:rPr>
          <w:rFonts w:cs="Arial"/>
          <w:i/>
          <w:iCs/>
          <w:color w:val="000000" w:themeColor="text1"/>
          <w:szCs w:val="16"/>
        </w:rPr>
      </w:pPr>
      <w:r w:rsidRPr="00781112">
        <w:rPr>
          <w:rFonts w:cs="Arial"/>
          <w:i/>
          <w:iCs/>
          <w:color w:val="000000" w:themeColor="text1"/>
          <w:szCs w:val="16"/>
        </w:rPr>
        <w:t xml:space="preserve">If data are from State monitoring, describe the method used to select LEAs for monitoring. If data </w:t>
      </w:r>
      <w:proofErr w:type="gramStart"/>
      <w:r w:rsidRPr="00781112">
        <w:rPr>
          <w:rFonts w:cs="Arial"/>
          <w:i/>
          <w:iCs/>
          <w:color w:val="000000" w:themeColor="text1"/>
          <w:szCs w:val="16"/>
        </w:rPr>
        <w:t>are</w:t>
      </w:r>
      <w:proofErr w:type="gramEnd"/>
      <w:r w:rsidRPr="00781112">
        <w:rPr>
          <w:rFonts w:cs="Arial"/>
          <w:i/>
          <w:iCs/>
          <w:color w:val="000000" w:themeColor="text1"/>
          <w:szCs w:val="16"/>
        </w:rPr>
        <w:t xml:space="preserve"> from a State database, include data for the entire reporting year.</w:t>
      </w:r>
    </w:p>
    <w:p w14:paraId="3F78D968" w14:textId="77777777" w:rsidR="003356F1" w:rsidRPr="00781112" w:rsidRDefault="003356F1" w:rsidP="00286BDF">
      <w:pPr>
        <w:rPr>
          <w:rFonts w:cs="Arial"/>
          <w:color w:val="000000" w:themeColor="text1"/>
          <w:szCs w:val="16"/>
        </w:rPr>
      </w:pPr>
      <w:r w:rsidRPr="00781112">
        <w:rPr>
          <w:rFonts w:cs="Arial"/>
          <w:color w:val="000000" w:themeColor="text1"/>
          <w:szCs w:val="16"/>
        </w:rPr>
        <w:t>Describe the results of the calculations and compare the results to the target. Describe the method used to collect these data, and if data are from the State’s monitoring, describe the procedures used to collect these data. Provide the actual numbers used in the calculation.</w:t>
      </w:r>
    </w:p>
    <w:p w14:paraId="1A394BBE" w14:textId="77777777" w:rsidR="003356F1" w:rsidRPr="00781112" w:rsidRDefault="003356F1" w:rsidP="00286BDF">
      <w:pPr>
        <w:rPr>
          <w:rFonts w:cs="Arial"/>
          <w:color w:val="000000" w:themeColor="text1"/>
          <w:szCs w:val="16"/>
        </w:rPr>
      </w:pPr>
      <w:r w:rsidRPr="00781112">
        <w:rPr>
          <w:rFonts w:cs="Arial"/>
          <w:color w:val="000000" w:themeColor="text1"/>
          <w:szCs w:val="16"/>
        </w:rPr>
        <w:t>Note that under 34 CFR §300.301(d), the timeframe set for initial evaluation does not apply to a public agency if: (1) the parent of a child repeatedly fails or refuses to produce the child for the evaluation; or (2) a child enrolls in a school of another public agency after the timeframe for initial evaluations has begun, and prior to a determination by the child’s previous public agency as to whether the child is a child with a disability. States should not report these exceptions in either the numerator (b) or denominator (a). If the State-established timeframe provides for exceptions through State regulation or policy, describe cases falling within those exceptions and include in b.</w:t>
      </w:r>
    </w:p>
    <w:p w14:paraId="231B6D26" w14:textId="77777777" w:rsidR="003356F1" w:rsidRPr="00781112" w:rsidRDefault="003356F1" w:rsidP="00286BDF">
      <w:pPr>
        <w:rPr>
          <w:rFonts w:cs="Arial"/>
          <w:color w:val="000000" w:themeColor="text1"/>
          <w:szCs w:val="16"/>
        </w:rPr>
      </w:pPr>
      <w:r w:rsidRPr="00781112">
        <w:rPr>
          <w:rFonts w:cs="Arial"/>
          <w:color w:val="000000" w:themeColor="text1"/>
          <w:szCs w:val="16"/>
        </w:rPr>
        <w:t>Targets must be 100%.</w:t>
      </w:r>
    </w:p>
    <w:p w14:paraId="6E371C53" w14:textId="77777777" w:rsidR="003356F1" w:rsidRPr="00781112" w:rsidRDefault="003356F1" w:rsidP="00286BDF">
      <w:pPr>
        <w:rPr>
          <w:rFonts w:cs="Arial"/>
          <w:color w:val="000000" w:themeColor="text1"/>
          <w:szCs w:val="16"/>
        </w:rPr>
      </w:pPr>
      <w:r w:rsidRPr="00781112">
        <w:rPr>
          <w:rFonts w:cs="Arial"/>
          <w:color w:val="000000" w:themeColor="text1"/>
          <w:szCs w:val="16"/>
        </w:rPr>
        <w:t>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53468DF8" w14:textId="569695B1" w:rsidR="003356F1" w:rsidRPr="00781112" w:rsidRDefault="007A3964" w:rsidP="00286BDF">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p w14:paraId="4CA3F78B" w14:textId="72C271DF" w:rsidR="00DB20BC" w:rsidRPr="00781112" w:rsidRDefault="00C22B92" w:rsidP="00123D76">
      <w:pPr>
        <w:pStyle w:val="Heading2"/>
      </w:pPr>
      <w:bookmarkStart w:id="71" w:name="_Toc384383354"/>
      <w:bookmarkStart w:id="72" w:name="_Toc392159322"/>
      <w:bookmarkEnd w:id="69"/>
      <w:bookmarkEnd w:id="70"/>
      <w:r w:rsidRPr="00781112">
        <w:t>11</w:t>
      </w:r>
      <w:r w:rsidR="00596F4D" w:rsidRPr="00781112">
        <w:t xml:space="preserve"> </w:t>
      </w:r>
      <w:r w:rsidRPr="00781112">
        <w:t xml:space="preserve">- </w:t>
      </w:r>
      <w:r w:rsidR="00DB20BC" w:rsidRPr="00781112">
        <w:t>Indicator Data</w:t>
      </w:r>
    </w:p>
    <w:p w14:paraId="7C465821" w14:textId="6E27EB07" w:rsidR="00B6413B" w:rsidRPr="00781112" w:rsidRDefault="00B6413B"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1BASELINEDATA"/>
      </w:tblPr>
      <w:tblGrid>
        <w:gridCol w:w="1797"/>
        <w:gridCol w:w="1798"/>
      </w:tblGrid>
      <w:tr w:rsidR="00126B45" w:rsidRPr="00781112" w14:paraId="1E9ECD4B" w14:textId="77777777" w:rsidTr="00123D76">
        <w:trPr>
          <w:trHeight w:val="311"/>
          <w:tblHeader/>
        </w:trPr>
        <w:tc>
          <w:tcPr>
            <w:tcW w:w="1797" w:type="dxa"/>
          </w:tcPr>
          <w:p w14:paraId="7AF55935" w14:textId="77777777" w:rsidR="00126B45" w:rsidRPr="00781112" w:rsidRDefault="00126B45" w:rsidP="00123D76">
            <w:pPr>
              <w:jc w:val="center"/>
              <w:rPr>
                <w:b/>
                <w:color w:val="000000" w:themeColor="text1"/>
              </w:rPr>
            </w:pPr>
            <w:r w:rsidRPr="00781112">
              <w:rPr>
                <w:rFonts w:cs="Arial"/>
                <w:b/>
                <w:color w:val="000000" w:themeColor="text1"/>
                <w:szCs w:val="16"/>
              </w:rPr>
              <w:t>Baseline Year</w:t>
            </w:r>
          </w:p>
        </w:tc>
        <w:tc>
          <w:tcPr>
            <w:tcW w:w="1798" w:type="dxa"/>
          </w:tcPr>
          <w:p w14:paraId="316C30F4" w14:textId="77777777" w:rsidR="00126B45" w:rsidRPr="00781112" w:rsidRDefault="00126B45" w:rsidP="00123D76">
            <w:pPr>
              <w:jc w:val="center"/>
              <w:rPr>
                <w:b/>
                <w:color w:val="000000" w:themeColor="text1"/>
              </w:rPr>
            </w:pPr>
            <w:r w:rsidRPr="00781112">
              <w:rPr>
                <w:b/>
                <w:color w:val="000000" w:themeColor="text1"/>
              </w:rPr>
              <w:t>Baseline Data</w:t>
            </w:r>
          </w:p>
        </w:tc>
      </w:tr>
      <w:tr w:rsidR="00126B45" w:rsidRPr="00781112" w14:paraId="1CE17451" w14:textId="77777777" w:rsidTr="00123D76">
        <w:trPr>
          <w:trHeight w:val="311"/>
        </w:trPr>
        <w:tc>
          <w:tcPr>
            <w:tcW w:w="1797" w:type="dxa"/>
            <w:vAlign w:val="center"/>
          </w:tcPr>
          <w:p w14:paraId="4D36891E" w14:textId="227D3313" w:rsidR="00126B45" w:rsidRPr="00781112" w:rsidRDefault="00126B45" w:rsidP="00123D76">
            <w:pPr>
              <w:jc w:val="center"/>
              <w:rPr>
                <w:bCs/>
                <w:color w:val="000000" w:themeColor="text1"/>
              </w:rPr>
            </w:pPr>
            <w:r w:rsidRPr="00781112">
              <w:rPr>
                <w:bCs/>
                <w:color w:val="000000" w:themeColor="text1"/>
              </w:rPr>
              <w:t>2018</w:t>
            </w:r>
          </w:p>
        </w:tc>
        <w:tc>
          <w:tcPr>
            <w:tcW w:w="1798" w:type="dxa"/>
            <w:vAlign w:val="center"/>
          </w:tcPr>
          <w:p w14:paraId="403719B1" w14:textId="522EF75C" w:rsidR="00126B45" w:rsidRPr="00781112" w:rsidRDefault="00126B45" w:rsidP="00123D76">
            <w:pPr>
              <w:jc w:val="center"/>
              <w:rPr>
                <w:bCs/>
                <w:color w:val="000000" w:themeColor="text1"/>
              </w:rPr>
            </w:pPr>
            <w:r w:rsidRPr="00781112">
              <w:rPr>
                <w:bCs/>
                <w:color w:val="000000" w:themeColor="text1"/>
              </w:rPr>
              <w:t>96.21%</w:t>
            </w:r>
          </w:p>
        </w:tc>
      </w:tr>
    </w:tbl>
    <w:p w14:paraId="0C706E5F" w14:textId="77777777" w:rsidR="00126B45" w:rsidRPr="00781112" w:rsidRDefault="00126B45"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1HISTDATA"/>
      </w:tblPr>
      <w:tblGrid>
        <w:gridCol w:w="1798"/>
        <w:gridCol w:w="1798"/>
        <w:gridCol w:w="1798"/>
        <w:gridCol w:w="1798"/>
        <w:gridCol w:w="1798"/>
        <w:gridCol w:w="1800"/>
      </w:tblGrid>
      <w:tr w:rsidR="005C29F8" w:rsidRPr="00781112" w14:paraId="185735BC" w14:textId="77777777" w:rsidTr="005F2FF9">
        <w:trPr>
          <w:trHeight w:val="350"/>
        </w:trPr>
        <w:tc>
          <w:tcPr>
            <w:tcW w:w="833" w:type="pct"/>
            <w:tcBorders>
              <w:bottom w:val="single" w:sz="4" w:space="0" w:color="auto"/>
            </w:tcBorders>
            <w:shd w:val="clear" w:color="auto" w:fill="auto"/>
          </w:tcPr>
          <w:p w14:paraId="40BFC57F" w14:textId="77777777" w:rsidR="00B6413B" w:rsidRPr="00781112" w:rsidRDefault="00B6413B"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180872C1" w14:textId="09E6591B" w:rsidR="00B6413B" w:rsidRPr="00781112" w:rsidRDefault="002B7490" w:rsidP="00B6413B">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172712E2" w14:textId="17CB7B21" w:rsidR="00B6413B" w:rsidRPr="00781112" w:rsidRDefault="002B7490" w:rsidP="00B6413B">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510C277D" w14:textId="7361F007" w:rsidR="00B6413B" w:rsidRPr="00781112" w:rsidRDefault="002B7490" w:rsidP="00B6413B">
            <w:pPr>
              <w:jc w:val="center"/>
              <w:rPr>
                <w:rFonts w:cs="Arial"/>
                <w:b/>
                <w:color w:val="000000" w:themeColor="text1"/>
                <w:szCs w:val="16"/>
              </w:rPr>
            </w:pPr>
            <w:r w:rsidRPr="00781112">
              <w:rPr>
                <w:rFonts w:cs="Arial"/>
                <w:b/>
                <w:color w:val="000000" w:themeColor="text1"/>
                <w:szCs w:val="16"/>
              </w:rPr>
              <w:t>2018</w:t>
            </w:r>
          </w:p>
        </w:tc>
        <w:tc>
          <w:tcPr>
            <w:tcW w:w="833" w:type="pct"/>
            <w:shd w:val="clear" w:color="auto" w:fill="auto"/>
          </w:tcPr>
          <w:p w14:paraId="5A53D9E0" w14:textId="2FECDD8F" w:rsidR="00B6413B" w:rsidRPr="00781112" w:rsidRDefault="002B7490" w:rsidP="00B6413B">
            <w:pPr>
              <w:jc w:val="center"/>
              <w:rPr>
                <w:rFonts w:cs="Arial"/>
                <w:b/>
                <w:color w:val="000000" w:themeColor="text1"/>
                <w:szCs w:val="16"/>
              </w:rPr>
            </w:pPr>
            <w:r w:rsidRPr="00781112">
              <w:rPr>
                <w:rFonts w:cs="Arial"/>
                <w:b/>
                <w:color w:val="000000" w:themeColor="text1"/>
                <w:szCs w:val="16"/>
              </w:rPr>
              <w:t>2019</w:t>
            </w:r>
          </w:p>
        </w:tc>
        <w:tc>
          <w:tcPr>
            <w:tcW w:w="834" w:type="pct"/>
            <w:shd w:val="clear" w:color="auto" w:fill="auto"/>
          </w:tcPr>
          <w:p w14:paraId="5DDA3CB1" w14:textId="7CA07026" w:rsidR="00B6413B" w:rsidRPr="00781112" w:rsidRDefault="002B7490" w:rsidP="00B6413B">
            <w:pPr>
              <w:jc w:val="center"/>
              <w:rPr>
                <w:rFonts w:cs="Arial"/>
                <w:b/>
                <w:color w:val="000000" w:themeColor="text1"/>
                <w:szCs w:val="16"/>
              </w:rPr>
            </w:pPr>
            <w:r w:rsidRPr="00781112">
              <w:rPr>
                <w:rFonts w:cs="Arial"/>
                <w:b/>
                <w:color w:val="000000" w:themeColor="text1"/>
                <w:szCs w:val="16"/>
              </w:rPr>
              <w:t>2020</w:t>
            </w:r>
          </w:p>
        </w:tc>
      </w:tr>
      <w:tr w:rsidR="005C29F8" w:rsidRPr="00781112" w14:paraId="1D8C5E85" w14:textId="77777777" w:rsidTr="005F2FF9">
        <w:trPr>
          <w:trHeight w:val="357"/>
        </w:trPr>
        <w:tc>
          <w:tcPr>
            <w:tcW w:w="833" w:type="pct"/>
            <w:shd w:val="clear" w:color="auto" w:fill="auto"/>
          </w:tcPr>
          <w:p w14:paraId="64B52232" w14:textId="6E60704D" w:rsidR="00B6413B" w:rsidRPr="00781112" w:rsidRDefault="00B6413B" w:rsidP="00B6413B">
            <w:pPr>
              <w:rPr>
                <w:rFonts w:cs="Arial"/>
                <w:color w:val="000000" w:themeColor="text1"/>
                <w:szCs w:val="16"/>
              </w:rPr>
            </w:pPr>
            <w:r w:rsidRPr="00781112">
              <w:rPr>
                <w:rFonts w:cs="Arial"/>
                <w:color w:val="000000" w:themeColor="text1"/>
                <w:szCs w:val="16"/>
              </w:rPr>
              <w:t xml:space="preserve">Target </w:t>
            </w:r>
          </w:p>
        </w:tc>
        <w:tc>
          <w:tcPr>
            <w:tcW w:w="833" w:type="pct"/>
            <w:shd w:val="clear" w:color="auto" w:fill="auto"/>
          </w:tcPr>
          <w:p w14:paraId="13EDBB26" w14:textId="03929D2F" w:rsidR="00B6413B" w:rsidRPr="00781112" w:rsidRDefault="00B16A26">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22315242" w14:textId="2AA4BC03" w:rsidR="00B6413B" w:rsidRPr="00781112" w:rsidRDefault="00B16A26">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592D8352" w14:textId="0CCD91D0" w:rsidR="00B6413B" w:rsidRPr="00781112" w:rsidRDefault="00B16A26">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4213B65B" w14:textId="455FA06B" w:rsidR="00B6413B" w:rsidRPr="00781112" w:rsidRDefault="00B16A26">
            <w:pPr>
              <w:jc w:val="center"/>
              <w:rPr>
                <w:rFonts w:cs="Arial"/>
                <w:color w:val="000000" w:themeColor="text1"/>
                <w:szCs w:val="16"/>
              </w:rPr>
            </w:pPr>
            <w:r w:rsidRPr="00781112">
              <w:rPr>
                <w:rFonts w:cs="Arial"/>
                <w:color w:val="000000" w:themeColor="text1"/>
                <w:szCs w:val="16"/>
              </w:rPr>
              <w:t>100%</w:t>
            </w:r>
          </w:p>
        </w:tc>
        <w:tc>
          <w:tcPr>
            <w:tcW w:w="834" w:type="pct"/>
            <w:shd w:val="clear" w:color="auto" w:fill="auto"/>
          </w:tcPr>
          <w:p w14:paraId="0947AB89" w14:textId="009A0A22" w:rsidR="00B6413B" w:rsidRPr="00781112" w:rsidRDefault="00B16A26">
            <w:pPr>
              <w:jc w:val="center"/>
              <w:rPr>
                <w:rFonts w:cs="Arial"/>
                <w:color w:val="000000" w:themeColor="text1"/>
                <w:szCs w:val="16"/>
              </w:rPr>
            </w:pPr>
            <w:r w:rsidRPr="00781112">
              <w:rPr>
                <w:rFonts w:cs="Arial"/>
                <w:color w:val="000000" w:themeColor="text1"/>
                <w:szCs w:val="16"/>
              </w:rPr>
              <w:t>100%</w:t>
            </w:r>
          </w:p>
        </w:tc>
      </w:tr>
      <w:tr w:rsidR="005C29F8" w:rsidRPr="00781112" w14:paraId="034A91A9" w14:textId="77777777" w:rsidTr="005F2FF9">
        <w:trPr>
          <w:trHeight w:val="85"/>
        </w:trPr>
        <w:tc>
          <w:tcPr>
            <w:tcW w:w="833" w:type="pct"/>
            <w:shd w:val="clear" w:color="auto" w:fill="auto"/>
          </w:tcPr>
          <w:p w14:paraId="2D12CD30" w14:textId="77777777" w:rsidR="00B6413B" w:rsidRPr="00781112" w:rsidRDefault="00B6413B" w:rsidP="00B6413B">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45567F1B" w14:textId="15BD6387" w:rsidR="00B6413B" w:rsidRPr="00781112" w:rsidRDefault="002B7490" w:rsidP="00A018D4">
            <w:pPr>
              <w:jc w:val="center"/>
              <w:rPr>
                <w:rFonts w:cs="Arial"/>
                <w:color w:val="000000" w:themeColor="text1"/>
                <w:szCs w:val="16"/>
              </w:rPr>
            </w:pPr>
            <w:r w:rsidRPr="00781112">
              <w:rPr>
                <w:rFonts w:cs="Arial"/>
                <w:color w:val="000000" w:themeColor="text1"/>
                <w:szCs w:val="16"/>
              </w:rPr>
              <w:t>99.60%</w:t>
            </w:r>
          </w:p>
        </w:tc>
        <w:tc>
          <w:tcPr>
            <w:tcW w:w="833" w:type="pct"/>
            <w:shd w:val="clear" w:color="auto" w:fill="auto"/>
          </w:tcPr>
          <w:p w14:paraId="22571264" w14:textId="18DEE061" w:rsidR="00B6413B" w:rsidRPr="00781112" w:rsidRDefault="002B7490" w:rsidP="00A018D4">
            <w:pPr>
              <w:jc w:val="center"/>
              <w:rPr>
                <w:rFonts w:cs="Arial"/>
                <w:color w:val="000000" w:themeColor="text1"/>
                <w:szCs w:val="16"/>
              </w:rPr>
            </w:pPr>
            <w:r w:rsidRPr="00781112">
              <w:rPr>
                <w:rFonts w:cs="Arial"/>
                <w:color w:val="000000" w:themeColor="text1"/>
                <w:szCs w:val="16"/>
              </w:rPr>
              <w:t>100.00%</w:t>
            </w:r>
          </w:p>
        </w:tc>
        <w:tc>
          <w:tcPr>
            <w:tcW w:w="833" w:type="pct"/>
            <w:tcBorders>
              <w:bottom w:val="single" w:sz="4" w:space="0" w:color="auto"/>
            </w:tcBorders>
            <w:shd w:val="clear" w:color="auto" w:fill="auto"/>
            <w:vAlign w:val="center"/>
          </w:tcPr>
          <w:p w14:paraId="0169492B" w14:textId="35C25712" w:rsidR="00B6413B" w:rsidRPr="00781112" w:rsidRDefault="002B7490" w:rsidP="00A018D4">
            <w:pPr>
              <w:jc w:val="center"/>
              <w:rPr>
                <w:rFonts w:cs="Arial"/>
                <w:color w:val="000000" w:themeColor="text1"/>
                <w:szCs w:val="16"/>
              </w:rPr>
            </w:pPr>
            <w:r w:rsidRPr="00781112">
              <w:rPr>
                <w:rFonts w:cs="Arial"/>
                <w:color w:val="000000" w:themeColor="text1"/>
                <w:szCs w:val="16"/>
              </w:rPr>
              <w:t>96.21%</w:t>
            </w:r>
          </w:p>
        </w:tc>
        <w:tc>
          <w:tcPr>
            <w:tcW w:w="833" w:type="pct"/>
            <w:tcBorders>
              <w:bottom w:val="single" w:sz="4" w:space="0" w:color="auto"/>
            </w:tcBorders>
            <w:shd w:val="clear" w:color="auto" w:fill="auto"/>
            <w:vAlign w:val="center"/>
          </w:tcPr>
          <w:p w14:paraId="3F28AAFF" w14:textId="54CE0344" w:rsidR="00B6413B" w:rsidRPr="00781112" w:rsidRDefault="002B7490" w:rsidP="00A018D4">
            <w:pPr>
              <w:jc w:val="center"/>
              <w:rPr>
                <w:rFonts w:cs="Arial"/>
                <w:color w:val="000000" w:themeColor="text1"/>
                <w:szCs w:val="16"/>
              </w:rPr>
            </w:pPr>
            <w:r w:rsidRPr="00781112">
              <w:rPr>
                <w:rFonts w:cs="Arial"/>
                <w:color w:val="000000" w:themeColor="text1"/>
                <w:szCs w:val="16"/>
              </w:rPr>
              <w:t>97.10%</w:t>
            </w:r>
          </w:p>
        </w:tc>
        <w:tc>
          <w:tcPr>
            <w:tcW w:w="834" w:type="pct"/>
            <w:tcBorders>
              <w:bottom w:val="single" w:sz="4" w:space="0" w:color="auto"/>
            </w:tcBorders>
            <w:shd w:val="clear" w:color="auto" w:fill="auto"/>
            <w:vAlign w:val="center"/>
          </w:tcPr>
          <w:p w14:paraId="1634D135" w14:textId="4B1B8A56" w:rsidR="00B6413B" w:rsidRPr="00781112" w:rsidRDefault="002B7490" w:rsidP="00A018D4">
            <w:pPr>
              <w:jc w:val="center"/>
              <w:rPr>
                <w:rFonts w:cs="Arial"/>
                <w:color w:val="000000" w:themeColor="text1"/>
                <w:szCs w:val="16"/>
              </w:rPr>
            </w:pPr>
            <w:r w:rsidRPr="00781112">
              <w:rPr>
                <w:rFonts w:cs="Arial"/>
                <w:color w:val="000000" w:themeColor="text1"/>
                <w:szCs w:val="16"/>
              </w:rPr>
              <w:t>97.44%</w:t>
            </w:r>
          </w:p>
        </w:tc>
      </w:tr>
    </w:tbl>
    <w:p w14:paraId="4B68E2EB" w14:textId="77777777" w:rsidR="00DE2E22" w:rsidRPr="00781112" w:rsidRDefault="00DE2E22" w:rsidP="004369B2">
      <w:pPr>
        <w:rPr>
          <w:color w:val="000000" w:themeColor="text1"/>
        </w:rPr>
      </w:pPr>
    </w:p>
    <w:p w14:paraId="665BBDF2" w14:textId="3C595D9B" w:rsidR="007A3964" w:rsidRPr="00781112" w:rsidRDefault="007A3964" w:rsidP="004369B2">
      <w:pPr>
        <w:rPr>
          <w:color w:val="000000" w:themeColor="text1"/>
        </w:rPr>
      </w:pPr>
      <w:r w:rsidRPr="00781112">
        <w:rPr>
          <w:b/>
          <w:color w:val="000000" w:themeColor="text1"/>
        </w:rPr>
        <w:t>Targets</w:t>
      </w:r>
    </w:p>
    <w:tbl>
      <w:tblPr>
        <w:tblW w:w="41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1TARGETS"/>
      </w:tblPr>
      <w:tblGrid>
        <w:gridCol w:w="679"/>
        <w:gridCol w:w="1585"/>
        <w:gridCol w:w="1698"/>
        <w:gridCol w:w="1699"/>
        <w:gridCol w:w="1699"/>
        <w:gridCol w:w="1697"/>
      </w:tblGrid>
      <w:tr w:rsidR="00B14519" w:rsidRPr="00781112" w14:paraId="76DFECC2" w14:textId="07DDD47D" w:rsidTr="00451D7E">
        <w:trPr>
          <w:trHeight w:val="460"/>
        </w:trPr>
        <w:tc>
          <w:tcPr>
            <w:tcW w:w="278" w:type="pct"/>
            <w:tcBorders>
              <w:bottom w:val="single" w:sz="4" w:space="0" w:color="auto"/>
            </w:tcBorders>
            <w:shd w:val="clear" w:color="auto" w:fill="auto"/>
          </w:tcPr>
          <w:p w14:paraId="6892E70C" w14:textId="77777777" w:rsidR="00B14519" w:rsidRPr="00781112" w:rsidRDefault="00B14519" w:rsidP="00487DD1">
            <w:pPr>
              <w:jc w:val="center"/>
              <w:rPr>
                <w:b/>
                <w:color w:val="000000" w:themeColor="text1"/>
              </w:rPr>
            </w:pPr>
            <w:r w:rsidRPr="00781112">
              <w:rPr>
                <w:b/>
                <w:color w:val="000000" w:themeColor="text1"/>
              </w:rPr>
              <w:t>FFY</w:t>
            </w:r>
          </w:p>
        </w:tc>
        <w:tc>
          <w:tcPr>
            <w:tcW w:w="895" w:type="pct"/>
            <w:shd w:val="clear" w:color="auto" w:fill="auto"/>
          </w:tcPr>
          <w:p w14:paraId="66B6940B" w14:textId="77777777" w:rsidR="00B14519" w:rsidRPr="00781112" w:rsidRDefault="00B14519" w:rsidP="00487DD1">
            <w:pPr>
              <w:jc w:val="center"/>
              <w:rPr>
                <w:b/>
                <w:color w:val="000000" w:themeColor="text1"/>
              </w:rPr>
            </w:pPr>
            <w:r w:rsidRPr="00781112">
              <w:rPr>
                <w:b/>
                <w:color w:val="000000" w:themeColor="text1"/>
              </w:rPr>
              <w:t>2021</w:t>
            </w:r>
          </w:p>
        </w:tc>
        <w:tc>
          <w:tcPr>
            <w:tcW w:w="957" w:type="pct"/>
          </w:tcPr>
          <w:p w14:paraId="642D6D44" w14:textId="2A5BD9E4" w:rsidR="00B14519" w:rsidRPr="00781112" w:rsidRDefault="00B14519" w:rsidP="00487DD1">
            <w:pPr>
              <w:jc w:val="center"/>
              <w:rPr>
                <w:b/>
                <w:color w:val="000000" w:themeColor="text1"/>
              </w:rPr>
            </w:pPr>
            <w:r w:rsidRPr="00781112">
              <w:rPr>
                <w:rFonts w:cs="Arial"/>
                <w:b/>
                <w:color w:val="000000" w:themeColor="text1"/>
                <w:szCs w:val="16"/>
              </w:rPr>
              <w:t>2022</w:t>
            </w:r>
          </w:p>
        </w:tc>
        <w:tc>
          <w:tcPr>
            <w:tcW w:w="957" w:type="pct"/>
          </w:tcPr>
          <w:p w14:paraId="3DC5C0D5" w14:textId="20C2B807" w:rsidR="00B14519" w:rsidRPr="00781112" w:rsidRDefault="00B14519" w:rsidP="00487DD1">
            <w:pPr>
              <w:jc w:val="center"/>
              <w:rPr>
                <w:b/>
                <w:color w:val="000000" w:themeColor="text1"/>
              </w:rPr>
            </w:pPr>
            <w:r w:rsidRPr="00781112">
              <w:rPr>
                <w:rFonts w:cs="Arial"/>
                <w:b/>
                <w:color w:val="000000" w:themeColor="text1"/>
                <w:szCs w:val="16"/>
              </w:rPr>
              <w:t>2023</w:t>
            </w:r>
          </w:p>
        </w:tc>
        <w:tc>
          <w:tcPr>
            <w:tcW w:w="957" w:type="pct"/>
          </w:tcPr>
          <w:p w14:paraId="66836E96" w14:textId="691AA0DC" w:rsidR="00B14519" w:rsidRPr="00781112" w:rsidRDefault="00B14519" w:rsidP="00487DD1">
            <w:pPr>
              <w:jc w:val="center"/>
              <w:rPr>
                <w:b/>
                <w:color w:val="000000" w:themeColor="text1"/>
              </w:rPr>
            </w:pPr>
            <w:r w:rsidRPr="00781112">
              <w:rPr>
                <w:rFonts w:cs="Arial"/>
                <w:b/>
                <w:color w:val="000000" w:themeColor="text1"/>
                <w:szCs w:val="16"/>
              </w:rPr>
              <w:t>2024</w:t>
            </w:r>
          </w:p>
        </w:tc>
        <w:tc>
          <w:tcPr>
            <w:tcW w:w="957" w:type="pct"/>
          </w:tcPr>
          <w:p w14:paraId="5B366E12" w14:textId="3D99FA3A" w:rsidR="00B14519" w:rsidRPr="00781112" w:rsidRDefault="00B14519" w:rsidP="00487DD1">
            <w:pPr>
              <w:jc w:val="center"/>
              <w:rPr>
                <w:b/>
                <w:color w:val="000000" w:themeColor="text1"/>
              </w:rPr>
            </w:pPr>
            <w:r w:rsidRPr="00781112">
              <w:rPr>
                <w:rFonts w:cs="Arial"/>
                <w:b/>
                <w:color w:val="000000" w:themeColor="text1"/>
                <w:szCs w:val="16"/>
              </w:rPr>
              <w:t>2025</w:t>
            </w:r>
          </w:p>
        </w:tc>
      </w:tr>
      <w:tr w:rsidR="00B14519" w:rsidRPr="00781112" w14:paraId="3EC10007" w14:textId="1FF3F876" w:rsidTr="00451D7E">
        <w:trPr>
          <w:trHeight w:val="469"/>
        </w:trPr>
        <w:tc>
          <w:tcPr>
            <w:tcW w:w="278" w:type="pct"/>
            <w:shd w:val="clear" w:color="auto" w:fill="auto"/>
            <w:vAlign w:val="center"/>
          </w:tcPr>
          <w:p w14:paraId="078AD14E" w14:textId="77777777" w:rsidR="00B14519" w:rsidRPr="00781112" w:rsidRDefault="00B14519" w:rsidP="00487DD1">
            <w:pPr>
              <w:rPr>
                <w:rFonts w:cs="Arial"/>
                <w:color w:val="000000" w:themeColor="text1"/>
                <w:szCs w:val="16"/>
              </w:rPr>
            </w:pPr>
            <w:r w:rsidRPr="00781112">
              <w:rPr>
                <w:rFonts w:cs="Arial"/>
                <w:color w:val="000000" w:themeColor="text1"/>
                <w:szCs w:val="16"/>
              </w:rPr>
              <w:t xml:space="preserve">Target </w:t>
            </w:r>
          </w:p>
        </w:tc>
        <w:tc>
          <w:tcPr>
            <w:tcW w:w="895" w:type="pct"/>
            <w:shd w:val="clear" w:color="auto" w:fill="auto"/>
            <w:vAlign w:val="center"/>
          </w:tcPr>
          <w:p w14:paraId="738C5681" w14:textId="308364FD" w:rsidR="00B14519" w:rsidRPr="00781112" w:rsidRDefault="00B14519" w:rsidP="00487DD1">
            <w:pPr>
              <w:jc w:val="center"/>
              <w:rPr>
                <w:rFonts w:cs="Arial"/>
                <w:color w:val="000000" w:themeColor="text1"/>
                <w:szCs w:val="16"/>
              </w:rPr>
            </w:pPr>
            <w:r w:rsidRPr="00781112">
              <w:rPr>
                <w:rFonts w:cs="Arial"/>
                <w:color w:val="000000" w:themeColor="text1"/>
                <w:szCs w:val="16"/>
              </w:rPr>
              <w:t>100%</w:t>
            </w:r>
          </w:p>
        </w:tc>
        <w:tc>
          <w:tcPr>
            <w:tcW w:w="957" w:type="pct"/>
          </w:tcPr>
          <w:p w14:paraId="6D8F87FA" w14:textId="469699AF" w:rsidR="00B14519" w:rsidRPr="00781112" w:rsidRDefault="00B14519" w:rsidP="00487DD1">
            <w:pPr>
              <w:jc w:val="center"/>
              <w:rPr>
                <w:rFonts w:cs="Arial"/>
                <w:color w:val="000000" w:themeColor="text1"/>
                <w:szCs w:val="16"/>
              </w:rPr>
            </w:pPr>
            <w:r w:rsidRPr="00781112">
              <w:rPr>
                <w:color w:val="000000" w:themeColor="text1"/>
                <w:szCs w:val="16"/>
              </w:rPr>
              <w:t>100%</w:t>
            </w:r>
          </w:p>
        </w:tc>
        <w:tc>
          <w:tcPr>
            <w:tcW w:w="957" w:type="pct"/>
          </w:tcPr>
          <w:p w14:paraId="36607C1B" w14:textId="54CF66D1" w:rsidR="00B14519" w:rsidRPr="00781112" w:rsidRDefault="00B14519" w:rsidP="00487DD1">
            <w:pPr>
              <w:jc w:val="center"/>
              <w:rPr>
                <w:rFonts w:cs="Arial"/>
                <w:color w:val="000000" w:themeColor="text1"/>
                <w:szCs w:val="16"/>
              </w:rPr>
            </w:pPr>
            <w:r w:rsidRPr="00781112">
              <w:rPr>
                <w:color w:val="000000" w:themeColor="text1"/>
                <w:szCs w:val="16"/>
              </w:rPr>
              <w:t>100%</w:t>
            </w:r>
          </w:p>
        </w:tc>
        <w:tc>
          <w:tcPr>
            <w:tcW w:w="957" w:type="pct"/>
          </w:tcPr>
          <w:p w14:paraId="2E85DC12" w14:textId="59499407" w:rsidR="00B14519" w:rsidRPr="00781112" w:rsidRDefault="00B14519" w:rsidP="00487DD1">
            <w:pPr>
              <w:jc w:val="center"/>
              <w:rPr>
                <w:rFonts w:cs="Arial"/>
                <w:color w:val="000000" w:themeColor="text1"/>
                <w:szCs w:val="16"/>
              </w:rPr>
            </w:pPr>
            <w:r w:rsidRPr="00781112">
              <w:rPr>
                <w:color w:val="000000" w:themeColor="text1"/>
                <w:szCs w:val="16"/>
              </w:rPr>
              <w:t>100%</w:t>
            </w:r>
          </w:p>
        </w:tc>
        <w:tc>
          <w:tcPr>
            <w:tcW w:w="957" w:type="pct"/>
          </w:tcPr>
          <w:p w14:paraId="60586439" w14:textId="48E3304A" w:rsidR="00B14519" w:rsidRPr="00781112" w:rsidRDefault="00B14519" w:rsidP="00487DD1">
            <w:pPr>
              <w:jc w:val="center"/>
              <w:rPr>
                <w:rFonts w:cs="Arial"/>
                <w:color w:val="000000" w:themeColor="text1"/>
                <w:szCs w:val="16"/>
              </w:rPr>
            </w:pPr>
            <w:r w:rsidRPr="00781112">
              <w:rPr>
                <w:color w:val="000000" w:themeColor="text1"/>
                <w:szCs w:val="16"/>
              </w:rPr>
              <w:t>100%</w:t>
            </w:r>
          </w:p>
        </w:tc>
      </w:tr>
    </w:tbl>
    <w:p w14:paraId="5CBD7BB2" w14:textId="77777777" w:rsidR="00DE2E22" w:rsidRPr="00781112" w:rsidRDefault="00DE2E22" w:rsidP="004369B2">
      <w:pPr>
        <w:rPr>
          <w:color w:val="000000" w:themeColor="text1"/>
        </w:rPr>
      </w:pPr>
    </w:p>
    <w:bookmarkEnd w:id="71"/>
    <w:bookmarkEnd w:id="72"/>
    <w:p w14:paraId="6A98740D" w14:textId="77777777" w:rsidR="007123A2" w:rsidRDefault="007123A2">
      <w:pPr>
        <w:spacing w:before="0" w:after="200" w:line="276" w:lineRule="auto"/>
        <w:rPr>
          <w:b/>
          <w:color w:val="000000" w:themeColor="text1"/>
        </w:rPr>
      </w:pPr>
      <w:r>
        <w:rPr>
          <w:b/>
          <w:color w:val="000000" w:themeColor="text1"/>
        </w:rPr>
        <w:br w:type="page"/>
      </w:r>
    </w:p>
    <w:p w14:paraId="3FAEB3AB" w14:textId="4BF0A937" w:rsidR="00D03701" w:rsidRPr="00781112" w:rsidRDefault="0047313F" w:rsidP="004369B2">
      <w:pPr>
        <w:rPr>
          <w:color w:val="000000" w:themeColor="text1"/>
        </w:rPr>
      </w:pPr>
      <w:r>
        <w:rPr>
          <w:b/>
          <w:color w:val="000000" w:themeColor="text1"/>
        </w:rPr>
        <w:lastRenderedPageBreak/>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1CFFYAPRDATA"/>
      </w:tblPr>
      <w:tblGrid>
        <w:gridCol w:w="1462"/>
        <w:gridCol w:w="1363"/>
        <w:gridCol w:w="1407"/>
        <w:gridCol w:w="2123"/>
        <w:gridCol w:w="1265"/>
        <w:gridCol w:w="1612"/>
        <w:gridCol w:w="1558"/>
      </w:tblGrid>
      <w:tr w:rsidR="00B1652C" w:rsidRPr="00781112" w14:paraId="4D51CA61" w14:textId="77777777" w:rsidTr="008227D4">
        <w:trPr>
          <w:trHeight w:val="357"/>
          <w:tblHeader/>
        </w:trPr>
        <w:tc>
          <w:tcPr>
            <w:tcW w:w="677" w:type="pct"/>
            <w:shd w:val="clear" w:color="auto" w:fill="auto"/>
            <w:vAlign w:val="bottom"/>
          </w:tcPr>
          <w:p w14:paraId="2C2F9079" w14:textId="77777777" w:rsidR="00B1652C" w:rsidRPr="00781112" w:rsidRDefault="00B1652C" w:rsidP="00B1652C">
            <w:pPr>
              <w:jc w:val="center"/>
              <w:rPr>
                <w:rFonts w:cs="Arial"/>
                <w:b/>
                <w:color w:val="000000" w:themeColor="text1"/>
                <w:szCs w:val="16"/>
              </w:rPr>
            </w:pPr>
            <w:r w:rsidRPr="00781112">
              <w:rPr>
                <w:rFonts w:cs="Arial"/>
                <w:b/>
                <w:color w:val="000000" w:themeColor="text1"/>
                <w:szCs w:val="16"/>
              </w:rPr>
              <w:t>(a) Number of children for whom parental consent to evaluate was received</w:t>
            </w:r>
          </w:p>
        </w:tc>
        <w:tc>
          <w:tcPr>
            <w:tcW w:w="631" w:type="pct"/>
            <w:shd w:val="clear" w:color="auto" w:fill="auto"/>
            <w:vAlign w:val="bottom"/>
          </w:tcPr>
          <w:p w14:paraId="37C63445" w14:textId="77777777" w:rsidR="00B1652C" w:rsidRPr="00781112" w:rsidRDefault="00B1652C" w:rsidP="00B1652C">
            <w:pPr>
              <w:jc w:val="center"/>
              <w:rPr>
                <w:rFonts w:cs="Arial"/>
                <w:b/>
                <w:color w:val="000000" w:themeColor="text1"/>
                <w:szCs w:val="16"/>
              </w:rPr>
            </w:pPr>
            <w:r w:rsidRPr="00781112">
              <w:rPr>
                <w:rFonts w:cs="Arial"/>
                <w:b/>
                <w:color w:val="000000" w:themeColor="text1"/>
                <w:szCs w:val="16"/>
              </w:rPr>
              <w:t>(b) Number of children whose evaluations were completed within 60 days (or State-established timeline)</w:t>
            </w:r>
          </w:p>
        </w:tc>
        <w:tc>
          <w:tcPr>
            <w:tcW w:w="652" w:type="pct"/>
            <w:shd w:val="clear" w:color="auto" w:fill="auto"/>
            <w:vAlign w:val="bottom"/>
          </w:tcPr>
          <w:p w14:paraId="0F3587FA" w14:textId="23C7F4A8" w:rsidR="00B1652C" w:rsidRPr="00CC1061" w:rsidRDefault="00B1652C" w:rsidP="00B1652C">
            <w:pPr>
              <w:jc w:val="center"/>
              <w:rPr>
                <w:rFonts w:cs="Arial"/>
                <w:b/>
                <w:bCs/>
                <w:color w:val="000000" w:themeColor="text1"/>
                <w:szCs w:val="16"/>
              </w:rPr>
            </w:pPr>
            <w:r w:rsidRPr="00CC1061">
              <w:rPr>
                <w:b/>
                <w:bCs/>
              </w:rPr>
              <w:t>FFY 2020 Data</w:t>
            </w:r>
          </w:p>
        </w:tc>
        <w:tc>
          <w:tcPr>
            <w:tcW w:w="984" w:type="pct"/>
            <w:shd w:val="clear" w:color="auto" w:fill="auto"/>
            <w:vAlign w:val="bottom"/>
          </w:tcPr>
          <w:p w14:paraId="46349806" w14:textId="4901A0E8" w:rsidR="00B1652C" w:rsidRPr="00CC1061" w:rsidRDefault="00B1652C" w:rsidP="00B1652C">
            <w:pPr>
              <w:jc w:val="center"/>
              <w:rPr>
                <w:rFonts w:cs="Arial"/>
                <w:b/>
                <w:bCs/>
                <w:color w:val="000000" w:themeColor="text1"/>
                <w:szCs w:val="16"/>
              </w:rPr>
            </w:pPr>
            <w:r w:rsidRPr="00CC1061">
              <w:rPr>
                <w:b/>
                <w:bCs/>
              </w:rPr>
              <w:t>FFY 2021 Target</w:t>
            </w:r>
          </w:p>
        </w:tc>
        <w:tc>
          <w:tcPr>
            <w:tcW w:w="586" w:type="pct"/>
            <w:shd w:val="clear" w:color="auto" w:fill="auto"/>
            <w:vAlign w:val="bottom"/>
          </w:tcPr>
          <w:p w14:paraId="789B0350" w14:textId="5E86AFE2" w:rsidR="00B1652C" w:rsidRPr="00CC1061" w:rsidRDefault="00B1652C" w:rsidP="00B1652C">
            <w:pPr>
              <w:jc w:val="center"/>
              <w:rPr>
                <w:rFonts w:cs="Arial"/>
                <w:b/>
                <w:bCs/>
                <w:color w:val="000000" w:themeColor="text1"/>
                <w:szCs w:val="16"/>
              </w:rPr>
            </w:pPr>
            <w:r w:rsidRPr="00CC1061">
              <w:rPr>
                <w:b/>
                <w:bCs/>
              </w:rPr>
              <w:t>FFY 2021 Data</w:t>
            </w:r>
          </w:p>
        </w:tc>
        <w:tc>
          <w:tcPr>
            <w:tcW w:w="747" w:type="pct"/>
            <w:shd w:val="clear" w:color="auto" w:fill="auto"/>
            <w:vAlign w:val="bottom"/>
          </w:tcPr>
          <w:p w14:paraId="1F8A5D0B" w14:textId="1CA25A33" w:rsidR="00B1652C" w:rsidRPr="00781112" w:rsidRDefault="00B1652C" w:rsidP="00B1652C">
            <w:pPr>
              <w:jc w:val="center"/>
              <w:rPr>
                <w:rFonts w:cs="Arial"/>
                <w:b/>
                <w:color w:val="000000" w:themeColor="text1"/>
                <w:szCs w:val="16"/>
              </w:rPr>
            </w:pPr>
            <w:r w:rsidRPr="00781112">
              <w:rPr>
                <w:rFonts w:cs="Arial"/>
                <w:b/>
                <w:color w:val="000000" w:themeColor="text1"/>
                <w:szCs w:val="16"/>
              </w:rPr>
              <w:t>Status</w:t>
            </w:r>
          </w:p>
        </w:tc>
        <w:tc>
          <w:tcPr>
            <w:tcW w:w="722" w:type="pct"/>
            <w:shd w:val="clear" w:color="auto" w:fill="auto"/>
            <w:vAlign w:val="bottom"/>
          </w:tcPr>
          <w:p w14:paraId="072F67FA" w14:textId="0AF25FE9" w:rsidR="00B1652C" w:rsidRPr="00781112" w:rsidRDefault="00B1652C" w:rsidP="00B1652C">
            <w:pPr>
              <w:jc w:val="center"/>
              <w:rPr>
                <w:rFonts w:cs="Arial"/>
                <w:b/>
                <w:color w:val="000000" w:themeColor="text1"/>
                <w:szCs w:val="16"/>
              </w:rPr>
            </w:pPr>
            <w:r w:rsidRPr="00781112">
              <w:rPr>
                <w:rFonts w:cs="Arial"/>
                <w:b/>
                <w:color w:val="000000" w:themeColor="text1"/>
                <w:szCs w:val="16"/>
              </w:rPr>
              <w:t>Slippage</w:t>
            </w:r>
          </w:p>
        </w:tc>
      </w:tr>
      <w:tr w:rsidR="005C29F8" w:rsidRPr="00781112" w14:paraId="601FAE62" w14:textId="77777777" w:rsidTr="008227D4">
        <w:tblPrEx>
          <w:jc w:val="center"/>
        </w:tblPrEx>
        <w:trPr>
          <w:trHeight w:val="361"/>
          <w:jc w:val="center"/>
        </w:trPr>
        <w:tc>
          <w:tcPr>
            <w:tcW w:w="677" w:type="pct"/>
            <w:shd w:val="clear" w:color="auto" w:fill="auto"/>
            <w:vAlign w:val="center"/>
          </w:tcPr>
          <w:p w14:paraId="40E44618" w14:textId="45B3AEC4" w:rsidR="00227DE4" w:rsidRPr="00781112" w:rsidRDefault="002B7490" w:rsidP="004369B2">
            <w:pPr>
              <w:jc w:val="center"/>
              <w:rPr>
                <w:rFonts w:cs="Arial"/>
                <w:color w:val="000000" w:themeColor="text1"/>
                <w:szCs w:val="16"/>
              </w:rPr>
            </w:pPr>
            <w:r w:rsidRPr="00781112">
              <w:rPr>
                <w:rFonts w:cs="Arial"/>
                <w:color w:val="000000" w:themeColor="text1"/>
                <w:szCs w:val="16"/>
              </w:rPr>
              <w:t>692</w:t>
            </w:r>
          </w:p>
        </w:tc>
        <w:tc>
          <w:tcPr>
            <w:tcW w:w="631" w:type="pct"/>
            <w:shd w:val="clear" w:color="auto" w:fill="auto"/>
          </w:tcPr>
          <w:p w14:paraId="12D46373" w14:textId="70B5728E" w:rsidR="00227DE4" w:rsidRPr="00781112" w:rsidRDefault="002B7490" w:rsidP="004369B2">
            <w:pPr>
              <w:jc w:val="center"/>
              <w:rPr>
                <w:rFonts w:cs="Arial"/>
                <w:color w:val="000000" w:themeColor="text1"/>
                <w:szCs w:val="16"/>
              </w:rPr>
            </w:pPr>
            <w:r w:rsidRPr="00781112">
              <w:rPr>
                <w:rFonts w:cs="Arial"/>
                <w:color w:val="000000" w:themeColor="text1"/>
                <w:szCs w:val="16"/>
              </w:rPr>
              <w:t>666</w:t>
            </w:r>
          </w:p>
        </w:tc>
        <w:tc>
          <w:tcPr>
            <w:tcW w:w="652" w:type="pct"/>
            <w:shd w:val="clear" w:color="auto" w:fill="auto"/>
          </w:tcPr>
          <w:p w14:paraId="78F7DC6F" w14:textId="0C25E273" w:rsidR="00227DE4" w:rsidRPr="00781112" w:rsidRDefault="002B7490" w:rsidP="004369B2">
            <w:pPr>
              <w:jc w:val="center"/>
              <w:rPr>
                <w:rFonts w:cs="Arial"/>
                <w:color w:val="000000" w:themeColor="text1"/>
                <w:szCs w:val="16"/>
              </w:rPr>
            </w:pPr>
            <w:r w:rsidRPr="00781112">
              <w:rPr>
                <w:rFonts w:cs="Arial"/>
                <w:color w:val="000000" w:themeColor="text1"/>
                <w:szCs w:val="16"/>
              </w:rPr>
              <w:t>97.44%</w:t>
            </w:r>
          </w:p>
        </w:tc>
        <w:tc>
          <w:tcPr>
            <w:tcW w:w="984" w:type="pct"/>
            <w:shd w:val="clear" w:color="auto" w:fill="auto"/>
          </w:tcPr>
          <w:p w14:paraId="57D08E3A" w14:textId="02A6843C" w:rsidR="00227DE4"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586" w:type="pct"/>
            <w:shd w:val="clear" w:color="auto" w:fill="auto"/>
          </w:tcPr>
          <w:p w14:paraId="76ED234E" w14:textId="0761C4C5" w:rsidR="00227DE4" w:rsidRPr="00781112" w:rsidRDefault="002B7490" w:rsidP="004369B2">
            <w:pPr>
              <w:jc w:val="center"/>
              <w:rPr>
                <w:rFonts w:cs="Arial"/>
                <w:color w:val="000000" w:themeColor="text1"/>
                <w:szCs w:val="16"/>
              </w:rPr>
            </w:pPr>
            <w:r w:rsidRPr="00781112">
              <w:rPr>
                <w:rFonts w:cs="Arial"/>
                <w:color w:val="000000" w:themeColor="text1"/>
                <w:szCs w:val="16"/>
              </w:rPr>
              <w:t>96.24%</w:t>
            </w:r>
          </w:p>
        </w:tc>
        <w:tc>
          <w:tcPr>
            <w:tcW w:w="747" w:type="pct"/>
            <w:shd w:val="clear" w:color="auto" w:fill="auto"/>
          </w:tcPr>
          <w:p w14:paraId="0270582F" w14:textId="73E1CA33" w:rsidR="00227DE4" w:rsidRPr="00781112" w:rsidRDefault="002B7490" w:rsidP="004369B2">
            <w:pPr>
              <w:jc w:val="center"/>
              <w:rPr>
                <w:rFonts w:cs="Arial"/>
                <w:color w:val="000000" w:themeColor="text1"/>
                <w:szCs w:val="16"/>
              </w:rPr>
            </w:pPr>
            <w:r w:rsidRPr="00781112">
              <w:rPr>
                <w:rFonts w:cs="Arial"/>
                <w:color w:val="000000" w:themeColor="text1"/>
                <w:szCs w:val="16"/>
              </w:rPr>
              <w:t>Did not meet target</w:t>
            </w:r>
          </w:p>
        </w:tc>
        <w:tc>
          <w:tcPr>
            <w:tcW w:w="722" w:type="pct"/>
            <w:shd w:val="clear" w:color="auto" w:fill="auto"/>
          </w:tcPr>
          <w:p w14:paraId="2AF3A578" w14:textId="64369F07" w:rsidR="00227DE4" w:rsidRPr="00781112" w:rsidRDefault="002B7490" w:rsidP="004369B2">
            <w:pPr>
              <w:jc w:val="center"/>
              <w:rPr>
                <w:rFonts w:cs="Arial"/>
                <w:color w:val="000000" w:themeColor="text1"/>
                <w:szCs w:val="16"/>
              </w:rPr>
            </w:pPr>
            <w:r w:rsidRPr="00781112">
              <w:rPr>
                <w:rFonts w:cs="Arial"/>
                <w:color w:val="000000" w:themeColor="text1"/>
                <w:szCs w:val="16"/>
              </w:rPr>
              <w:t>Slippage</w:t>
            </w:r>
          </w:p>
        </w:tc>
      </w:tr>
    </w:tbl>
    <w:p w14:paraId="5D46E0B7" w14:textId="17C9BC91" w:rsidR="00BC682D" w:rsidRPr="00781112" w:rsidRDefault="00481536" w:rsidP="00BC682D">
      <w:pPr>
        <w:rPr>
          <w:rFonts w:cs="Arial"/>
          <w:b/>
          <w:i/>
          <w:color w:val="000000" w:themeColor="text1"/>
          <w:szCs w:val="16"/>
        </w:rPr>
      </w:pPr>
      <w:r w:rsidRPr="00781112">
        <w:rPr>
          <w:rFonts w:cs="Arial"/>
          <w:b/>
          <w:color w:val="000000" w:themeColor="text1"/>
          <w:szCs w:val="16"/>
        </w:rPr>
        <w:t>Provide reasons for slippage</w:t>
      </w:r>
    </w:p>
    <w:p w14:paraId="1CA4022B" w14:textId="73E50EE0" w:rsidR="00481536" w:rsidRPr="00781112" w:rsidRDefault="002B7490" w:rsidP="007D435F">
      <w:pPr>
        <w:rPr>
          <w:rFonts w:cs="Arial"/>
          <w:color w:val="000000" w:themeColor="text1"/>
          <w:szCs w:val="16"/>
        </w:rPr>
      </w:pPr>
      <w:r w:rsidRPr="00781112">
        <w:rPr>
          <w:rFonts w:cs="Arial"/>
          <w:color w:val="000000" w:themeColor="text1"/>
          <w:szCs w:val="16"/>
        </w:rPr>
        <w:t xml:space="preserve">The slippage can be associated with fewer files reviewed during the monitoring year aligned with the FFY 2021 SPP/APR. For FFY 2020, the USBE SES reviewed 782 files across 79 LEAs with noncompliance identified in 20 files. For </w:t>
      </w:r>
      <w:proofErr w:type="gramStart"/>
      <w:r w:rsidRPr="00781112">
        <w:rPr>
          <w:rFonts w:cs="Arial"/>
          <w:color w:val="000000" w:themeColor="text1"/>
          <w:szCs w:val="16"/>
        </w:rPr>
        <w:t>the FFY</w:t>
      </w:r>
      <w:proofErr w:type="gramEnd"/>
      <w:r w:rsidRPr="00781112">
        <w:rPr>
          <w:rFonts w:cs="Arial"/>
          <w:color w:val="000000" w:themeColor="text1"/>
          <w:szCs w:val="16"/>
        </w:rPr>
        <w:t xml:space="preserve"> 2021, the USBE SES reviewed 692 files across 95 LEAs with noncompliance identified in 26 files. There was slightly more noncompliance identified across fewer files reviewed for FFY 2021 than FFY 2020.</w:t>
      </w:r>
      <w:r w:rsidRPr="00781112">
        <w:rPr>
          <w:rFonts w:cs="Arial"/>
          <w:color w:val="000000" w:themeColor="text1"/>
          <w:szCs w:val="16"/>
        </w:rPr>
        <w:br/>
      </w:r>
      <w:r w:rsidRPr="00781112">
        <w:rPr>
          <w:rFonts w:cs="Arial"/>
          <w:color w:val="000000" w:themeColor="text1"/>
          <w:szCs w:val="16"/>
        </w:rPr>
        <w:br/>
        <w:t>The USBE SES collects data for Indicator 11 using two types of monitoring: 1) full monitoring and 2) Indicator 11 monitoring.</w:t>
      </w:r>
      <w:r w:rsidRPr="00781112">
        <w:rPr>
          <w:rFonts w:cs="Arial"/>
          <w:color w:val="000000" w:themeColor="text1"/>
          <w:szCs w:val="16"/>
        </w:rPr>
        <w:br/>
        <w:t>• The data collected through full monitoring is mostly likely the reason for the decreased number of files reviewed and higher levels of noncompliance identified. Full monitoring includes a review of the student’s entire special education record and files are selected by the USBE SES. The number of files selected for a full monitoring review is based on a statistical ratio of the LEA's special education population and may include a small number of initial evaluations completed within a year prior to the visit. The total number of files reviewed during full monitoring visits varies based on the size of the LEAs reviewed each year.</w:t>
      </w:r>
      <w:r w:rsidRPr="00781112">
        <w:rPr>
          <w:rFonts w:cs="Arial"/>
          <w:color w:val="000000" w:themeColor="text1"/>
          <w:szCs w:val="16"/>
        </w:rPr>
        <w:br/>
        <w:t>• Indicator 11 monitoring is a review of the initial evaluation timeline only. LEAs are asked to choose 10 files for review.</w:t>
      </w:r>
      <w:r w:rsidRPr="00781112">
        <w:rPr>
          <w:rFonts w:cs="Arial"/>
          <w:color w:val="000000" w:themeColor="text1"/>
          <w:szCs w:val="16"/>
        </w:rPr>
        <w:br/>
      </w:r>
      <w:r w:rsidRPr="00781112">
        <w:rPr>
          <w:rFonts w:cs="Arial"/>
          <w:color w:val="000000" w:themeColor="text1"/>
          <w:szCs w:val="16"/>
        </w:rPr>
        <w:br/>
        <w:t>The USBE SES conducted full monitoring in 15 LEAs for FFY 2020 and 30 LEAs for FFY 2021. Although more LEAs were visited for FFY 2021, the size of the LEAs impacts the number of files reviewed at each school site. In FFY 2020, the USBE SES reviewed an average of 17.31 student files for initial evaluation at each LEA. In FFY 2021, the USBE SES reviewed an average of 6.27 student files for initial evaluation at each LEA. As the USBE SES randomly selects the files for full monitoring visits, the likelihood of identifying noncompliance is higher with these LEAs than when the LEA selects their own files for an Indicator 11 monitoring visit. LEAs do not receive a full monitoring visit and a separate Indicator 11 visit in the same year.</w:t>
      </w:r>
    </w:p>
    <w:p w14:paraId="00FCD0E7" w14:textId="5068539E" w:rsidR="00596F83" w:rsidRPr="00781112" w:rsidRDefault="00596F83" w:rsidP="007D435F">
      <w:pPr>
        <w:rPr>
          <w:rFonts w:cs="Arial"/>
          <w:b/>
          <w:color w:val="000000" w:themeColor="text1"/>
          <w:szCs w:val="16"/>
        </w:rPr>
      </w:pPr>
      <w:r w:rsidRPr="00781112">
        <w:rPr>
          <w:rFonts w:cs="Arial"/>
          <w:b/>
          <w:color w:val="000000" w:themeColor="text1"/>
          <w:szCs w:val="16"/>
        </w:rPr>
        <w:t>Number of children included in (a) but not included in (b)</w:t>
      </w:r>
    </w:p>
    <w:p w14:paraId="500E5C8C" w14:textId="708E8E06" w:rsidR="00596F83" w:rsidRPr="00781112" w:rsidRDefault="00596F83" w:rsidP="007D435F">
      <w:pPr>
        <w:rPr>
          <w:rFonts w:cs="Arial"/>
          <w:color w:val="000000" w:themeColor="text1"/>
          <w:szCs w:val="16"/>
        </w:rPr>
      </w:pPr>
      <w:r w:rsidRPr="00781112">
        <w:rPr>
          <w:rFonts w:cs="Arial"/>
          <w:color w:val="000000" w:themeColor="text1"/>
          <w:szCs w:val="16"/>
        </w:rPr>
        <w:t>26</w:t>
      </w:r>
    </w:p>
    <w:p w14:paraId="59300647" w14:textId="301BC4BA" w:rsidR="00E418E6" w:rsidRPr="00781112" w:rsidRDefault="00481536" w:rsidP="006A01BD">
      <w:pPr>
        <w:rPr>
          <w:b/>
          <w:color w:val="000000" w:themeColor="text1"/>
        </w:rPr>
      </w:pPr>
      <w:proofErr w:type="gramStart"/>
      <w:r w:rsidRPr="00781112">
        <w:rPr>
          <w:b/>
          <w:color w:val="000000" w:themeColor="text1"/>
        </w:rPr>
        <w:t>Account</w:t>
      </w:r>
      <w:proofErr w:type="gramEnd"/>
      <w:r w:rsidRPr="00781112">
        <w:rPr>
          <w:b/>
          <w:color w:val="000000" w:themeColor="text1"/>
        </w:rPr>
        <w:t xml:space="preserve"> for children included in (a) but not included in (b). Indicate the range of days beyond the timeline when the evaluation was completed and any reasons for the delays.</w:t>
      </w:r>
    </w:p>
    <w:p w14:paraId="7FF7A4DA" w14:textId="602A3FE9" w:rsidR="00481536" w:rsidRPr="00781112" w:rsidRDefault="002B7490" w:rsidP="006A01BD">
      <w:pPr>
        <w:rPr>
          <w:color w:val="000000" w:themeColor="text1"/>
        </w:rPr>
      </w:pPr>
      <w:r w:rsidRPr="00781112">
        <w:rPr>
          <w:color w:val="000000" w:themeColor="text1"/>
        </w:rPr>
        <w:t xml:space="preserve">Twenty-six student files across 16 LEAs had initial evaluations completed beyond the State-established timeline of 45 school days without a compliant reason for delay as defined by Utah Special Education Rules (Rules) II.D.3. (e.g., repeated failure to produce the student, enrolling in the school after the timeframe has begun). The number of days beyond the timeline ranged from 29 to 529. Timelines were delayed due to LEAs incorrectly obtaining consent, failure to complete all assessments for which consent was received, failure to document when evaluations were completed, and COVID-19 barriers. Of the 26 files, 19 lacked </w:t>
      </w:r>
      <w:proofErr w:type="gramStart"/>
      <w:r w:rsidRPr="00781112">
        <w:rPr>
          <w:color w:val="000000" w:themeColor="text1"/>
        </w:rPr>
        <w:t>documentation</w:t>
      </w:r>
      <w:proofErr w:type="gramEnd"/>
      <w:r w:rsidRPr="00781112">
        <w:rPr>
          <w:color w:val="000000" w:themeColor="text1"/>
        </w:rPr>
        <w:t xml:space="preserve"> for the reason for delay, four had noncompliance identified with consents or evaluation, three listed COVID-19 as the reason for delay. The USBE reviewed 692 student records for initial evaluation across 95 LEAs. Of the 692 evaluations completed, six student files across five LEAs have initial evaluations completed after the 45-school-day period but had a compliant reason for delay documented in the file in accordance with Rules II.D.3. These six students were included in (a) and (b).</w:t>
      </w:r>
    </w:p>
    <w:p w14:paraId="4FE2B83B" w14:textId="50CDAD1F" w:rsidR="00596F83" w:rsidRPr="00781112" w:rsidRDefault="00596F83" w:rsidP="00596F83">
      <w:pPr>
        <w:rPr>
          <w:rFonts w:cs="Arial"/>
          <w:b/>
          <w:color w:val="000000" w:themeColor="text1"/>
          <w:szCs w:val="16"/>
        </w:rPr>
      </w:pPr>
      <w:r w:rsidRPr="00781112">
        <w:rPr>
          <w:rFonts w:cs="Arial"/>
          <w:b/>
          <w:color w:val="000000" w:themeColor="text1"/>
          <w:szCs w:val="16"/>
        </w:rPr>
        <w:t>Indicate the evaluation timeline used:</w:t>
      </w:r>
    </w:p>
    <w:p w14:paraId="7D77618A" w14:textId="3A3B87A2" w:rsidR="00596F83" w:rsidRPr="00781112" w:rsidRDefault="00596F83" w:rsidP="004369B2">
      <w:pPr>
        <w:rPr>
          <w:rFonts w:cs="Arial"/>
          <w:color w:val="000000" w:themeColor="text1"/>
          <w:szCs w:val="16"/>
        </w:rPr>
      </w:pPr>
      <w:r w:rsidRPr="00781112">
        <w:rPr>
          <w:rFonts w:cs="Arial"/>
          <w:color w:val="000000" w:themeColor="text1"/>
          <w:szCs w:val="16"/>
        </w:rPr>
        <w:t>The State established a timeline within which the evaluation must be conducted</w:t>
      </w:r>
    </w:p>
    <w:p w14:paraId="7D54DFB3" w14:textId="4948BCA9" w:rsidR="00E418E6" w:rsidRPr="00781112" w:rsidRDefault="00481536" w:rsidP="001011BB">
      <w:pPr>
        <w:tabs>
          <w:tab w:val="left" w:pos="751"/>
        </w:tabs>
        <w:rPr>
          <w:rFonts w:cs="Arial"/>
          <w:b/>
          <w:color w:val="000000" w:themeColor="text1"/>
          <w:szCs w:val="16"/>
        </w:rPr>
      </w:pPr>
      <w:r w:rsidRPr="00781112">
        <w:rPr>
          <w:rFonts w:cs="Arial"/>
          <w:b/>
          <w:color w:val="000000" w:themeColor="text1"/>
          <w:szCs w:val="16"/>
        </w:rPr>
        <w:t>What is the State’s timeline for initial evaluations? If the State-established timeframe provides for exceptions through State regulation or policy, describe cases falling within those exceptions and include in (b).</w:t>
      </w:r>
    </w:p>
    <w:p w14:paraId="396060FF" w14:textId="37C040FE" w:rsidR="00481536" w:rsidRPr="00781112" w:rsidRDefault="002B7490" w:rsidP="001011BB">
      <w:pPr>
        <w:tabs>
          <w:tab w:val="left" w:pos="751"/>
        </w:tabs>
        <w:rPr>
          <w:rFonts w:cs="Arial"/>
          <w:color w:val="000000" w:themeColor="text1"/>
          <w:szCs w:val="16"/>
        </w:rPr>
      </w:pPr>
      <w:r w:rsidRPr="00781112">
        <w:rPr>
          <w:rFonts w:cs="Arial"/>
          <w:color w:val="000000" w:themeColor="text1"/>
          <w:szCs w:val="16"/>
        </w:rPr>
        <w:t>Rules II.D. states the initial evaluation must be conducted within 45 school days of receiving parental or adult student consent for the evaluation.</w:t>
      </w:r>
    </w:p>
    <w:p w14:paraId="7B602C87" w14:textId="77777777" w:rsidR="00596F83" w:rsidRPr="00781112" w:rsidRDefault="00030B45">
      <w:pPr>
        <w:rPr>
          <w:b/>
          <w:color w:val="000000" w:themeColor="text1"/>
        </w:rPr>
      </w:pPr>
      <w:r w:rsidRPr="00781112">
        <w:rPr>
          <w:b/>
          <w:color w:val="000000" w:themeColor="text1"/>
        </w:rPr>
        <w:t xml:space="preserve">What is the source of the data provided for this indicator? </w:t>
      </w:r>
    </w:p>
    <w:p w14:paraId="6EC5182D" w14:textId="7DE4D103" w:rsidR="00030B45" w:rsidRPr="00781112" w:rsidRDefault="002B7490" w:rsidP="004369B2">
      <w:pPr>
        <w:rPr>
          <w:iCs/>
          <w:color w:val="000000" w:themeColor="text1"/>
        </w:rPr>
      </w:pPr>
      <w:r w:rsidRPr="00781112">
        <w:rPr>
          <w:iCs/>
          <w:color w:val="000000" w:themeColor="text1"/>
        </w:rPr>
        <w:t>State monitoring</w:t>
      </w:r>
    </w:p>
    <w:p w14:paraId="5C41E868" w14:textId="77777777" w:rsidR="00030B45" w:rsidRPr="00781112" w:rsidRDefault="00030B45" w:rsidP="004369B2">
      <w:pPr>
        <w:rPr>
          <w:b/>
          <w:color w:val="000000" w:themeColor="text1"/>
        </w:rPr>
      </w:pPr>
      <w:r w:rsidRPr="00781112">
        <w:rPr>
          <w:b/>
          <w:color w:val="000000" w:themeColor="text1"/>
        </w:rPr>
        <w:t xml:space="preserve">Describe the method used to collect these data, and if data are from the State’s monitoring, describe the procedures used to collect these data. </w:t>
      </w:r>
    </w:p>
    <w:p w14:paraId="41D2EA17" w14:textId="243E2564" w:rsidR="00326C0B" w:rsidRPr="00781112" w:rsidRDefault="002B7490" w:rsidP="00030B45">
      <w:pPr>
        <w:rPr>
          <w:rFonts w:cs="Arial"/>
          <w:color w:val="000000" w:themeColor="text1"/>
          <w:szCs w:val="16"/>
        </w:rPr>
      </w:pPr>
      <w:r w:rsidRPr="00781112">
        <w:rPr>
          <w:rFonts w:cs="Arial"/>
          <w:color w:val="000000" w:themeColor="text1"/>
          <w:szCs w:val="16"/>
        </w:rPr>
        <w:t xml:space="preserve">Data for Indicator 11 was collected through full monitoring visits and Indicator 11 monitoring visits focused on reviewing files for initial evaluation compliance. All data is entered in the Utah Program Improvement Planning System (UPIPS) online program. </w:t>
      </w:r>
      <w:r w:rsidRPr="00781112">
        <w:rPr>
          <w:rFonts w:cs="Arial"/>
          <w:color w:val="000000" w:themeColor="text1"/>
          <w:szCs w:val="16"/>
        </w:rPr>
        <w:br/>
      </w:r>
      <w:r w:rsidRPr="00781112">
        <w:rPr>
          <w:rFonts w:cs="Arial"/>
          <w:color w:val="000000" w:themeColor="text1"/>
          <w:szCs w:val="16"/>
        </w:rPr>
        <w:br/>
        <w:t>All LEAs will receive a full monitoring visit at least once every six years. LEAs selected for full monitoring visits will be prioritized based on a variety of concerns related to general supervision systems (e.g., concerns with 1%, dispute resolution, Indicator 11 and 13 monitoring, hotline complaints, fiscal, etc.). Full monitoring visits occur onsite at the LEA and include a review of entire student special education records. Files are selected by the USBE SES. The number of files selected for a full monitoring review is based on a statistical ratio of the LEA's special education population and may include a small number of postsecondary transition plans. The total number of files reviewed during full monitoring visits varies based on the size of the LEAs reviewed each year. During the visit, the LEA is encouraged to invite staff to participate in and receive TA during the review process and all Indicator 11 data that comes from a full monitoring visit is included in the SPP/APR.</w:t>
      </w:r>
      <w:r w:rsidRPr="00781112">
        <w:rPr>
          <w:rFonts w:cs="Arial"/>
          <w:color w:val="000000" w:themeColor="text1"/>
          <w:szCs w:val="16"/>
        </w:rPr>
        <w:br/>
      </w:r>
      <w:r w:rsidRPr="00781112">
        <w:rPr>
          <w:rFonts w:cs="Arial"/>
          <w:color w:val="000000" w:themeColor="text1"/>
          <w:szCs w:val="16"/>
        </w:rPr>
        <w:br/>
        <w:t xml:space="preserve">Most of the Indicator 11 data is collected during Indicator 11 monitoring visits. All LEAs are divided into two rotating cohorts for receiving an Indicator 11 file review biennially. The four largest LEAs in the state are included in both cohorts and receive an Indicator 11 file monitoring visit annually. LEAs were stratified by student enrollment, geographical region of the state, race/ethnicity demographics, and socioeconomic level. LEAs across the stratified categories were then randomly assigned to one of the two cohorts. The USBE statistician helps compile the cohort list of LEAs to ensure that each of the two cohorts includes large, medium, and small LEAs. The rotation for the Indicator 11 review is on an alternating schedule with the Indicator 8 parent survey. In even/odd years, the first cohort receives the Indicator 8 parent survey, the second cohort receives an Indicator 11 monitoring visit. In odd/even years, the first cohort receives an Indicator 11 monitoring visit, the second cohort receives the Indicator 8 parent survey. If an LEA is selected for a full monitoring visit the same year </w:t>
      </w:r>
      <w:proofErr w:type="gramStart"/>
      <w:r w:rsidRPr="00781112">
        <w:rPr>
          <w:rFonts w:cs="Arial"/>
          <w:color w:val="000000" w:themeColor="text1"/>
          <w:szCs w:val="16"/>
        </w:rPr>
        <w:t>it's</w:t>
      </w:r>
      <w:proofErr w:type="gramEnd"/>
      <w:r w:rsidRPr="00781112">
        <w:rPr>
          <w:rFonts w:cs="Arial"/>
          <w:color w:val="000000" w:themeColor="text1"/>
          <w:szCs w:val="16"/>
        </w:rPr>
        <w:t xml:space="preserve"> cohort is selected for an Indicator 11 monitoring visit, Indicator 11 will be collected during the full monitoring visit. The LEA will not receive a separate Indicator 11 monitoring visit. During an indicator monitoring review, the USBE SES reviews up to 10 initial evaluation </w:t>
      </w:r>
      <w:r w:rsidRPr="00781112">
        <w:rPr>
          <w:rFonts w:cs="Arial"/>
          <w:color w:val="000000" w:themeColor="text1"/>
          <w:szCs w:val="16"/>
        </w:rPr>
        <w:lastRenderedPageBreak/>
        <w:t>timelines for all LEAs regardless of the size of the LEA. The LEA selects which files are reviewed by USBE. Indicator file reviews are conducted virtually, and the LEA usually will share their screen while a USBE reviewer collects the data for Indicator 11.</w:t>
      </w:r>
    </w:p>
    <w:p w14:paraId="4F981BFF" w14:textId="77777777" w:rsidR="00C86164" w:rsidRPr="00781112" w:rsidRDefault="00C86164" w:rsidP="00C86164">
      <w:pPr>
        <w:rPr>
          <w:rFonts w:cs="Arial"/>
          <w:b/>
          <w:color w:val="000000" w:themeColor="text1"/>
          <w:szCs w:val="16"/>
        </w:rPr>
      </w:pPr>
      <w:bookmarkStart w:id="73" w:name="_Toc381956339"/>
      <w:bookmarkStart w:id="74" w:name="_Toc384383357"/>
      <w:bookmarkStart w:id="75" w:name="_Toc392159325"/>
      <w:r w:rsidRPr="00781112">
        <w:rPr>
          <w:rFonts w:cs="Arial"/>
          <w:b/>
          <w:color w:val="000000" w:themeColor="text1"/>
          <w:szCs w:val="16"/>
        </w:rPr>
        <w:t>Provide additional information about this indicator (optional)</w:t>
      </w:r>
    </w:p>
    <w:p w14:paraId="4D7330D9" w14:textId="5E39C58C" w:rsidR="00326C0B" w:rsidRPr="00781112" w:rsidRDefault="002B7490" w:rsidP="007D435F">
      <w:pPr>
        <w:rPr>
          <w:rFonts w:cs="Arial"/>
          <w:color w:val="000000" w:themeColor="text1"/>
          <w:szCs w:val="16"/>
        </w:rPr>
      </w:pPr>
      <w:r w:rsidRPr="00781112">
        <w:rPr>
          <w:rFonts w:cs="Arial"/>
          <w:color w:val="000000" w:themeColor="text1"/>
          <w:szCs w:val="16"/>
        </w:rPr>
        <w:t>Prior to FFY 2022, the USBE SES determined that LEAs who corrected individual cases of noncompliance within a State-established correction window were also demonstrating the correct implementation of regulatory requirements. LEAs were issued findings of noncompliance when they did not correct the individual noncompliance within the State-established correction window.</w:t>
      </w:r>
      <w:r w:rsidRPr="00781112">
        <w:rPr>
          <w:rFonts w:cs="Arial"/>
          <w:color w:val="000000" w:themeColor="text1"/>
          <w:szCs w:val="16"/>
        </w:rPr>
        <w:br/>
      </w:r>
      <w:r w:rsidRPr="00781112">
        <w:rPr>
          <w:rFonts w:cs="Arial"/>
          <w:color w:val="000000" w:themeColor="text1"/>
          <w:szCs w:val="16"/>
        </w:rPr>
        <w:br/>
        <w:t>All individual noncompliance was corrected by showing an additional student file with consent and evaluations to ensure the evaluations were completed within the State-established 45-school day timeline. For LEAs who were issued findings of noncompliance, additional files were also provided by the LEA and verified by the USBE SES as compliant to demonstrate the correct implementation of the regulatory requirements. All noncompliance from FFY 2020 and prior were corrected using this process and were verified within 10 months from the date noncompliance was identified.</w:t>
      </w:r>
      <w:r w:rsidRPr="00781112">
        <w:rPr>
          <w:rFonts w:cs="Arial"/>
          <w:color w:val="000000" w:themeColor="text1"/>
          <w:szCs w:val="16"/>
        </w:rPr>
        <w:br/>
      </w:r>
      <w:r w:rsidRPr="00781112">
        <w:rPr>
          <w:rFonts w:cs="Arial"/>
          <w:color w:val="000000" w:themeColor="text1"/>
          <w:szCs w:val="16"/>
        </w:rPr>
        <w:br/>
        <w:t>The USBE SES has reviewed and revised statewide procedures for correcting noncompliance for everything below 100% as follows:</w:t>
      </w:r>
      <w:r w:rsidRPr="00781112">
        <w:rPr>
          <w:rFonts w:cs="Arial"/>
          <w:color w:val="000000" w:themeColor="text1"/>
          <w:szCs w:val="16"/>
        </w:rPr>
        <w:br/>
      </w:r>
      <w:r w:rsidRPr="00781112">
        <w:rPr>
          <w:rFonts w:cs="Arial"/>
          <w:color w:val="000000" w:themeColor="text1"/>
          <w:szCs w:val="16"/>
        </w:rPr>
        <w:br/>
        <w:t>PRONG 1: CORRECTING EACH INDIVIDUAL CASE OF STUDENT-SPECIFIC NONCOMPLIANCE</w:t>
      </w:r>
      <w:r w:rsidRPr="00781112">
        <w:rPr>
          <w:rFonts w:cs="Arial"/>
          <w:color w:val="000000" w:themeColor="text1"/>
          <w:szCs w:val="16"/>
        </w:rPr>
        <w:br/>
        <w:t xml:space="preserve">To correct noncompliance concerning student-specific requirements, the LEA must submit documentation that the LEA has corrected each individual case of noncompliance, unless the student’s special education file is no longer within the jurisdiction of the LEA. The LEA documents the required evidence by indicating correction and providing it to a UPIPS team member for review in-person, or by uploading the evidence to the UPIPS program. </w:t>
      </w:r>
      <w:r w:rsidRPr="00781112">
        <w:rPr>
          <w:rFonts w:cs="Arial"/>
          <w:color w:val="000000" w:themeColor="text1"/>
          <w:szCs w:val="16"/>
        </w:rPr>
        <w:br/>
      </w:r>
      <w:r w:rsidRPr="00781112">
        <w:rPr>
          <w:rFonts w:cs="Arial"/>
          <w:color w:val="000000" w:themeColor="text1"/>
          <w:szCs w:val="16"/>
        </w:rPr>
        <w:br/>
        <w:t>PRONG 2: CORRECTLY IMPLEMENTING THE SPECIFIC REGULATORY REQUIREMENTS</w:t>
      </w:r>
      <w:r w:rsidRPr="00781112">
        <w:rPr>
          <w:rFonts w:cs="Arial"/>
          <w:color w:val="000000" w:themeColor="text1"/>
          <w:szCs w:val="16"/>
        </w:rPr>
        <w:br/>
        <w:t>In conjunction with Prong 1 corrections, the LEA will be required to provide additional student special education files for review. The LEA may also be required to show evidence of training, collaboration, and/or other competency-based learning activities. The LEA documents the required evidence by indicating correction and providing it to a UPIPS team member for review in-person, or by uploading the evidence to the UPIPS program.</w:t>
      </w:r>
    </w:p>
    <w:p w14:paraId="53B75C36" w14:textId="77777777" w:rsidR="00DE2E22" w:rsidRPr="00781112" w:rsidRDefault="00DE2E22" w:rsidP="004369B2">
      <w:pPr>
        <w:rPr>
          <w:color w:val="000000" w:themeColor="text1"/>
        </w:rPr>
      </w:pPr>
    </w:p>
    <w:p w14:paraId="3221D503" w14:textId="70165581" w:rsidR="009A755E" w:rsidRPr="00781112" w:rsidRDefault="00450F98" w:rsidP="004369B2">
      <w:pPr>
        <w:rPr>
          <w:color w:val="000000" w:themeColor="text1"/>
        </w:rPr>
      </w:pPr>
      <w:r>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B11PFFYNCFINDINGS"/>
      </w:tblPr>
      <w:tblGrid>
        <w:gridCol w:w="2650"/>
        <w:gridCol w:w="2780"/>
        <w:gridCol w:w="2656"/>
        <w:gridCol w:w="2704"/>
      </w:tblGrid>
      <w:tr w:rsidR="005C29F8" w:rsidRPr="00781112" w14:paraId="19F31341" w14:textId="77777777" w:rsidTr="008227D4">
        <w:trPr>
          <w:trHeight w:val="389"/>
          <w:tblHeader/>
        </w:trPr>
        <w:tc>
          <w:tcPr>
            <w:tcW w:w="1228" w:type="pct"/>
            <w:shd w:val="clear" w:color="auto" w:fill="auto"/>
            <w:vAlign w:val="bottom"/>
          </w:tcPr>
          <w:p w14:paraId="56F59E58"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Identified</w:t>
            </w:r>
          </w:p>
        </w:tc>
        <w:tc>
          <w:tcPr>
            <w:tcW w:w="1288" w:type="pct"/>
            <w:shd w:val="clear" w:color="auto" w:fill="auto"/>
            <w:vAlign w:val="bottom"/>
          </w:tcPr>
          <w:p w14:paraId="27C87009"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31" w:type="pct"/>
            <w:shd w:val="clear" w:color="auto" w:fill="auto"/>
            <w:vAlign w:val="bottom"/>
          </w:tcPr>
          <w:p w14:paraId="4F7EC97C"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254" w:type="pct"/>
            <w:shd w:val="clear" w:color="auto" w:fill="auto"/>
            <w:vAlign w:val="bottom"/>
          </w:tcPr>
          <w:p w14:paraId="4E046713"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4A7D6F00" w14:textId="77777777" w:rsidTr="008227D4">
        <w:tc>
          <w:tcPr>
            <w:tcW w:w="1228" w:type="pct"/>
            <w:shd w:val="clear" w:color="auto" w:fill="auto"/>
          </w:tcPr>
          <w:p w14:paraId="1D3665CE" w14:textId="31AA2004" w:rsidR="009A755E" w:rsidRPr="00781112" w:rsidRDefault="002B7490" w:rsidP="00A018D4">
            <w:pPr>
              <w:jc w:val="center"/>
              <w:rPr>
                <w:rFonts w:cs="Arial"/>
                <w:color w:val="000000" w:themeColor="text1"/>
                <w:szCs w:val="16"/>
              </w:rPr>
            </w:pPr>
            <w:r w:rsidRPr="00781112">
              <w:rPr>
                <w:rFonts w:cs="Arial"/>
                <w:color w:val="000000" w:themeColor="text1"/>
                <w:szCs w:val="16"/>
              </w:rPr>
              <w:t>1</w:t>
            </w:r>
          </w:p>
        </w:tc>
        <w:tc>
          <w:tcPr>
            <w:tcW w:w="1288" w:type="pct"/>
            <w:shd w:val="clear" w:color="auto" w:fill="auto"/>
          </w:tcPr>
          <w:p w14:paraId="4AEC445C" w14:textId="6396B491" w:rsidR="009A755E" w:rsidRPr="00781112" w:rsidRDefault="002B7490" w:rsidP="00A018D4">
            <w:pPr>
              <w:jc w:val="center"/>
              <w:rPr>
                <w:rFonts w:cs="Arial"/>
                <w:color w:val="000000" w:themeColor="text1"/>
                <w:szCs w:val="16"/>
              </w:rPr>
            </w:pPr>
            <w:r w:rsidRPr="00781112">
              <w:rPr>
                <w:rFonts w:cs="Arial"/>
                <w:color w:val="000000" w:themeColor="text1"/>
                <w:szCs w:val="16"/>
              </w:rPr>
              <w:t>1</w:t>
            </w:r>
          </w:p>
        </w:tc>
        <w:tc>
          <w:tcPr>
            <w:tcW w:w="1231" w:type="pct"/>
            <w:shd w:val="clear" w:color="auto" w:fill="auto"/>
          </w:tcPr>
          <w:p w14:paraId="650763EC" w14:textId="5B71F402"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54" w:type="pct"/>
            <w:shd w:val="clear" w:color="auto" w:fill="auto"/>
          </w:tcPr>
          <w:p w14:paraId="67914127" w14:textId="0865F5F8"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r>
    </w:tbl>
    <w:p w14:paraId="49183A2D" w14:textId="23DB1EFD" w:rsidR="009A755E" w:rsidRPr="00781112" w:rsidRDefault="00450F98" w:rsidP="004369B2">
      <w:pPr>
        <w:rPr>
          <w:color w:val="000000" w:themeColor="text1"/>
        </w:rPr>
      </w:pPr>
      <w:r>
        <w:rPr>
          <w:b/>
          <w:color w:val="000000" w:themeColor="text1"/>
        </w:rPr>
        <w:t>FFY 2020 Findings of Noncompliance Verified as Corrected</w:t>
      </w:r>
    </w:p>
    <w:p w14:paraId="417CAEC2" w14:textId="31AFF485"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the source of noncompliance is correctly implementing the </w:t>
      </w:r>
      <w:r w:rsidRPr="00781112">
        <w:rPr>
          <w:rFonts w:cs="Arial"/>
          <w:b/>
          <w:i/>
          <w:color w:val="000000" w:themeColor="text1"/>
          <w:szCs w:val="16"/>
        </w:rPr>
        <w:t>regulatory requirements</w:t>
      </w:r>
    </w:p>
    <w:p w14:paraId="61965D8E" w14:textId="42E8D356" w:rsidR="00326C0B" w:rsidRPr="00781112" w:rsidRDefault="002B7490" w:rsidP="009A755E">
      <w:pPr>
        <w:rPr>
          <w:rFonts w:cs="Arial"/>
          <w:color w:val="000000" w:themeColor="text1"/>
          <w:szCs w:val="16"/>
        </w:rPr>
      </w:pPr>
      <w:r w:rsidRPr="00781112">
        <w:rPr>
          <w:rFonts w:cs="Arial"/>
          <w:color w:val="000000" w:themeColor="text1"/>
          <w:szCs w:val="16"/>
        </w:rPr>
        <w:t>All LEAs with a level of compliance below 100% on any of the areas outlined in the APR Measurement Table for Indicator 11 at the time of the review were required to show an understanding of the 45-school-day timeline by producing a file from the same case manager for an additional student that was completed within the timeline. For FFY 2020, LEAs were allowed 85 calendar days to correct noncompliance before being issued a written finding of noncompliance. One LEA did not correct noncompliance within the 85 calendar days and was issued a written finding of noncompliance. The LEA corrected the noncompliance for the individual student and demonstrated correct implementation of regulatory requirements by showing two additional student files where evaluations were completed within 45 school days of receiving parent consent for evaluation.</w:t>
      </w:r>
    </w:p>
    <w:p w14:paraId="51512AE8" w14:textId="46445215"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each </w:t>
      </w:r>
      <w:r w:rsidRPr="00781112">
        <w:rPr>
          <w:rFonts w:cs="Arial"/>
          <w:b/>
          <w:i/>
          <w:color w:val="000000" w:themeColor="text1"/>
          <w:szCs w:val="16"/>
        </w:rPr>
        <w:t>individual case</w:t>
      </w:r>
      <w:r w:rsidRPr="00781112">
        <w:rPr>
          <w:rFonts w:cs="Arial"/>
          <w:b/>
          <w:color w:val="000000" w:themeColor="text1"/>
          <w:szCs w:val="16"/>
        </w:rPr>
        <w:t xml:space="preserve"> of noncompliance was corrected</w:t>
      </w:r>
    </w:p>
    <w:p w14:paraId="1D2403D9" w14:textId="1E0996F1" w:rsidR="00326C0B" w:rsidRPr="00781112" w:rsidRDefault="002B7490" w:rsidP="009A755E">
      <w:pPr>
        <w:rPr>
          <w:rFonts w:cs="Arial"/>
          <w:color w:val="000000" w:themeColor="text1"/>
          <w:szCs w:val="16"/>
        </w:rPr>
      </w:pPr>
      <w:r w:rsidRPr="00781112">
        <w:rPr>
          <w:rFonts w:cs="Arial"/>
          <w:color w:val="000000" w:themeColor="text1"/>
          <w:szCs w:val="16"/>
        </w:rPr>
        <w:t>The USBE SES verified the one individual case of noncompliance was corrected by ensuring the student evaluation was completed, even though it was outside the timeline and through reviewing additional student files from the same case manager that were completed within the 45-school-day timeline. Through the submission of additional files that were completed within the 45-school-day timeline, the USBE SES was able to verify that subsequent records were 100% compliant and the LEA was correctly implementing regulatory requirements.</w:t>
      </w:r>
    </w:p>
    <w:p w14:paraId="47B6C111" w14:textId="77777777" w:rsidR="008227D4" w:rsidRPr="00781112" w:rsidRDefault="008227D4" w:rsidP="004369B2">
      <w:pPr>
        <w:rPr>
          <w:color w:val="000000" w:themeColor="text1"/>
        </w:rPr>
      </w:pPr>
    </w:p>
    <w:p w14:paraId="3D219E0E" w14:textId="05757C22" w:rsidR="009A755E" w:rsidRPr="00781112" w:rsidRDefault="00450F98" w:rsidP="004369B2">
      <w:pPr>
        <w:rPr>
          <w:color w:val="000000" w:themeColor="text1"/>
        </w:rPr>
      </w:pPr>
      <w:r>
        <w:rPr>
          <w:b/>
          <w:color w:val="000000" w:themeColor="text1"/>
        </w:rPr>
        <w:t>Correction of Findings of Noncompliance Identified Prior to FFY 2020</w:t>
      </w:r>
    </w:p>
    <w:tbl>
      <w:tblPr>
        <w:tblStyle w:val="TableGrid"/>
        <w:tblW w:w="5000" w:type="pct"/>
        <w:tblLook w:val="04A0" w:firstRow="1" w:lastRow="0" w:firstColumn="1" w:lastColumn="0" w:noHBand="0" w:noVBand="1"/>
        <w:tblCaption w:val="B11PPFFYNCFINDINGS"/>
      </w:tblPr>
      <w:tblGrid>
        <w:gridCol w:w="2132"/>
        <w:gridCol w:w="3153"/>
        <w:gridCol w:w="2842"/>
        <w:gridCol w:w="2663"/>
      </w:tblGrid>
      <w:tr w:rsidR="005C29F8" w:rsidRPr="00781112" w14:paraId="24C0CC8B" w14:textId="77777777" w:rsidTr="003968A6">
        <w:trPr>
          <w:tblHeader/>
        </w:trPr>
        <w:tc>
          <w:tcPr>
            <w:tcW w:w="988" w:type="pct"/>
            <w:shd w:val="clear" w:color="auto" w:fill="auto"/>
            <w:vAlign w:val="bottom"/>
          </w:tcPr>
          <w:p w14:paraId="4DB94990" w14:textId="41E221B0" w:rsidR="009A755E" w:rsidRPr="00781112" w:rsidRDefault="003A4027" w:rsidP="009A755E">
            <w:pPr>
              <w:jc w:val="center"/>
              <w:rPr>
                <w:rFonts w:cs="Arial"/>
                <w:b/>
                <w:color w:val="000000" w:themeColor="text1"/>
                <w:szCs w:val="16"/>
              </w:rPr>
            </w:pPr>
            <w:r w:rsidRPr="00781112">
              <w:rPr>
                <w:rFonts w:cs="Arial"/>
                <w:b/>
                <w:color w:val="000000" w:themeColor="text1"/>
                <w:szCs w:val="16"/>
              </w:rPr>
              <w:t>Year Findings of Noncompliance Were Identified</w:t>
            </w:r>
          </w:p>
        </w:tc>
        <w:tc>
          <w:tcPr>
            <w:tcW w:w="1461" w:type="pct"/>
            <w:shd w:val="clear" w:color="auto" w:fill="auto"/>
            <w:vAlign w:val="bottom"/>
          </w:tcPr>
          <w:p w14:paraId="58480848" w14:textId="0727D6EF" w:rsidR="009A755E" w:rsidRPr="00781112" w:rsidRDefault="00450F98" w:rsidP="009A755E">
            <w:pPr>
              <w:jc w:val="center"/>
              <w:rPr>
                <w:rFonts w:cs="Arial"/>
                <w:b/>
                <w:color w:val="000000" w:themeColor="text1"/>
                <w:szCs w:val="16"/>
              </w:rPr>
            </w:pPr>
            <w:r>
              <w:rPr>
                <w:rFonts w:cs="Arial"/>
                <w:b/>
                <w:color w:val="000000" w:themeColor="text1"/>
                <w:szCs w:val="16"/>
              </w:rPr>
              <w:t>Findings of Noncompliance Not Yet Verified as Corrected as of FFY 2020 APR</w:t>
            </w:r>
          </w:p>
        </w:tc>
        <w:tc>
          <w:tcPr>
            <w:tcW w:w="1317" w:type="pct"/>
            <w:shd w:val="clear" w:color="auto" w:fill="auto"/>
            <w:vAlign w:val="bottom"/>
          </w:tcPr>
          <w:p w14:paraId="5E728C5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234" w:type="pct"/>
            <w:shd w:val="clear" w:color="auto" w:fill="auto"/>
            <w:vAlign w:val="bottom"/>
          </w:tcPr>
          <w:p w14:paraId="6B7FE6A9"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4D9969AD" w14:textId="77777777" w:rsidTr="003968A6">
        <w:tc>
          <w:tcPr>
            <w:tcW w:w="988" w:type="pct"/>
            <w:shd w:val="clear" w:color="auto" w:fill="auto"/>
          </w:tcPr>
          <w:p w14:paraId="1373C0BF" w14:textId="5ED00762" w:rsidR="009A755E" w:rsidRPr="00781112" w:rsidRDefault="009A755E" w:rsidP="00A018D4">
            <w:pPr>
              <w:jc w:val="center"/>
              <w:rPr>
                <w:rFonts w:cs="Arial"/>
                <w:color w:val="000000" w:themeColor="text1"/>
                <w:szCs w:val="16"/>
              </w:rPr>
            </w:pPr>
          </w:p>
        </w:tc>
        <w:tc>
          <w:tcPr>
            <w:tcW w:w="1461" w:type="pct"/>
            <w:shd w:val="clear" w:color="auto" w:fill="auto"/>
          </w:tcPr>
          <w:p w14:paraId="5AB62777" w14:textId="29B5602C" w:rsidR="009A755E" w:rsidRPr="00781112" w:rsidRDefault="009A755E">
            <w:pPr>
              <w:jc w:val="center"/>
              <w:rPr>
                <w:rFonts w:cs="Arial"/>
                <w:noProof/>
                <w:color w:val="000000" w:themeColor="text1"/>
                <w:szCs w:val="16"/>
              </w:rPr>
            </w:pPr>
          </w:p>
        </w:tc>
        <w:tc>
          <w:tcPr>
            <w:tcW w:w="1317" w:type="pct"/>
            <w:shd w:val="clear" w:color="auto" w:fill="auto"/>
          </w:tcPr>
          <w:p w14:paraId="1914F665" w14:textId="53788CBE" w:rsidR="009A755E" w:rsidRPr="00781112" w:rsidRDefault="009A755E">
            <w:pPr>
              <w:jc w:val="center"/>
              <w:rPr>
                <w:rFonts w:cs="Arial"/>
                <w:noProof/>
                <w:color w:val="000000" w:themeColor="text1"/>
                <w:szCs w:val="16"/>
              </w:rPr>
            </w:pPr>
          </w:p>
        </w:tc>
        <w:tc>
          <w:tcPr>
            <w:tcW w:w="1234" w:type="pct"/>
            <w:shd w:val="clear" w:color="auto" w:fill="auto"/>
          </w:tcPr>
          <w:p w14:paraId="543D4553" w14:textId="411E0F5D" w:rsidR="009A755E" w:rsidRPr="00781112" w:rsidRDefault="009A755E">
            <w:pPr>
              <w:jc w:val="center"/>
              <w:rPr>
                <w:rFonts w:cs="Arial"/>
                <w:noProof/>
                <w:color w:val="000000" w:themeColor="text1"/>
                <w:szCs w:val="16"/>
              </w:rPr>
            </w:pPr>
          </w:p>
        </w:tc>
      </w:tr>
      <w:tr w:rsidR="005C29F8" w:rsidRPr="00781112" w14:paraId="1816F3D1" w14:textId="77777777" w:rsidTr="003968A6">
        <w:tc>
          <w:tcPr>
            <w:tcW w:w="988" w:type="pct"/>
            <w:shd w:val="clear" w:color="auto" w:fill="auto"/>
          </w:tcPr>
          <w:p w14:paraId="1177FA9A" w14:textId="73A2A90B" w:rsidR="009A755E" w:rsidRPr="00781112" w:rsidRDefault="009A755E" w:rsidP="00A018D4">
            <w:pPr>
              <w:jc w:val="center"/>
              <w:rPr>
                <w:rFonts w:cs="Arial"/>
                <w:color w:val="000000" w:themeColor="text1"/>
                <w:szCs w:val="16"/>
              </w:rPr>
            </w:pPr>
          </w:p>
        </w:tc>
        <w:tc>
          <w:tcPr>
            <w:tcW w:w="1461" w:type="pct"/>
            <w:shd w:val="clear" w:color="auto" w:fill="auto"/>
          </w:tcPr>
          <w:p w14:paraId="42D596E0" w14:textId="4BE898FD" w:rsidR="009A755E" w:rsidRPr="00781112" w:rsidRDefault="009A755E">
            <w:pPr>
              <w:jc w:val="center"/>
              <w:rPr>
                <w:rFonts w:cs="Arial"/>
                <w:noProof/>
                <w:color w:val="000000" w:themeColor="text1"/>
                <w:szCs w:val="16"/>
              </w:rPr>
            </w:pPr>
          </w:p>
        </w:tc>
        <w:tc>
          <w:tcPr>
            <w:tcW w:w="1317" w:type="pct"/>
            <w:shd w:val="clear" w:color="auto" w:fill="auto"/>
          </w:tcPr>
          <w:p w14:paraId="1709DA4E" w14:textId="03D6E40F" w:rsidR="009A755E" w:rsidRPr="00781112" w:rsidRDefault="009A755E">
            <w:pPr>
              <w:jc w:val="center"/>
              <w:rPr>
                <w:rFonts w:cs="Arial"/>
                <w:noProof/>
                <w:color w:val="000000" w:themeColor="text1"/>
                <w:szCs w:val="16"/>
              </w:rPr>
            </w:pPr>
          </w:p>
        </w:tc>
        <w:tc>
          <w:tcPr>
            <w:tcW w:w="1234" w:type="pct"/>
            <w:shd w:val="clear" w:color="auto" w:fill="auto"/>
          </w:tcPr>
          <w:p w14:paraId="7008AE63" w14:textId="0E87CC18" w:rsidR="009A755E" w:rsidRPr="00781112" w:rsidRDefault="009A755E">
            <w:pPr>
              <w:jc w:val="center"/>
              <w:rPr>
                <w:rFonts w:cs="Arial"/>
                <w:noProof/>
                <w:color w:val="000000" w:themeColor="text1"/>
                <w:szCs w:val="16"/>
              </w:rPr>
            </w:pPr>
          </w:p>
        </w:tc>
      </w:tr>
      <w:tr w:rsidR="005C29F8" w:rsidRPr="00781112" w14:paraId="6B4A8AF5" w14:textId="77777777" w:rsidTr="003968A6">
        <w:tc>
          <w:tcPr>
            <w:tcW w:w="988" w:type="pct"/>
            <w:shd w:val="clear" w:color="auto" w:fill="auto"/>
          </w:tcPr>
          <w:p w14:paraId="43946979" w14:textId="506054A6" w:rsidR="009A755E" w:rsidRPr="00781112" w:rsidRDefault="009A755E" w:rsidP="00A018D4">
            <w:pPr>
              <w:jc w:val="center"/>
              <w:rPr>
                <w:rFonts w:cs="Arial"/>
                <w:color w:val="000000" w:themeColor="text1"/>
                <w:szCs w:val="16"/>
              </w:rPr>
            </w:pPr>
          </w:p>
        </w:tc>
        <w:tc>
          <w:tcPr>
            <w:tcW w:w="1461" w:type="pct"/>
            <w:shd w:val="clear" w:color="auto" w:fill="auto"/>
          </w:tcPr>
          <w:p w14:paraId="2F9F2AEA" w14:textId="4F1403DB" w:rsidR="009A755E" w:rsidRPr="00781112" w:rsidRDefault="009A755E">
            <w:pPr>
              <w:jc w:val="center"/>
              <w:rPr>
                <w:rFonts w:cs="Arial"/>
                <w:noProof/>
                <w:color w:val="000000" w:themeColor="text1"/>
                <w:szCs w:val="16"/>
              </w:rPr>
            </w:pPr>
          </w:p>
        </w:tc>
        <w:tc>
          <w:tcPr>
            <w:tcW w:w="1317" w:type="pct"/>
            <w:shd w:val="clear" w:color="auto" w:fill="auto"/>
          </w:tcPr>
          <w:p w14:paraId="083E1253" w14:textId="465F1687" w:rsidR="009A755E" w:rsidRPr="00781112" w:rsidRDefault="009A755E">
            <w:pPr>
              <w:jc w:val="center"/>
              <w:rPr>
                <w:rFonts w:cs="Arial"/>
                <w:noProof/>
                <w:color w:val="000000" w:themeColor="text1"/>
                <w:szCs w:val="16"/>
              </w:rPr>
            </w:pPr>
          </w:p>
        </w:tc>
        <w:tc>
          <w:tcPr>
            <w:tcW w:w="1234" w:type="pct"/>
            <w:shd w:val="clear" w:color="auto" w:fill="auto"/>
          </w:tcPr>
          <w:p w14:paraId="5051C049" w14:textId="54F55515" w:rsidR="009A755E" w:rsidRPr="00781112" w:rsidRDefault="009A755E">
            <w:pPr>
              <w:jc w:val="center"/>
              <w:rPr>
                <w:rFonts w:cs="Arial"/>
                <w:noProof/>
                <w:color w:val="000000" w:themeColor="text1"/>
                <w:szCs w:val="16"/>
              </w:rPr>
            </w:pPr>
          </w:p>
        </w:tc>
      </w:tr>
    </w:tbl>
    <w:p w14:paraId="6AA9F004" w14:textId="407DFBC2" w:rsidR="004E2151" w:rsidRPr="00781112" w:rsidRDefault="00C22B92" w:rsidP="00123D76">
      <w:pPr>
        <w:pStyle w:val="Heading2"/>
      </w:pPr>
      <w:r w:rsidRPr="00781112">
        <w:t>11</w:t>
      </w:r>
      <w:r w:rsidR="004838A4" w:rsidRPr="00781112">
        <w:t xml:space="preserve"> </w:t>
      </w:r>
      <w:r w:rsidRPr="00781112">
        <w:t xml:space="preserve">- </w:t>
      </w:r>
      <w:r w:rsidR="004E2151" w:rsidRPr="00781112">
        <w:t>Prior FFY Required Actions</w:t>
      </w:r>
    </w:p>
    <w:p w14:paraId="1469B26E" w14:textId="5BCE6CA0" w:rsidR="004E2151" w:rsidRPr="00781112" w:rsidRDefault="002B7490" w:rsidP="004E2151">
      <w:pPr>
        <w:rPr>
          <w:rFonts w:cs="Arial"/>
          <w:color w:val="000000" w:themeColor="text1"/>
          <w:szCs w:val="16"/>
        </w:rPr>
      </w:pPr>
      <w:r w:rsidRPr="00781112">
        <w:rPr>
          <w:rFonts w:cs="Arial"/>
          <w:color w:val="000000" w:themeColor="text1"/>
          <w:szCs w:val="16"/>
        </w:rPr>
        <w:t xml:space="preserve">Because the State reported less than 100% compliance for FFY 2020, the State must report on the status of correction of noncompliance identified in FFY 2020 for this indicator. In addition, the State must demonstrate, in the FFY 2021 SPP/APR, that the LEA corrected the one finding of noncompliance identified in FFY 2019 and verified correction of that finding, consistent with OSEP Memo 09-02. When reporting on the correction of noncompliance, the State must report, in the FFY 2021 SPP/APR, that it has verified that each LEA with findings of noncompliance identified in FFY 2020 and the one LEA with noncompliance identified in FFY 2019: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LEA, consistent with OSEP Memo 09-02. In the FFY 2021 SPP/APR, the State must describe the specific actions that were taken to verify the correction.    </w:t>
      </w:r>
      <w:r w:rsidRPr="00781112">
        <w:rPr>
          <w:rFonts w:cs="Arial"/>
          <w:color w:val="000000" w:themeColor="text1"/>
          <w:szCs w:val="16"/>
        </w:rPr>
        <w:br/>
      </w:r>
      <w:r w:rsidRPr="00781112">
        <w:rPr>
          <w:rFonts w:cs="Arial"/>
          <w:color w:val="000000" w:themeColor="text1"/>
          <w:szCs w:val="16"/>
        </w:rPr>
        <w:br/>
        <w:t>If the State did not identify any findings of noncompliance in FFY 2020, although its FFY 2020 data reflect less than 100% compliance, provide an explanation of why the State did not identify any findings of noncompliance in FFY 2020.</w:t>
      </w:r>
    </w:p>
    <w:p w14:paraId="314020BE" w14:textId="77777777" w:rsidR="009F69E7" w:rsidRPr="00781112" w:rsidRDefault="009F69E7" w:rsidP="004E2151">
      <w:pPr>
        <w:rPr>
          <w:rFonts w:cs="Arial"/>
          <w:color w:val="000000" w:themeColor="text1"/>
          <w:szCs w:val="16"/>
        </w:rPr>
      </w:pPr>
    </w:p>
    <w:p w14:paraId="35EEEBCC" w14:textId="1E6D333E" w:rsidR="004E2151" w:rsidRPr="00781112" w:rsidRDefault="007639D7" w:rsidP="004369B2">
      <w:pPr>
        <w:rPr>
          <w:b/>
          <w:color w:val="000000" w:themeColor="text1"/>
        </w:rPr>
      </w:pPr>
      <w:r>
        <w:rPr>
          <w:b/>
          <w:color w:val="000000" w:themeColor="text1"/>
        </w:rPr>
        <w:t>Response to actions required in FFY 2020 SPP/APR</w:t>
      </w:r>
    </w:p>
    <w:p w14:paraId="29D8AFAD" w14:textId="6EBD882C" w:rsidR="004E2151" w:rsidRPr="00781112" w:rsidRDefault="004E2151" w:rsidP="004E2151">
      <w:pPr>
        <w:rPr>
          <w:rFonts w:cs="Arial"/>
          <w:color w:val="000000" w:themeColor="text1"/>
          <w:szCs w:val="16"/>
        </w:rPr>
      </w:pPr>
    </w:p>
    <w:p w14:paraId="1D3AFFE6" w14:textId="5250F151" w:rsidR="007F5071" w:rsidRPr="00781112" w:rsidRDefault="00C22B92" w:rsidP="00123D76">
      <w:pPr>
        <w:pStyle w:val="Heading2"/>
      </w:pPr>
      <w:r w:rsidRPr="00781112">
        <w:lastRenderedPageBreak/>
        <w:t>11 - OSEP Response</w:t>
      </w:r>
    </w:p>
    <w:p w14:paraId="2479DA6D" w14:textId="3DE51C13" w:rsidR="00326C0B" w:rsidRPr="00781112" w:rsidRDefault="00326C0B" w:rsidP="00212954">
      <w:pPr>
        <w:rPr>
          <w:rFonts w:cs="Arial"/>
          <w:color w:val="000000" w:themeColor="text1"/>
          <w:szCs w:val="16"/>
        </w:rPr>
      </w:pPr>
    </w:p>
    <w:p w14:paraId="140652C1" w14:textId="064683E6" w:rsidR="007F5071" w:rsidRPr="00781112" w:rsidRDefault="00C22B92" w:rsidP="00123D76">
      <w:pPr>
        <w:pStyle w:val="Heading2"/>
      </w:pPr>
      <w:r w:rsidRPr="00781112">
        <w:t>11 - Required Actions</w:t>
      </w:r>
    </w:p>
    <w:p w14:paraId="542023B0" w14:textId="425F5FF5" w:rsidR="00326C0B" w:rsidRPr="00781112" w:rsidRDefault="002B7490" w:rsidP="00212954">
      <w:pPr>
        <w:rPr>
          <w:rFonts w:cs="Arial"/>
          <w:color w:val="000000" w:themeColor="text1"/>
          <w:szCs w:val="16"/>
        </w:rPr>
      </w:pPr>
      <w:r w:rsidRPr="00781112">
        <w:rPr>
          <w:rFonts w:cs="Arial"/>
          <w:color w:val="000000" w:themeColor="text1"/>
          <w:szCs w:val="16"/>
        </w:rPr>
        <w:t>Because the State reported less than 100% compliance for FFY 2021, the State must report on the status of correction of noncompliance identified in FFY 2021 for this indicator. When reporting on the correction of noncompliance, the State must report, in the FFY 2022 SPP/APR, that it has verified that each LEA with noncompliance identified in FFY 2021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LEA, consistent with OSEP Memo 09-02.  In the FFY 2022 SPP/APR, the State must describe the specific actions that were taken to verify the correction.</w:t>
      </w:r>
      <w:r w:rsidRPr="00781112">
        <w:rPr>
          <w:rFonts w:cs="Arial"/>
          <w:color w:val="000000" w:themeColor="text1"/>
          <w:szCs w:val="16"/>
        </w:rPr>
        <w:br/>
      </w:r>
      <w:r w:rsidRPr="00781112">
        <w:rPr>
          <w:rFonts w:cs="Arial"/>
          <w:color w:val="000000" w:themeColor="text1"/>
          <w:szCs w:val="16"/>
        </w:rPr>
        <w:br/>
        <w:t>If the State did not identify any findings of noncompliance in FFY 2021, although its FFY 2021 data reflect less than 100% compliance, provide an explanation of why the State did not identify any findings of noncompliance in FFY 2021.</w:t>
      </w:r>
    </w:p>
    <w:p w14:paraId="529C4C74"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55C7C90D" w14:textId="1ACF121A" w:rsidR="00D03701" w:rsidRPr="00781112" w:rsidRDefault="00D03701" w:rsidP="000444E2">
      <w:pPr>
        <w:pStyle w:val="Heading1"/>
        <w:rPr>
          <w:color w:val="000000" w:themeColor="text1"/>
          <w:sz w:val="22"/>
        </w:rPr>
      </w:pPr>
      <w:r w:rsidRPr="00781112">
        <w:rPr>
          <w:color w:val="000000" w:themeColor="text1"/>
          <w:sz w:val="22"/>
        </w:rPr>
        <w:lastRenderedPageBreak/>
        <w:t>Indicator 12: Early Childhood Transition</w:t>
      </w:r>
      <w:bookmarkEnd w:id="73"/>
      <w:bookmarkEnd w:id="74"/>
      <w:bookmarkEnd w:id="75"/>
    </w:p>
    <w:p w14:paraId="435B75C0" w14:textId="77777777" w:rsidR="00652135" w:rsidRPr="00781112" w:rsidRDefault="00652135" w:rsidP="00A018D4">
      <w:pPr>
        <w:rPr>
          <w:color w:val="000000" w:themeColor="text1"/>
          <w:szCs w:val="20"/>
        </w:rPr>
      </w:pPr>
      <w:r w:rsidRPr="00781112">
        <w:rPr>
          <w:b/>
          <w:color w:val="000000" w:themeColor="text1"/>
          <w:sz w:val="20"/>
          <w:szCs w:val="20"/>
        </w:rPr>
        <w:t>Instructions and Measurement</w:t>
      </w:r>
    </w:p>
    <w:p w14:paraId="6C78EC4F" w14:textId="77777777" w:rsidR="001F3A65" w:rsidRPr="00781112" w:rsidRDefault="001F3A65" w:rsidP="009447A3">
      <w:pPr>
        <w:rPr>
          <w:rFonts w:cs="Arial"/>
          <w:color w:val="000000" w:themeColor="text1"/>
          <w:szCs w:val="16"/>
        </w:rPr>
      </w:pPr>
      <w:bookmarkStart w:id="76" w:name="_Toc384383358"/>
      <w:bookmarkStart w:id="77" w:name="_Toc392159326"/>
      <w:r w:rsidRPr="00781112">
        <w:rPr>
          <w:rFonts w:cs="Arial"/>
          <w:b/>
          <w:color w:val="000000" w:themeColor="text1"/>
          <w:szCs w:val="16"/>
        </w:rPr>
        <w:t>Monitoring Priorit</w:t>
      </w:r>
      <w:r w:rsidRPr="00781112">
        <w:rPr>
          <w:rFonts w:cs="Arial"/>
          <w:color w:val="000000" w:themeColor="text1"/>
          <w:szCs w:val="16"/>
        </w:rPr>
        <w:t>y: Effective General Supervision Part B / Effective Transition</w:t>
      </w:r>
    </w:p>
    <w:p w14:paraId="5BB6E6C8" w14:textId="77777777" w:rsidR="00704E6A" w:rsidRPr="00781112" w:rsidRDefault="001F3A65" w:rsidP="009447A3">
      <w:pPr>
        <w:rPr>
          <w:rFonts w:cs="Arial"/>
          <w:color w:val="000000" w:themeColor="text1"/>
          <w:szCs w:val="16"/>
        </w:rPr>
      </w:pPr>
      <w:r w:rsidRPr="00781112">
        <w:rPr>
          <w:rFonts w:cs="Arial"/>
          <w:b/>
          <w:color w:val="000000" w:themeColor="text1"/>
          <w:szCs w:val="16"/>
        </w:rPr>
        <w:t>Compliance indicator</w:t>
      </w:r>
      <w:r w:rsidRPr="00781112">
        <w:rPr>
          <w:rFonts w:cs="Arial"/>
          <w:color w:val="000000" w:themeColor="text1"/>
          <w:szCs w:val="16"/>
        </w:rPr>
        <w:t xml:space="preserve">: Percent of children referred by Part C prior to age 3, who are found eligible for Part B, and who have an IEP developed and implemented by their third birthdays. </w:t>
      </w:r>
    </w:p>
    <w:p w14:paraId="760E84D0" w14:textId="3B0C2366" w:rsidR="001F3A65" w:rsidRPr="00781112" w:rsidRDefault="001F3A65" w:rsidP="009447A3">
      <w:pPr>
        <w:rPr>
          <w:rFonts w:cs="Arial"/>
          <w:color w:val="000000" w:themeColor="text1"/>
          <w:szCs w:val="16"/>
        </w:rPr>
      </w:pPr>
      <w:r w:rsidRPr="00781112">
        <w:rPr>
          <w:rFonts w:cs="Arial"/>
          <w:color w:val="000000" w:themeColor="text1"/>
          <w:szCs w:val="16"/>
        </w:rPr>
        <w:t>(20 U.S.C. 1416(a)(3)(B))</w:t>
      </w:r>
    </w:p>
    <w:p w14:paraId="10C4B518" w14:textId="77777777" w:rsidR="00704E6A" w:rsidRPr="00781112" w:rsidRDefault="00704E6A" w:rsidP="004369B2">
      <w:pPr>
        <w:rPr>
          <w:color w:val="000000" w:themeColor="text1"/>
        </w:rPr>
      </w:pPr>
      <w:r w:rsidRPr="00781112">
        <w:rPr>
          <w:b/>
          <w:color w:val="000000" w:themeColor="text1"/>
        </w:rPr>
        <w:t>Data Source</w:t>
      </w:r>
    </w:p>
    <w:p w14:paraId="65642578" w14:textId="09D10273" w:rsidR="00704E6A" w:rsidRPr="00781112" w:rsidRDefault="00704E6A" w:rsidP="00286BDF">
      <w:pPr>
        <w:rPr>
          <w:rFonts w:cs="Arial"/>
          <w:color w:val="000000" w:themeColor="text1"/>
          <w:szCs w:val="16"/>
        </w:rPr>
      </w:pPr>
      <w:r w:rsidRPr="00781112">
        <w:rPr>
          <w:rFonts w:cs="Arial"/>
          <w:color w:val="000000" w:themeColor="text1"/>
          <w:szCs w:val="16"/>
          <w:shd w:val="clear" w:color="auto" w:fill="FFFFFF"/>
        </w:rPr>
        <w:t>Data to be taken from State monitoring or State data system.</w:t>
      </w:r>
    </w:p>
    <w:p w14:paraId="4DFE5EEF" w14:textId="77777777" w:rsidR="00704E6A" w:rsidRPr="00781112" w:rsidRDefault="00704E6A" w:rsidP="004369B2">
      <w:pPr>
        <w:rPr>
          <w:color w:val="000000" w:themeColor="text1"/>
        </w:rPr>
      </w:pPr>
      <w:r w:rsidRPr="00781112">
        <w:rPr>
          <w:b/>
          <w:color w:val="000000" w:themeColor="text1"/>
        </w:rPr>
        <w:t>Measurement</w:t>
      </w:r>
    </w:p>
    <w:p w14:paraId="577779AD" w14:textId="51863FF6" w:rsidR="00704E6A" w:rsidRPr="00781112" w:rsidRDefault="00A90E71" w:rsidP="006A01BD">
      <w:pPr>
        <w:spacing w:before="0" w:after="0"/>
        <w:rPr>
          <w:rFonts w:eastAsia="Times New Roman" w:cs="Arial"/>
          <w:color w:val="000000" w:themeColor="text1"/>
          <w:szCs w:val="16"/>
        </w:rPr>
      </w:pPr>
      <w:r w:rsidRPr="00781112">
        <w:rPr>
          <w:rFonts w:eastAsia="Times New Roman" w:cs="Arial"/>
          <w:color w:val="000000" w:themeColor="text1"/>
          <w:szCs w:val="16"/>
        </w:rPr>
        <w:tab/>
        <w:t>a. # of children who have been served in Part C and referred to Part B for Part B eligibility determination.</w:t>
      </w:r>
    </w:p>
    <w:p w14:paraId="1D83C19C" w14:textId="0381C17E" w:rsidR="00704E6A" w:rsidRPr="00781112" w:rsidRDefault="00A90E71" w:rsidP="006A01BD">
      <w:pPr>
        <w:spacing w:before="0" w:after="0"/>
        <w:rPr>
          <w:rFonts w:eastAsia="Times New Roman" w:cs="Arial"/>
          <w:color w:val="000000" w:themeColor="text1"/>
          <w:szCs w:val="16"/>
        </w:rPr>
      </w:pPr>
      <w:r w:rsidRPr="00781112">
        <w:rPr>
          <w:rFonts w:eastAsia="Times New Roman" w:cs="Arial"/>
          <w:color w:val="000000" w:themeColor="text1"/>
          <w:szCs w:val="16"/>
        </w:rPr>
        <w:tab/>
        <w:t>b. # of those referred determined to be NOT eligible and whose eligibility was determined prior to their third birthdays.</w:t>
      </w:r>
    </w:p>
    <w:p w14:paraId="62A73664" w14:textId="3A860DF6" w:rsidR="00704E6A" w:rsidRPr="00781112" w:rsidRDefault="00A90E71" w:rsidP="006A01BD">
      <w:pPr>
        <w:spacing w:before="0" w:after="0"/>
        <w:rPr>
          <w:rFonts w:eastAsia="Times New Roman" w:cs="Arial"/>
          <w:color w:val="000000" w:themeColor="text1"/>
          <w:szCs w:val="16"/>
        </w:rPr>
      </w:pPr>
      <w:r w:rsidRPr="00781112">
        <w:rPr>
          <w:rFonts w:eastAsia="Times New Roman" w:cs="Arial"/>
          <w:color w:val="000000" w:themeColor="text1"/>
          <w:szCs w:val="16"/>
        </w:rPr>
        <w:tab/>
        <w:t>c. # of those found eligible who have an IEP developed and implemented by their third birthdays.</w:t>
      </w:r>
    </w:p>
    <w:p w14:paraId="43DE876C" w14:textId="58ABBAA9" w:rsidR="00704E6A" w:rsidRPr="00781112" w:rsidRDefault="00A90E71" w:rsidP="006A01BD">
      <w:pPr>
        <w:spacing w:before="0" w:after="0"/>
        <w:rPr>
          <w:rFonts w:eastAsia="Times New Roman" w:cs="Arial"/>
          <w:color w:val="000000" w:themeColor="text1"/>
          <w:szCs w:val="16"/>
        </w:rPr>
      </w:pPr>
      <w:r w:rsidRPr="00781112">
        <w:rPr>
          <w:rFonts w:eastAsia="Times New Roman" w:cs="Arial"/>
          <w:color w:val="000000" w:themeColor="text1"/>
          <w:szCs w:val="16"/>
        </w:rPr>
        <w:tab/>
        <w:t xml:space="preserve">d. # of children for whom parent refusal to provide consent caused delays in evaluation or initial services or to whom exceptions under 34 CFR </w:t>
      </w:r>
      <w:r w:rsidRPr="00781112">
        <w:rPr>
          <w:rFonts w:eastAsia="Times New Roman" w:cs="Arial"/>
          <w:color w:val="000000" w:themeColor="text1"/>
          <w:szCs w:val="16"/>
        </w:rPr>
        <w:tab/>
      </w:r>
      <w:r w:rsidR="00704E6A" w:rsidRPr="00781112">
        <w:rPr>
          <w:rFonts w:eastAsia="Times New Roman" w:cs="Arial"/>
          <w:color w:val="000000" w:themeColor="text1"/>
          <w:szCs w:val="16"/>
        </w:rPr>
        <w:t>§300.301(d) applied.</w:t>
      </w:r>
    </w:p>
    <w:p w14:paraId="4AFE260E" w14:textId="6A26A1CE" w:rsidR="00704E6A" w:rsidRPr="00781112" w:rsidRDefault="00A90E71" w:rsidP="006A01BD">
      <w:pPr>
        <w:spacing w:before="0" w:after="0"/>
        <w:rPr>
          <w:rFonts w:eastAsia="Times New Roman" w:cs="Arial"/>
          <w:color w:val="000000" w:themeColor="text1"/>
          <w:szCs w:val="16"/>
        </w:rPr>
      </w:pPr>
      <w:r w:rsidRPr="00781112">
        <w:rPr>
          <w:rFonts w:eastAsia="Times New Roman" w:cs="Arial"/>
          <w:color w:val="000000" w:themeColor="text1"/>
          <w:szCs w:val="16"/>
        </w:rPr>
        <w:tab/>
        <w:t>e. # of children determined to be eligible for early intervention services under Part C less than 90 days before their third birthdays.</w:t>
      </w:r>
    </w:p>
    <w:p w14:paraId="1306CF8A" w14:textId="7D69EBBD" w:rsidR="00704E6A" w:rsidRPr="00781112" w:rsidRDefault="00A90E71" w:rsidP="00A90E71">
      <w:pPr>
        <w:spacing w:before="0" w:after="0"/>
        <w:rPr>
          <w:rFonts w:eastAsia="Times New Roman" w:cs="Arial"/>
          <w:color w:val="000000" w:themeColor="text1"/>
          <w:szCs w:val="16"/>
        </w:rPr>
      </w:pPr>
      <w:r w:rsidRPr="00781112">
        <w:rPr>
          <w:rFonts w:eastAsia="Times New Roman" w:cs="Arial"/>
          <w:color w:val="000000" w:themeColor="text1"/>
          <w:szCs w:val="16"/>
        </w:rPr>
        <w:tab/>
        <w:t xml:space="preserve">f. # of children whose parents chose to continue early intervention services beyond the child’s third birthday through a State’s policy under 34 </w:t>
      </w:r>
      <w:r w:rsidRPr="00781112">
        <w:rPr>
          <w:rFonts w:eastAsia="Times New Roman" w:cs="Arial"/>
          <w:color w:val="000000" w:themeColor="text1"/>
          <w:szCs w:val="16"/>
        </w:rPr>
        <w:tab/>
      </w:r>
      <w:r w:rsidR="00704E6A" w:rsidRPr="00781112">
        <w:rPr>
          <w:rFonts w:eastAsia="Times New Roman" w:cs="Arial"/>
          <w:color w:val="000000" w:themeColor="text1"/>
          <w:szCs w:val="16"/>
        </w:rPr>
        <w:t>CFR §303.211 or a similar State option.</w:t>
      </w:r>
    </w:p>
    <w:p w14:paraId="13DB13F0" w14:textId="77777777" w:rsidR="00A90E71" w:rsidRPr="00781112" w:rsidRDefault="00A90E71" w:rsidP="006A01BD">
      <w:pPr>
        <w:spacing w:before="0" w:after="0"/>
        <w:rPr>
          <w:rFonts w:eastAsia="Times New Roman" w:cs="Arial"/>
          <w:color w:val="000000" w:themeColor="text1"/>
          <w:szCs w:val="16"/>
        </w:rPr>
      </w:pPr>
    </w:p>
    <w:p w14:paraId="07549C8E" w14:textId="77777777" w:rsidR="00704E6A" w:rsidRPr="00781112" w:rsidRDefault="00704E6A" w:rsidP="006A01BD">
      <w:pPr>
        <w:spacing w:before="0" w:after="210"/>
        <w:rPr>
          <w:rFonts w:eastAsia="Times New Roman" w:cs="Arial"/>
          <w:color w:val="000000" w:themeColor="text1"/>
          <w:szCs w:val="16"/>
        </w:rPr>
      </w:pPr>
      <w:r w:rsidRPr="00781112">
        <w:rPr>
          <w:rFonts w:eastAsia="Times New Roman" w:cs="Arial"/>
          <w:color w:val="000000" w:themeColor="text1"/>
          <w:szCs w:val="16"/>
        </w:rPr>
        <w:t>Account for children included in (a), but not included in b, c, d, e, or f. Indicate the range of days beyond the third birthday when eligibility was determined and the IEP developed, and the reasons for the delays.</w:t>
      </w:r>
    </w:p>
    <w:p w14:paraId="5406A8A2" w14:textId="2622A063" w:rsidR="00704E6A" w:rsidRPr="00781112" w:rsidRDefault="00704E6A" w:rsidP="009447A3">
      <w:pPr>
        <w:spacing w:before="0" w:after="210"/>
        <w:rPr>
          <w:rFonts w:eastAsia="Times New Roman" w:cs="Arial"/>
          <w:color w:val="000000" w:themeColor="text1"/>
          <w:szCs w:val="16"/>
        </w:rPr>
      </w:pPr>
      <w:r w:rsidRPr="00781112">
        <w:rPr>
          <w:rFonts w:eastAsia="Times New Roman" w:cs="Arial"/>
          <w:color w:val="000000" w:themeColor="text1"/>
          <w:szCs w:val="16"/>
        </w:rPr>
        <w:t>Percent = [(c) divided by (a - b - d - e - f)] times 100.</w:t>
      </w:r>
    </w:p>
    <w:p w14:paraId="568E2452" w14:textId="77777777" w:rsidR="00704E6A" w:rsidRPr="00781112" w:rsidRDefault="00704E6A" w:rsidP="004369B2">
      <w:pPr>
        <w:rPr>
          <w:color w:val="000000" w:themeColor="text1"/>
        </w:rPr>
      </w:pPr>
      <w:r w:rsidRPr="00781112">
        <w:rPr>
          <w:b/>
          <w:color w:val="000000" w:themeColor="text1"/>
        </w:rPr>
        <w:t>Instructions</w:t>
      </w:r>
    </w:p>
    <w:p w14:paraId="26144B56" w14:textId="77777777" w:rsidR="00704E6A" w:rsidRPr="00781112" w:rsidRDefault="00704E6A" w:rsidP="00286BDF">
      <w:pPr>
        <w:rPr>
          <w:rFonts w:cs="Arial"/>
          <w:i/>
          <w:iCs/>
          <w:color w:val="000000" w:themeColor="text1"/>
          <w:szCs w:val="16"/>
        </w:rPr>
      </w:pPr>
      <w:r w:rsidRPr="00781112">
        <w:rPr>
          <w:rFonts w:cs="Arial"/>
          <w:i/>
          <w:iCs/>
          <w:color w:val="000000" w:themeColor="text1"/>
          <w:szCs w:val="16"/>
        </w:rPr>
        <w:t xml:space="preserve">If data are from State monitoring, describe the method used to select LEAs for monitoring. If data </w:t>
      </w:r>
      <w:proofErr w:type="gramStart"/>
      <w:r w:rsidRPr="00781112">
        <w:rPr>
          <w:rFonts w:cs="Arial"/>
          <w:i/>
          <w:iCs/>
          <w:color w:val="000000" w:themeColor="text1"/>
          <w:szCs w:val="16"/>
        </w:rPr>
        <w:t>are</w:t>
      </w:r>
      <w:proofErr w:type="gramEnd"/>
      <w:r w:rsidRPr="00781112">
        <w:rPr>
          <w:rFonts w:cs="Arial"/>
          <w:i/>
          <w:iCs/>
          <w:color w:val="000000" w:themeColor="text1"/>
          <w:szCs w:val="16"/>
        </w:rPr>
        <w:t xml:space="preserve"> from a State database, include data for the entire reporting year.</w:t>
      </w:r>
    </w:p>
    <w:p w14:paraId="739AF8C8" w14:textId="77777777" w:rsidR="00704E6A" w:rsidRPr="00781112" w:rsidRDefault="00704E6A" w:rsidP="00286BDF">
      <w:pPr>
        <w:rPr>
          <w:rFonts w:cs="Arial"/>
          <w:color w:val="000000" w:themeColor="text1"/>
          <w:szCs w:val="16"/>
        </w:rPr>
      </w:pPr>
      <w:r w:rsidRPr="00781112">
        <w:rPr>
          <w:rFonts w:cs="Arial"/>
          <w:color w:val="000000" w:themeColor="text1"/>
          <w:szCs w:val="16"/>
        </w:rPr>
        <w:t>Describe the results of the calculations and compare the results to the target. Describe the method used to collect these data, and if data are from the State’s monitoring, describe the procedures used to collect these data. Provide the actual numbers used in the calculation.</w:t>
      </w:r>
    </w:p>
    <w:p w14:paraId="216DD8AC" w14:textId="77777777" w:rsidR="001F165D" w:rsidRPr="00781112" w:rsidRDefault="001F165D" w:rsidP="001F165D">
      <w:pPr>
        <w:rPr>
          <w:rFonts w:cs="Arial"/>
          <w:color w:val="000000" w:themeColor="text1"/>
          <w:szCs w:val="16"/>
        </w:rPr>
      </w:pPr>
      <w:r w:rsidRPr="00781112">
        <w:rPr>
          <w:rFonts w:cs="Arial"/>
          <w:color w:val="000000" w:themeColor="text1"/>
          <w:szCs w:val="16"/>
        </w:rPr>
        <w:t>Targets must be 100%.</w:t>
      </w:r>
    </w:p>
    <w:p w14:paraId="1B4708FE" w14:textId="1629AEED" w:rsidR="00704E6A" w:rsidRPr="00781112" w:rsidRDefault="00BA70F9" w:rsidP="00286BDF">
      <w:pPr>
        <w:rPr>
          <w:rFonts w:cs="Arial"/>
          <w:color w:val="000000" w:themeColor="text1"/>
          <w:szCs w:val="16"/>
        </w:rPr>
      </w:pPr>
      <w:r w:rsidRPr="00781112">
        <w:rPr>
          <w:rFonts w:cs="Arial"/>
          <w:color w:val="000000" w:themeColor="text1"/>
          <w:szCs w:val="16"/>
        </w:rPr>
        <w:t>Category f is to be used only by States that have an approved policy for providing parents the option of continuing early intervention services beyond the child’s third birthday under 34 CFR §303.211 or a similar State option.</w:t>
      </w:r>
    </w:p>
    <w:p w14:paraId="5D5B86D4" w14:textId="77777777" w:rsidR="00704E6A" w:rsidRPr="00781112" w:rsidRDefault="00704E6A" w:rsidP="00286BDF">
      <w:pPr>
        <w:rPr>
          <w:rFonts w:cs="Arial"/>
          <w:color w:val="000000" w:themeColor="text1"/>
          <w:szCs w:val="16"/>
        </w:rPr>
      </w:pPr>
      <w:r w:rsidRPr="00781112">
        <w:rPr>
          <w:rFonts w:cs="Arial"/>
          <w:color w:val="000000" w:themeColor="text1"/>
          <w:szCs w:val="16"/>
        </w:rPr>
        <w:t>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1B505E64" w14:textId="5E538FA3" w:rsidR="00704E6A" w:rsidRPr="00781112" w:rsidRDefault="003A4027" w:rsidP="00286BDF">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p w14:paraId="79824C1D" w14:textId="3C301685" w:rsidR="00FE7D29" w:rsidRPr="00781112" w:rsidRDefault="00056350" w:rsidP="00123D76">
      <w:pPr>
        <w:pStyle w:val="Heading2"/>
      </w:pPr>
      <w:bookmarkStart w:id="78" w:name="_Toc384383359"/>
      <w:bookmarkStart w:id="79" w:name="_Toc392159327"/>
      <w:bookmarkEnd w:id="76"/>
      <w:bookmarkEnd w:id="77"/>
      <w:r w:rsidRPr="00781112">
        <w:t>12</w:t>
      </w:r>
      <w:r w:rsidR="004838A4" w:rsidRPr="00781112">
        <w:t xml:space="preserve"> </w:t>
      </w:r>
      <w:r w:rsidRPr="00781112">
        <w:t xml:space="preserve">- </w:t>
      </w:r>
      <w:r w:rsidR="00211617" w:rsidRPr="00781112">
        <w:t>Indicator Data</w:t>
      </w:r>
    </w:p>
    <w:p w14:paraId="0150EC4C" w14:textId="77777777" w:rsidR="0091098C" w:rsidRPr="00781112" w:rsidRDefault="0091098C" w:rsidP="004369B2">
      <w:pPr>
        <w:rPr>
          <w:color w:val="000000" w:themeColor="text1"/>
        </w:rPr>
      </w:pPr>
      <w:r w:rsidRPr="00781112">
        <w:rPr>
          <w:b/>
          <w:color w:val="000000" w:themeColor="text1"/>
        </w:rPr>
        <w:t>Not Applicable</w:t>
      </w:r>
    </w:p>
    <w:p w14:paraId="1844E5CA" w14:textId="6EC3A331" w:rsidR="00A5601C" w:rsidRPr="00781112" w:rsidRDefault="005D604C">
      <w:pPr>
        <w:rPr>
          <w:b/>
          <w:color w:val="000000" w:themeColor="text1"/>
        </w:rPr>
      </w:pPr>
      <w:r w:rsidRPr="00781112">
        <w:rPr>
          <w:b/>
          <w:color w:val="000000" w:themeColor="text1"/>
        </w:rPr>
        <w:t>Select yes if this indicator is not applicable.</w:t>
      </w:r>
    </w:p>
    <w:p w14:paraId="5B7EBB05" w14:textId="76B0BD88" w:rsidR="00043AC9" w:rsidRPr="00781112" w:rsidRDefault="00043AC9" w:rsidP="004369B2">
      <w:pPr>
        <w:rPr>
          <w:rFonts w:cs="Arial"/>
          <w:color w:val="000000" w:themeColor="text1"/>
          <w:szCs w:val="16"/>
        </w:rPr>
      </w:pPr>
      <w:r w:rsidRPr="00781112">
        <w:rPr>
          <w:rFonts w:cs="Arial"/>
          <w:color w:val="000000" w:themeColor="text1"/>
          <w:szCs w:val="16"/>
        </w:rPr>
        <w:t>NO</w:t>
      </w:r>
    </w:p>
    <w:p w14:paraId="0D26312C" w14:textId="77777777" w:rsidR="00C50290" w:rsidRPr="00781112" w:rsidRDefault="00C50290" w:rsidP="004369B2">
      <w:pPr>
        <w:rPr>
          <w:color w:val="000000" w:themeColor="text1"/>
        </w:rPr>
      </w:pPr>
    </w:p>
    <w:p w14:paraId="71DDF5C0" w14:textId="3F9EB38B" w:rsidR="00EC46E4" w:rsidRPr="00781112" w:rsidRDefault="00EC46E4"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2BASELINEDATA"/>
      </w:tblPr>
      <w:tblGrid>
        <w:gridCol w:w="1797"/>
        <w:gridCol w:w="1798"/>
      </w:tblGrid>
      <w:tr w:rsidR="001875AF" w:rsidRPr="00781112" w14:paraId="056D9953" w14:textId="77777777" w:rsidTr="00123D76">
        <w:trPr>
          <w:trHeight w:val="311"/>
          <w:tblHeader/>
        </w:trPr>
        <w:tc>
          <w:tcPr>
            <w:tcW w:w="1797" w:type="dxa"/>
          </w:tcPr>
          <w:p w14:paraId="3B806594" w14:textId="77777777" w:rsidR="001875AF" w:rsidRPr="00781112" w:rsidRDefault="001875AF" w:rsidP="00123D76">
            <w:pPr>
              <w:jc w:val="center"/>
              <w:rPr>
                <w:b/>
                <w:color w:val="000000" w:themeColor="text1"/>
              </w:rPr>
            </w:pPr>
            <w:r w:rsidRPr="00781112">
              <w:rPr>
                <w:rFonts w:cs="Arial"/>
                <w:b/>
                <w:color w:val="000000" w:themeColor="text1"/>
                <w:szCs w:val="16"/>
              </w:rPr>
              <w:t>Baseline Year</w:t>
            </w:r>
          </w:p>
        </w:tc>
        <w:tc>
          <w:tcPr>
            <w:tcW w:w="1798" w:type="dxa"/>
          </w:tcPr>
          <w:p w14:paraId="47C5AC3E" w14:textId="77777777" w:rsidR="001875AF" w:rsidRPr="00781112" w:rsidRDefault="001875AF" w:rsidP="00123D76">
            <w:pPr>
              <w:jc w:val="center"/>
              <w:rPr>
                <w:b/>
                <w:color w:val="000000" w:themeColor="text1"/>
              </w:rPr>
            </w:pPr>
            <w:r w:rsidRPr="00781112">
              <w:rPr>
                <w:b/>
                <w:color w:val="000000" w:themeColor="text1"/>
              </w:rPr>
              <w:t>Baseline Data</w:t>
            </w:r>
          </w:p>
        </w:tc>
      </w:tr>
      <w:tr w:rsidR="001875AF" w:rsidRPr="00781112" w14:paraId="693B925B" w14:textId="77777777" w:rsidTr="00123D76">
        <w:trPr>
          <w:trHeight w:val="311"/>
        </w:trPr>
        <w:tc>
          <w:tcPr>
            <w:tcW w:w="1797" w:type="dxa"/>
            <w:vAlign w:val="center"/>
          </w:tcPr>
          <w:p w14:paraId="589FAD9D" w14:textId="6C47315C" w:rsidR="001875AF" w:rsidRPr="00781112" w:rsidRDefault="001875AF" w:rsidP="00123D76">
            <w:pPr>
              <w:jc w:val="center"/>
              <w:rPr>
                <w:bCs/>
                <w:color w:val="000000" w:themeColor="text1"/>
              </w:rPr>
            </w:pPr>
            <w:r w:rsidRPr="00781112">
              <w:rPr>
                <w:bCs/>
                <w:color w:val="000000" w:themeColor="text1"/>
              </w:rPr>
              <w:t>2018</w:t>
            </w:r>
          </w:p>
        </w:tc>
        <w:tc>
          <w:tcPr>
            <w:tcW w:w="1798" w:type="dxa"/>
            <w:vAlign w:val="center"/>
          </w:tcPr>
          <w:p w14:paraId="00D43D2D" w14:textId="0C3ED28A" w:rsidR="001875AF" w:rsidRPr="00781112" w:rsidRDefault="001875AF" w:rsidP="00123D76">
            <w:pPr>
              <w:jc w:val="center"/>
              <w:rPr>
                <w:bCs/>
                <w:color w:val="000000" w:themeColor="text1"/>
              </w:rPr>
            </w:pPr>
            <w:r w:rsidRPr="00781112">
              <w:rPr>
                <w:bCs/>
                <w:color w:val="000000" w:themeColor="text1"/>
              </w:rPr>
              <w:t>99.62%</w:t>
            </w:r>
          </w:p>
        </w:tc>
      </w:tr>
    </w:tbl>
    <w:p w14:paraId="465AB33D" w14:textId="77777777" w:rsidR="001875AF" w:rsidRPr="00781112" w:rsidRDefault="001875AF"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2HISTDATA"/>
      </w:tblPr>
      <w:tblGrid>
        <w:gridCol w:w="1798"/>
        <w:gridCol w:w="1798"/>
        <w:gridCol w:w="1798"/>
        <w:gridCol w:w="1798"/>
        <w:gridCol w:w="1798"/>
        <w:gridCol w:w="1800"/>
      </w:tblGrid>
      <w:tr w:rsidR="005C29F8" w:rsidRPr="00781112" w14:paraId="641F8356" w14:textId="77777777" w:rsidTr="005F2FF9">
        <w:trPr>
          <w:trHeight w:val="350"/>
        </w:trPr>
        <w:tc>
          <w:tcPr>
            <w:tcW w:w="833" w:type="pct"/>
            <w:tcBorders>
              <w:bottom w:val="single" w:sz="4" w:space="0" w:color="auto"/>
            </w:tcBorders>
            <w:shd w:val="clear" w:color="auto" w:fill="auto"/>
          </w:tcPr>
          <w:bookmarkEnd w:id="78"/>
          <w:bookmarkEnd w:id="79"/>
          <w:p w14:paraId="5D9A28F2" w14:textId="77777777" w:rsidR="009447A3" w:rsidRPr="00781112" w:rsidRDefault="009447A3"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7E21A227" w14:textId="61889525" w:rsidR="009447A3" w:rsidRPr="00781112" w:rsidRDefault="002B7490" w:rsidP="008E31C4">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6B56B4FE" w14:textId="34D3DC5E" w:rsidR="009447A3" w:rsidRPr="00781112" w:rsidRDefault="002B7490" w:rsidP="008E31C4">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786A53CE" w14:textId="3A94FF3D" w:rsidR="009447A3" w:rsidRPr="00781112" w:rsidRDefault="002B7490" w:rsidP="008E31C4">
            <w:pPr>
              <w:jc w:val="center"/>
              <w:rPr>
                <w:rFonts w:cs="Arial"/>
                <w:b/>
                <w:color w:val="000000" w:themeColor="text1"/>
                <w:szCs w:val="16"/>
              </w:rPr>
            </w:pPr>
            <w:r w:rsidRPr="00781112">
              <w:rPr>
                <w:rFonts w:cs="Arial"/>
                <w:b/>
                <w:color w:val="000000" w:themeColor="text1"/>
                <w:szCs w:val="16"/>
              </w:rPr>
              <w:t>2018</w:t>
            </w:r>
          </w:p>
        </w:tc>
        <w:tc>
          <w:tcPr>
            <w:tcW w:w="833" w:type="pct"/>
            <w:shd w:val="clear" w:color="auto" w:fill="auto"/>
          </w:tcPr>
          <w:p w14:paraId="221DF675" w14:textId="00A1F14E" w:rsidR="009447A3" w:rsidRPr="00781112" w:rsidRDefault="002B7490" w:rsidP="008E31C4">
            <w:pPr>
              <w:jc w:val="center"/>
              <w:rPr>
                <w:rFonts w:cs="Arial"/>
                <w:b/>
                <w:color w:val="000000" w:themeColor="text1"/>
                <w:szCs w:val="16"/>
              </w:rPr>
            </w:pPr>
            <w:r w:rsidRPr="00781112">
              <w:rPr>
                <w:rFonts w:cs="Arial"/>
                <w:b/>
                <w:color w:val="000000" w:themeColor="text1"/>
                <w:szCs w:val="16"/>
              </w:rPr>
              <w:t>2019</w:t>
            </w:r>
          </w:p>
        </w:tc>
        <w:tc>
          <w:tcPr>
            <w:tcW w:w="834" w:type="pct"/>
            <w:shd w:val="clear" w:color="auto" w:fill="auto"/>
          </w:tcPr>
          <w:p w14:paraId="72849A47" w14:textId="21327CD6" w:rsidR="009447A3" w:rsidRPr="00781112" w:rsidRDefault="002B7490" w:rsidP="008E31C4">
            <w:pPr>
              <w:jc w:val="center"/>
              <w:rPr>
                <w:rFonts w:cs="Arial"/>
                <w:b/>
                <w:color w:val="000000" w:themeColor="text1"/>
                <w:szCs w:val="16"/>
              </w:rPr>
            </w:pPr>
            <w:r w:rsidRPr="00781112">
              <w:rPr>
                <w:rFonts w:cs="Arial"/>
                <w:b/>
                <w:color w:val="000000" w:themeColor="text1"/>
                <w:szCs w:val="16"/>
              </w:rPr>
              <w:t>2020</w:t>
            </w:r>
          </w:p>
        </w:tc>
      </w:tr>
      <w:tr w:rsidR="005C29F8" w:rsidRPr="00781112" w14:paraId="1A3B7AC8" w14:textId="77777777" w:rsidTr="005F2FF9">
        <w:trPr>
          <w:trHeight w:val="357"/>
        </w:trPr>
        <w:tc>
          <w:tcPr>
            <w:tcW w:w="833" w:type="pct"/>
            <w:shd w:val="clear" w:color="auto" w:fill="auto"/>
          </w:tcPr>
          <w:p w14:paraId="27FE69AA" w14:textId="697900D5" w:rsidR="009447A3" w:rsidRPr="00781112" w:rsidRDefault="009447A3" w:rsidP="008E31C4">
            <w:pPr>
              <w:rPr>
                <w:rFonts w:cs="Arial"/>
                <w:color w:val="000000" w:themeColor="text1"/>
                <w:szCs w:val="16"/>
              </w:rPr>
            </w:pPr>
            <w:r w:rsidRPr="00781112">
              <w:rPr>
                <w:rFonts w:cs="Arial"/>
                <w:color w:val="000000" w:themeColor="text1"/>
                <w:szCs w:val="16"/>
              </w:rPr>
              <w:t>Target</w:t>
            </w:r>
          </w:p>
        </w:tc>
        <w:tc>
          <w:tcPr>
            <w:tcW w:w="833" w:type="pct"/>
            <w:shd w:val="clear" w:color="auto" w:fill="auto"/>
          </w:tcPr>
          <w:p w14:paraId="6628560E" w14:textId="0BC45703" w:rsidR="009447A3" w:rsidRPr="00781112" w:rsidRDefault="00B16A26" w:rsidP="003A4027">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347A32E0" w14:textId="064AD14E" w:rsidR="009447A3" w:rsidRPr="00781112" w:rsidRDefault="00B16A26" w:rsidP="003A4027">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4EFE8268" w14:textId="7F4C4E30" w:rsidR="009447A3" w:rsidRPr="00781112" w:rsidRDefault="00B16A26" w:rsidP="003A4027">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14DDB11E" w14:textId="2D6071C3" w:rsidR="009447A3" w:rsidRPr="00781112" w:rsidRDefault="00B16A26" w:rsidP="003A4027">
            <w:pPr>
              <w:jc w:val="center"/>
              <w:rPr>
                <w:rFonts w:cs="Arial"/>
                <w:color w:val="000000" w:themeColor="text1"/>
                <w:szCs w:val="16"/>
              </w:rPr>
            </w:pPr>
            <w:r w:rsidRPr="00781112">
              <w:rPr>
                <w:rFonts w:cs="Arial"/>
                <w:color w:val="000000" w:themeColor="text1"/>
                <w:szCs w:val="16"/>
              </w:rPr>
              <w:t>100%</w:t>
            </w:r>
          </w:p>
        </w:tc>
        <w:tc>
          <w:tcPr>
            <w:tcW w:w="834" w:type="pct"/>
            <w:shd w:val="clear" w:color="auto" w:fill="auto"/>
          </w:tcPr>
          <w:p w14:paraId="17E07D81" w14:textId="67F91616" w:rsidR="009447A3" w:rsidRPr="00781112" w:rsidRDefault="00B16A26" w:rsidP="003A4027">
            <w:pPr>
              <w:jc w:val="center"/>
              <w:rPr>
                <w:rFonts w:cs="Arial"/>
                <w:color w:val="000000" w:themeColor="text1"/>
                <w:szCs w:val="16"/>
              </w:rPr>
            </w:pPr>
            <w:r w:rsidRPr="00781112">
              <w:rPr>
                <w:rFonts w:cs="Arial"/>
                <w:color w:val="000000" w:themeColor="text1"/>
                <w:szCs w:val="16"/>
              </w:rPr>
              <w:t>100%</w:t>
            </w:r>
          </w:p>
        </w:tc>
      </w:tr>
      <w:tr w:rsidR="005C29F8" w:rsidRPr="00781112" w14:paraId="6BA24638" w14:textId="77777777" w:rsidTr="005F2FF9">
        <w:trPr>
          <w:trHeight w:val="85"/>
        </w:trPr>
        <w:tc>
          <w:tcPr>
            <w:tcW w:w="833" w:type="pct"/>
            <w:shd w:val="clear" w:color="auto" w:fill="auto"/>
          </w:tcPr>
          <w:p w14:paraId="76E217FB" w14:textId="77777777" w:rsidR="009447A3" w:rsidRPr="00781112" w:rsidRDefault="009447A3" w:rsidP="008E31C4">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5ABEE368" w14:textId="7DA2F686" w:rsidR="009447A3" w:rsidRPr="00781112" w:rsidRDefault="002B7490" w:rsidP="003A4027">
            <w:pPr>
              <w:jc w:val="center"/>
              <w:rPr>
                <w:rFonts w:cs="Arial"/>
                <w:color w:val="000000" w:themeColor="text1"/>
                <w:szCs w:val="16"/>
              </w:rPr>
            </w:pPr>
            <w:r w:rsidRPr="00781112">
              <w:rPr>
                <w:rFonts w:cs="Arial"/>
                <w:color w:val="000000" w:themeColor="text1"/>
                <w:szCs w:val="16"/>
              </w:rPr>
              <w:t>99.74%</w:t>
            </w:r>
          </w:p>
        </w:tc>
        <w:tc>
          <w:tcPr>
            <w:tcW w:w="833" w:type="pct"/>
            <w:shd w:val="clear" w:color="auto" w:fill="auto"/>
          </w:tcPr>
          <w:p w14:paraId="6826E3EC" w14:textId="5DEFD785" w:rsidR="009447A3" w:rsidRPr="00781112" w:rsidRDefault="002B7490" w:rsidP="003A4027">
            <w:pPr>
              <w:jc w:val="center"/>
              <w:rPr>
                <w:rFonts w:cs="Arial"/>
                <w:color w:val="000000" w:themeColor="text1"/>
                <w:szCs w:val="16"/>
              </w:rPr>
            </w:pPr>
            <w:r w:rsidRPr="00781112">
              <w:rPr>
                <w:rFonts w:cs="Arial"/>
                <w:color w:val="000000" w:themeColor="text1"/>
                <w:szCs w:val="16"/>
              </w:rPr>
              <w:t>99.84%</w:t>
            </w:r>
          </w:p>
        </w:tc>
        <w:tc>
          <w:tcPr>
            <w:tcW w:w="833" w:type="pct"/>
            <w:tcBorders>
              <w:bottom w:val="single" w:sz="4" w:space="0" w:color="auto"/>
            </w:tcBorders>
            <w:shd w:val="clear" w:color="auto" w:fill="auto"/>
            <w:vAlign w:val="center"/>
          </w:tcPr>
          <w:p w14:paraId="3702B817" w14:textId="1114F76E" w:rsidR="009447A3" w:rsidRPr="00781112" w:rsidRDefault="002B7490" w:rsidP="003A4027">
            <w:pPr>
              <w:jc w:val="center"/>
              <w:rPr>
                <w:rFonts w:cs="Arial"/>
                <w:color w:val="000000" w:themeColor="text1"/>
                <w:szCs w:val="16"/>
              </w:rPr>
            </w:pPr>
            <w:r w:rsidRPr="00781112">
              <w:rPr>
                <w:rFonts w:cs="Arial"/>
                <w:color w:val="000000" w:themeColor="text1"/>
                <w:szCs w:val="16"/>
              </w:rPr>
              <w:t>99.62%</w:t>
            </w:r>
          </w:p>
        </w:tc>
        <w:tc>
          <w:tcPr>
            <w:tcW w:w="833" w:type="pct"/>
            <w:tcBorders>
              <w:bottom w:val="single" w:sz="4" w:space="0" w:color="auto"/>
            </w:tcBorders>
            <w:shd w:val="clear" w:color="auto" w:fill="auto"/>
            <w:vAlign w:val="center"/>
          </w:tcPr>
          <w:p w14:paraId="7E5D1EA5" w14:textId="75D6241E" w:rsidR="009447A3" w:rsidRPr="00781112" w:rsidRDefault="002B7490" w:rsidP="003A4027">
            <w:pPr>
              <w:jc w:val="center"/>
              <w:rPr>
                <w:rFonts w:cs="Arial"/>
                <w:color w:val="000000" w:themeColor="text1"/>
                <w:szCs w:val="16"/>
              </w:rPr>
            </w:pPr>
            <w:r w:rsidRPr="00781112">
              <w:rPr>
                <w:rFonts w:cs="Arial"/>
                <w:color w:val="000000" w:themeColor="text1"/>
                <w:szCs w:val="16"/>
              </w:rPr>
              <w:t>94.08%</w:t>
            </w:r>
          </w:p>
        </w:tc>
        <w:tc>
          <w:tcPr>
            <w:tcW w:w="834" w:type="pct"/>
            <w:tcBorders>
              <w:bottom w:val="single" w:sz="4" w:space="0" w:color="auto"/>
            </w:tcBorders>
            <w:shd w:val="clear" w:color="auto" w:fill="auto"/>
            <w:vAlign w:val="center"/>
          </w:tcPr>
          <w:p w14:paraId="556DAD68" w14:textId="7FC0436F" w:rsidR="009447A3" w:rsidRPr="00781112" w:rsidRDefault="002B7490" w:rsidP="003A4027">
            <w:pPr>
              <w:jc w:val="center"/>
              <w:rPr>
                <w:rFonts w:cs="Arial"/>
                <w:color w:val="000000" w:themeColor="text1"/>
                <w:szCs w:val="16"/>
              </w:rPr>
            </w:pPr>
            <w:r w:rsidRPr="00781112">
              <w:rPr>
                <w:rFonts w:cs="Arial"/>
                <w:color w:val="000000" w:themeColor="text1"/>
                <w:szCs w:val="16"/>
              </w:rPr>
              <w:t>95.76%</w:t>
            </w:r>
          </w:p>
        </w:tc>
      </w:tr>
    </w:tbl>
    <w:p w14:paraId="3BDF8559" w14:textId="77777777" w:rsidR="00D82883" w:rsidRPr="00781112" w:rsidRDefault="00D82883" w:rsidP="004369B2">
      <w:pPr>
        <w:rPr>
          <w:color w:val="000000" w:themeColor="text1"/>
        </w:rPr>
      </w:pPr>
    </w:p>
    <w:p w14:paraId="32D6DA70" w14:textId="38C36AA8" w:rsidR="007A3964" w:rsidRPr="00781112" w:rsidRDefault="007A3964" w:rsidP="004369B2">
      <w:pPr>
        <w:rPr>
          <w:color w:val="000000" w:themeColor="text1"/>
        </w:rPr>
      </w:pPr>
      <w:r w:rsidRPr="00781112">
        <w:rPr>
          <w:b/>
          <w:color w:val="000000" w:themeColor="text1"/>
        </w:rPr>
        <w:t>Targets</w:t>
      </w:r>
    </w:p>
    <w:tbl>
      <w:tblPr>
        <w:tblW w:w="41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2TARGETS"/>
      </w:tblPr>
      <w:tblGrid>
        <w:gridCol w:w="679"/>
        <w:gridCol w:w="1585"/>
        <w:gridCol w:w="1698"/>
        <w:gridCol w:w="1699"/>
        <w:gridCol w:w="1699"/>
        <w:gridCol w:w="1697"/>
      </w:tblGrid>
      <w:tr w:rsidR="00B14519" w:rsidRPr="00781112" w14:paraId="41D3AE7A" w14:textId="578794F0" w:rsidTr="00451D7E">
        <w:trPr>
          <w:trHeight w:val="328"/>
        </w:trPr>
        <w:tc>
          <w:tcPr>
            <w:tcW w:w="278" w:type="pct"/>
            <w:tcBorders>
              <w:bottom w:val="single" w:sz="4" w:space="0" w:color="auto"/>
            </w:tcBorders>
            <w:shd w:val="clear" w:color="auto" w:fill="auto"/>
          </w:tcPr>
          <w:p w14:paraId="7786D02D" w14:textId="77777777" w:rsidR="00B14519" w:rsidRPr="00781112" w:rsidRDefault="00B14519" w:rsidP="00AF574F">
            <w:pPr>
              <w:jc w:val="center"/>
              <w:rPr>
                <w:b/>
                <w:color w:val="000000" w:themeColor="text1"/>
              </w:rPr>
            </w:pPr>
            <w:r w:rsidRPr="00781112">
              <w:rPr>
                <w:b/>
                <w:color w:val="000000" w:themeColor="text1"/>
              </w:rPr>
              <w:t>FFY</w:t>
            </w:r>
          </w:p>
        </w:tc>
        <w:tc>
          <w:tcPr>
            <w:tcW w:w="895" w:type="pct"/>
            <w:shd w:val="clear" w:color="auto" w:fill="auto"/>
          </w:tcPr>
          <w:p w14:paraId="09ED5838" w14:textId="77777777" w:rsidR="00B14519" w:rsidRPr="00781112" w:rsidRDefault="00B14519" w:rsidP="00AF574F">
            <w:pPr>
              <w:jc w:val="center"/>
              <w:rPr>
                <w:b/>
                <w:color w:val="000000" w:themeColor="text1"/>
              </w:rPr>
            </w:pPr>
            <w:r w:rsidRPr="00781112">
              <w:rPr>
                <w:b/>
                <w:color w:val="000000" w:themeColor="text1"/>
              </w:rPr>
              <w:t>2021</w:t>
            </w:r>
          </w:p>
        </w:tc>
        <w:tc>
          <w:tcPr>
            <w:tcW w:w="957" w:type="pct"/>
          </w:tcPr>
          <w:p w14:paraId="0769903C" w14:textId="05A227DB" w:rsidR="00B14519" w:rsidRPr="00781112" w:rsidRDefault="00B14519" w:rsidP="00AF574F">
            <w:pPr>
              <w:jc w:val="center"/>
              <w:rPr>
                <w:b/>
                <w:color w:val="000000" w:themeColor="text1"/>
              </w:rPr>
            </w:pPr>
            <w:r w:rsidRPr="00781112">
              <w:rPr>
                <w:rFonts w:cs="Arial"/>
                <w:b/>
                <w:color w:val="000000" w:themeColor="text1"/>
                <w:szCs w:val="16"/>
              </w:rPr>
              <w:t>2022</w:t>
            </w:r>
          </w:p>
        </w:tc>
        <w:tc>
          <w:tcPr>
            <w:tcW w:w="957" w:type="pct"/>
          </w:tcPr>
          <w:p w14:paraId="77CF077D" w14:textId="38DFC132" w:rsidR="00B14519" w:rsidRPr="00781112" w:rsidRDefault="00B14519" w:rsidP="00AF574F">
            <w:pPr>
              <w:jc w:val="center"/>
              <w:rPr>
                <w:b/>
                <w:color w:val="000000" w:themeColor="text1"/>
              </w:rPr>
            </w:pPr>
            <w:r w:rsidRPr="00781112">
              <w:rPr>
                <w:rFonts w:cs="Arial"/>
                <w:b/>
                <w:color w:val="000000" w:themeColor="text1"/>
                <w:szCs w:val="16"/>
              </w:rPr>
              <w:t>2023</w:t>
            </w:r>
          </w:p>
        </w:tc>
        <w:tc>
          <w:tcPr>
            <w:tcW w:w="957" w:type="pct"/>
          </w:tcPr>
          <w:p w14:paraId="5C5F415E" w14:textId="7B035D53" w:rsidR="00B14519" w:rsidRPr="00781112" w:rsidRDefault="00B14519" w:rsidP="00AF574F">
            <w:pPr>
              <w:jc w:val="center"/>
              <w:rPr>
                <w:b/>
                <w:color w:val="000000" w:themeColor="text1"/>
              </w:rPr>
            </w:pPr>
            <w:r w:rsidRPr="00781112">
              <w:rPr>
                <w:rFonts w:cs="Arial"/>
                <w:b/>
                <w:color w:val="000000" w:themeColor="text1"/>
                <w:szCs w:val="16"/>
              </w:rPr>
              <w:t>2024</w:t>
            </w:r>
          </w:p>
        </w:tc>
        <w:tc>
          <w:tcPr>
            <w:tcW w:w="957" w:type="pct"/>
          </w:tcPr>
          <w:p w14:paraId="4D5B8FD6" w14:textId="4B2021E7" w:rsidR="00B14519" w:rsidRPr="00781112" w:rsidRDefault="00B14519" w:rsidP="00AF574F">
            <w:pPr>
              <w:jc w:val="center"/>
              <w:rPr>
                <w:b/>
                <w:color w:val="000000" w:themeColor="text1"/>
              </w:rPr>
            </w:pPr>
            <w:r w:rsidRPr="00781112">
              <w:rPr>
                <w:rFonts w:cs="Arial"/>
                <w:b/>
                <w:color w:val="000000" w:themeColor="text1"/>
                <w:szCs w:val="16"/>
              </w:rPr>
              <w:t>2025</w:t>
            </w:r>
          </w:p>
        </w:tc>
      </w:tr>
      <w:tr w:rsidR="00B14519" w:rsidRPr="00781112" w14:paraId="2B267817" w14:textId="2A03C05D" w:rsidTr="00451D7E">
        <w:trPr>
          <w:trHeight w:val="335"/>
        </w:trPr>
        <w:tc>
          <w:tcPr>
            <w:tcW w:w="278" w:type="pct"/>
            <w:shd w:val="clear" w:color="auto" w:fill="auto"/>
            <w:vAlign w:val="center"/>
          </w:tcPr>
          <w:p w14:paraId="70D956A8" w14:textId="77777777" w:rsidR="00B14519" w:rsidRPr="00781112" w:rsidRDefault="00B14519" w:rsidP="00AF574F">
            <w:pPr>
              <w:rPr>
                <w:rFonts w:cs="Arial"/>
                <w:color w:val="000000" w:themeColor="text1"/>
                <w:szCs w:val="16"/>
              </w:rPr>
            </w:pPr>
            <w:r w:rsidRPr="00781112">
              <w:rPr>
                <w:rFonts w:cs="Arial"/>
                <w:color w:val="000000" w:themeColor="text1"/>
                <w:szCs w:val="16"/>
              </w:rPr>
              <w:t xml:space="preserve">Target </w:t>
            </w:r>
          </w:p>
        </w:tc>
        <w:tc>
          <w:tcPr>
            <w:tcW w:w="895" w:type="pct"/>
            <w:shd w:val="clear" w:color="auto" w:fill="auto"/>
            <w:vAlign w:val="center"/>
          </w:tcPr>
          <w:p w14:paraId="5CDE7127" w14:textId="59D1386F" w:rsidR="00B14519" w:rsidRPr="00781112" w:rsidRDefault="00B14519" w:rsidP="00AF574F">
            <w:pPr>
              <w:jc w:val="center"/>
              <w:rPr>
                <w:rFonts w:cs="Arial"/>
                <w:color w:val="000000" w:themeColor="text1"/>
                <w:szCs w:val="16"/>
              </w:rPr>
            </w:pPr>
            <w:r w:rsidRPr="00781112">
              <w:rPr>
                <w:rFonts w:cs="Arial"/>
                <w:color w:val="000000" w:themeColor="text1"/>
                <w:szCs w:val="16"/>
              </w:rPr>
              <w:t>100%</w:t>
            </w:r>
          </w:p>
        </w:tc>
        <w:tc>
          <w:tcPr>
            <w:tcW w:w="957" w:type="pct"/>
          </w:tcPr>
          <w:p w14:paraId="6CF78C3F" w14:textId="1B45F3AE" w:rsidR="00B14519" w:rsidRPr="00781112" w:rsidRDefault="00B14519" w:rsidP="00AF574F">
            <w:pPr>
              <w:jc w:val="center"/>
              <w:rPr>
                <w:rFonts w:cs="Arial"/>
                <w:color w:val="000000" w:themeColor="text1"/>
                <w:szCs w:val="16"/>
              </w:rPr>
            </w:pPr>
            <w:r w:rsidRPr="00781112">
              <w:rPr>
                <w:color w:val="000000" w:themeColor="text1"/>
                <w:szCs w:val="16"/>
              </w:rPr>
              <w:t>100%</w:t>
            </w:r>
          </w:p>
        </w:tc>
        <w:tc>
          <w:tcPr>
            <w:tcW w:w="957" w:type="pct"/>
          </w:tcPr>
          <w:p w14:paraId="6FCC2C45" w14:textId="5131688B" w:rsidR="00B14519" w:rsidRPr="00781112" w:rsidRDefault="00B14519" w:rsidP="00AF574F">
            <w:pPr>
              <w:jc w:val="center"/>
              <w:rPr>
                <w:rFonts w:cs="Arial"/>
                <w:color w:val="000000" w:themeColor="text1"/>
                <w:szCs w:val="16"/>
              </w:rPr>
            </w:pPr>
            <w:r w:rsidRPr="00781112">
              <w:rPr>
                <w:color w:val="000000" w:themeColor="text1"/>
                <w:szCs w:val="16"/>
              </w:rPr>
              <w:t>100%</w:t>
            </w:r>
          </w:p>
        </w:tc>
        <w:tc>
          <w:tcPr>
            <w:tcW w:w="957" w:type="pct"/>
          </w:tcPr>
          <w:p w14:paraId="06CB35C0" w14:textId="66848221" w:rsidR="00B14519" w:rsidRPr="00781112" w:rsidRDefault="00B14519" w:rsidP="00AF574F">
            <w:pPr>
              <w:jc w:val="center"/>
              <w:rPr>
                <w:rFonts w:cs="Arial"/>
                <w:color w:val="000000" w:themeColor="text1"/>
                <w:szCs w:val="16"/>
              </w:rPr>
            </w:pPr>
            <w:r w:rsidRPr="00781112">
              <w:rPr>
                <w:color w:val="000000" w:themeColor="text1"/>
                <w:szCs w:val="16"/>
              </w:rPr>
              <w:t>100%</w:t>
            </w:r>
          </w:p>
        </w:tc>
        <w:tc>
          <w:tcPr>
            <w:tcW w:w="957" w:type="pct"/>
          </w:tcPr>
          <w:p w14:paraId="3CD9C2C5" w14:textId="2066089A" w:rsidR="00B14519" w:rsidRPr="00781112" w:rsidRDefault="00B14519" w:rsidP="00AF574F">
            <w:pPr>
              <w:jc w:val="center"/>
              <w:rPr>
                <w:rFonts w:cs="Arial"/>
                <w:color w:val="000000" w:themeColor="text1"/>
                <w:szCs w:val="16"/>
              </w:rPr>
            </w:pPr>
            <w:r w:rsidRPr="00781112">
              <w:rPr>
                <w:color w:val="000000" w:themeColor="text1"/>
                <w:szCs w:val="16"/>
              </w:rPr>
              <w:t>100%</w:t>
            </w:r>
          </w:p>
        </w:tc>
      </w:tr>
    </w:tbl>
    <w:p w14:paraId="1AD7361B" w14:textId="77777777" w:rsidR="00D82883" w:rsidRPr="00781112" w:rsidRDefault="00D82883" w:rsidP="004369B2">
      <w:pPr>
        <w:rPr>
          <w:color w:val="000000" w:themeColor="text1"/>
        </w:rPr>
      </w:pPr>
    </w:p>
    <w:p w14:paraId="4C8DD49F" w14:textId="46BA504F" w:rsidR="00634AD8" w:rsidRPr="00781112" w:rsidRDefault="0047313F" w:rsidP="004369B2">
      <w:pPr>
        <w:rPr>
          <w:color w:val="000000" w:themeColor="text1"/>
        </w:rPr>
      </w:pPr>
      <w:r>
        <w:rPr>
          <w:b/>
          <w:color w:val="000000" w:themeColor="text1"/>
        </w:rPr>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2CFFYAPRDATA"/>
      </w:tblPr>
      <w:tblGrid>
        <w:gridCol w:w="9355"/>
        <w:gridCol w:w="1435"/>
      </w:tblGrid>
      <w:tr w:rsidR="005C29F8" w:rsidRPr="00781112" w14:paraId="5DD64811" w14:textId="77777777" w:rsidTr="009D3860">
        <w:trPr>
          <w:trHeight w:val="350"/>
        </w:trPr>
        <w:tc>
          <w:tcPr>
            <w:tcW w:w="4335" w:type="pct"/>
          </w:tcPr>
          <w:p w14:paraId="7822AF5A" w14:textId="77777777" w:rsidR="00634AD8" w:rsidRPr="00781112" w:rsidRDefault="00634AD8" w:rsidP="003E65F5">
            <w:pPr>
              <w:rPr>
                <w:rFonts w:cs="Arial"/>
                <w:color w:val="000000" w:themeColor="text1"/>
                <w:szCs w:val="16"/>
              </w:rPr>
            </w:pPr>
            <w:r w:rsidRPr="00781112">
              <w:rPr>
                <w:rFonts w:cs="Arial"/>
                <w:color w:val="000000" w:themeColor="text1"/>
                <w:szCs w:val="16"/>
              </w:rPr>
              <w:t xml:space="preserve">a. Number of children who have been served in Part C and referred to Part B for Part B eligibility determination. </w:t>
            </w:r>
          </w:p>
        </w:tc>
        <w:tc>
          <w:tcPr>
            <w:tcW w:w="665" w:type="pct"/>
            <w:shd w:val="clear" w:color="auto" w:fill="auto"/>
            <w:vAlign w:val="center"/>
          </w:tcPr>
          <w:p w14:paraId="65ADF67F" w14:textId="14592995" w:rsidR="00634AD8" w:rsidRPr="00781112" w:rsidRDefault="002B7490" w:rsidP="00A018D4">
            <w:pPr>
              <w:jc w:val="center"/>
              <w:rPr>
                <w:rFonts w:cs="Arial"/>
                <w:color w:val="000000" w:themeColor="text1"/>
                <w:szCs w:val="16"/>
              </w:rPr>
            </w:pPr>
            <w:r w:rsidRPr="00781112">
              <w:rPr>
                <w:rFonts w:cs="Arial"/>
                <w:color w:val="000000" w:themeColor="text1"/>
                <w:szCs w:val="16"/>
              </w:rPr>
              <w:t>2,646</w:t>
            </w:r>
          </w:p>
        </w:tc>
      </w:tr>
      <w:tr w:rsidR="005C29F8" w:rsidRPr="00781112" w14:paraId="6497A162" w14:textId="77777777" w:rsidTr="009D3860">
        <w:trPr>
          <w:trHeight w:val="357"/>
        </w:trPr>
        <w:tc>
          <w:tcPr>
            <w:tcW w:w="4335" w:type="pct"/>
          </w:tcPr>
          <w:p w14:paraId="00979D87" w14:textId="77777777" w:rsidR="00634AD8" w:rsidRPr="00781112" w:rsidRDefault="00634AD8" w:rsidP="003E65F5">
            <w:pPr>
              <w:rPr>
                <w:rFonts w:cs="Arial"/>
                <w:color w:val="000000" w:themeColor="text1"/>
                <w:szCs w:val="16"/>
              </w:rPr>
            </w:pPr>
            <w:r w:rsidRPr="00781112">
              <w:rPr>
                <w:rFonts w:cs="Arial"/>
                <w:color w:val="000000" w:themeColor="text1"/>
                <w:szCs w:val="16"/>
              </w:rPr>
              <w:t xml:space="preserve">b. Number of those referred determined to be NOT eligible and whose eligibility was determined prior to third birthday. </w:t>
            </w:r>
          </w:p>
        </w:tc>
        <w:tc>
          <w:tcPr>
            <w:tcW w:w="665" w:type="pct"/>
            <w:shd w:val="clear" w:color="auto" w:fill="auto"/>
            <w:vAlign w:val="center"/>
          </w:tcPr>
          <w:p w14:paraId="5383065B" w14:textId="0CFFF590" w:rsidR="00634AD8" w:rsidRPr="00781112" w:rsidRDefault="002B7490" w:rsidP="00A018D4">
            <w:pPr>
              <w:jc w:val="center"/>
              <w:rPr>
                <w:rFonts w:cs="Arial"/>
                <w:color w:val="000000" w:themeColor="text1"/>
                <w:szCs w:val="16"/>
              </w:rPr>
            </w:pPr>
            <w:r w:rsidRPr="00781112">
              <w:rPr>
                <w:rFonts w:cs="Arial"/>
                <w:color w:val="000000" w:themeColor="text1"/>
                <w:szCs w:val="16"/>
              </w:rPr>
              <w:t>502</w:t>
            </w:r>
          </w:p>
        </w:tc>
      </w:tr>
      <w:tr w:rsidR="005C29F8" w:rsidRPr="00781112" w14:paraId="3372C19D" w14:textId="77777777" w:rsidTr="009D3860">
        <w:trPr>
          <w:trHeight w:val="357"/>
        </w:trPr>
        <w:tc>
          <w:tcPr>
            <w:tcW w:w="4335" w:type="pct"/>
          </w:tcPr>
          <w:p w14:paraId="2817071E" w14:textId="77777777" w:rsidR="00634AD8" w:rsidRPr="00781112" w:rsidRDefault="00634AD8" w:rsidP="003E65F5">
            <w:pPr>
              <w:rPr>
                <w:rFonts w:cs="Arial"/>
                <w:color w:val="000000" w:themeColor="text1"/>
                <w:szCs w:val="16"/>
              </w:rPr>
            </w:pPr>
            <w:r w:rsidRPr="00781112">
              <w:rPr>
                <w:rFonts w:cs="Arial"/>
                <w:color w:val="000000" w:themeColor="text1"/>
                <w:szCs w:val="16"/>
              </w:rPr>
              <w:lastRenderedPageBreak/>
              <w:t xml:space="preserve">c. Number of those found eligible who have an IEP developed and implemented by their third birthdays. </w:t>
            </w:r>
          </w:p>
        </w:tc>
        <w:tc>
          <w:tcPr>
            <w:tcW w:w="665" w:type="pct"/>
            <w:shd w:val="clear" w:color="auto" w:fill="auto"/>
            <w:vAlign w:val="center"/>
          </w:tcPr>
          <w:p w14:paraId="1678CD90" w14:textId="068B0D57" w:rsidR="00634AD8" w:rsidRPr="00781112" w:rsidRDefault="002B7490" w:rsidP="00A018D4">
            <w:pPr>
              <w:jc w:val="center"/>
              <w:rPr>
                <w:rFonts w:cs="Arial"/>
                <w:color w:val="000000" w:themeColor="text1"/>
                <w:szCs w:val="16"/>
              </w:rPr>
            </w:pPr>
            <w:r w:rsidRPr="00781112">
              <w:rPr>
                <w:rFonts w:cs="Arial"/>
                <w:color w:val="000000" w:themeColor="text1"/>
                <w:szCs w:val="16"/>
              </w:rPr>
              <w:t>1,999</w:t>
            </w:r>
          </w:p>
        </w:tc>
      </w:tr>
      <w:tr w:rsidR="005C29F8" w:rsidRPr="00781112" w14:paraId="00CE41C8" w14:textId="77777777" w:rsidTr="009D3860">
        <w:trPr>
          <w:trHeight w:val="357"/>
        </w:trPr>
        <w:tc>
          <w:tcPr>
            <w:tcW w:w="4335" w:type="pct"/>
          </w:tcPr>
          <w:p w14:paraId="547A75A2" w14:textId="77777777" w:rsidR="00634AD8" w:rsidRPr="00781112" w:rsidRDefault="00634AD8" w:rsidP="003E65F5">
            <w:pPr>
              <w:rPr>
                <w:rFonts w:cs="Arial"/>
                <w:color w:val="000000" w:themeColor="text1"/>
                <w:szCs w:val="16"/>
              </w:rPr>
            </w:pPr>
            <w:r w:rsidRPr="00781112">
              <w:rPr>
                <w:rFonts w:cs="Arial"/>
                <w:color w:val="000000" w:themeColor="text1"/>
                <w:szCs w:val="16"/>
              </w:rPr>
              <w:t xml:space="preserve">d. Number for whom parent refusals to provide consent caused delays in evaluation or initial services or to whom exceptions under 34 CFR §300.301(d) applied. </w:t>
            </w:r>
          </w:p>
        </w:tc>
        <w:tc>
          <w:tcPr>
            <w:tcW w:w="665" w:type="pct"/>
            <w:shd w:val="clear" w:color="auto" w:fill="auto"/>
            <w:vAlign w:val="center"/>
          </w:tcPr>
          <w:p w14:paraId="78FF9A45" w14:textId="45CD6353" w:rsidR="00634AD8" w:rsidRPr="00781112" w:rsidRDefault="002B7490" w:rsidP="00A018D4">
            <w:pPr>
              <w:jc w:val="center"/>
              <w:rPr>
                <w:rFonts w:cs="Arial"/>
                <w:color w:val="000000" w:themeColor="text1"/>
                <w:szCs w:val="16"/>
              </w:rPr>
            </w:pPr>
            <w:r w:rsidRPr="00781112">
              <w:rPr>
                <w:rFonts w:cs="Arial"/>
                <w:color w:val="000000" w:themeColor="text1"/>
                <w:szCs w:val="16"/>
              </w:rPr>
              <w:t>101</w:t>
            </w:r>
          </w:p>
        </w:tc>
      </w:tr>
      <w:tr w:rsidR="005C29F8" w:rsidRPr="00781112" w14:paraId="47C8B30F" w14:textId="77777777" w:rsidTr="009D3860">
        <w:trPr>
          <w:trHeight w:val="357"/>
        </w:trPr>
        <w:tc>
          <w:tcPr>
            <w:tcW w:w="4335" w:type="pct"/>
          </w:tcPr>
          <w:p w14:paraId="03BE3AC0" w14:textId="77777777" w:rsidR="00634AD8" w:rsidRPr="00781112" w:rsidRDefault="00634AD8" w:rsidP="003E65F5">
            <w:pPr>
              <w:rPr>
                <w:rFonts w:cs="Arial"/>
                <w:color w:val="000000" w:themeColor="text1"/>
                <w:szCs w:val="16"/>
              </w:rPr>
            </w:pPr>
            <w:r w:rsidRPr="00781112">
              <w:rPr>
                <w:rFonts w:cs="Arial"/>
                <w:color w:val="000000" w:themeColor="text1"/>
                <w:szCs w:val="16"/>
              </w:rPr>
              <w:t xml:space="preserve">e. Number of children who were referred to Part C less than 90 days before their third birthdays. </w:t>
            </w:r>
          </w:p>
        </w:tc>
        <w:tc>
          <w:tcPr>
            <w:tcW w:w="665" w:type="pct"/>
            <w:shd w:val="clear" w:color="auto" w:fill="auto"/>
            <w:vAlign w:val="center"/>
          </w:tcPr>
          <w:p w14:paraId="33E087DB" w14:textId="01E57E33" w:rsidR="00634AD8" w:rsidRPr="00781112" w:rsidRDefault="002B7490" w:rsidP="00A018D4">
            <w:pPr>
              <w:jc w:val="center"/>
              <w:rPr>
                <w:rFonts w:cs="Arial"/>
                <w:color w:val="000000" w:themeColor="text1"/>
                <w:szCs w:val="16"/>
              </w:rPr>
            </w:pPr>
            <w:r w:rsidRPr="00781112">
              <w:rPr>
                <w:rFonts w:cs="Arial"/>
                <w:color w:val="000000" w:themeColor="text1"/>
                <w:szCs w:val="16"/>
              </w:rPr>
              <w:t>27</w:t>
            </w:r>
          </w:p>
        </w:tc>
      </w:tr>
      <w:tr w:rsidR="004E67B3" w:rsidRPr="00781112" w14:paraId="19297440" w14:textId="77777777" w:rsidTr="009D3860">
        <w:trPr>
          <w:trHeight w:val="357"/>
        </w:trPr>
        <w:tc>
          <w:tcPr>
            <w:tcW w:w="4335" w:type="pct"/>
          </w:tcPr>
          <w:p w14:paraId="592F3289" w14:textId="43CA733D" w:rsidR="004E67B3" w:rsidRPr="00781112" w:rsidRDefault="004E67B3" w:rsidP="003E65F5">
            <w:pPr>
              <w:rPr>
                <w:rFonts w:cs="Arial"/>
                <w:color w:val="000000" w:themeColor="text1"/>
                <w:szCs w:val="16"/>
              </w:rPr>
            </w:pPr>
            <w:r w:rsidRPr="00781112">
              <w:rPr>
                <w:rFonts w:cs="Arial"/>
                <w:color w:val="000000" w:themeColor="text1"/>
                <w:szCs w:val="16"/>
              </w:rPr>
              <w:t>f. Number of children whose parents chose to continue early intervention services beyond the child’s third birthday through a State’s policy under 34 CFR §303.211 or a similar State option.</w:t>
            </w:r>
          </w:p>
        </w:tc>
        <w:tc>
          <w:tcPr>
            <w:tcW w:w="665" w:type="pct"/>
            <w:shd w:val="clear" w:color="auto" w:fill="auto"/>
            <w:vAlign w:val="center"/>
          </w:tcPr>
          <w:p w14:paraId="02B29C79" w14:textId="62FEE650" w:rsidR="004E67B3" w:rsidRPr="00781112" w:rsidRDefault="002B7490" w:rsidP="00A018D4">
            <w:pPr>
              <w:jc w:val="center"/>
              <w:rPr>
                <w:rFonts w:cs="Arial"/>
                <w:color w:val="000000" w:themeColor="text1"/>
                <w:szCs w:val="16"/>
              </w:rPr>
            </w:pPr>
            <w:r w:rsidRPr="00781112">
              <w:rPr>
                <w:rFonts w:cs="Arial"/>
                <w:color w:val="000000" w:themeColor="text1"/>
                <w:szCs w:val="16"/>
              </w:rPr>
              <w:t>0</w:t>
            </w:r>
          </w:p>
        </w:tc>
      </w:tr>
    </w:tbl>
    <w:p w14:paraId="798A2079" w14:textId="77777777" w:rsidR="00634AD8" w:rsidRPr="00781112" w:rsidRDefault="00634AD8" w:rsidP="00634AD8">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2CFFYAPRDATA1"/>
      </w:tblPr>
      <w:tblGrid>
        <w:gridCol w:w="1794"/>
        <w:gridCol w:w="1285"/>
        <w:gridCol w:w="1285"/>
        <w:gridCol w:w="1285"/>
        <w:gridCol w:w="1285"/>
        <w:gridCol w:w="1285"/>
        <w:gridCol w:w="1285"/>
        <w:gridCol w:w="1286"/>
      </w:tblGrid>
      <w:tr w:rsidR="00B1652C" w:rsidRPr="00781112" w14:paraId="666B6B4E" w14:textId="2C1DC9A0" w:rsidTr="0010170F">
        <w:trPr>
          <w:trHeight w:val="340"/>
          <w:tblHeader/>
        </w:trPr>
        <w:tc>
          <w:tcPr>
            <w:tcW w:w="831" w:type="pct"/>
            <w:shd w:val="clear" w:color="auto" w:fill="auto"/>
          </w:tcPr>
          <w:p w14:paraId="5A0321EA" w14:textId="34C57852" w:rsidR="00B1652C" w:rsidRPr="00781112" w:rsidRDefault="00B1652C" w:rsidP="00B1652C">
            <w:pPr>
              <w:rPr>
                <w:rFonts w:cs="Arial"/>
                <w:b/>
                <w:bCs/>
                <w:color w:val="000000" w:themeColor="text1"/>
                <w:szCs w:val="16"/>
              </w:rPr>
            </w:pPr>
            <w:r w:rsidRPr="00781112">
              <w:rPr>
                <w:rFonts w:cs="Arial"/>
                <w:b/>
                <w:bCs/>
                <w:color w:val="000000" w:themeColor="text1"/>
                <w:szCs w:val="16"/>
              </w:rPr>
              <w:t>Measure</w:t>
            </w:r>
          </w:p>
        </w:tc>
        <w:tc>
          <w:tcPr>
            <w:tcW w:w="595" w:type="pct"/>
            <w:shd w:val="clear" w:color="auto" w:fill="auto"/>
          </w:tcPr>
          <w:p w14:paraId="45390059" w14:textId="77777777" w:rsidR="00B1652C" w:rsidRPr="00781112" w:rsidRDefault="00B1652C" w:rsidP="00B1652C">
            <w:pPr>
              <w:jc w:val="center"/>
              <w:rPr>
                <w:rFonts w:cs="Arial"/>
                <w:b/>
                <w:color w:val="000000" w:themeColor="text1"/>
                <w:szCs w:val="16"/>
              </w:rPr>
            </w:pPr>
            <w:r w:rsidRPr="00781112">
              <w:rPr>
                <w:rFonts w:cs="Arial"/>
                <w:b/>
                <w:color w:val="000000" w:themeColor="text1"/>
                <w:szCs w:val="16"/>
              </w:rPr>
              <w:t>Numerator (c)</w:t>
            </w:r>
          </w:p>
        </w:tc>
        <w:tc>
          <w:tcPr>
            <w:tcW w:w="595" w:type="pct"/>
            <w:shd w:val="clear" w:color="auto" w:fill="auto"/>
          </w:tcPr>
          <w:p w14:paraId="46860D80" w14:textId="77777777" w:rsidR="00B1652C" w:rsidRPr="0075451F" w:rsidRDefault="00B1652C" w:rsidP="00B1652C">
            <w:pPr>
              <w:jc w:val="center"/>
              <w:rPr>
                <w:rFonts w:cs="Arial"/>
                <w:b/>
                <w:color w:val="000000" w:themeColor="text1"/>
                <w:szCs w:val="16"/>
                <w:lang w:val="es-ES"/>
              </w:rPr>
            </w:pPr>
            <w:r w:rsidRPr="0075451F">
              <w:rPr>
                <w:rFonts w:cs="Arial"/>
                <w:b/>
                <w:color w:val="000000" w:themeColor="text1"/>
                <w:szCs w:val="16"/>
                <w:lang w:val="es-ES"/>
              </w:rPr>
              <w:t>Denominator (a-b-d-e-f)</w:t>
            </w:r>
          </w:p>
        </w:tc>
        <w:tc>
          <w:tcPr>
            <w:tcW w:w="595" w:type="pct"/>
            <w:shd w:val="clear" w:color="auto" w:fill="auto"/>
            <w:vAlign w:val="bottom"/>
          </w:tcPr>
          <w:p w14:paraId="58F547FF" w14:textId="74A7B658" w:rsidR="00B1652C" w:rsidRPr="006D0A52" w:rsidRDefault="00B1652C" w:rsidP="00B1652C">
            <w:pPr>
              <w:jc w:val="center"/>
              <w:rPr>
                <w:rFonts w:cs="Arial"/>
                <w:b/>
                <w:bCs/>
                <w:color w:val="000000" w:themeColor="text1"/>
                <w:szCs w:val="16"/>
              </w:rPr>
            </w:pPr>
            <w:r w:rsidRPr="006D0A52">
              <w:rPr>
                <w:b/>
                <w:bCs/>
              </w:rPr>
              <w:t>FFY 2020 Data</w:t>
            </w:r>
          </w:p>
        </w:tc>
        <w:tc>
          <w:tcPr>
            <w:tcW w:w="595" w:type="pct"/>
            <w:shd w:val="clear" w:color="auto" w:fill="auto"/>
            <w:vAlign w:val="bottom"/>
          </w:tcPr>
          <w:p w14:paraId="36BD2BCA" w14:textId="610B5164" w:rsidR="00B1652C" w:rsidRPr="006D0A52" w:rsidRDefault="00B1652C" w:rsidP="00B1652C">
            <w:pPr>
              <w:jc w:val="center"/>
              <w:rPr>
                <w:rFonts w:cs="Arial"/>
                <w:b/>
                <w:bCs/>
                <w:color w:val="000000" w:themeColor="text1"/>
                <w:szCs w:val="16"/>
              </w:rPr>
            </w:pPr>
            <w:r w:rsidRPr="006D0A52">
              <w:rPr>
                <w:b/>
                <w:bCs/>
              </w:rPr>
              <w:t>FFY 2021 Target</w:t>
            </w:r>
          </w:p>
        </w:tc>
        <w:tc>
          <w:tcPr>
            <w:tcW w:w="595" w:type="pct"/>
            <w:shd w:val="clear" w:color="auto" w:fill="auto"/>
            <w:vAlign w:val="bottom"/>
          </w:tcPr>
          <w:p w14:paraId="0030B6C4" w14:textId="0A3E5A40" w:rsidR="00B1652C" w:rsidRPr="006D0A52" w:rsidRDefault="00B1652C" w:rsidP="00B1652C">
            <w:pPr>
              <w:jc w:val="center"/>
              <w:rPr>
                <w:rFonts w:cs="Arial"/>
                <w:b/>
                <w:bCs/>
                <w:color w:val="000000" w:themeColor="text1"/>
                <w:szCs w:val="16"/>
              </w:rPr>
            </w:pPr>
            <w:r w:rsidRPr="006D0A52">
              <w:rPr>
                <w:b/>
                <w:bCs/>
              </w:rPr>
              <w:t>FFY 2021 Data</w:t>
            </w:r>
          </w:p>
        </w:tc>
        <w:tc>
          <w:tcPr>
            <w:tcW w:w="595" w:type="pct"/>
            <w:shd w:val="clear" w:color="auto" w:fill="auto"/>
          </w:tcPr>
          <w:p w14:paraId="16905A6D" w14:textId="19A3632B" w:rsidR="00B1652C" w:rsidRPr="00781112" w:rsidRDefault="00B1652C" w:rsidP="00B1652C">
            <w:pPr>
              <w:jc w:val="center"/>
              <w:rPr>
                <w:rFonts w:cs="Arial"/>
                <w:b/>
                <w:color w:val="000000" w:themeColor="text1"/>
                <w:szCs w:val="16"/>
              </w:rPr>
            </w:pPr>
            <w:r w:rsidRPr="00781112">
              <w:rPr>
                <w:rFonts w:cs="Arial"/>
                <w:b/>
                <w:color w:val="000000" w:themeColor="text1"/>
                <w:szCs w:val="16"/>
              </w:rPr>
              <w:t>Status</w:t>
            </w:r>
          </w:p>
        </w:tc>
        <w:tc>
          <w:tcPr>
            <w:tcW w:w="596" w:type="pct"/>
            <w:shd w:val="clear" w:color="auto" w:fill="auto"/>
          </w:tcPr>
          <w:p w14:paraId="0DCCD9DE" w14:textId="3F28AD62" w:rsidR="00B1652C" w:rsidRPr="00781112" w:rsidRDefault="00B1652C" w:rsidP="00B1652C">
            <w:pPr>
              <w:jc w:val="center"/>
              <w:rPr>
                <w:rFonts w:cs="Arial"/>
                <w:b/>
                <w:color w:val="000000" w:themeColor="text1"/>
                <w:szCs w:val="16"/>
              </w:rPr>
            </w:pPr>
            <w:r w:rsidRPr="00781112">
              <w:rPr>
                <w:rFonts w:cs="Arial"/>
                <w:b/>
                <w:color w:val="000000" w:themeColor="text1"/>
                <w:szCs w:val="16"/>
              </w:rPr>
              <w:t>Slippage</w:t>
            </w:r>
          </w:p>
        </w:tc>
      </w:tr>
      <w:tr w:rsidR="005C29F8" w:rsidRPr="00781112" w14:paraId="1F7C0EED" w14:textId="06CECBDB" w:rsidTr="005F2FF9">
        <w:trPr>
          <w:trHeight w:val="347"/>
        </w:trPr>
        <w:tc>
          <w:tcPr>
            <w:tcW w:w="831" w:type="pct"/>
            <w:shd w:val="clear" w:color="auto" w:fill="auto"/>
          </w:tcPr>
          <w:p w14:paraId="42006EF2" w14:textId="30F01538" w:rsidR="009447A3" w:rsidRPr="00781112" w:rsidRDefault="00616BA4" w:rsidP="009447A3">
            <w:pPr>
              <w:rPr>
                <w:rFonts w:cs="Arial"/>
                <w:color w:val="000000" w:themeColor="text1"/>
                <w:szCs w:val="16"/>
              </w:rPr>
            </w:pPr>
            <w:r w:rsidRPr="00781112">
              <w:rPr>
                <w:rFonts w:cs="Arial"/>
                <w:color w:val="000000" w:themeColor="text1"/>
                <w:szCs w:val="16"/>
              </w:rPr>
              <w:t>Percent of children referred by Part C prior to age 3 who are found eligible for Part B, and who have an IEP developed and implemented by their third birthdays.</w:t>
            </w:r>
          </w:p>
        </w:tc>
        <w:tc>
          <w:tcPr>
            <w:tcW w:w="595" w:type="pct"/>
            <w:shd w:val="clear" w:color="auto" w:fill="auto"/>
            <w:vAlign w:val="center"/>
          </w:tcPr>
          <w:p w14:paraId="25AD0B10" w14:textId="530E8072" w:rsidR="009447A3" w:rsidRPr="00781112" w:rsidRDefault="00FA318E" w:rsidP="004369B2">
            <w:pPr>
              <w:jc w:val="center"/>
              <w:rPr>
                <w:rFonts w:cs="Arial"/>
                <w:color w:val="000000" w:themeColor="text1"/>
                <w:szCs w:val="16"/>
              </w:rPr>
            </w:pPr>
            <w:r w:rsidRPr="00781112">
              <w:rPr>
                <w:rFonts w:cs="Arial"/>
                <w:color w:val="000000" w:themeColor="text1"/>
                <w:szCs w:val="16"/>
              </w:rPr>
              <w:t>1,999</w:t>
            </w:r>
          </w:p>
        </w:tc>
        <w:tc>
          <w:tcPr>
            <w:tcW w:w="595" w:type="pct"/>
            <w:shd w:val="clear" w:color="auto" w:fill="auto"/>
            <w:vAlign w:val="center"/>
          </w:tcPr>
          <w:p w14:paraId="7A8E33C9" w14:textId="2CE029E7" w:rsidR="009447A3" w:rsidRPr="00781112" w:rsidRDefault="00FA318E" w:rsidP="004369B2">
            <w:pPr>
              <w:jc w:val="center"/>
              <w:rPr>
                <w:rFonts w:cs="Arial"/>
                <w:color w:val="000000" w:themeColor="text1"/>
                <w:szCs w:val="16"/>
              </w:rPr>
            </w:pPr>
            <w:r w:rsidRPr="00781112">
              <w:rPr>
                <w:rFonts w:cs="Arial"/>
                <w:color w:val="000000" w:themeColor="text1"/>
                <w:szCs w:val="16"/>
              </w:rPr>
              <w:t>2,016</w:t>
            </w:r>
          </w:p>
        </w:tc>
        <w:tc>
          <w:tcPr>
            <w:tcW w:w="595" w:type="pct"/>
            <w:shd w:val="clear" w:color="auto" w:fill="auto"/>
            <w:vAlign w:val="center"/>
          </w:tcPr>
          <w:p w14:paraId="7A618E17" w14:textId="730CF37E" w:rsidR="009447A3" w:rsidRPr="00781112" w:rsidRDefault="002B7490" w:rsidP="004369B2">
            <w:pPr>
              <w:jc w:val="center"/>
              <w:rPr>
                <w:rFonts w:cs="Arial"/>
                <w:color w:val="000000" w:themeColor="text1"/>
                <w:szCs w:val="16"/>
              </w:rPr>
            </w:pPr>
            <w:r w:rsidRPr="00781112">
              <w:rPr>
                <w:rFonts w:cs="Arial"/>
                <w:color w:val="000000" w:themeColor="text1"/>
                <w:szCs w:val="16"/>
              </w:rPr>
              <w:t>95.76%</w:t>
            </w:r>
          </w:p>
        </w:tc>
        <w:tc>
          <w:tcPr>
            <w:tcW w:w="595" w:type="pct"/>
            <w:shd w:val="clear" w:color="auto" w:fill="auto"/>
            <w:vAlign w:val="center"/>
          </w:tcPr>
          <w:p w14:paraId="173DD24A" w14:textId="02E11A38"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595" w:type="pct"/>
            <w:shd w:val="clear" w:color="auto" w:fill="auto"/>
            <w:vAlign w:val="center"/>
          </w:tcPr>
          <w:p w14:paraId="1BEC9517" w14:textId="612C62AC" w:rsidR="009447A3" w:rsidRPr="00781112" w:rsidRDefault="002B7490" w:rsidP="004369B2">
            <w:pPr>
              <w:jc w:val="center"/>
              <w:rPr>
                <w:rFonts w:cs="Arial"/>
                <w:color w:val="000000" w:themeColor="text1"/>
                <w:szCs w:val="16"/>
              </w:rPr>
            </w:pPr>
            <w:r w:rsidRPr="00781112">
              <w:rPr>
                <w:rFonts w:cs="Arial"/>
                <w:color w:val="000000" w:themeColor="text1"/>
                <w:szCs w:val="16"/>
              </w:rPr>
              <w:t>99.16%</w:t>
            </w:r>
          </w:p>
        </w:tc>
        <w:tc>
          <w:tcPr>
            <w:tcW w:w="595" w:type="pct"/>
            <w:shd w:val="clear" w:color="auto" w:fill="auto"/>
            <w:vAlign w:val="center"/>
          </w:tcPr>
          <w:p w14:paraId="35C0024C" w14:textId="6347E5FC" w:rsidR="009447A3" w:rsidRPr="00781112" w:rsidRDefault="002B7490" w:rsidP="004369B2">
            <w:pPr>
              <w:jc w:val="center"/>
              <w:rPr>
                <w:rFonts w:cs="Arial"/>
                <w:color w:val="000000" w:themeColor="text1"/>
                <w:szCs w:val="16"/>
              </w:rPr>
            </w:pPr>
            <w:r w:rsidRPr="00781112">
              <w:rPr>
                <w:rFonts w:cs="Arial"/>
                <w:color w:val="000000" w:themeColor="text1"/>
                <w:szCs w:val="16"/>
              </w:rPr>
              <w:t>Did not meet target</w:t>
            </w:r>
          </w:p>
        </w:tc>
        <w:tc>
          <w:tcPr>
            <w:tcW w:w="596" w:type="pct"/>
            <w:shd w:val="clear" w:color="auto" w:fill="auto"/>
            <w:vAlign w:val="center"/>
          </w:tcPr>
          <w:p w14:paraId="466F387F" w14:textId="652A9CC9" w:rsidR="009447A3" w:rsidRPr="00781112" w:rsidRDefault="002B7490" w:rsidP="004369B2">
            <w:pPr>
              <w:jc w:val="center"/>
              <w:rPr>
                <w:rFonts w:cs="Arial"/>
                <w:color w:val="000000" w:themeColor="text1"/>
                <w:szCs w:val="16"/>
              </w:rPr>
            </w:pPr>
            <w:r w:rsidRPr="00781112">
              <w:rPr>
                <w:rFonts w:cs="Arial"/>
                <w:color w:val="000000" w:themeColor="text1"/>
                <w:szCs w:val="16"/>
              </w:rPr>
              <w:t>No Slippage</w:t>
            </w:r>
          </w:p>
        </w:tc>
      </w:tr>
    </w:tbl>
    <w:p w14:paraId="0416C2F1" w14:textId="701A59F0" w:rsidR="00A5601C" w:rsidRPr="00781112" w:rsidRDefault="00A5601C" w:rsidP="007D435F">
      <w:pPr>
        <w:rPr>
          <w:rFonts w:cs="Arial"/>
          <w:b/>
          <w:color w:val="000000" w:themeColor="text1"/>
          <w:szCs w:val="16"/>
        </w:rPr>
      </w:pPr>
      <w:r w:rsidRPr="00781112">
        <w:rPr>
          <w:rFonts w:cs="Arial"/>
          <w:b/>
          <w:color w:val="000000" w:themeColor="text1"/>
          <w:szCs w:val="16"/>
        </w:rPr>
        <w:t>Number of children who served in Part C and referred to Part B for eligibility determination that are not included in b, c, d, e, or f</w:t>
      </w:r>
    </w:p>
    <w:p w14:paraId="621D77AD" w14:textId="2BC90681" w:rsidR="00A5601C" w:rsidRPr="00781112" w:rsidRDefault="00A5601C" w:rsidP="007D435F">
      <w:pPr>
        <w:rPr>
          <w:rFonts w:cs="Arial"/>
          <w:color w:val="000000" w:themeColor="text1"/>
          <w:szCs w:val="16"/>
        </w:rPr>
      </w:pPr>
      <w:r w:rsidRPr="00781112">
        <w:rPr>
          <w:rFonts w:cs="Arial"/>
          <w:color w:val="000000" w:themeColor="text1"/>
          <w:szCs w:val="16"/>
        </w:rPr>
        <w:t>17</w:t>
      </w:r>
    </w:p>
    <w:p w14:paraId="2DB77447" w14:textId="5C5B3699" w:rsidR="00E418E6" w:rsidRPr="00781112" w:rsidRDefault="00326C0B" w:rsidP="006A01BD">
      <w:pPr>
        <w:rPr>
          <w:b/>
          <w:color w:val="000000" w:themeColor="text1"/>
        </w:rPr>
      </w:pPr>
      <w:r w:rsidRPr="00781112">
        <w:rPr>
          <w:b/>
          <w:color w:val="000000" w:themeColor="text1"/>
        </w:rPr>
        <w:t>Account for children included in (a), but not included in b, c, d, e, or f. Indicate the range of days beyond the third birthday when eligibility was determined and the IEP developed, and the reasons for the delays.</w:t>
      </w:r>
    </w:p>
    <w:p w14:paraId="542A680D" w14:textId="2831B065" w:rsidR="00326C0B" w:rsidRPr="00781112" w:rsidRDefault="002B7490" w:rsidP="006A01BD">
      <w:pPr>
        <w:rPr>
          <w:bCs/>
          <w:color w:val="000000" w:themeColor="text1"/>
        </w:rPr>
      </w:pPr>
      <w:r w:rsidRPr="00781112">
        <w:rPr>
          <w:bCs/>
          <w:color w:val="000000" w:themeColor="text1"/>
        </w:rPr>
        <w:t>Four of the 17 students served in Part C and to Part B were determined not eligible after their third birthday, and no IEP was developed.</w:t>
      </w:r>
      <w:r w:rsidRPr="00781112">
        <w:rPr>
          <w:bCs/>
          <w:color w:val="000000" w:themeColor="text1"/>
        </w:rPr>
        <w:br/>
      </w:r>
      <w:r w:rsidRPr="00781112">
        <w:rPr>
          <w:bCs/>
          <w:color w:val="000000" w:themeColor="text1"/>
        </w:rPr>
        <w:br/>
        <w:t>The remaining 13 delays are outlined below:</w:t>
      </w:r>
      <w:r w:rsidRPr="00781112">
        <w:rPr>
          <w:bCs/>
          <w:color w:val="000000" w:themeColor="text1"/>
        </w:rPr>
        <w:br/>
        <w:t>• LEA 1: Six IEPs were completed late due to the need for additional testing. The range of days beyond the third birthday for these six IEPs was 21 to 84 days. Additionally, one IEP was completed late due to the student having a birthday in the summer when the LEA was not in session. This IEP was completed three days beyond the student’s third birthday. The USBE Special Education Preschool Specialist met with the LEA and provided TA on Part C to Part B transition requirements and timelines.</w:t>
      </w:r>
      <w:r w:rsidRPr="00781112">
        <w:rPr>
          <w:bCs/>
          <w:color w:val="000000" w:themeColor="text1"/>
        </w:rPr>
        <w:br/>
        <w:t>• LEA 2: One IEP was completed late due to the LEA holding the IEP meeting after the student’s third birthday. This IEP was completed three days beyond the student’s third birthday. The USBE Special Education Preschool Specialist met with the LEA and provided TA on Part C to Part B transition requirements and timelines.</w:t>
      </w:r>
      <w:r w:rsidRPr="00781112">
        <w:rPr>
          <w:bCs/>
          <w:color w:val="000000" w:themeColor="text1"/>
        </w:rPr>
        <w:br/>
        <w:t>• LEA 3: One IEP was completed late due to the student having a birthday in the summer when the LEA was not in session. This IEP was completed 29 days after the student’s third birthday. The USBE Special Education Preschool Specialist met with the LEA and provided TA on Part C to Part B transition requirements and timelines.</w:t>
      </w:r>
      <w:r w:rsidRPr="00781112">
        <w:rPr>
          <w:bCs/>
          <w:color w:val="000000" w:themeColor="text1"/>
        </w:rPr>
        <w:br/>
        <w:t>• LEA 4: One IEP was completed late due to a late transition meeting with Part C. This IEP was completed 11 days after the student’s third birthday. The USBE Special Education Preschool Specialist met with the LEA and provided TA on Part C to Part B transition requirements and timelines.</w:t>
      </w:r>
      <w:r w:rsidRPr="00781112">
        <w:rPr>
          <w:bCs/>
          <w:color w:val="000000" w:themeColor="text1"/>
        </w:rPr>
        <w:br/>
        <w:t>• LEA 5: Two IEPs were completed late due to the students having a birthday in the summer when the LEA was not in session. Both IEPs were completed eight days beyond the students’ third birthdays. The USBE Special Education Preschool Specialist met with the LEA and provided TA on Part C to Part B transition requirements and timelines.</w:t>
      </w:r>
      <w:r w:rsidRPr="00781112">
        <w:rPr>
          <w:bCs/>
          <w:color w:val="000000" w:themeColor="text1"/>
        </w:rPr>
        <w:br/>
        <w:t>• LEA 6: One IEP was late due to the need for additional testing. This IEP was completed three days beyond the student’s third birthday. The USBE Special Education Preschool Specialist met with the LEA and provided TA on Part C to Part B transition requirements and timelines.</w:t>
      </w:r>
    </w:p>
    <w:p w14:paraId="4BE9E8DB" w14:textId="127EF17F" w:rsidR="00A5601C" w:rsidRPr="00781112" w:rsidRDefault="00326C0B" w:rsidP="006A01BD">
      <w:pPr>
        <w:rPr>
          <w:b/>
          <w:color w:val="000000" w:themeColor="text1"/>
        </w:rPr>
      </w:pPr>
      <w:r w:rsidRPr="00781112">
        <w:rPr>
          <w:b/>
          <w:color w:val="000000" w:themeColor="text1"/>
        </w:rPr>
        <w:t>Attach PDF table (optional)</w:t>
      </w:r>
    </w:p>
    <w:p w14:paraId="79E6A8DD" w14:textId="2B03416C" w:rsidR="00326C0B" w:rsidRPr="00781112" w:rsidRDefault="00326C0B" w:rsidP="006A01BD">
      <w:pPr>
        <w:rPr>
          <w:bCs/>
          <w:color w:val="000000" w:themeColor="text1"/>
        </w:rPr>
      </w:pPr>
      <w:bookmarkStart w:id="80" w:name="_Hlk20318414"/>
      <w:bookmarkEnd w:id="80"/>
    </w:p>
    <w:p w14:paraId="5E057416" w14:textId="77777777" w:rsidR="00A5601C" w:rsidRPr="00781112" w:rsidRDefault="009447A3">
      <w:pPr>
        <w:rPr>
          <w:b/>
          <w:color w:val="000000" w:themeColor="text1"/>
        </w:rPr>
      </w:pPr>
      <w:r w:rsidRPr="00781112">
        <w:rPr>
          <w:b/>
          <w:color w:val="000000" w:themeColor="text1"/>
        </w:rPr>
        <w:t>What is the source of the data provided for this indicator?</w:t>
      </w:r>
    </w:p>
    <w:p w14:paraId="50B7435C" w14:textId="024484CA" w:rsidR="009447A3" w:rsidRPr="00781112" w:rsidRDefault="002B7490" w:rsidP="004369B2">
      <w:pPr>
        <w:rPr>
          <w:color w:val="000000" w:themeColor="text1"/>
        </w:rPr>
      </w:pPr>
      <w:r w:rsidRPr="00781112">
        <w:rPr>
          <w:color w:val="000000" w:themeColor="text1"/>
        </w:rPr>
        <w:t>State database that includes data for the entire reporting year</w:t>
      </w:r>
    </w:p>
    <w:p w14:paraId="4558F99F" w14:textId="77777777" w:rsidR="009447A3" w:rsidRPr="00781112" w:rsidRDefault="009447A3" w:rsidP="004369B2">
      <w:pPr>
        <w:rPr>
          <w:b/>
          <w:color w:val="000000" w:themeColor="text1"/>
        </w:rPr>
      </w:pPr>
      <w:r w:rsidRPr="00781112">
        <w:rPr>
          <w:b/>
          <w:color w:val="000000" w:themeColor="text1"/>
        </w:rPr>
        <w:t xml:space="preserve">Describe the method used to collect these data, and if data are from the State’s monitoring, describe the procedures used to collect these data. </w:t>
      </w:r>
    </w:p>
    <w:p w14:paraId="6C2B5D1A" w14:textId="61019073" w:rsidR="00326C0B" w:rsidRPr="00781112" w:rsidRDefault="002B7490" w:rsidP="008E31C4">
      <w:pPr>
        <w:rPr>
          <w:rFonts w:cs="Arial"/>
          <w:color w:val="000000" w:themeColor="text1"/>
          <w:szCs w:val="16"/>
        </w:rPr>
      </w:pPr>
      <w:r w:rsidRPr="00781112">
        <w:rPr>
          <w:rFonts w:cs="Arial"/>
          <w:color w:val="000000" w:themeColor="text1"/>
          <w:szCs w:val="16"/>
        </w:rPr>
        <w:t xml:space="preserve">The Transition from Early Intervention Data Input (TEDI) program has been fully operational since FFY 2009. TEDI accesses the Part C statewide database daily to obtain a list of all students that meet four criteria: 1) student is 27 months old, 2) has not opted out, 3) is actively enrolled, and 4) is considered potentially eligible for Part B. Student data is transferred to TEDI with student demographic information. As the Part C database transfers a student into TEDI, TEDI then accesses the USBE’s Statewide Student Identifier Database (SSID) to provide that student with a unique identification number that will continue with that student throughout the student's public education experience in Utah. To ensure confidentiality, individual student-level data are only available to school personnel with the appropriate permissions within TEDI. </w:t>
      </w:r>
      <w:r w:rsidRPr="00781112">
        <w:rPr>
          <w:rFonts w:cs="Arial"/>
          <w:color w:val="000000" w:themeColor="text1"/>
          <w:szCs w:val="16"/>
        </w:rPr>
        <w:br/>
      </w:r>
      <w:r w:rsidRPr="00781112">
        <w:rPr>
          <w:rFonts w:cs="Arial"/>
          <w:color w:val="000000" w:themeColor="text1"/>
          <w:szCs w:val="16"/>
        </w:rPr>
        <w:br/>
        <w:t xml:space="preserve">TEDI provides an up-to-date status of the Part C to Part B Transition meeting, the date of the student’s third birthday, and whether the student was found eligible or not eligible. The Part C database and the Part B database (TEDI) share data back and forth daily. Before a student’s file can be closed out in Part C, the provider is required to reconcile data from TEDI to ensure the exit reason is accurately recorded for each student that has been referred to Part B. </w:t>
      </w:r>
      <w:r w:rsidRPr="00781112">
        <w:rPr>
          <w:rFonts w:cs="Arial"/>
          <w:color w:val="000000" w:themeColor="text1"/>
          <w:szCs w:val="16"/>
        </w:rPr>
        <w:br/>
      </w:r>
      <w:r w:rsidRPr="00781112">
        <w:rPr>
          <w:rFonts w:cs="Arial"/>
          <w:color w:val="000000" w:themeColor="text1"/>
          <w:szCs w:val="16"/>
        </w:rPr>
        <w:br/>
        <w:t xml:space="preserve">TEDI provides the USBE and the LEAs with the necessary census data to ensure timely transitions from Part C to Part B. </w:t>
      </w:r>
      <w:proofErr w:type="gramStart"/>
      <w:r w:rsidRPr="00781112">
        <w:rPr>
          <w:rFonts w:cs="Arial"/>
          <w:color w:val="000000" w:themeColor="text1"/>
          <w:szCs w:val="16"/>
        </w:rPr>
        <w:t>These</w:t>
      </w:r>
      <w:proofErr w:type="gramEnd"/>
      <w:r w:rsidRPr="00781112">
        <w:rPr>
          <w:rFonts w:cs="Arial"/>
          <w:color w:val="000000" w:themeColor="text1"/>
          <w:szCs w:val="16"/>
        </w:rPr>
        <w:t xml:space="preserve"> transition data were collected from July 1, 2021, through June 30, 2022. In the process of reviewing LEA data on this indicator, the USBE followed guidance provided in the OSEP 09-02 Memo. Noncompliance with timelines for Indicator 12 (34 CFR § 300.124) is identified during an annual review of the TEDI statewide database by the USBE and included with general supervision data.</w:t>
      </w:r>
    </w:p>
    <w:p w14:paraId="6353DD92" w14:textId="77777777" w:rsidR="00E46206" w:rsidRPr="00781112" w:rsidRDefault="00E46206" w:rsidP="00E46206">
      <w:pPr>
        <w:rPr>
          <w:rFonts w:cs="Arial"/>
          <w:b/>
          <w:color w:val="000000" w:themeColor="text1"/>
          <w:szCs w:val="16"/>
        </w:rPr>
      </w:pPr>
      <w:r w:rsidRPr="00781112">
        <w:rPr>
          <w:rFonts w:cs="Arial"/>
          <w:b/>
          <w:color w:val="000000" w:themeColor="text1"/>
          <w:szCs w:val="16"/>
        </w:rPr>
        <w:t>Provide additional information about this indicator (optional)</w:t>
      </w:r>
    </w:p>
    <w:p w14:paraId="7201221D" w14:textId="686A034C" w:rsidR="00326C0B" w:rsidRPr="00781112" w:rsidRDefault="002B7490" w:rsidP="007D435F">
      <w:pPr>
        <w:rPr>
          <w:rFonts w:cs="Arial"/>
          <w:color w:val="000000" w:themeColor="text1"/>
          <w:szCs w:val="16"/>
        </w:rPr>
      </w:pPr>
      <w:r w:rsidRPr="00781112">
        <w:rPr>
          <w:rFonts w:cs="Arial"/>
          <w:color w:val="000000" w:themeColor="text1"/>
          <w:szCs w:val="16"/>
        </w:rPr>
        <w:t xml:space="preserve">During the 2021 APR Summit, a review of baselines for Indicator 12 was conducted to determine if baselines should remain or be updated. Consideration was given </w:t>
      </w:r>
      <w:proofErr w:type="gramStart"/>
      <w:r w:rsidRPr="00781112">
        <w:rPr>
          <w:rFonts w:cs="Arial"/>
          <w:color w:val="000000" w:themeColor="text1"/>
          <w:szCs w:val="16"/>
        </w:rPr>
        <w:t>for</w:t>
      </w:r>
      <w:proofErr w:type="gramEnd"/>
      <w:r w:rsidRPr="00781112">
        <w:rPr>
          <w:rFonts w:cs="Arial"/>
          <w:color w:val="000000" w:themeColor="text1"/>
          <w:szCs w:val="16"/>
        </w:rPr>
        <w:t xml:space="preserve"> the impact of COVID-19. Stakeholders reviewed historical data and projections for where the State would be in 2025–2026 if all things stayed the same. Choosing a baseline from a year prior to COVID-19 reflects Utah student abilities in a typical school year and was determined to be appropriate.  </w:t>
      </w:r>
      <w:r w:rsidRPr="00781112">
        <w:rPr>
          <w:rFonts w:cs="Arial"/>
          <w:color w:val="000000" w:themeColor="text1"/>
          <w:szCs w:val="16"/>
        </w:rPr>
        <w:br/>
      </w:r>
      <w:r w:rsidRPr="00781112">
        <w:rPr>
          <w:rFonts w:cs="Arial"/>
          <w:color w:val="000000" w:themeColor="text1"/>
          <w:szCs w:val="16"/>
        </w:rPr>
        <w:lastRenderedPageBreak/>
        <w:br/>
        <w:t xml:space="preserve">Noncompliance identified for Indicator 12 is reported to OSEP upon identification. The LEA is notified as soon as possible of findings of noncompliance, and, in no case, longer than three months after discovery. LEAs are not </w:t>
      </w:r>
      <w:proofErr w:type="gramStart"/>
      <w:r w:rsidRPr="00781112">
        <w:rPr>
          <w:rFonts w:cs="Arial"/>
          <w:color w:val="000000" w:themeColor="text1"/>
          <w:szCs w:val="16"/>
        </w:rPr>
        <w:t>provided</w:t>
      </w:r>
      <w:proofErr w:type="gramEnd"/>
      <w:r w:rsidRPr="00781112">
        <w:rPr>
          <w:rFonts w:cs="Arial"/>
          <w:color w:val="000000" w:themeColor="text1"/>
          <w:szCs w:val="16"/>
        </w:rPr>
        <w:t xml:space="preserve"> an opportunity to correct the noncompliance before the finding is issued.</w:t>
      </w:r>
    </w:p>
    <w:p w14:paraId="4E94D02C" w14:textId="77777777" w:rsidR="009C5AE7" w:rsidRPr="00781112" w:rsidRDefault="009C5AE7" w:rsidP="004369B2">
      <w:pPr>
        <w:rPr>
          <w:color w:val="000000" w:themeColor="text1"/>
        </w:rPr>
      </w:pPr>
    </w:p>
    <w:p w14:paraId="7740DC21" w14:textId="791A6EF5" w:rsidR="009A755E" w:rsidRPr="00781112" w:rsidRDefault="00450F98" w:rsidP="004369B2">
      <w:pPr>
        <w:rPr>
          <w:color w:val="000000" w:themeColor="text1"/>
        </w:rPr>
      </w:pPr>
      <w:r>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B12PFFYNCFINDINGS"/>
      </w:tblPr>
      <w:tblGrid>
        <w:gridCol w:w="2650"/>
        <w:gridCol w:w="2780"/>
        <w:gridCol w:w="2656"/>
        <w:gridCol w:w="2704"/>
      </w:tblGrid>
      <w:tr w:rsidR="005C29F8" w:rsidRPr="00781112" w14:paraId="716024C7" w14:textId="77777777" w:rsidTr="00455889">
        <w:trPr>
          <w:trHeight w:val="389"/>
          <w:tblHeader/>
        </w:trPr>
        <w:tc>
          <w:tcPr>
            <w:tcW w:w="1228" w:type="pct"/>
            <w:shd w:val="clear" w:color="auto" w:fill="auto"/>
            <w:vAlign w:val="bottom"/>
          </w:tcPr>
          <w:p w14:paraId="0E49E3D0"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Identified</w:t>
            </w:r>
          </w:p>
        </w:tc>
        <w:tc>
          <w:tcPr>
            <w:tcW w:w="1288" w:type="pct"/>
            <w:shd w:val="clear" w:color="auto" w:fill="auto"/>
            <w:vAlign w:val="bottom"/>
          </w:tcPr>
          <w:p w14:paraId="43B565EC"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31" w:type="pct"/>
            <w:shd w:val="clear" w:color="auto" w:fill="auto"/>
            <w:vAlign w:val="bottom"/>
          </w:tcPr>
          <w:p w14:paraId="2113F3E4"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254" w:type="pct"/>
            <w:shd w:val="clear" w:color="auto" w:fill="auto"/>
            <w:vAlign w:val="bottom"/>
          </w:tcPr>
          <w:p w14:paraId="15802D8D"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5362EE0E" w14:textId="77777777" w:rsidTr="00455889">
        <w:tc>
          <w:tcPr>
            <w:tcW w:w="1228" w:type="pct"/>
            <w:shd w:val="clear" w:color="auto" w:fill="auto"/>
          </w:tcPr>
          <w:p w14:paraId="106FED18" w14:textId="3538FD80" w:rsidR="009A755E" w:rsidRPr="00781112" w:rsidRDefault="002B7490" w:rsidP="00A018D4">
            <w:pPr>
              <w:jc w:val="center"/>
              <w:rPr>
                <w:rFonts w:cs="Arial"/>
                <w:color w:val="000000" w:themeColor="text1"/>
                <w:szCs w:val="16"/>
              </w:rPr>
            </w:pPr>
            <w:r w:rsidRPr="00781112">
              <w:rPr>
                <w:rFonts w:cs="Arial"/>
                <w:color w:val="000000" w:themeColor="text1"/>
                <w:szCs w:val="16"/>
              </w:rPr>
              <w:t>75</w:t>
            </w:r>
          </w:p>
        </w:tc>
        <w:tc>
          <w:tcPr>
            <w:tcW w:w="1288" w:type="pct"/>
            <w:shd w:val="clear" w:color="auto" w:fill="auto"/>
          </w:tcPr>
          <w:p w14:paraId="30E75C81" w14:textId="5263D718" w:rsidR="009A755E" w:rsidRPr="00781112" w:rsidRDefault="002B7490" w:rsidP="00A018D4">
            <w:pPr>
              <w:jc w:val="center"/>
              <w:rPr>
                <w:rFonts w:cs="Arial"/>
                <w:color w:val="000000" w:themeColor="text1"/>
                <w:szCs w:val="16"/>
              </w:rPr>
            </w:pPr>
            <w:r w:rsidRPr="00781112">
              <w:rPr>
                <w:rFonts w:cs="Arial"/>
                <w:color w:val="000000" w:themeColor="text1"/>
                <w:szCs w:val="16"/>
              </w:rPr>
              <w:t>75</w:t>
            </w:r>
          </w:p>
        </w:tc>
        <w:tc>
          <w:tcPr>
            <w:tcW w:w="1231" w:type="pct"/>
            <w:shd w:val="clear" w:color="auto" w:fill="auto"/>
          </w:tcPr>
          <w:p w14:paraId="36D48FD7" w14:textId="2F6E80E6"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54" w:type="pct"/>
            <w:shd w:val="clear" w:color="auto" w:fill="auto"/>
          </w:tcPr>
          <w:p w14:paraId="139EEFD1" w14:textId="6A5591D3"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r>
    </w:tbl>
    <w:p w14:paraId="155373B8" w14:textId="06928F75" w:rsidR="009A755E" w:rsidRPr="00781112" w:rsidRDefault="00450F98" w:rsidP="004369B2">
      <w:pPr>
        <w:rPr>
          <w:color w:val="000000" w:themeColor="text1"/>
        </w:rPr>
      </w:pPr>
      <w:r>
        <w:rPr>
          <w:b/>
          <w:color w:val="000000" w:themeColor="text1"/>
        </w:rPr>
        <w:t>FFY 2020 Findings of Noncompliance Verified as Corrected</w:t>
      </w:r>
    </w:p>
    <w:p w14:paraId="3D8B0B26" w14:textId="565C69B4"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the source of noncompliance is correctly implementing the </w:t>
      </w:r>
      <w:r w:rsidRPr="00781112">
        <w:rPr>
          <w:rFonts w:cs="Arial"/>
          <w:b/>
          <w:i/>
          <w:color w:val="000000" w:themeColor="text1"/>
          <w:szCs w:val="16"/>
        </w:rPr>
        <w:t>regulatory requirements</w:t>
      </w:r>
    </w:p>
    <w:p w14:paraId="7669CC58" w14:textId="38E853B3" w:rsidR="00326C0B" w:rsidRPr="00781112" w:rsidRDefault="002B7490" w:rsidP="009A755E">
      <w:pPr>
        <w:rPr>
          <w:rFonts w:cs="Arial"/>
          <w:color w:val="000000" w:themeColor="text1"/>
          <w:szCs w:val="16"/>
        </w:rPr>
      </w:pPr>
      <w:r w:rsidRPr="00781112">
        <w:rPr>
          <w:rFonts w:cs="Arial"/>
          <w:color w:val="000000" w:themeColor="text1"/>
          <w:szCs w:val="16"/>
        </w:rPr>
        <w:t>In FFY 2020, 75 students were not evaluated for Part B prior to their third birthdays. For 51 of the 75 students, the IEP was completed after the students' third birthdays due to LEAs being unable to complete eligibility assessments because of COVID-19 school closures. When possible, transition meetings were held remotely to discuss assessment procedures with families. Part C assessment data was considered for Part B eligibility if the assessment data met Part B criteria and was current. For these students, assessments were completed when the USBE and LEA deemed it safe to complete assessments in-person. All IEPs impacted by the COVID-19 school closures have been completed. Twelve of the 75 students were referred to Part B for eligibility determination and were determined not eligible after their third birthday, and no IEP was developed. For the remaining 12 students, delays were not attributed to the COVID-19 school closures. The USBE required the LEA policies be updated. The USBE Preschool Special Education Specialist has reviewed the updated policies and confirmed they are now compliant. The USBE Preschool Special Education Specialist also provided TA to each LEA that was issued findings of noncompliance. Additionally, the USBE Preschool Special Education Specialist reviewed additional files, verified that all additional files were compliant, and that all identified LEAS are correctly implementing the regulatory requirements.</w:t>
      </w:r>
    </w:p>
    <w:p w14:paraId="1F3D7853" w14:textId="324FF78E"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each </w:t>
      </w:r>
      <w:r w:rsidRPr="00781112">
        <w:rPr>
          <w:rFonts w:cs="Arial"/>
          <w:b/>
          <w:i/>
          <w:color w:val="000000" w:themeColor="text1"/>
          <w:szCs w:val="16"/>
        </w:rPr>
        <w:t>individual case</w:t>
      </w:r>
      <w:r w:rsidRPr="00781112">
        <w:rPr>
          <w:rFonts w:cs="Arial"/>
          <w:b/>
          <w:color w:val="000000" w:themeColor="text1"/>
          <w:szCs w:val="16"/>
        </w:rPr>
        <w:t xml:space="preserve"> of noncompliance was corrected</w:t>
      </w:r>
    </w:p>
    <w:p w14:paraId="0E95D025" w14:textId="78E1AA95" w:rsidR="00326C0B" w:rsidRPr="00781112" w:rsidRDefault="002B7490" w:rsidP="009A755E">
      <w:pPr>
        <w:rPr>
          <w:rFonts w:cs="Arial"/>
          <w:color w:val="000000" w:themeColor="text1"/>
          <w:szCs w:val="16"/>
        </w:rPr>
      </w:pPr>
      <w:r w:rsidRPr="00781112">
        <w:rPr>
          <w:rFonts w:cs="Arial"/>
          <w:color w:val="000000" w:themeColor="text1"/>
          <w:szCs w:val="16"/>
        </w:rPr>
        <w:t>The USBE Special Education Preschool Specialist reviewed the data in the TEDI system to verify each individual case of noncompliance was corrected to ensure students were evaluated for special education eligibility and, if determined eligible, had an IEP implemented as soon as possible, and, in no case, later than one year. All IEPs were completed by the submission date of the FFY 2020 APR.</w:t>
      </w:r>
    </w:p>
    <w:p w14:paraId="1A909BBB" w14:textId="77777777" w:rsidR="00455889" w:rsidRPr="00781112" w:rsidRDefault="00455889" w:rsidP="004369B2">
      <w:pPr>
        <w:rPr>
          <w:color w:val="000000" w:themeColor="text1"/>
        </w:rPr>
      </w:pPr>
    </w:p>
    <w:p w14:paraId="1C75EC2F" w14:textId="4696C433" w:rsidR="009A755E" w:rsidRPr="00781112" w:rsidRDefault="00450F98" w:rsidP="004369B2">
      <w:pPr>
        <w:rPr>
          <w:color w:val="000000" w:themeColor="text1"/>
        </w:rPr>
      </w:pPr>
      <w:r>
        <w:rPr>
          <w:b/>
          <w:color w:val="000000" w:themeColor="text1"/>
        </w:rPr>
        <w:t>Correction of Findings of Noncompliance Identified Prior to FFY 2020</w:t>
      </w:r>
    </w:p>
    <w:tbl>
      <w:tblPr>
        <w:tblStyle w:val="TableGrid"/>
        <w:tblW w:w="5000" w:type="pct"/>
        <w:tblLook w:val="04A0" w:firstRow="1" w:lastRow="0" w:firstColumn="1" w:lastColumn="0" w:noHBand="0" w:noVBand="1"/>
        <w:tblCaption w:val="B12PPFFYNCFINDINGS"/>
      </w:tblPr>
      <w:tblGrid>
        <w:gridCol w:w="2192"/>
        <w:gridCol w:w="2935"/>
        <w:gridCol w:w="2924"/>
        <w:gridCol w:w="2739"/>
      </w:tblGrid>
      <w:tr w:rsidR="005C29F8" w:rsidRPr="00781112" w14:paraId="4192A257" w14:textId="77777777" w:rsidTr="00AB0D6A">
        <w:trPr>
          <w:tblHeader/>
        </w:trPr>
        <w:tc>
          <w:tcPr>
            <w:tcW w:w="1016" w:type="pct"/>
            <w:shd w:val="clear" w:color="auto" w:fill="auto"/>
            <w:vAlign w:val="bottom"/>
          </w:tcPr>
          <w:p w14:paraId="72F29034" w14:textId="1B3341B8" w:rsidR="009A755E" w:rsidRPr="00781112" w:rsidRDefault="003A4027" w:rsidP="009A755E">
            <w:pPr>
              <w:jc w:val="center"/>
              <w:rPr>
                <w:rFonts w:cs="Arial"/>
                <w:b/>
                <w:color w:val="000000" w:themeColor="text1"/>
                <w:szCs w:val="16"/>
              </w:rPr>
            </w:pPr>
            <w:r w:rsidRPr="00781112">
              <w:rPr>
                <w:rFonts w:cs="Arial"/>
                <w:b/>
                <w:color w:val="000000" w:themeColor="text1"/>
                <w:szCs w:val="16"/>
              </w:rPr>
              <w:t>Year Findings of Noncompliance Were Identified</w:t>
            </w:r>
          </w:p>
        </w:tc>
        <w:tc>
          <w:tcPr>
            <w:tcW w:w="1360" w:type="pct"/>
            <w:shd w:val="clear" w:color="auto" w:fill="auto"/>
            <w:vAlign w:val="bottom"/>
          </w:tcPr>
          <w:p w14:paraId="5E92FF85" w14:textId="20F1B69A" w:rsidR="009A755E" w:rsidRPr="00781112" w:rsidRDefault="00450F98" w:rsidP="009A755E">
            <w:pPr>
              <w:jc w:val="center"/>
              <w:rPr>
                <w:rFonts w:cs="Arial"/>
                <w:b/>
                <w:color w:val="000000" w:themeColor="text1"/>
                <w:szCs w:val="16"/>
              </w:rPr>
            </w:pPr>
            <w:r>
              <w:rPr>
                <w:rFonts w:cs="Arial"/>
                <w:b/>
                <w:color w:val="000000" w:themeColor="text1"/>
                <w:szCs w:val="16"/>
              </w:rPr>
              <w:t>Findings of Noncompliance Not Yet Verified as Corrected as of FFY 2020 APR</w:t>
            </w:r>
          </w:p>
        </w:tc>
        <w:tc>
          <w:tcPr>
            <w:tcW w:w="1355" w:type="pct"/>
            <w:shd w:val="clear" w:color="auto" w:fill="auto"/>
            <w:vAlign w:val="bottom"/>
          </w:tcPr>
          <w:p w14:paraId="4861690F"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269" w:type="pct"/>
            <w:shd w:val="clear" w:color="auto" w:fill="auto"/>
            <w:vAlign w:val="bottom"/>
          </w:tcPr>
          <w:p w14:paraId="5C0832D3"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204865EB" w14:textId="77777777" w:rsidTr="00AB0D6A">
        <w:tc>
          <w:tcPr>
            <w:tcW w:w="1016" w:type="pct"/>
            <w:shd w:val="clear" w:color="auto" w:fill="auto"/>
          </w:tcPr>
          <w:p w14:paraId="316ACDB5" w14:textId="541F250F" w:rsidR="009A755E" w:rsidRPr="00781112" w:rsidRDefault="009A755E" w:rsidP="00A018D4">
            <w:pPr>
              <w:jc w:val="center"/>
              <w:rPr>
                <w:rFonts w:cs="Arial"/>
                <w:color w:val="000000" w:themeColor="text1"/>
                <w:szCs w:val="16"/>
              </w:rPr>
            </w:pPr>
          </w:p>
        </w:tc>
        <w:tc>
          <w:tcPr>
            <w:tcW w:w="1360" w:type="pct"/>
            <w:shd w:val="clear" w:color="auto" w:fill="auto"/>
          </w:tcPr>
          <w:p w14:paraId="69625405" w14:textId="789965CC" w:rsidR="009A755E" w:rsidRPr="00781112" w:rsidRDefault="009A755E">
            <w:pPr>
              <w:jc w:val="center"/>
              <w:rPr>
                <w:rFonts w:cs="Arial"/>
                <w:noProof/>
                <w:color w:val="000000" w:themeColor="text1"/>
                <w:szCs w:val="16"/>
              </w:rPr>
            </w:pPr>
          </w:p>
        </w:tc>
        <w:tc>
          <w:tcPr>
            <w:tcW w:w="1355" w:type="pct"/>
            <w:shd w:val="clear" w:color="auto" w:fill="auto"/>
          </w:tcPr>
          <w:p w14:paraId="7C3E37A7" w14:textId="61202FB3" w:rsidR="009A755E" w:rsidRPr="00781112" w:rsidRDefault="009A755E">
            <w:pPr>
              <w:jc w:val="center"/>
              <w:rPr>
                <w:rFonts w:cs="Arial"/>
                <w:noProof/>
                <w:color w:val="000000" w:themeColor="text1"/>
                <w:szCs w:val="16"/>
              </w:rPr>
            </w:pPr>
          </w:p>
        </w:tc>
        <w:tc>
          <w:tcPr>
            <w:tcW w:w="1269" w:type="pct"/>
            <w:shd w:val="clear" w:color="auto" w:fill="auto"/>
          </w:tcPr>
          <w:p w14:paraId="79E9FAD3" w14:textId="3428603A" w:rsidR="009A755E" w:rsidRPr="00781112" w:rsidRDefault="009A755E">
            <w:pPr>
              <w:jc w:val="center"/>
              <w:rPr>
                <w:rFonts w:cs="Arial"/>
                <w:noProof/>
                <w:color w:val="000000" w:themeColor="text1"/>
                <w:szCs w:val="16"/>
              </w:rPr>
            </w:pPr>
          </w:p>
        </w:tc>
      </w:tr>
      <w:tr w:rsidR="005C29F8" w:rsidRPr="00781112" w14:paraId="7F75F2C7" w14:textId="77777777" w:rsidTr="00AB0D6A">
        <w:tc>
          <w:tcPr>
            <w:tcW w:w="1016" w:type="pct"/>
            <w:shd w:val="clear" w:color="auto" w:fill="auto"/>
          </w:tcPr>
          <w:p w14:paraId="147AA631" w14:textId="76843337" w:rsidR="009A755E" w:rsidRPr="00781112" w:rsidRDefault="009A755E" w:rsidP="00A018D4">
            <w:pPr>
              <w:jc w:val="center"/>
              <w:rPr>
                <w:rFonts w:cs="Arial"/>
                <w:color w:val="000000" w:themeColor="text1"/>
                <w:szCs w:val="16"/>
              </w:rPr>
            </w:pPr>
          </w:p>
        </w:tc>
        <w:tc>
          <w:tcPr>
            <w:tcW w:w="1360" w:type="pct"/>
            <w:shd w:val="clear" w:color="auto" w:fill="auto"/>
          </w:tcPr>
          <w:p w14:paraId="404653A8" w14:textId="163A8B38" w:rsidR="009A755E" w:rsidRPr="00781112" w:rsidRDefault="009A755E">
            <w:pPr>
              <w:jc w:val="center"/>
              <w:rPr>
                <w:rFonts w:cs="Arial"/>
                <w:noProof/>
                <w:color w:val="000000" w:themeColor="text1"/>
                <w:szCs w:val="16"/>
              </w:rPr>
            </w:pPr>
          </w:p>
        </w:tc>
        <w:tc>
          <w:tcPr>
            <w:tcW w:w="1355" w:type="pct"/>
            <w:shd w:val="clear" w:color="auto" w:fill="auto"/>
          </w:tcPr>
          <w:p w14:paraId="6504342A" w14:textId="13575C8A" w:rsidR="009A755E" w:rsidRPr="00781112" w:rsidRDefault="009A755E">
            <w:pPr>
              <w:jc w:val="center"/>
              <w:rPr>
                <w:rFonts w:cs="Arial"/>
                <w:noProof/>
                <w:color w:val="000000" w:themeColor="text1"/>
                <w:szCs w:val="16"/>
              </w:rPr>
            </w:pPr>
          </w:p>
        </w:tc>
        <w:tc>
          <w:tcPr>
            <w:tcW w:w="1269" w:type="pct"/>
            <w:shd w:val="clear" w:color="auto" w:fill="auto"/>
          </w:tcPr>
          <w:p w14:paraId="6D520AD1" w14:textId="4947031C" w:rsidR="009A755E" w:rsidRPr="00781112" w:rsidRDefault="009A755E">
            <w:pPr>
              <w:jc w:val="center"/>
              <w:rPr>
                <w:rFonts w:cs="Arial"/>
                <w:noProof/>
                <w:color w:val="000000" w:themeColor="text1"/>
                <w:szCs w:val="16"/>
              </w:rPr>
            </w:pPr>
          </w:p>
        </w:tc>
      </w:tr>
      <w:tr w:rsidR="005C29F8" w:rsidRPr="00781112" w14:paraId="2D4810B4" w14:textId="77777777" w:rsidTr="00AB0D6A">
        <w:tc>
          <w:tcPr>
            <w:tcW w:w="1016" w:type="pct"/>
            <w:shd w:val="clear" w:color="auto" w:fill="auto"/>
          </w:tcPr>
          <w:p w14:paraId="6AEFAA10" w14:textId="16E2E3E6" w:rsidR="009A755E" w:rsidRPr="00781112" w:rsidRDefault="009A755E" w:rsidP="00A018D4">
            <w:pPr>
              <w:jc w:val="center"/>
              <w:rPr>
                <w:rFonts w:cs="Arial"/>
                <w:color w:val="000000" w:themeColor="text1"/>
                <w:szCs w:val="16"/>
              </w:rPr>
            </w:pPr>
          </w:p>
        </w:tc>
        <w:tc>
          <w:tcPr>
            <w:tcW w:w="1360" w:type="pct"/>
            <w:shd w:val="clear" w:color="auto" w:fill="auto"/>
          </w:tcPr>
          <w:p w14:paraId="075C05B4" w14:textId="1672B0AC" w:rsidR="009A755E" w:rsidRPr="00781112" w:rsidRDefault="009A755E">
            <w:pPr>
              <w:jc w:val="center"/>
              <w:rPr>
                <w:rFonts w:cs="Arial"/>
                <w:noProof/>
                <w:color w:val="000000" w:themeColor="text1"/>
                <w:szCs w:val="16"/>
              </w:rPr>
            </w:pPr>
          </w:p>
        </w:tc>
        <w:tc>
          <w:tcPr>
            <w:tcW w:w="1355" w:type="pct"/>
            <w:shd w:val="clear" w:color="auto" w:fill="auto"/>
          </w:tcPr>
          <w:p w14:paraId="70536E6E" w14:textId="5BE8198D" w:rsidR="009A755E" w:rsidRPr="00781112" w:rsidRDefault="009A755E">
            <w:pPr>
              <w:jc w:val="center"/>
              <w:rPr>
                <w:rFonts w:cs="Arial"/>
                <w:noProof/>
                <w:color w:val="000000" w:themeColor="text1"/>
                <w:szCs w:val="16"/>
              </w:rPr>
            </w:pPr>
          </w:p>
        </w:tc>
        <w:tc>
          <w:tcPr>
            <w:tcW w:w="1269" w:type="pct"/>
            <w:shd w:val="clear" w:color="auto" w:fill="auto"/>
          </w:tcPr>
          <w:p w14:paraId="4BC059F6" w14:textId="5DCA531E" w:rsidR="009A755E" w:rsidRPr="00781112" w:rsidRDefault="009A755E">
            <w:pPr>
              <w:jc w:val="center"/>
              <w:rPr>
                <w:rFonts w:cs="Arial"/>
                <w:noProof/>
                <w:color w:val="000000" w:themeColor="text1"/>
                <w:szCs w:val="16"/>
              </w:rPr>
            </w:pPr>
          </w:p>
        </w:tc>
      </w:tr>
    </w:tbl>
    <w:p w14:paraId="2F3E7ED0" w14:textId="1BDCCC61" w:rsidR="004E2151" w:rsidRPr="00781112" w:rsidRDefault="00056350" w:rsidP="00123D76">
      <w:pPr>
        <w:pStyle w:val="Heading2"/>
      </w:pPr>
      <w:r w:rsidRPr="00781112">
        <w:t>12</w:t>
      </w:r>
      <w:r w:rsidR="004838A4" w:rsidRPr="00781112">
        <w:t xml:space="preserve"> </w:t>
      </w:r>
      <w:r w:rsidRPr="00781112">
        <w:t xml:space="preserve">- </w:t>
      </w:r>
      <w:r w:rsidR="004E2151" w:rsidRPr="00781112">
        <w:t>Prior FFY Required Actions</w:t>
      </w:r>
    </w:p>
    <w:p w14:paraId="3D03A210" w14:textId="19033EA5" w:rsidR="009F69E7" w:rsidRPr="00781112" w:rsidRDefault="002B7490" w:rsidP="004E2151">
      <w:pPr>
        <w:rPr>
          <w:rFonts w:cs="Arial"/>
          <w:color w:val="000000" w:themeColor="text1"/>
          <w:szCs w:val="16"/>
        </w:rPr>
      </w:pPr>
      <w:r w:rsidRPr="00781112">
        <w:rPr>
          <w:rFonts w:cs="Arial"/>
          <w:color w:val="000000" w:themeColor="text1"/>
          <w:szCs w:val="16"/>
        </w:rPr>
        <w:t>Because the State reported less than 100% compliance for FFY 2020, the State must report on the status of correction of noncompliance identified in FFY 2020 for this indicator. When reporting on the correction of noncompliance, the State must report, in the FFY 2021 SPP/APR, that it has verified that each LEA with noncompliance identified in FFY 2020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LEA, consistent with OSEP Memo 09-02.  In the FFY 2021 SPP/APR, the State must describe the specific actions that were taken to verify the correction.</w:t>
      </w:r>
      <w:r w:rsidRPr="00781112">
        <w:rPr>
          <w:rFonts w:cs="Arial"/>
          <w:color w:val="000000" w:themeColor="text1"/>
          <w:szCs w:val="16"/>
        </w:rPr>
        <w:br/>
        <w:t>If the State did not identify any findings of noncompliance in FFY 2020, although its FFY 2020 data reflect less than 100% compliance, provide an explanation of why the State did not identify any findings of noncompliance in FFY 2020.</w:t>
      </w:r>
      <w:r w:rsidRPr="00781112">
        <w:rPr>
          <w:rFonts w:cs="Arial"/>
          <w:color w:val="000000" w:themeColor="text1"/>
          <w:szCs w:val="16"/>
        </w:rPr>
        <w:br/>
      </w:r>
      <w:r w:rsidRPr="00781112">
        <w:rPr>
          <w:rFonts w:cs="Arial"/>
          <w:color w:val="000000" w:themeColor="text1"/>
          <w:szCs w:val="16"/>
        </w:rPr>
        <w:br/>
        <w:t>In addition, the State must demonstrate, in the FFY 2021 SPP/APR, that each LEA corrected the findings of noncompliance identified in FFY 2019 and verified correction of those findings consistent with OSEP Memo 09-02. When reporting on the correction of noncompliance, the State must report, in the FFY 2021 SPP/APR, that it has verified that each LEA with noncompliance identified in FFY 2019: (1) is correctly implementing the specific regulatory requirements (i.e., achieved 100% compliance) based on a review of updated data such as data subsequently collected through on-site monitoring or a State data system.</w:t>
      </w:r>
    </w:p>
    <w:p w14:paraId="3F84A4E0" w14:textId="73F6FA79" w:rsidR="004E2151" w:rsidRPr="00781112" w:rsidRDefault="007639D7" w:rsidP="004369B2">
      <w:pPr>
        <w:rPr>
          <w:b/>
          <w:color w:val="000000" w:themeColor="text1"/>
        </w:rPr>
      </w:pPr>
      <w:r>
        <w:rPr>
          <w:b/>
          <w:color w:val="000000" w:themeColor="text1"/>
        </w:rPr>
        <w:t>Response to actions required in FFY 2020 SPP/APR</w:t>
      </w:r>
    </w:p>
    <w:p w14:paraId="5EB5FDCA" w14:textId="5CB823AF" w:rsidR="004E2151" w:rsidRPr="00781112" w:rsidRDefault="002B7490" w:rsidP="004E2151">
      <w:pPr>
        <w:rPr>
          <w:rFonts w:cs="Arial"/>
          <w:color w:val="000000" w:themeColor="text1"/>
          <w:szCs w:val="16"/>
        </w:rPr>
      </w:pPr>
      <w:r w:rsidRPr="00781112">
        <w:rPr>
          <w:rFonts w:cs="Arial"/>
          <w:color w:val="000000" w:themeColor="text1"/>
          <w:szCs w:val="16"/>
        </w:rPr>
        <w:t>The USBE SES reported on the status of correction of noncompliance identified in FFY 2020 for this indicator in the "Correction of Findings of Noncompliance Identified in FFY 2020" and "FFY 2020 Findings of Noncompliance Verified as Corrected" sections of the FFY 2021 SPP/APR.</w:t>
      </w:r>
      <w:r w:rsidRPr="00781112">
        <w:rPr>
          <w:rFonts w:cs="Arial"/>
          <w:color w:val="000000" w:themeColor="text1"/>
          <w:szCs w:val="16"/>
        </w:rPr>
        <w:br/>
      </w:r>
      <w:r w:rsidRPr="00781112">
        <w:rPr>
          <w:rFonts w:cs="Arial"/>
          <w:color w:val="000000" w:themeColor="text1"/>
          <w:szCs w:val="16"/>
        </w:rPr>
        <w:br/>
        <w:t xml:space="preserve">In FFY 2019, 128 students were not evaluated for Part B prior to their third birthdays. Of those students, 126 were not evaluated due to school closures related to COVID-19. The remaining two students were not evaluated due to noncompliant LEA policies. The USBE required the LEA policies be updated. The USBE Preschool Special Education Specialist reviewed the updated policies and confirmed they are now compliant. The USBE Preschool Special Education Specialist also provided technical assistance to each LEA that was issued findings of noncompliance. Due to the school closures related to the COVID-19 pandemic, these sessions were completed virtually with LEA leadership. Additionally, the USBE Preschool Special Education Specialist reviewed additional files in each identified LEA and verified that regulatory requirements were being correctly implemented. The USBE Special Education Preschool Specialist reviewed the data in the TEDI system to verify each individual case of noncompliance was corrected to ensure students were evaluated for special education eligibility, and ensured an IEP was developed and implemented as soon as possible, and, in no case later, than one year. All IEPs impacted by the spring/summer 2020 COVID-19 school closures were completed by the submission date of the FFY 2019 APR. </w:t>
      </w:r>
    </w:p>
    <w:p w14:paraId="29993C29" w14:textId="00995379" w:rsidR="007F5071" w:rsidRPr="00781112" w:rsidRDefault="00056350" w:rsidP="00123D76">
      <w:pPr>
        <w:pStyle w:val="Heading2"/>
      </w:pPr>
      <w:r w:rsidRPr="00781112">
        <w:t>12 - OSEP Response</w:t>
      </w:r>
    </w:p>
    <w:p w14:paraId="25E9178D" w14:textId="14A4C34F" w:rsidR="00326C0B" w:rsidRPr="00781112" w:rsidRDefault="00326C0B" w:rsidP="00212954">
      <w:pPr>
        <w:rPr>
          <w:rFonts w:cs="Arial"/>
          <w:color w:val="000000" w:themeColor="text1"/>
          <w:szCs w:val="16"/>
        </w:rPr>
      </w:pPr>
    </w:p>
    <w:p w14:paraId="06759F0A" w14:textId="1523FF35" w:rsidR="007F5071" w:rsidRPr="00781112" w:rsidRDefault="00056350" w:rsidP="00123D76">
      <w:pPr>
        <w:pStyle w:val="Heading2"/>
      </w:pPr>
      <w:r w:rsidRPr="00781112">
        <w:lastRenderedPageBreak/>
        <w:t>12 - Required Actions</w:t>
      </w:r>
    </w:p>
    <w:p w14:paraId="57889B20" w14:textId="73162143" w:rsidR="00326C0B" w:rsidRPr="00781112" w:rsidRDefault="002B7490" w:rsidP="00212954">
      <w:pPr>
        <w:rPr>
          <w:rFonts w:cs="Arial"/>
          <w:color w:val="000000" w:themeColor="text1"/>
          <w:szCs w:val="16"/>
        </w:rPr>
      </w:pPr>
      <w:r w:rsidRPr="00781112">
        <w:rPr>
          <w:rFonts w:cs="Arial"/>
          <w:color w:val="000000" w:themeColor="text1"/>
          <w:szCs w:val="16"/>
        </w:rPr>
        <w:t>Because the State reported less than 100% compliance for FFY 2021, the State must report on the status of correction of noncompliance identified in FFY 2021 for this indicator. When reporting on the correction of noncompliance, the State must report, in the FFY 2022 SPP/APR, that it has verified that each LEA with noncompliance identified in FFY 2021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LEA, consistent with OSEP Memo 09-02.  In the FFY 2022 SPP/APR, the State must describe the specific actions that were taken to verify the correction.</w:t>
      </w:r>
      <w:r w:rsidRPr="00781112">
        <w:rPr>
          <w:rFonts w:cs="Arial"/>
          <w:color w:val="000000" w:themeColor="text1"/>
          <w:szCs w:val="16"/>
        </w:rPr>
        <w:br/>
      </w:r>
      <w:r w:rsidRPr="00781112">
        <w:rPr>
          <w:rFonts w:cs="Arial"/>
          <w:color w:val="000000" w:themeColor="text1"/>
          <w:szCs w:val="16"/>
        </w:rPr>
        <w:br/>
        <w:t>If the State did not identify any findings of noncompliance in FFY 2021, although its FFY 2021 data reflect less than 100% compliance, provide an explanation of why the State did not identify any findings of noncompliance in FFY 2021.</w:t>
      </w:r>
    </w:p>
    <w:p w14:paraId="09BE7DCF"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117517B2" w14:textId="1ECF1753" w:rsidR="00D03701" w:rsidRPr="00781112" w:rsidRDefault="00D03701" w:rsidP="000444E2">
      <w:pPr>
        <w:pStyle w:val="Heading1"/>
        <w:rPr>
          <w:color w:val="000000" w:themeColor="text1"/>
          <w:sz w:val="22"/>
        </w:rPr>
      </w:pPr>
      <w:r w:rsidRPr="00781112">
        <w:rPr>
          <w:color w:val="000000" w:themeColor="text1"/>
          <w:sz w:val="22"/>
        </w:rPr>
        <w:lastRenderedPageBreak/>
        <w:t>Indicator 13: Secondary Transition</w:t>
      </w:r>
    </w:p>
    <w:p w14:paraId="20F3CA53" w14:textId="77777777" w:rsidR="00D04044" w:rsidRPr="00781112" w:rsidRDefault="00D04044" w:rsidP="00A018D4">
      <w:pPr>
        <w:rPr>
          <w:color w:val="000000" w:themeColor="text1"/>
          <w:szCs w:val="20"/>
        </w:rPr>
      </w:pPr>
      <w:bookmarkStart w:id="81" w:name="_Toc384383363"/>
      <w:bookmarkStart w:id="82" w:name="_Toc392159331"/>
      <w:r w:rsidRPr="00781112">
        <w:rPr>
          <w:b/>
          <w:color w:val="000000" w:themeColor="text1"/>
          <w:sz w:val="20"/>
          <w:szCs w:val="20"/>
        </w:rPr>
        <w:t>Instructions and Measurement</w:t>
      </w:r>
    </w:p>
    <w:p w14:paraId="541AD2D1" w14:textId="15B7D425" w:rsidR="001F3A65" w:rsidRPr="00781112" w:rsidRDefault="001F3A65" w:rsidP="009447A3">
      <w:pPr>
        <w:rPr>
          <w:rFonts w:cs="Arial"/>
          <w:color w:val="000000" w:themeColor="text1"/>
          <w:szCs w:val="16"/>
        </w:rPr>
      </w:pPr>
      <w:r w:rsidRPr="00781112">
        <w:rPr>
          <w:rFonts w:cs="Arial"/>
          <w:b/>
          <w:color w:val="000000" w:themeColor="text1"/>
          <w:szCs w:val="16"/>
        </w:rPr>
        <w:t>Monitoring Priority</w:t>
      </w:r>
      <w:r w:rsidRPr="00781112">
        <w:rPr>
          <w:rFonts w:cs="Arial"/>
          <w:color w:val="000000" w:themeColor="text1"/>
          <w:szCs w:val="16"/>
        </w:rPr>
        <w:t>: Effective General Supervision Part B / Effective Transition</w:t>
      </w:r>
    </w:p>
    <w:p w14:paraId="2098A995" w14:textId="07865850" w:rsidR="0096257C" w:rsidRPr="00781112" w:rsidRDefault="001F3A65" w:rsidP="009447A3">
      <w:pPr>
        <w:rPr>
          <w:rFonts w:cs="Arial"/>
          <w:color w:val="000000" w:themeColor="text1"/>
          <w:szCs w:val="16"/>
        </w:rPr>
      </w:pPr>
      <w:r w:rsidRPr="00781112">
        <w:rPr>
          <w:rFonts w:cs="Arial"/>
          <w:b/>
          <w:color w:val="000000" w:themeColor="text1"/>
          <w:szCs w:val="16"/>
        </w:rPr>
        <w:t>Compliance indicator</w:t>
      </w:r>
      <w:r w:rsidRPr="00781112">
        <w:rPr>
          <w:rFonts w:cs="Arial"/>
          <w:color w:val="000000" w:themeColor="text1"/>
          <w:szCs w:val="16"/>
        </w:rPr>
        <w:t xml:space="preserve">: Percent of youth with IEPs aged 16 and above with an IEP that includes appropriate measurable postsecondary goals that are annually updated and based upon an </w:t>
      </w:r>
      <w:proofErr w:type="gramStart"/>
      <w:r w:rsidRPr="00781112">
        <w:rPr>
          <w:rFonts w:cs="Arial"/>
          <w:color w:val="000000" w:themeColor="text1"/>
          <w:szCs w:val="16"/>
        </w:rPr>
        <w:t>age appropriate</w:t>
      </w:r>
      <w:proofErr w:type="gramEnd"/>
      <w:r w:rsidRPr="00781112">
        <w:rPr>
          <w:rFonts w:cs="Arial"/>
          <w:color w:val="000000" w:themeColor="text1"/>
          <w:szCs w:val="16"/>
        </w:rPr>
        <w:t xml:space="preserve"> transition assessment, transition services, including courses of study, that will reasonably enable the student to meet those postsecondary goals, and annual IEP goals related to the student’s transition </w:t>
      </w:r>
      <w:proofErr w:type="spellStart"/>
      <w:r w:rsidRPr="00781112">
        <w:rPr>
          <w:rFonts w:cs="Arial"/>
          <w:color w:val="000000" w:themeColor="text1"/>
          <w:szCs w:val="16"/>
        </w:rPr>
        <w:t>services</w:t>
      </w:r>
      <w:proofErr w:type="spellEnd"/>
      <w:r w:rsidRPr="00781112">
        <w:rPr>
          <w:rFonts w:cs="Arial"/>
          <w:color w:val="000000" w:themeColor="text1"/>
          <w:szCs w:val="16"/>
        </w:rPr>
        <w:t xml:space="preserve"> needs. There also must be evidence that the student was invited to the IEP Team meeting where transition services are to be discussed and evidence that, if appropriate, a representative of any participating agency </w:t>
      </w:r>
      <w:r w:rsidR="00C973D4" w:rsidRPr="00781112">
        <w:rPr>
          <w:rFonts w:cs="Arial"/>
          <w:szCs w:val="16"/>
        </w:rPr>
        <w:t xml:space="preserve">that is likely to be responsible for providing or paying for transition services, including, if appropriate, pre-employment transition services, </w:t>
      </w:r>
      <w:r w:rsidRPr="00781112">
        <w:rPr>
          <w:rFonts w:cs="Arial"/>
          <w:color w:val="000000" w:themeColor="text1"/>
          <w:szCs w:val="16"/>
        </w:rPr>
        <w:t>was invited to the IEP Team meeting with the prior consent of the parent or student who has reached the age of majority.</w:t>
      </w:r>
    </w:p>
    <w:p w14:paraId="24167CE3" w14:textId="32AC8C8C" w:rsidR="001F3A65" w:rsidRPr="00781112" w:rsidRDefault="001F3A65" w:rsidP="009447A3">
      <w:pPr>
        <w:rPr>
          <w:rFonts w:cs="Arial"/>
          <w:color w:val="000000" w:themeColor="text1"/>
          <w:szCs w:val="16"/>
        </w:rPr>
      </w:pPr>
      <w:r w:rsidRPr="00781112">
        <w:rPr>
          <w:rFonts w:cs="Arial"/>
          <w:color w:val="000000" w:themeColor="text1"/>
          <w:szCs w:val="16"/>
        </w:rPr>
        <w:t xml:space="preserve"> (20 U.S.C. 1416(a)(3)(B))</w:t>
      </w:r>
    </w:p>
    <w:p w14:paraId="1BD1BDBD" w14:textId="77777777" w:rsidR="0096257C" w:rsidRPr="00781112" w:rsidRDefault="0096257C" w:rsidP="004369B2">
      <w:pPr>
        <w:rPr>
          <w:color w:val="000000" w:themeColor="text1"/>
        </w:rPr>
      </w:pPr>
      <w:r w:rsidRPr="00781112">
        <w:rPr>
          <w:b/>
          <w:color w:val="000000" w:themeColor="text1"/>
        </w:rPr>
        <w:t>Data Source</w:t>
      </w:r>
    </w:p>
    <w:p w14:paraId="5868BA99" w14:textId="77777777" w:rsidR="0096257C" w:rsidRPr="00781112" w:rsidRDefault="0096257C" w:rsidP="00286BDF">
      <w:pPr>
        <w:rPr>
          <w:rFonts w:cs="Arial"/>
          <w:color w:val="000000" w:themeColor="text1"/>
          <w:szCs w:val="16"/>
        </w:rPr>
      </w:pPr>
      <w:r w:rsidRPr="00781112">
        <w:rPr>
          <w:rFonts w:cs="Arial"/>
          <w:color w:val="000000" w:themeColor="text1"/>
          <w:szCs w:val="16"/>
          <w:shd w:val="clear" w:color="auto" w:fill="FFFFFF"/>
        </w:rPr>
        <w:t>Data to be taken from State monitoring or State data system.</w:t>
      </w:r>
    </w:p>
    <w:p w14:paraId="44CB6F9A" w14:textId="71312CEA" w:rsidR="0096257C" w:rsidRPr="00781112" w:rsidRDefault="0096257C" w:rsidP="004369B2">
      <w:pPr>
        <w:rPr>
          <w:color w:val="000000" w:themeColor="text1"/>
        </w:rPr>
      </w:pPr>
      <w:r w:rsidRPr="00781112">
        <w:rPr>
          <w:b/>
          <w:color w:val="000000" w:themeColor="text1"/>
        </w:rPr>
        <w:t>Measurement</w:t>
      </w:r>
    </w:p>
    <w:p w14:paraId="780214FF" w14:textId="6A8C4134" w:rsidR="00B67038" w:rsidRPr="00781112" w:rsidRDefault="00B67038" w:rsidP="00286BDF">
      <w:pPr>
        <w:rPr>
          <w:rFonts w:cs="Arial"/>
          <w:color w:val="000000" w:themeColor="text1"/>
          <w:szCs w:val="16"/>
        </w:rPr>
      </w:pPr>
      <w:r w:rsidRPr="00781112">
        <w:rPr>
          <w:rFonts w:cs="Arial"/>
          <w:color w:val="000000" w:themeColor="text1"/>
          <w:szCs w:val="16"/>
        </w:rPr>
        <w:t xml:space="preserve">Percent = [(# of youth with IEPs aged 16 and above with an IEP that includes appropriate measurable postsecondary goals that are annually updated and based upon an </w:t>
      </w:r>
      <w:proofErr w:type="gramStart"/>
      <w:r w:rsidRPr="00781112">
        <w:rPr>
          <w:rFonts w:cs="Arial"/>
          <w:color w:val="000000" w:themeColor="text1"/>
          <w:szCs w:val="16"/>
        </w:rPr>
        <w:t>age appropriate</w:t>
      </w:r>
      <w:proofErr w:type="gramEnd"/>
      <w:r w:rsidRPr="00781112">
        <w:rPr>
          <w:rFonts w:cs="Arial"/>
          <w:color w:val="000000" w:themeColor="text1"/>
          <w:szCs w:val="16"/>
        </w:rPr>
        <w:t xml:space="preserve"> transition assessment, transition services, including courses of study, that will reasonably enable the student to meet those postsecondary goals, and annual IEP goals related to the student’s transition </w:t>
      </w:r>
      <w:proofErr w:type="spellStart"/>
      <w:r w:rsidRPr="00781112">
        <w:rPr>
          <w:rFonts w:cs="Arial"/>
          <w:color w:val="000000" w:themeColor="text1"/>
          <w:szCs w:val="16"/>
        </w:rPr>
        <w:t>services</w:t>
      </w:r>
      <w:proofErr w:type="spellEnd"/>
      <w:r w:rsidRPr="00781112">
        <w:rPr>
          <w:rFonts w:cs="Arial"/>
          <w:color w:val="000000" w:themeColor="text1"/>
          <w:szCs w:val="16"/>
        </w:rPr>
        <w:t xml:space="preserve"> needs. There also must be evidence that the student was invited to the IEP Team meeting where transition services are to be discussed and evidence that, if appropriate, a representative of any participating agency </w:t>
      </w:r>
      <w:r w:rsidR="006D650D" w:rsidRPr="00781112">
        <w:rPr>
          <w:rFonts w:cs="Arial"/>
          <w:szCs w:val="16"/>
        </w:rPr>
        <w:t xml:space="preserve">that is likely to be responsible for providing or paying for transition services, including, if appropriate, pre-employment transition services, </w:t>
      </w:r>
      <w:r w:rsidRPr="00781112">
        <w:rPr>
          <w:rFonts w:cs="Arial"/>
          <w:color w:val="000000" w:themeColor="text1"/>
          <w:szCs w:val="16"/>
        </w:rPr>
        <w:t>was invited to the IEP Team meeting with the prior consent of the parent or student who has reached the age of majority) divided by the (# of youth with an IEP age 16 and above)] times 100.</w:t>
      </w:r>
    </w:p>
    <w:p w14:paraId="0695051F" w14:textId="0AB8CE10" w:rsidR="00B67038" w:rsidRPr="00781112" w:rsidRDefault="00B67038" w:rsidP="00286BDF">
      <w:pPr>
        <w:rPr>
          <w:rFonts w:cs="Arial"/>
          <w:color w:val="000000" w:themeColor="text1"/>
          <w:szCs w:val="16"/>
        </w:rPr>
      </w:pPr>
      <w:r w:rsidRPr="00781112">
        <w:rPr>
          <w:rFonts w:cs="Arial"/>
          <w:color w:val="000000" w:themeColor="text1"/>
          <w:szCs w:val="16"/>
        </w:rPr>
        <w:t>If a State’s policies and procedures provide that public agencies must meet these requirements at an age younger than 16, the State may, but is not required to, choose to include youth beginning at that younger age in its data for this indicator. If a State chooses to do this, it must state this clearly in its SPP/APR and ensure that its baseline data are based on youth beginning at that younger age.</w:t>
      </w:r>
    </w:p>
    <w:p w14:paraId="6D498B21" w14:textId="77777777" w:rsidR="0096257C" w:rsidRPr="00781112" w:rsidRDefault="0096257C" w:rsidP="004369B2">
      <w:pPr>
        <w:rPr>
          <w:color w:val="000000" w:themeColor="text1"/>
        </w:rPr>
      </w:pPr>
      <w:r w:rsidRPr="00781112">
        <w:rPr>
          <w:b/>
          <w:color w:val="000000" w:themeColor="text1"/>
        </w:rPr>
        <w:t>Instructions</w:t>
      </w:r>
    </w:p>
    <w:p w14:paraId="7B194027" w14:textId="77777777" w:rsidR="00B67038" w:rsidRPr="00781112" w:rsidRDefault="00B67038" w:rsidP="00286BDF">
      <w:pPr>
        <w:rPr>
          <w:rFonts w:cs="Arial"/>
          <w:i/>
          <w:iCs/>
          <w:color w:val="000000" w:themeColor="text1"/>
          <w:szCs w:val="16"/>
        </w:rPr>
      </w:pPr>
      <w:r w:rsidRPr="00781112">
        <w:rPr>
          <w:rFonts w:cs="Arial"/>
          <w:i/>
          <w:iCs/>
          <w:color w:val="000000" w:themeColor="text1"/>
          <w:szCs w:val="16"/>
        </w:rPr>
        <w:t xml:space="preserve">If data are from State monitoring, describe the method used to select LEAs for monitoring. If data </w:t>
      </w:r>
      <w:proofErr w:type="gramStart"/>
      <w:r w:rsidRPr="00781112">
        <w:rPr>
          <w:rFonts w:cs="Arial"/>
          <w:i/>
          <w:iCs/>
          <w:color w:val="000000" w:themeColor="text1"/>
          <w:szCs w:val="16"/>
        </w:rPr>
        <w:t>are</w:t>
      </w:r>
      <w:proofErr w:type="gramEnd"/>
      <w:r w:rsidRPr="00781112">
        <w:rPr>
          <w:rFonts w:cs="Arial"/>
          <w:i/>
          <w:iCs/>
          <w:color w:val="000000" w:themeColor="text1"/>
          <w:szCs w:val="16"/>
        </w:rPr>
        <w:t xml:space="preserve"> from a State database, include data for the entire reporting year.</w:t>
      </w:r>
    </w:p>
    <w:p w14:paraId="12BF2230" w14:textId="77777777" w:rsidR="00B67038" w:rsidRPr="00781112" w:rsidRDefault="00B67038" w:rsidP="00286BDF">
      <w:pPr>
        <w:rPr>
          <w:rFonts w:cs="Arial"/>
          <w:color w:val="000000" w:themeColor="text1"/>
          <w:szCs w:val="16"/>
        </w:rPr>
      </w:pPr>
      <w:r w:rsidRPr="00781112">
        <w:rPr>
          <w:rFonts w:cs="Arial"/>
          <w:color w:val="000000" w:themeColor="text1"/>
          <w:szCs w:val="16"/>
        </w:rPr>
        <w:t>Describe the results of the calculations and compare the results to the target. Describe the method used to collect these data and if data are from the State’s monitoring, describe the procedures used to collect these data. Provide the actual numbers used in the calculation.</w:t>
      </w:r>
    </w:p>
    <w:p w14:paraId="498F5564" w14:textId="77777777" w:rsidR="00B67038" w:rsidRPr="00781112" w:rsidRDefault="00B67038" w:rsidP="00286BDF">
      <w:pPr>
        <w:rPr>
          <w:rFonts w:cs="Arial"/>
          <w:color w:val="000000" w:themeColor="text1"/>
          <w:szCs w:val="16"/>
        </w:rPr>
      </w:pPr>
      <w:r w:rsidRPr="00781112">
        <w:rPr>
          <w:rFonts w:cs="Arial"/>
          <w:color w:val="000000" w:themeColor="text1"/>
          <w:szCs w:val="16"/>
        </w:rPr>
        <w:t>Targets must be 100%.</w:t>
      </w:r>
    </w:p>
    <w:p w14:paraId="1ACBC1E2" w14:textId="77777777" w:rsidR="00B67038" w:rsidRPr="00781112" w:rsidRDefault="00B67038" w:rsidP="00286BDF">
      <w:pPr>
        <w:rPr>
          <w:rFonts w:cs="Arial"/>
          <w:color w:val="000000" w:themeColor="text1"/>
          <w:szCs w:val="16"/>
        </w:rPr>
      </w:pPr>
      <w:r w:rsidRPr="00781112">
        <w:rPr>
          <w:rFonts w:cs="Arial"/>
          <w:color w:val="000000" w:themeColor="text1"/>
          <w:szCs w:val="16"/>
        </w:rPr>
        <w:t>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15D9CBCD" w14:textId="64F3ED90" w:rsidR="00B67038" w:rsidRPr="00781112" w:rsidRDefault="003A4027" w:rsidP="00286BDF">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p w14:paraId="43E6D66A" w14:textId="21025B37" w:rsidR="00D04044" w:rsidRPr="00781112" w:rsidRDefault="00056350" w:rsidP="00123D76">
      <w:pPr>
        <w:pStyle w:val="Heading2"/>
      </w:pPr>
      <w:bookmarkStart w:id="83" w:name="_Toc384383364"/>
      <w:bookmarkStart w:id="84" w:name="_Toc392159332"/>
      <w:bookmarkEnd w:id="81"/>
      <w:bookmarkEnd w:id="82"/>
      <w:r w:rsidRPr="00781112">
        <w:t>13</w:t>
      </w:r>
      <w:r w:rsidR="004838A4" w:rsidRPr="00781112">
        <w:t xml:space="preserve"> </w:t>
      </w:r>
      <w:r w:rsidRPr="00781112">
        <w:t xml:space="preserve">- </w:t>
      </w:r>
      <w:r w:rsidR="00D04044" w:rsidRPr="00781112">
        <w:t>Indicator Data</w:t>
      </w:r>
    </w:p>
    <w:p w14:paraId="61C4C68D" w14:textId="294F0305" w:rsidR="009447A3" w:rsidRPr="00781112" w:rsidRDefault="009447A3"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3BASELINEDATA"/>
      </w:tblPr>
      <w:tblGrid>
        <w:gridCol w:w="1797"/>
        <w:gridCol w:w="1798"/>
      </w:tblGrid>
      <w:tr w:rsidR="00694A39" w:rsidRPr="00781112" w14:paraId="03B988E1" w14:textId="77777777" w:rsidTr="00123D76">
        <w:trPr>
          <w:trHeight w:val="311"/>
          <w:tblHeader/>
        </w:trPr>
        <w:tc>
          <w:tcPr>
            <w:tcW w:w="1797" w:type="dxa"/>
          </w:tcPr>
          <w:p w14:paraId="74B6B294" w14:textId="77777777" w:rsidR="00694A39" w:rsidRPr="00781112" w:rsidRDefault="00694A39" w:rsidP="00123D76">
            <w:pPr>
              <w:jc w:val="center"/>
              <w:rPr>
                <w:b/>
                <w:color w:val="000000" w:themeColor="text1"/>
              </w:rPr>
            </w:pPr>
            <w:r w:rsidRPr="00781112">
              <w:rPr>
                <w:rFonts w:cs="Arial"/>
                <w:b/>
                <w:color w:val="000000" w:themeColor="text1"/>
                <w:szCs w:val="16"/>
              </w:rPr>
              <w:t>Baseline Year</w:t>
            </w:r>
          </w:p>
        </w:tc>
        <w:tc>
          <w:tcPr>
            <w:tcW w:w="1798" w:type="dxa"/>
          </w:tcPr>
          <w:p w14:paraId="1FEDE010" w14:textId="77777777" w:rsidR="00694A39" w:rsidRPr="00781112" w:rsidRDefault="00694A39" w:rsidP="00123D76">
            <w:pPr>
              <w:jc w:val="center"/>
              <w:rPr>
                <w:b/>
                <w:color w:val="000000" w:themeColor="text1"/>
              </w:rPr>
            </w:pPr>
            <w:r w:rsidRPr="00781112">
              <w:rPr>
                <w:b/>
                <w:color w:val="000000" w:themeColor="text1"/>
              </w:rPr>
              <w:t>Baseline Data</w:t>
            </w:r>
          </w:p>
        </w:tc>
      </w:tr>
      <w:tr w:rsidR="00694A39" w:rsidRPr="00781112" w14:paraId="6D8D944B" w14:textId="77777777" w:rsidTr="00123D76">
        <w:trPr>
          <w:trHeight w:val="311"/>
        </w:trPr>
        <w:tc>
          <w:tcPr>
            <w:tcW w:w="1797" w:type="dxa"/>
            <w:vAlign w:val="center"/>
          </w:tcPr>
          <w:p w14:paraId="7FC4C2A7" w14:textId="00CC5CF2" w:rsidR="00694A39" w:rsidRPr="00781112" w:rsidRDefault="00694A39" w:rsidP="00123D76">
            <w:pPr>
              <w:jc w:val="center"/>
              <w:rPr>
                <w:bCs/>
                <w:color w:val="000000" w:themeColor="text1"/>
              </w:rPr>
            </w:pPr>
            <w:r w:rsidRPr="00781112">
              <w:rPr>
                <w:bCs/>
                <w:color w:val="000000" w:themeColor="text1"/>
              </w:rPr>
              <w:t>2020</w:t>
            </w:r>
          </w:p>
        </w:tc>
        <w:tc>
          <w:tcPr>
            <w:tcW w:w="1798" w:type="dxa"/>
            <w:vAlign w:val="center"/>
          </w:tcPr>
          <w:p w14:paraId="3A6C733C" w14:textId="66F52DB8" w:rsidR="00694A39" w:rsidRPr="00781112" w:rsidRDefault="00694A39" w:rsidP="00123D76">
            <w:pPr>
              <w:jc w:val="center"/>
              <w:rPr>
                <w:bCs/>
                <w:color w:val="000000" w:themeColor="text1"/>
              </w:rPr>
            </w:pPr>
            <w:r w:rsidRPr="00781112">
              <w:rPr>
                <w:bCs/>
                <w:color w:val="000000" w:themeColor="text1"/>
              </w:rPr>
              <w:t>69.13%</w:t>
            </w:r>
          </w:p>
        </w:tc>
      </w:tr>
    </w:tbl>
    <w:p w14:paraId="5733AE68" w14:textId="77777777" w:rsidR="00694A39" w:rsidRPr="00781112" w:rsidRDefault="00694A39"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3HISTDATA"/>
      </w:tblPr>
      <w:tblGrid>
        <w:gridCol w:w="1798"/>
        <w:gridCol w:w="1798"/>
        <w:gridCol w:w="1798"/>
        <w:gridCol w:w="1798"/>
        <w:gridCol w:w="1798"/>
        <w:gridCol w:w="1800"/>
      </w:tblGrid>
      <w:tr w:rsidR="005C29F8" w:rsidRPr="00781112" w14:paraId="687251DC" w14:textId="77777777" w:rsidTr="00943314">
        <w:trPr>
          <w:trHeight w:val="350"/>
        </w:trPr>
        <w:tc>
          <w:tcPr>
            <w:tcW w:w="833" w:type="pct"/>
            <w:tcBorders>
              <w:bottom w:val="single" w:sz="4" w:space="0" w:color="auto"/>
            </w:tcBorders>
            <w:shd w:val="clear" w:color="auto" w:fill="auto"/>
          </w:tcPr>
          <w:p w14:paraId="14E01593" w14:textId="77777777" w:rsidR="009447A3" w:rsidRPr="00781112" w:rsidRDefault="009447A3"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73A85907" w14:textId="1D9118C1" w:rsidR="009447A3" w:rsidRPr="00781112" w:rsidRDefault="002B7490" w:rsidP="008E31C4">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1C6C5D54" w14:textId="213C7749" w:rsidR="009447A3" w:rsidRPr="00781112" w:rsidRDefault="002B7490" w:rsidP="008E31C4">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044515B1" w14:textId="14B45245" w:rsidR="009447A3" w:rsidRPr="00781112" w:rsidRDefault="002B7490" w:rsidP="008E31C4">
            <w:pPr>
              <w:jc w:val="center"/>
              <w:rPr>
                <w:rFonts w:cs="Arial"/>
                <w:b/>
                <w:color w:val="000000" w:themeColor="text1"/>
                <w:szCs w:val="16"/>
              </w:rPr>
            </w:pPr>
            <w:r w:rsidRPr="00781112">
              <w:rPr>
                <w:rFonts w:cs="Arial"/>
                <w:b/>
                <w:color w:val="000000" w:themeColor="text1"/>
                <w:szCs w:val="16"/>
              </w:rPr>
              <w:t>2018</w:t>
            </w:r>
          </w:p>
        </w:tc>
        <w:tc>
          <w:tcPr>
            <w:tcW w:w="833" w:type="pct"/>
            <w:shd w:val="clear" w:color="auto" w:fill="auto"/>
          </w:tcPr>
          <w:p w14:paraId="695DE74A" w14:textId="50B444D4" w:rsidR="009447A3" w:rsidRPr="00781112" w:rsidRDefault="002B7490" w:rsidP="008E31C4">
            <w:pPr>
              <w:jc w:val="center"/>
              <w:rPr>
                <w:rFonts w:cs="Arial"/>
                <w:b/>
                <w:color w:val="000000" w:themeColor="text1"/>
                <w:szCs w:val="16"/>
              </w:rPr>
            </w:pPr>
            <w:r w:rsidRPr="00781112">
              <w:rPr>
                <w:rFonts w:cs="Arial"/>
                <w:b/>
                <w:color w:val="000000" w:themeColor="text1"/>
                <w:szCs w:val="16"/>
              </w:rPr>
              <w:t>2019</w:t>
            </w:r>
          </w:p>
        </w:tc>
        <w:tc>
          <w:tcPr>
            <w:tcW w:w="834" w:type="pct"/>
            <w:shd w:val="clear" w:color="auto" w:fill="auto"/>
          </w:tcPr>
          <w:p w14:paraId="527EE05E" w14:textId="3E89E5BC" w:rsidR="009447A3" w:rsidRPr="00781112" w:rsidRDefault="002B7490" w:rsidP="008E31C4">
            <w:pPr>
              <w:jc w:val="center"/>
              <w:rPr>
                <w:rFonts w:cs="Arial"/>
                <w:b/>
                <w:color w:val="000000" w:themeColor="text1"/>
                <w:szCs w:val="16"/>
              </w:rPr>
            </w:pPr>
            <w:r w:rsidRPr="00781112">
              <w:rPr>
                <w:rFonts w:cs="Arial"/>
                <w:b/>
                <w:color w:val="000000" w:themeColor="text1"/>
                <w:szCs w:val="16"/>
              </w:rPr>
              <w:t>2020</w:t>
            </w:r>
          </w:p>
        </w:tc>
      </w:tr>
      <w:tr w:rsidR="005C29F8" w:rsidRPr="00781112" w14:paraId="0A07B33E" w14:textId="77777777" w:rsidTr="00943314">
        <w:trPr>
          <w:trHeight w:val="357"/>
        </w:trPr>
        <w:tc>
          <w:tcPr>
            <w:tcW w:w="833" w:type="pct"/>
            <w:shd w:val="clear" w:color="auto" w:fill="auto"/>
          </w:tcPr>
          <w:p w14:paraId="04BB4B5A" w14:textId="3FC3EE91" w:rsidR="009447A3" w:rsidRPr="00781112" w:rsidRDefault="009447A3" w:rsidP="008E31C4">
            <w:pPr>
              <w:rPr>
                <w:rFonts w:cs="Arial"/>
                <w:color w:val="000000" w:themeColor="text1"/>
                <w:szCs w:val="16"/>
              </w:rPr>
            </w:pPr>
            <w:r w:rsidRPr="00781112">
              <w:rPr>
                <w:rFonts w:cs="Arial"/>
                <w:color w:val="000000" w:themeColor="text1"/>
                <w:szCs w:val="16"/>
              </w:rPr>
              <w:t xml:space="preserve">Target </w:t>
            </w:r>
          </w:p>
        </w:tc>
        <w:tc>
          <w:tcPr>
            <w:tcW w:w="833" w:type="pct"/>
            <w:shd w:val="clear" w:color="auto" w:fill="auto"/>
          </w:tcPr>
          <w:p w14:paraId="20467ACA" w14:textId="658A99BC"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4AE1489C" w14:textId="1138B823"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3FAB6F79" w14:textId="47FCCD56"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2EE056E4" w14:textId="485E460A"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834" w:type="pct"/>
            <w:shd w:val="clear" w:color="auto" w:fill="auto"/>
          </w:tcPr>
          <w:p w14:paraId="6F722BD0" w14:textId="06244133"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r>
      <w:tr w:rsidR="005C29F8" w:rsidRPr="00781112" w14:paraId="4403D1A8" w14:textId="77777777" w:rsidTr="00943314">
        <w:trPr>
          <w:trHeight w:val="85"/>
        </w:trPr>
        <w:tc>
          <w:tcPr>
            <w:tcW w:w="833" w:type="pct"/>
            <w:shd w:val="clear" w:color="auto" w:fill="auto"/>
          </w:tcPr>
          <w:p w14:paraId="6473FB8E" w14:textId="77777777" w:rsidR="009447A3" w:rsidRPr="00781112" w:rsidRDefault="009447A3" w:rsidP="008E31C4">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508672F7" w14:textId="4FDD51CC" w:rsidR="009447A3" w:rsidRPr="00781112" w:rsidRDefault="002B7490" w:rsidP="004369B2">
            <w:pPr>
              <w:jc w:val="center"/>
              <w:rPr>
                <w:rFonts w:cs="Arial"/>
                <w:color w:val="000000" w:themeColor="text1"/>
                <w:szCs w:val="16"/>
              </w:rPr>
            </w:pPr>
            <w:r w:rsidRPr="00781112">
              <w:rPr>
                <w:rFonts w:cs="Arial"/>
                <w:color w:val="000000" w:themeColor="text1"/>
                <w:szCs w:val="16"/>
              </w:rPr>
              <w:t>92.07%</w:t>
            </w:r>
          </w:p>
        </w:tc>
        <w:tc>
          <w:tcPr>
            <w:tcW w:w="833" w:type="pct"/>
            <w:shd w:val="clear" w:color="auto" w:fill="auto"/>
          </w:tcPr>
          <w:p w14:paraId="50F55BA6" w14:textId="73CC9B0F" w:rsidR="009447A3" w:rsidRPr="00781112" w:rsidRDefault="002B7490" w:rsidP="004369B2">
            <w:pPr>
              <w:jc w:val="center"/>
              <w:rPr>
                <w:rFonts w:cs="Arial"/>
                <w:color w:val="000000" w:themeColor="text1"/>
                <w:szCs w:val="16"/>
              </w:rPr>
            </w:pPr>
            <w:r w:rsidRPr="00781112">
              <w:rPr>
                <w:rFonts w:cs="Arial"/>
                <w:color w:val="000000" w:themeColor="text1"/>
                <w:szCs w:val="16"/>
              </w:rPr>
              <w:t>88.40%</w:t>
            </w:r>
          </w:p>
        </w:tc>
        <w:tc>
          <w:tcPr>
            <w:tcW w:w="833" w:type="pct"/>
            <w:tcBorders>
              <w:bottom w:val="single" w:sz="4" w:space="0" w:color="auto"/>
            </w:tcBorders>
            <w:shd w:val="clear" w:color="auto" w:fill="auto"/>
            <w:vAlign w:val="center"/>
          </w:tcPr>
          <w:p w14:paraId="6FC9DB0D" w14:textId="5188F524" w:rsidR="009447A3" w:rsidRPr="00781112" w:rsidRDefault="002B7490" w:rsidP="004369B2">
            <w:pPr>
              <w:jc w:val="center"/>
              <w:rPr>
                <w:rFonts w:cs="Arial"/>
                <w:color w:val="000000" w:themeColor="text1"/>
                <w:szCs w:val="16"/>
              </w:rPr>
            </w:pPr>
            <w:r w:rsidRPr="00781112">
              <w:rPr>
                <w:rFonts w:cs="Arial"/>
                <w:color w:val="000000" w:themeColor="text1"/>
                <w:szCs w:val="16"/>
              </w:rPr>
              <w:t>39.71%</w:t>
            </w:r>
          </w:p>
        </w:tc>
        <w:tc>
          <w:tcPr>
            <w:tcW w:w="833" w:type="pct"/>
            <w:tcBorders>
              <w:bottom w:val="single" w:sz="4" w:space="0" w:color="auto"/>
            </w:tcBorders>
            <w:shd w:val="clear" w:color="auto" w:fill="auto"/>
            <w:vAlign w:val="center"/>
          </w:tcPr>
          <w:p w14:paraId="2DE56335" w14:textId="11069C36" w:rsidR="009447A3" w:rsidRPr="00781112" w:rsidRDefault="002B7490" w:rsidP="004369B2">
            <w:pPr>
              <w:jc w:val="center"/>
              <w:rPr>
                <w:rFonts w:cs="Arial"/>
                <w:color w:val="000000" w:themeColor="text1"/>
                <w:szCs w:val="16"/>
              </w:rPr>
            </w:pPr>
            <w:r w:rsidRPr="00781112">
              <w:rPr>
                <w:rFonts w:cs="Arial"/>
                <w:color w:val="000000" w:themeColor="text1"/>
                <w:szCs w:val="16"/>
              </w:rPr>
              <w:t>52.10%</w:t>
            </w:r>
          </w:p>
        </w:tc>
        <w:tc>
          <w:tcPr>
            <w:tcW w:w="834" w:type="pct"/>
            <w:tcBorders>
              <w:bottom w:val="single" w:sz="4" w:space="0" w:color="auto"/>
            </w:tcBorders>
            <w:shd w:val="clear" w:color="auto" w:fill="auto"/>
            <w:vAlign w:val="center"/>
          </w:tcPr>
          <w:p w14:paraId="541BA7DE" w14:textId="2D80E9D8" w:rsidR="009447A3" w:rsidRPr="00781112" w:rsidRDefault="002B7490" w:rsidP="004369B2">
            <w:pPr>
              <w:jc w:val="center"/>
              <w:rPr>
                <w:rFonts w:cs="Arial"/>
                <w:color w:val="000000" w:themeColor="text1"/>
                <w:szCs w:val="16"/>
              </w:rPr>
            </w:pPr>
            <w:r w:rsidRPr="00781112">
              <w:rPr>
                <w:rFonts w:cs="Arial"/>
                <w:color w:val="000000" w:themeColor="text1"/>
                <w:szCs w:val="16"/>
              </w:rPr>
              <w:t>69.13%</w:t>
            </w:r>
          </w:p>
        </w:tc>
      </w:tr>
    </w:tbl>
    <w:p w14:paraId="30C8D33B" w14:textId="77777777" w:rsidR="00AF12E4" w:rsidRPr="00781112" w:rsidRDefault="00AF12E4" w:rsidP="004369B2">
      <w:pPr>
        <w:rPr>
          <w:color w:val="000000" w:themeColor="text1"/>
        </w:rPr>
      </w:pPr>
    </w:p>
    <w:p w14:paraId="75465A8F" w14:textId="65C77B0F" w:rsidR="007A3964" w:rsidRPr="00781112" w:rsidRDefault="007A3964" w:rsidP="004369B2">
      <w:pPr>
        <w:rPr>
          <w:color w:val="000000" w:themeColor="text1"/>
        </w:rPr>
      </w:pPr>
      <w:r w:rsidRPr="00781112">
        <w:rPr>
          <w:b/>
          <w:color w:val="000000" w:themeColor="text1"/>
        </w:rPr>
        <w:t>Targets</w:t>
      </w:r>
    </w:p>
    <w:tbl>
      <w:tblPr>
        <w:tblW w:w="42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3TARGETS"/>
      </w:tblPr>
      <w:tblGrid>
        <w:gridCol w:w="715"/>
        <w:gridCol w:w="1681"/>
        <w:gridCol w:w="1679"/>
        <w:gridCol w:w="1679"/>
        <w:gridCol w:w="1679"/>
        <w:gridCol w:w="1678"/>
      </w:tblGrid>
      <w:tr w:rsidR="00B14519" w:rsidRPr="00781112" w14:paraId="75609119" w14:textId="4FD44BFE" w:rsidTr="00451D7E">
        <w:trPr>
          <w:trHeight w:val="281"/>
        </w:trPr>
        <w:tc>
          <w:tcPr>
            <w:tcW w:w="392" w:type="pct"/>
            <w:tcBorders>
              <w:bottom w:val="single" w:sz="4" w:space="0" w:color="auto"/>
            </w:tcBorders>
            <w:shd w:val="clear" w:color="auto" w:fill="auto"/>
          </w:tcPr>
          <w:p w14:paraId="270D1909" w14:textId="77777777" w:rsidR="00B14519" w:rsidRPr="00781112" w:rsidRDefault="00B14519" w:rsidP="00AF574F">
            <w:pPr>
              <w:jc w:val="center"/>
              <w:rPr>
                <w:b/>
                <w:color w:val="000000" w:themeColor="text1"/>
              </w:rPr>
            </w:pPr>
            <w:r w:rsidRPr="00781112">
              <w:rPr>
                <w:b/>
                <w:color w:val="000000" w:themeColor="text1"/>
              </w:rPr>
              <w:t>FFY</w:t>
            </w:r>
          </w:p>
        </w:tc>
        <w:tc>
          <w:tcPr>
            <w:tcW w:w="922" w:type="pct"/>
            <w:shd w:val="clear" w:color="auto" w:fill="auto"/>
            <w:vAlign w:val="center"/>
          </w:tcPr>
          <w:p w14:paraId="3C863620" w14:textId="77777777" w:rsidR="00B14519" w:rsidRPr="00781112" w:rsidRDefault="00B14519" w:rsidP="00AF574F">
            <w:pPr>
              <w:jc w:val="center"/>
              <w:rPr>
                <w:b/>
                <w:color w:val="000000" w:themeColor="text1"/>
              </w:rPr>
            </w:pPr>
            <w:r w:rsidRPr="00781112">
              <w:rPr>
                <w:b/>
                <w:color w:val="000000" w:themeColor="text1"/>
              </w:rPr>
              <w:t>2021</w:t>
            </w:r>
          </w:p>
        </w:tc>
        <w:tc>
          <w:tcPr>
            <w:tcW w:w="921" w:type="pct"/>
          </w:tcPr>
          <w:p w14:paraId="1E742631" w14:textId="024F7853" w:rsidR="00B14519" w:rsidRPr="00781112" w:rsidRDefault="00B14519" w:rsidP="00AF574F">
            <w:pPr>
              <w:jc w:val="center"/>
              <w:rPr>
                <w:b/>
                <w:color w:val="000000" w:themeColor="text1"/>
              </w:rPr>
            </w:pPr>
            <w:r w:rsidRPr="00781112">
              <w:rPr>
                <w:rFonts w:cs="Arial"/>
                <w:b/>
                <w:color w:val="000000" w:themeColor="text1"/>
                <w:szCs w:val="16"/>
              </w:rPr>
              <w:t>2022</w:t>
            </w:r>
          </w:p>
        </w:tc>
        <w:tc>
          <w:tcPr>
            <w:tcW w:w="921" w:type="pct"/>
          </w:tcPr>
          <w:p w14:paraId="68E9F440" w14:textId="3DC7BEDA" w:rsidR="00B14519" w:rsidRPr="00781112" w:rsidRDefault="00B14519" w:rsidP="00AF574F">
            <w:pPr>
              <w:jc w:val="center"/>
              <w:rPr>
                <w:b/>
                <w:color w:val="000000" w:themeColor="text1"/>
              </w:rPr>
            </w:pPr>
            <w:r w:rsidRPr="00781112">
              <w:rPr>
                <w:rFonts w:cs="Arial"/>
                <w:b/>
                <w:color w:val="000000" w:themeColor="text1"/>
                <w:szCs w:val="16"/>
              </w:rPr>
              <w:t>2023</w:t>
            </w:r>
          </w:p>
        </w:tc>
        <w:tc>
          <w:tcPr>
            <w:tcW w:w="921" w:type="pct"/>
          </w:tcPr>
          <w:p w14:paraId="724C1BE8" w14:textId="32F17B9A" w:rsidR="00B14519" w:rsidRPr="00781112" w:rsidRDefault="00B14519" w:rsidP="00AF574F">
            <w:pPr>
              <w:jc w:val="center"/>
              <w:rPr>
                <w:b/>
                <w:color w:val="000000" w:themeColor="text1"/>
              </w:rPr>
            </w:pPr>
            <w:r w:rsidRPr="00781112">
              <w:rPr>
                <w:rFonts w:cs="Arial"/>
                <w:b/>
                <w:color w:val="000000" w:themeColor="text1"/>
                <w:szCs w:val="16"/>
              </w:rPr>
              <w:t>2024</w:t>
            </w:r>
          </w:p>
        </w:tc>
        <w:tc>
          <w:tcPr>
            <w:tcW w:w="921" w:type="pct"/>
          </w:tcPr>
          <w:p w14:paraId="6CD77942" w14:textId="751F9B95" w:rsidR="00B14519" w:rsidRPr="00781112" w:rsidRDefault="00B14519" w:rsidP="00AF574F">
            <w:pPr>
              <w:jc w:val="center"/>
              <w:rPr>
                <w:b/>
                <w:color w:val="000000" w:themeColor="text1"/>
              </w:rPr>
            </w:pPr>
            <w:r w:rsidRPr="00781112">
              <w:rPr>
                <w:rFonts w:cs="Arial"/>
                <w:b/>
                <w:color w:val="000000" w:themeColor="text1"/>
                <w:szCs w:val="16"/>
              </w:rPr>
              <w:t>2025</w:t>
            </w:r>
          </w:p>
        </w:tc>
      </w:tr>
      <w:tr w:rsidR="00B14519" w:rsidRPr="00781112" w14:paraId="129EADEA" w14:textId="243BFF73" w:rsidTr="00451D7E">
        <w:trPr>
          <w:trHeight w:val="287"/>
        </w:trPr>
        <w:tc>
          <w:tcPr>
            <w:tcW w:w="392" w:type="pct"/>
            <w:shd w:val="clear" w:color="auto" w:fill="auto"/>
            <w:vAlign w:val="center"/>
          </w:tcPr>
          <w:p w14:paraId="14AB537C" w14:textId="77777777" w:rsidR="00B14519" w:rsidRPr="00781112" w:rsidRDefault="00B14519" w:rsidP="00AF574F">
            <w:pPr>
              <w:rPr>
                <w:rFonts w:cs="Arial"/>
                <w:color w:val="000000" w:themeColor="text1"/>
                <w:szCs w:val="16"/>
              </w:rPr>
            </w:pPr>
            <w:r w:rsidRPr="00781112">
              <w:rPr>
                <w:rFonts w:cs="Arial"/>
                <w:color w:val="000000" w:themeColor="text1"/>
                <w:szCs w:val="16"/>
              </w:rPr>
              <w:t xml:space="preserve">Target </w:t>
            </w:r>
          </w:p>
        </w:tc>
        <w:tc>
          <w:tcPr>
            <w:tcW w:w="922" w:type="pct"/>
            <w:shd w:val="clear" w:color="auto" w:fill="auto"/>
            <w:vAlign w:val="center"/>
          </w:tcPr>
          <w:p w14:paraId="0BAE8900" w14:textId="37E5F8C0" w:rsidR="00B14519" w:rsidRPr="00781112" w:rsidRDefault="00B14519" w:rsidP="00AF574F">
            <w:pPr>
              <w:jc w:val="center"/>
              <w:rPr>
                <w:rFonts w:cs="Arial"/>
                <w:color w:val="000000" w:themeColor="text1"/>
                <w:szCs w:val="16"/>
              </w:rPr>
            </w:pPr>
            <w:r w:rsidRPr="00781112">
              <w:rPr>
                <w:rFonts w:cs="Arial"/>
                <w:color w:val="000000" w:themeColor="text1"/>
                <w:szCs w:val="16"/>
              </w:rPr>
              <w:t>100%</w:t>
            </w:r>
          </w:p>
        </w:tc>
        <w:tc>
          <w:tcPr>
            <w:tcW w:w="921" w:type="pct"/>
          </w:tcPr>
          <w:p w14:paraId="2CC39FD1" w14:textId="0A351FA5" w:rsidR="00B14519" w:rsidRPr="00781112" w:rsidRDefault="00B14519" w:rsidP="00AF574F">
            <w:pPr>
              <w:jc w:val="center"/>
              <w:rPr>
                <w:rFonts w:cs="Arial"/>
                <w:color w:val="000000" w:themeColor="text1"/>
                <w:szCs w:val="16"/>
              </w:rPr>
            </w:pPr>
            <w:r w:rsidRPr="00781112">
              <w:rPr>
                <w:color w:val="000000" w:themeColor="text1"/>
                <w:szCs w:val="16"/>
              </w:rPr>
              <w:t>100%</w:t>
            </w:r>
          </w:p>
        </w:tc>
        <w:tc>
          <w:tcPr>
            <w:tcW w:w="921" w:type="pct"/>
          </w:tcPr>
          <w:p w14:paraId="67D6E1E0" w14:textId="00533F6B" w:rsidR="00B14519" w:rsidRPr="00781112" w:rsidRDefault="00B14519" w:rsidP="00AF574F">
            <w:pPr>
              <w:jc w:val="center"/>
              <w:rPr>
                <w:rFonts w:cs="Arial"/>
                <w:color w:val="000000" w:themeColor="text1"/>
                <w:szCs w:val="16"/>
              </w:rPr>
            </w:pPr>
            <w:r w:rsidRPr="00781112">
              <w:rPr>
                <w:color w:val="000000" w:themeColor="text1"/>
                <w:szCs w:val="16"/>
              </w:rPr>
              <w:t>100%</w:t>
            </w:r>
          </w:p>
        </w:tc>
        <w:tc>
          <w:tcPr>
            <w:tcW w:w="921" w:type="pct"/>
          </w:tcPr>
          <w:p w14:paraId="39A43D1F" w14:textId="716B9E54" w:rsidR="00B14519" w:rsidRPr="00781112" w:rsidRDefault="00B14519" w:rsidP="00AF574F">
            <w:pPr>
              <w:jc w:val="center"/>
              <w:rPr>
                <w:rFonts w:cs="Arial"/>
                <w:color w:val="000000" w:themeColor="text1"/>
                <w:szCs w:val="16"/>
              </w:rPr>
            </w:pPr>
            <w:r w:rsidRPr="00781112">
              <w:rPr>
                <w:color w:val="000000" w:themeColor="text1"/>
                <w:szCs w:val="16"/>
              </w:rPr>
              <w:t>100%</w:t>
            </w:r>
          </w:p>
        </w:tc>
        <w:tc>
          <w:tcPr>
            <w:tcW w:w="921" w:type="pct"/>
          </w:tcPr>
          <w:p w14:paraId="6CC99391" w14:textId="2FAEBC53" w:rsidR="00B14519" w:rsidRPr="00781112" w:rsidRDefault="00B14519" w:rsidP="00AF574F">
            <w:pPr>
              <w:jc w:val="center"/>
              <w:rPr>
                <w:rFonts w:cs="Arial"/>
                <w:color w:val="000000" w:themeColor="text1"/>
                <w:szCs w:val="16"/>
              </w:rPr>
            </w:pPr>
            <w:r w:rsidRPr="00781112">
              <w:rPr>
                <w:color w:val="000000" w:themeColor="text1"/>
                <w:szCs w:val="16"/>
              </w:rPr>
              <w:t>100%</w:t>
            </w:r>
          </w:p>
        </w:tc>
      </w:tr>
    </w:tbl>
    <w:p w14:paraId="2E844227" w14:textId="77777777" w:rsidR="00AF12E4" w:rsidRPr="00781112" w:rsidRDefault="00AF12E4" w:rsidP="004369B2">
      <w:pPr>
        <w:rPr>
          <w:color w:val="000000" w:themeColor="text1"/>
        </w:rPr>
      </w:pPr>
    </w:p>
    <w:bookmarkEnd w:id="83"/>
    <w:bookmarkEnd w:id="84"/>
    <w:p w14:paraId="596F7C13" w14:textId="7CEDA605" w:rsidR="00D03701" w:rsidRPr="00781112" w:rsidRDefault="0047313F" w:rsidP="004369B2">
      <w:pPr>
        <w:rPr>
          <w:color w:val="000000" w:themeColor="text1"/>
        </w:rPr>
      </w:pPr>
      <w:r>
        <w:rPr>
          <w:b/>
          <w:color w:val="000000" w:themeColor="text1"/>
        </w:rPr>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3CFFYAPRDATA"/>
      </w:tblPr>
      <w:tblGrid>
        <w:gridCol w:w="1533"/>
        <w:gridCol w:w="1498"/>
        <w:gridCol w:w="1372"/>
        <w:gridCol w:w="2067"/>
        <w:gridCol w:w="1232"/>
        <w:gridCol w:w="1571"/>
        <w:gridCol w:w="1517"/>
      </w:tblGrid>
      <w:tr w:rsidR="00B1652C" w:rsidRPr="00781112" w14:paraId="22208B6A" w14:textId="2EBA1D17" w:rsidTr="00A947D9">
        <w:trPr>
          <w:trHeight w:val="354"/>
          <w:tblHeader/>
        </w:trPr>
        <w:tc>
          <w:tcPr>
            <w:tcW w:w="710" w:type="pct"/>
            <w:shd w:val="clear" w:color="auto" w:fill="auto"/>
            <w:vAlign w:val="bottom"/>
          </w:tcPr>
          <w:p w14:paraId="24F7C6E9" w14:textId="77777777" w:rsidR="00B1652C" w:rsidRPr="00781112" w:rsidRDefault="00B1652C" w:rsidP="00B1652C">
            <w:pPr>
              <w:jc w:val="center"/>
              <w:rPr>
                <w:rFonts w:cs="Arial"/>
                <w:b/>
                <w:color w:val="000000" w:themeColor="text1"/>
                <w:szCs w:val="16"/>
              </w:rPr>
            </w:pPr>
            <w:r w:rsidRPr="00781112">
              <w:rPr>
                <w:rFonts w:cs="Arial"/>
                <w:b/>
                <w:color w:val="000000" w:themeColor="text1"/>
                <w:szCs w:val="16"/>
              </w:rPr>
              <w:t xml:space="preserve">Number of </w:t>
            </w:r>
            <w:proofErr w:type="gramStart"/>
            <w:r w:rsidRPr="00781112">
              <w:rPr>
                <w:rFonts w:cs="Arial"/>
                <w:b/>
                <w:color w:val="000000" w:themeColor="text1"/>
                <w:szCs w:val="16"/>
              </w:rPr>
              <w:t>youth</w:t>
            </w:r>
            <w:proofErr w:type="gramEnd"/>
            <w:r w:rsidRPr="00781112">
              <w:rPr>
                <w:rFonts w:cs="Arial"/>
                <w:b/>
                <w:color w:val="000000" w:themeColor="text1"/>
                <w:szCs w:val="16"/>
              </w:rPr>
              <w:t xml:space="preserve"> aged 16 and above with IEPs that contain each of the required components for secondary transition</w:t>
            </w:r>
          </w:p>
        </w:tc>
        <w:tc>
          <w:tcPr>
            <w:tcW w:w="694" w:type="pct"/>
            <w:shd w:val="clear" w:color="auto" w:fill="auto"/>
            <w:vAlign w:val="bottom"/>
          </w:tcPr>
          <w:p w14:paraId="5096A299" w14:textId="77777777" w:rsidR="00B1652C" w:rsidRPr="00781112" w:rsidRDefault="00B1652C" w:rsidP="00B1652C">
            <w:pPr>
              <w:jc w:val="center"/>
              <w:rPr>
                <w:rFonts w:cs="Arial"/>
                <w:b/>
                <w:color w:val="000000" w:themeColor="text1"/>
                <w:szCs w:val="16"/>
              </w:rPr>
            </w:pPr>
            <w:r w:rsidRPr="00781112">
              <w:rPr>
                <w:rFonts w:cs="Arial"/>
                <w:b/>
                <w:color w:val="000000" w:themeColor="text1"/>
                <w:szCs w:val="16"/>
              </w:rPr>
              <w:t xml:space="preserve">Number of </w:t>
            </w:r>
            <w:proofErr w:type="gramStart"/>
            <w:r w:rsidRPr="00781112">
              <w:rPr>
                <w:rFonts w:cs="Arial"/>
                <w:b/>
                <w:color w:val="000000" w:themeColor="text1"/>
                <w:szCs w:val="16"/>
              </w:rPr>
              <w:t>youth</w:t>
            </w:r>
            <w:proofErr w:type="gramEnd"/>
            <w:r w:rsidRPr="00781112">
              <w:rPr>
                <w:rFonts w:cs="Arial"/>
                <w:b/>
                <w:color w:val="000000" w:themeColor="text1"/>
                <w:szCs w:val="16"/>
              </w:rPr>
              <w:t xml:space="preserve"> with IEPs aged 16 and above</w:t>
            </w:r>
          </w:p>
        </w:tc>
        <w:tc>
          <w:tcPr>
            <w:tcW w:w="636" w:type="pct"/>
            <w:shd w:val="clear" w:color="auto" w:fill="auto"/>
            <w:vAlign w:val="bottom"/>
          </w:tcPr>
          <w:p w14:paraId="77D0CB34" w14:textId="4406FF8F" w:rsidR="00B1652C" w:rsidRPr="006D0A52" w:rsidRDefault="00B1652C" w:rsidP="00B1652C">
            <w:pPr>
              <w:jc w:val="center"/>
              <w:rPr>
                <w:rFonts w:cs="Arial"/>
                <w:b/>
                <w:bCs/>
                <w:color w:val="000000" w:themeColor="text1"/>
                <w:szCs w:val="16"/>
              </w:rPr>
            </w:pPr>
            <w:r w:rsidRPr="006D0A52">
              <w:rPr>
                <w:b/>
                <w:bCs/>
              </w:rPr>
              <w:t>FFY 2020 Data</w:t>
            </w:r>
          </w:p>
        </w:tc>
        <w:tc>
          <w:tcPr>
            <w:tcW w:w="958" w:type="pct"/>
            <w:shd w:val="clear" w:color="auto" w:fill="auto"/>
            <w:vAlign w:val="bottom"/>
          </w:tcPr>
          <w:p w14:paraId="0E375E75" w14:textId="5B86E099" w:rsidR="00B1652C" w:rsidRPr="006D0A52" w:rsidRDefault="00B1652C" w:rsidP="00B1652C">
            <w:pPr>
              <w:jc w:val="center"/>
              <w:rPr>
                <w:rFonts w:cs="Arial"/>
                <w:b/>
                <w:bCs/>
                <w:color w:val="000000" w:themeColor="text1"/>
                <w:szCs w:val="16"/>
              </w:rPr>
            </w:pPr>
            <w:r w:rsidRPr="006D0A52">
              <w:rPr>
                <w:b/>
                <w:bCs/>
              </w:rPr>
              <w:t>FFY 2021 Target</w:t>
            </w:r>
          </w:p>
        </w:tc>
        <w:tc>
          <w:tcPr>
            <w:tcW w:w="571" w:type="pct"/>
            <w:shd w:val="clear" w:color="auto" w:fill="auto"/>
            <w:vAlign w:val="bottom"/>
          </w:tcPr>
          <w:p w14:paraId="58CCB0C1" w14:textId="60632AA4" w:rsidR="00B1652C" w:rsidRPr="006D0A52" w:rsidRDefault="00B1652C" w:rsidP="00B1652C">
            <w:pPr>
              <w:jc w:val="center"/>
              <w:rPr>
                <w:rFonts w:cs="Arial"/>
                <w:b/>
                <w:bCs/>
                <w:color w:val="000000" w:themeColor="text1"/>
                <w:szCs w:val="16"/>
              </w:rPr>
            </w:pPr>
            <w:r w:rsidRPr="006D0A52">
              <w:rPr>
                <w:b/>
                <w:bCs/>
              </w:rPr>
              <w:t>FFY 2021 Data</w:t>
            </w:r>
          </w:p>
        </w:tc>
        <w:tc>
          <w:tcPr>
            <w:tcW w:w="728" w:type="pct"/>
            <w:shd w:val="clear" w:color="auto" w:fill="auto"/>
            <w:vAlign w:val="bottom"/>
          </w:tcPr>
          <w:p w14:paraId="3A7C3260" w14:textId="5AACBA6E" w:rsidR="00B1652C" w:rsidRPr="00781112" w:rsidRDefault="00B1652C" w:rsidP="00B1652C">
            <w:pPr>
              <w:jc w:val="center"/>
              <w:rPr>
                <w:rFonts w:cs="Arial"/>
                <w:b/>
                <w:color w:val="000000" w:themeColor="text1"/>
                <w:szCs w:val="16"/>
              </w:rPr>
            </w:pPr>
            <w:r w:rsidRPr="00781112">
              <w:rPr>
                <w:rFonts w:cs="Arial"/>
                <w:b/>
                <w:color w:val="000000" w:themeColor="text1"/>
                <w:szCs w:val="16"/>
              </w:rPr>
              <w:t>Status</w:t>
            </w:r>
          </w:p>
        </w:tc>
        <w:tc>
          <w:tcPr>
            <w:tcW w:w="704" w:type="pct"/>
            <w:shd w:val="clear" w:color="auto" w:fill="auto"/>
            <w:vAlign w:val="bottom"/>
          </w:tcPr>
          <w:p w14:paraId="34FABCEB" w14:textId="119B0EB2" w:rsidR="00B1652C" w:rsidRPr="00781112" w:rsidRDefault="00B1652C" w:rsidP="00B1652C">
            <w:pPr>
              <w:jc w:val="center"/>
              <w:rPr>
                <w:rFonts w:cs="Arial"/>
                <w:b/>
                <w:color w:val="000000" w:themeColor="text1"/>
                <w:szCs w:val="16"/>
              </w:rPr>
            </w:pPr>
            <w:r w:rsidRPr="00781112">
              <w:rPr>
                <w:rFonts w:cs="Arial"/>
                <w:b/>
                <w:color w:val="000000" w:themeColor="text1"/>
                <w:szCs w:val="16"/>
              </w:rPr>
              <w:t>Slippage</w:t>
            </w:r>
          </w:p>
        </w:tc>
      </w:tr>
      <w:tr w:rsidR="005C29F8" w:rsidRPr="00781112" w14:paraId="18CC159D" w14:textId="122E5ABE" w:rsidTr="00A947D9">
        <w:trPr>
          <w:trHeight w:val="361"/>
        </w:trPr>
        <w:tc>
          <w:tcPr>
            <w:tcW w:w="710" w:type="pct"/>
            <w:shd w:val="clear" w:color="auto" w:fill="auto"/>
            <w:vAlign w:val="center"/>
          </w:tcPr>
          <w:p w14:paraId="55912D09" w14:textId="371B119A" w:rsidR="00070D9E" w:rsidRPr="00781112" w:rsidRDefault="002B7490" w:rsidP="004369B2">
            <w:pPr>
              <w:jc w:val="center"/>
              <w:rPr>
                <w:rFonts w:cs="Arial"/>
                <w:color w:val="000000" w:themeColor="text1"/>
                <w:szCs w:val="16"/>
              </w:rPr>
            </w:pPr>
            <w:r w:rsidRPr="00781112">
              <w:rPr>
                <w:rFonts w:cs="Arial"/>
                <w:color w:val="000000" w:themeColor="text1"/>
                <w:szCs w:val="16"/>
              </w:rPr>
              <w:t>424</w:t>
            </w:r>
          </w:p>
        </w:tc>
        <w:tc>
          <w:tcPr>
            <w:tcW w:w="694" w:type="pct"/>
            <w:shd w:val="clear" w:color="auto" w:fill="auto"/>
            <w:vAlign w:val="center"/>
          </w:tcPr>
          <w:p w14:paraId="3D798FB5" w14:textId="3B2AC314" w:rsidR="00070D9E" w:rsidRPr="00781112" w:rsidRDefault="002B7490" w:rsidP="004369B2">
            <w:pPr>
              <w:jc w:val="center"/>
              <w:rPr>
                <w:rFonts w:cs="Arial"/>
                <w:color w:val="000000" w:themeColor="text1"/>
                <w:szCs w:val="16"/>
              </w:rPr>
            </w:pPr>
            <w:r w:rsidRPr="00781112">
              <w:rPr>
                <w:rFonts w:cs="Arial"/>
                <w:color w:val="000000" w:themeColor="text1"/>
                <w:szCs w:val="16"/>
              </w:rPr>
              <w:t>611</w:t>
            </w:r>
          </w:p>
        </w:tc>
        <w:tc>
          <w:tcPr>
            <w:tcW w:w="636" w:type="pct"/>
            <w:shd w:val="clear" w:color="auto" w:fill="auto"/>
            <w:vAlign w:val="center"/>
          </w:tcPr>
          <w:p w14:paraId="36E1BD35" w14:textId="4F5BD8EB" w:rsidR="00070D9E" w:rsidRPr="00781112" w:rsidRDefault="002B7490" w:rsidP="004369B2">
            <w:pPr>
              <w:jc w:val="center"/>
              <w:rPr>
                <w:rFonts w:cs="Arial"/>
                <w:color w:val="000000" w:themeColor="text1"/>
                <w:szCs w:val="16"/>
              </w:rPr>
            </w:pPr>
            <w:r w:rsidRPr="00781112">
              <w:rPr>
                <w:rFonts w:cs="Arial"/>
                <w:color w:val="000000" w:themeColor="text1"/>
                <w:szCs w:val="16"/>
              </w:rPr>
              <w:t>69.13%</w:t>
            </w:r>
          </w:p>
        </w:tc>
        <w:tc>
          <w:tcPr>
            <w:tcW w:w="958" w:type="pct"/>
            <w:shd w:val="clear" w:color="auto" w:fill="auto"/>
            <w:vAlign w:val="center"/>
          </w:tcPr>
          <w:p w14:paraId="20E5284B" w14:textId="1FE0CF32" w:rsidR="00070D9E"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571" w:type="pct"/>
            <w:shd w:val="clear" w:color="auto" w:fill="auto"/>
            <w:vAlign w:val="center"/>
          </w:tcPr>
          <w:p w14:paraId="55A387E5" w14:textId="6321743C" w:rsidR="00070D9E" w:rsidRPr="00781112" w:rsidRDefault="002B7490" w:rsidP="004369B2">
            <w:pPr>
              <w:jc w:val="center"/>
              <w:rPr>
                <w:rFonts w:cs="Arial"/>
                <w:color w:val="000000" w:themeColor="text1"/>
                <w:szCs w:val="16"/>
              </w:rPr>
            </w:pPr>
            <w:r w:rsidRPr="00781112">
              <w:rPr>
                <w:rFonts w:cs="Arial"/>
                <w:color w:val="000000" w:themeColor="text1"/>
                <w:szCs w:val="16"/>
              </w:rPr>
              <w:t>69.39%</w:t>
            </w:r>
          </w:p>
        </w:tc>
        <w:tc>
          <w:tcPr>
            <w:tcW w:w="728" w:type="pct"/>
            <w:shd w:val="clear" w:color="auto" w:fill="auto"/>
            <w:vAlign w:val="center"/>
          </w:tcPr>
          <w:p w14:paraId="66968C5A" w14:textId="493EB054" w:rsidR="00070D9E" w:rsidRPr="00781112" w:rsidRDefault="002B7490" w:rsidP="004369B2">
            <w:pPr>
              <w:jc w:val="center"/>
              <w:rPr>
                <w:rFonts w:cs="Arial"/>
                <w:color w:val="000000" w:themeColor="text1"/>
                <w:szCs w:val="16"/>
              </w:rPr>
            </w:pPr>
            <w:r w:rsidRPr="00781112">
              <w:rPr>
                <w:rFonts w:cs="Arial"/>
                <w:color w:val="000000" w:themeColor="text1"/>
                <w:szCs w:val="16"/>
              </w:rPr>
              <w:t>Did not meet target</w:t>
            </w:r>
          </w:p>
        </w:tc>
        <w:tc>
          <w:tcPr>
            <w:tcW w:w="704" w:type="pct"/>
            <w:shd w:val="clear" w:color="auto" w:fill="auto"/>
            <w:vAlign w:val="center"/>
          </w:tcPr>
          <w:p w14:paraId="175BD68F" w14:textId="534B9E4D" w:rsidR="00070D9E" w:rsidRPr="00781112" w:rsidRDefault="002B7490" w:rsidP="004369B2">
            <w:pPr>
              <w:jc w:val="center"/>
              <w:rPr>
                <w:rFonts w:cs="Arial"/>
                <w:color w:val="000000" w:themeColor="text1"/>
                <w:szCs w:val="16"/>
              </w:rPr>
            </w:pPr>
            <w:r w:rsidRPr="00781112">
              <w:rPr>
                <w:rFonts w:cs="Arial"/>
                <w:color w:val="000000" w:themeColor="text1"/>
                <w:szCs w:val="16"/>
              </w:rPr>
              <w:t>No Slippage</w:t>
            </w:r>
          </w:p>
        </w:tc>
      </w:tr>
    </w:tbl>
    <w:p w14:paraId="01C32496" w14:textId="77777777" w:rsidR="00A5601C" w:rsidRPr="00781112" w:rsidRDefault="00070D9E">
      <w:pPr>
        <w:rPr>
          <w:b/>
          <w:color w:val="000000" w:themeColor="text1"/>
        </w:rPr>
      </w:pPr>
      <w:r w:rsidRPr="00781112">
        <w:rPr>
          <w:b/>
          <w:color w:val="000000" w:themeColor="text1"/>
        </w:rPr>
        <w:t xml:space="preserve">What is the source of the data provided for this indicator? </w:t>
      </w:r>
    </w:p>
    <w:p w14:paraId="2BFF05E7" w14:textId="7BFBE390" w:rsidR="00070D9E" w:rsidRPr="00781112" w:rsidRDefault="002B7490" w:rsidP="004369B2">
      <w:pPr>
        <w:rPr>
          <w:iCs/>
          <w:color w:val="000000" w:themeColor="text1"/>
        </w:rPr>
      </w:pPr>
      <w:r w:rsidRPr="00781112">
        <w:rPr>
          <w:iCs/>
          <w:color w:val="000000" w:themeColor="text1"/>
        </w:rPr>
        <w:lastRenderedPageBreak/>
        <w:t>State monitoring</w:t>
      </w:r>
    </w:p>
    <w:p w14:paraId="68493AF0" w14:textId="77777777" w:rsidR="00070D9E" w:rsidRPr="00781112" w:rsidRDefault="00070D9E" w:rsidP="004369B2">
      <w:pPr>
        <w:rPr>
          <w:b/>
          <w:color w:val="000000" w:themeColor="text1"/>
        </w:rPr>
      </w:pPr>
      <w:r w:rsidRPr="00781112">
        <w:rPr>
          <w:b/>
          <w:color w:val="000000" w:themeColor="text1"/>
        </w:rPr>
        <w:t xml:space="preserve">Describe the method used to collect these data, and if data are from the State’s monitoring, describe the procedures used to collect these data. </w:t>
      </w:r>
    </w:p>
    <w:p w14:paraId="22E8774A" w14:textId="46B4955A" w:rsidR="00326C0B" w:rsidRPr="00781112" w:rsidRDefault="002B7490" w:rsidP="008E31C4">
      <w:pPr>
        <w:rPr>
          <w:rFonts w:cs="Arial"/>
          <w:color w:val="000000" w:themeColor="text1"/>
          <w:szCs w:val="16"/>
        </w:rPr>
      </w:pPr>
      <w:r w:rsidRPr="00781112">
        <w:rPr>
          <w:rFonts w:cs="Arial"/>
          <w:color w:val="000000" w:themeColor="text1"/>
          <w:szCs w:val="16"/>
        </w:rPr>
        <w:t xml:space="preserve">Data for Indicator 13 was collected through full monitoring visits and Indicator 13 monitoring visits focused on reviewing files for compliant postsecondary transition plans. All data is entered in the Utah Program Improvement Planning System (UPIPS) online program. </w:t>
      </w:r>
      <w:r w:rsidRPr="00781112">
        <w:rPr>
          <w:rFonts w:cs="Arial"/>
          <w:color w:val="000000" w:themeColor="text1"/>
          <w:szCs w:val="16"/>
        </w:rPr>
        <w:br/>
      </w:r>
      <w:r w:rsidRPr="00781112">
        <w:rPr>
          <w:rFonts w:cs="Arial"/>
          <w:color w:val="000000" w:themeColor="text1"/>
          <w:szCs w:val="16"/>
        </w:rPr>
        <w:br/>
        <w:t>All LEAs will receive a full monitoring visit at least once every six years. LEAs selected for full monitoring visits will be prioritized based on a variety of concerns related to general supervision systems (e.g., concerns with 1% assessment practices, dispute resolution, Indicator 11 and 13 monitoring, Public Education Hotline complaints, fiscal, etc.). Full monitoring visits occur onsite at the LEA and include a review of entire student special education records. Files are selected by the USBE SES. The number of files selected for a full monitoring review is based on a statistical ratio of the LEA's special education population and may include a small number of postsecondary transition plans. The total number of files reviewed during full monitoring visits varies based on the size of the LEAs reviewed each year. During the visit, the LEA is encouraged to invite staff to participate in and receive TA during the review process and all Indicator 13 data that comes from a full monitoring visit is included in the SPP/APR.</w:t>
      </w:r>
      <w:r w:rsidRPr="00781112">
        <w:rPr>
          <w:rFonts w:cs="Arial"/>
          <w:color w:val="000000" w:themeColor="text1"/>
          <w:szCs w:val="16"/>
        </w:rPr>
        <w:br/>
      </w:r>
      <w:r w:rsidRPr="00781112">
        <w:rPr>
          <w:rFonts w:cs="Arial"/>
          <w:color w:val="000000" w:themeColor="text1"/>
          <w:szCs w:val="16"/>
        </w:rPr>
        <w:br/>
        <w:t xml:space="preserve">Most of the Indicator 13 data is collected during Indicator 13 monitoring visits. All LEAs are divided into two rotating cohorts for receiving an Indicator 13 file review biennially. The four largest LEAs in the state are included in both cohorts and receive an Indicator 13 file monitoring visit annually. LEAs were stratified by student enrollment, geographical region of the state, race/ethnicity demographics, and socioeconomic level. LEAs across the stratified categories were then randomly assigned to one of the two cohorts. The USBE statistician helps compile the cohort list of LEAs to ensure that each of the two cohorts includes large, medium, and small LEAs. The rotation for the Indicator 13 review is on an alternating schedule with the Indicator 8 parent survey. In even/odd years, the first cohort receives the Indicator 8 parent survey, the second cohort receives an Indicator 13 monitoring visit. In odd/even years, the first cohort receives an Indicator 13 monitoring visit, the second cohort receives the Indicator 8 parent survey. If an LEA is selected for a full monitoring visit the same year </w:t>
      </w:r>
      <w:proofErr w:type="gramStart"/>
      <w:r w:rsidRPr="00781112">
        <w:rPr>
          <w:rFonts w:cs="Arial"/>
          <w:color w:val="000000" w:themeColor="text1"/>
          <w:szCs w:val="16"/>
        </w:rPr>
        <w:t>it's</w:t>
      </w:r>
      <w:proofErr w:type="gramEnd"/>
      <w:r w:rsidRPr="00781112">
        <w:rPr>
          <w:rFonts w:cs="Arial"/>
          <w:color w:val="000000" w:themeColor="text1"/>
          <w:szCs w:val="16"/>
        </w:rPr>
        <w:t xml:space="preserve"> cohort is selected for an Indicator 13 monitoring visit, Indicator 13 will be collected during the full monitoring visit. The LEA will not receive a separate Indicator 13 monitoring visit. During an indicator monitoring review, the USBE SES reviews up to 10 postsecondary transition plans for all LEAs regardless of the size of the LEA. The LEA selects which files are reviewed by USBE. Indicator file reviews are conducted virtually, and the LEA usually will share their screen while a USBE reviewer collects the data for Indicator 13.</w:t>
      </w:r>
    </w:p>
    <w:tbl>
      <w:tblPr>
        <w:tblStyle w:val="TableGrid"/>
        <w:tblW w:w="5000" w:type="pct"/>
        <w:tblLook w:val="04A0" w:firstRow="1" w:lastRow="0" w:firstColumn="1" w:lastColumn="0" w:noHBand="0" w:noVBand="1"/>
        <w:tblCaption w:val="B13CFFYCOLLECT"/>
      </w:tblPr>
      <w:tblGrid>
        <w:gridCol w:w="8503"/>
        <w:gridCol w:w="2287"/>
      </w:tblGrid>
      <w:tr w:rsidR="005C29F8" w:rsidRPr="00781112" w14:paraId="366D2592" w14:textId="77777777" w:rsidTr="0033429D">
        <w:trPr>
          <w:tblHeader/>
        </w:trPr>
        <w:tc>
          <w:tcPr>
            <w:tcW w:w="3940" w:type="pct"/>
          </w:tcPr>
          <w:p w14:paraId="49221B81" w14:textId="4811C153" w:rsidR="006B4D98" w:rsidRPr="00781112" w:rsidRDefault="00694A39" w:rsidP="005F442C">
            <w:pPr>
              <w:rPr>
                <w:rFonts w:cs="Arial"/>
                <w:b/>
                <w:bCs/>
                <w:color w:val="000000" w:themeColor="text1"/>
                <w:szCs w:val="16"/>
              </w:rPr>
            </w:pPr>
            <w:r w:rsidRPr="00781112">
              <w:rPr>
                <w:rFonts w:cs="Arial"/>
                <w:b/>
                <w:bCs/>
                <w:color w:val="000000" w:themeColor="text1"/>
                <w:szCs w:val="16"/>
              </w:rPr>
              <w:t>Question</w:t>
            </w:r>
          </w:p>
        </w:tc>
        <w:tc>
          <w:tcPr>
            <w:tcW w:w="1060" w:type="pct"/>
          </w:tcPr>
          <w:p w14:paraId="3C85F11D" w14:textId="67F200AD" w:rsidR="006B4D98" w:rsidRPr="00781112" w:rsidRDefault="006B4D98"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43EAB126" w14:textId="25879D68" w:rsidTr="00A947D9">
        <w:tc>
          <w:tcPr>
            <w:tcW w:w="3940" w:type="pct"/>
          </w:tcPr>
          <w:p w14:paraId="48B431E3" w14:textId="55B03061" w:rsidR="006B4D98" w:rsidRPr="00781112" w:rsidRDefault="006B4D98" w:rsidP="005F442C">
            <w:pPr>
              <w:rPr>
                <w:rFonts w:cs="Arial"/>
                <w:color w:val="000000" w:themeColor="text1"/>
                <w:szCs w:val="16"/>
              </w:rPr>
            </w:pPr>
            <w:r w:rsidRPr="00781112">
              <w:rPr>
                <w:rFonts w:cs="Arial"/>
                <w:color w:val="000000" w:themeColor="text1"/>
                <w:szCs w:val="16"/>
              </w:rPr>
              <w:t xml:space="preserve">Do the State’s policies and procedures provide that public agencies must meet these requirements at an age younger than 16? </w:t>
            </w:r>
          </w:p>
        </w:tc>
        <w:tc>
          <w:tcPr>
            <w:tcW w:w="1060" w:type="pct"/>
          </w:tcPr>
          <w:p w14:paraId="15F6D513" w14:textId="633CDBEB" w:rsidR="006B4D98" w:rsidRPr="00781112" w:rsidRDefault="002B7490" w:rsidP="00A018D4">
            <w:pPr>
              <w:jc w:val="center"/>
              <w:rPr>
                <w:rFonts w:cs="Arial"/>
                <w:color w:val="000000" w:themeColor="text1"/>
                <w:szCs w:val="16"/>
              </w:rPr>
            </w:pPr>
            <w:r w:rsidRPr="00781112">
              <w:rPr>
                <w:rFonts w:cs="Arial"/>
                <w:color w:val="000000" w:themeColor="text1"/>
                <w:szCs w:val="16"/>
              </w:rPr>
              <w:t>YES</w:t>
            </w:r>
          </w:p>
        </w:tc>
      </w:tr>
      <w:tr w:rsidR="005C29F8" w:rsidRPr="00781112" w14:paraId="5A1B7304" w14:textId="62E0E544" w:rsidTr="00A947D9">
        <w:tc>
          <w:tcPr>
            <w:tcW w:w="3940" w:type="pct"/>
          </w:tcPr>
          <w:p w14:paraId="73B3F719" w14:textId="0391FF91" w:rsidR="006B4D98" w:rsidRPr="00781112" w:rsidRDefault="00AF30E8">
            <w:pPr>
              <w:rPr>
                <w:rFonts w:cs="Arial"/>
                <w:color w:val="000000" w:themeColor="text1"/>
                <w:szCs w:val="16"/>
              </w:rPr>
            </w:pPr>
            <w:r w:rsidRPr="00781112">
              <w:rPr>
                <w:rFonts w:cs="Arial"/>
                <w:color w:val="000000" w:themeColor="text1"/>
                <w:szCs w:val="16"/>
              </w:rPr>
              <w:t>If yes, did the State choose to include youth at an age younger than 16 in its data for this indicator and ensure that its baseline data are based on youth beginning at that younger age?</w:t>
            </w:r>
          </w:p>
        </w:tc>
        <w:tc>
          <w:tcPr>
            <w:tcW w:w="1060" w:type="pct"/>
          </w:tcPr>
          <w:p w14:paraId="27A80519" w14:textId="1C51858B" w:rsidR="006B4D98" w:rsidRPr="00781112" w:rsidRDefault="002B7490" w:rsidP="00A018D4">
            <w:pPr>
              <w:jc w:val="center"/>
              <w:rPr>
                <w:rFonts w:cs="Arial"/>
                <w:color w:val="000000" w:themeColor="text1"/>
                <w:szCs w:val="16"/>
              </w:rPr>
            </w:pPr>
            <w:r w:rsidRPr="00781112">
              <w:rPr>
                <w:rFonts w:cs="Arial"/>
                <w:color w:val="000000" w:themeColor="text1"/>
                <w:szCs w:val="16"/>
              </w:rPr>
              <w:t>YES</w:t>
            </w:r>
          </w:p>
        </w:tc>
      </w:tr>
      <w:tr w:rsidR="005C29F8" w:rsidRPr="00781112" w14:paraId="5B31049E" w14:textId="650E5040" w:rsidTr="0033429D">
        <w:tc>
          <w:tcPr>
            <w:tcW w:w="3940" w:type="pct"/>
          </w:tcPr>
          <w:p w14:paraId="33799AB6" w14:textId="30C1CDE0" w:rsidR="00212954" w:rsidRPr="00781112" w:rsidRDefault="00212954">
            <w:pPr>
              <w:rPr>
                <w:rFonts w:cs="Arial"/>
                <w:color w:val="000000" w:themeColor="text1"/>
                <w:szCs w:val="16"/>
              </w:rPr>
            </w:pPr>
            <w:r w:rsidRPr="00781112">
              <w:rPr>
                <w:rFonts w:cs="Arial"/>
                <w:color w:val="000000" w:themeColor="text1"/>
                <w:szCs w:val="16"/>
              </w:rPr>
              <w:t>If yes, at what age are youth included in the data for this indicator</w:t>
            </w:r>
          </w:p>
        </w:tc>
        <w:tc>
          <w:tcPr>
            <w:tcW w:w="1060" w:type="pct"/>
          </w:tcPr>
          <w:p w14:paraId="7129A3DA" w14:textId="2111F324" w:rsidR="00212954" w:rsidRPr="00781112" w:rsidRDefault="002B7490" w:rsidP="00A018D4">
            <w:pPr>
              <w:jc w:val="center"/>
              <w:rPr>
                <w:rFonts w:cs="Arial"/>
                <w:color w:val="000000" w:themeColor="text1"/>
                <w:szCs w:val="16"/>
              </w:rPr>
            </w:pPr>
            <w:r w:rsidRPr="00781112">
              <w:rPr>
                <w:rFonts w:cs="Arial"/>
                <w:color w:val="000000" w:themeColor="text1"/>
                <w:szCs w:val="16"/>
              </w:rPr>
              <w:t>14</w:t>
            </w:r>
          </w:p>
        </w:tc>
      </w:tr>
    </w:tbl>
    <w:p w14:paraId="735DB55A" w14:textId="18C77FF1" w:rsidR="00644AC8" w:rsidRPr="00781112" w:rsidRDefault="00644AC8" w:rsidP="005F442C">
      <w:pPr>
        <w:rPr>
          <w:rFonts w:cs="Arial"/>
          <w:b/>
          <w:color w:val="000000" w:themeColor="text1"/>
          <w:szCs w:val="16"/>
        </w:rPr>
      </w:pPr>
      <w:bookmarkStart w:id="85" w:name="_Toc392159335"/>
      <w:r w:rsidRPr="00781112">
        <w:rPr>
          <w:rFonts w:cs="Arial"/>
          <w:b/>
          <w:color w:val="000000" w:themeColor="text1"/>
          <w:szCs w:val="16"/>
        </w:rPr>
        <w:t>Provide additional information about this indicator (optional)</w:t>
      </w:r>
    </w:p>
    <w:p w14:paraId="2F22AC76" w14:textId="5FF8D00A" w:rsidR="00326C0B" w:rsidRPr="00781112" w:rsidRDefault="002B7490" w:rsidP="007D435F">
      <w:pPr>
        <w:rPr>
          <w:rFonts w:cs="Arial"/>
          <w:color w:val="000000" w:themeColor="text1"/>
          <w:szCs w:val="16"/>
        </w:rPr>
      </w:pPr>
      <w:r w:rsidRPr="00781112">
        <w:rPr>
          <w:rFonts w:cs="Arial"/>
          <w:color w:val="000000" w:themeColor="text1"/>
          <w:szCs w:val="16"/>
        </w:rPr>
        <w:t>Prior to FFY 2022, the USBE SES determined that LEAs who corrected individual cases of noncompliance within a State-established correction window were also demonstrating the correct implementation of regulatory requirements. LEAs were issued findings of noncompliance when they did not correct the individual noncompliance within the State-established correction window.</w:t>
      </w:r>
      <w:r w:rsidRPr="00781112">
        <w:rPr>
          <w:rFonts w:cs="Arial"/>
          <w:color w:val="000000" w:themeColor="text1"/>
          <w:szCs w:val="16"/>
        </w:rPr>
        <w:br/>
      </w:r>
      <w:r w:rsidRPr="00781112">
        <w:rPr>
          <w:rFonts w:cs="Arial"/>
          <w:color w:val="000000" w:themeColor="text1"/>
          <w:szCs w:val="16"/>
        </w:rPr>
        <w:br/>
        <w:t>All individual noncompliance was corrected by showing the corrected postsecondary transition plan for the individual student file that was initially identified as noncompliant. For LEAs who were issued findings of noncompliance, additional files were also provided by the LEA and verified by the USBE SES as compliant to demonstrate the correct implementation of the regulatory requirements. All noncompliance prior to FFY 2022 were corrected using this process and were verified within 10 months from the date noncompliance was identified.</w:t>
      </w:r>
      <w:r w:rsidRPr="00781112">
        <w:rPr>
          <w:rFonts w:cs="Arial"/>
          <w:color w:val="000000" w:themeColor="text1"/>
          <w:szCs w:val="16"/>
        </w:rPr>
        <w:br/>
      </w:r>
      <w:r w:rsidRPr="00781112">
        <w:rPr>
          <w:rFonts w:cs="Arial"/>
          <w:color w:val="000000" w:themeColor="text1"/>
          <w:szCs w:val="16"/>
        </w:rPr>
        <w:br/>
        <w:t>The USBE SES has reviewed and revised statewide procedures for correcting noncompliance for everything below 100% as follows:</w:t>
      </w:r>
      <w:r w:rsidRPr="00781112">
        <w:rPr>
          <w:rFonts w:cs="Arial"/>
          <w:color w:val="000000" w:themeColor="text1"/>
          <w:szCs w:val="16"/>
        </w:rPr>
        <w:br/>
      </w:r>
      <w:r w:rsidRPr="00781112">
        <w:rPr>
          <w:rFonts w:cs="Arial"/>
          <w:color w:val="000000" w:themeColor="text1"/>
          <w:szCs w:val="16"/>
        </w:rPr>
        <w:br/>
        <w:t>PRONG 1: CORRECTING EACH INDIVIDUAL CASE OF STUDENT-SPECIFIC NONCOMPLIANCE</w:t>
      </w:r>
      <w:r w:rsidRPr="00781112">
        <w:rPr>
          <w:rFonts w:cs="Arial"/>
          <w:color w:val="000000" w:themeColor="text1"/>
          <w:szCs w:val="16"/>
        </w:rPr>
        <w:br/>
        <w:t>To correct noncompliance concerning student-specific requirements, the LEA must submit documentation that the LEA has corrected each individual case of noncompliance, unless the student’s special education file is no longer within the jurisdiction of the LEA. The LEA documents the required evidence by indicating correction and providing it to a UPIPS team member for review in-person, or by uploading the evidence to the UPIPS program.</w:t>
      </w:r>
      <w:r w:rsidRPr="00781112">
        <w:rPr>
          <w:rFonts w:cs="Arial"/>
          <w:color w:val="000000" w:themeColor="text1"/>
          <w:szCs w:val="16"/>
        </w:rPr>
        <w:br/>
      </w:r>
      <w:r w:rsidRPr="00781112">
        <w:rPr>
          <w:rFonts w:cs="Arial"/>
          <w:color w:val="000000" w:themeColor="text1"/>
          <w:szCs w:val="16"/>
        </w:rPr>
        <w:br/>
        <w:t>PRONG 2: CORRECTLY IMPLEMENTING THE SPECIFIC REGULATORY REQUIREMENTS</w:t>
      </w:r>
      <w:r w:rsidRPr="00781112">
        <w:rPr>
          <w:rFonts w:cs="Arial"/>
          <w:color w:val="000000" w:themeColor="text1"/>
          <w:szCs w:val="16"/>
        </w:rPr>
        <w:br/>
        <w:t>In conjunction with Prong 1 corrections, the LEA will be required to provide additional student special education files for review. The LEA may also be required to show evidence of training, collaboration, and/or other competency-based learning activities. The LEA documents the required evidence by indicating correction and providing it to a UPIPS team member for review in-person, or by uploading the evidence to the UPIPS program.</w:t>
      </w:r>
    </w:p>
    <w:p w14:paraId="1F3D4141" w14:textId="77777777" w:rsidR="00AF12E4" w:rsidRPr="00781112" w:rsidRDefault="00AF12E4" w:rsidP="004369B2">
      <w:pPr>
        <w:rPr>
          <w:color w:val="000000" w:themeColor="text1"/>
        </w:rPr>
      </w:pPr>
    </w:p>
    <w:p w14:paraId="37C34CDA" w14:textId="5767C658" w:rsidR="009A755E" w:rsidRPr="00781112" w:rsidRDefault="00450F98" w:rsidP="004369B2">
      <w:pPr>
        <w:rPr>
          <w:color w:val="000000" w:themeColor="text1"/>
        </w:rPr>
      </w:pPr>
      <w:r>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B13PFFYNCFINDINGS"/>
      </w:tblPr>
      <w:tblGrid>
        <w:gridCol w:w="2650"/>
        <w:gridCol w:w="2780"/>
        <w:gridCol w:w="2656"/>
        <w:gridCol w:w="2704"/>
      </w:tblGrid>
      <w:tr w:rsidR="005C29F8" w:rsidRPr="00781112" w14:paraId="6C308319" w14:textId="77777777" w:rsidTr="00A947D9">
        <w:trPr>
          <w:trHeight w:val="389"/>
          <w:tblHeader/>
        </w:trPr>
        <w:tc>
          <w:tcPr>
            <w:tcW w:w="1228" w:type="pct"/>
            <w:shd w:val="clear" w:color="auto" w:fill="auto"/>
            <w:vAlign w:val="bottom"/>
          </w:tcPr>
          <w:p w14:paraId="5A6805D6"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Identified</w:t>
            </w:r>
          </w:p>
        </w:tc>
        <w:tc>
          <w:tcPr>
            <w:tcW w:w="1288" w:type="pct"/>
            <w:shd w:val="clear" w:color="auto" w:fill="auto"/>
            <w:vAlign w:val="bottom"/>
          </w:tcPr>
          <w:p w14:paraId="63B4B6E3"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31" w:type="pct"/>
            <w:shd w:val="clear" w:color="auto" w:fill="auto"/>
            <w:vAlign w:val="bottom"/>
          </w:tcPr>
          <w:p w14:paraId="26D8FBA2"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254" w:type="pct"/>
            <w:shd w:val="clear" w:color="auto" w:fill="auto"/>
            <w:vAlign w:val="bottom"/>
          </w:tcPr>
          <w:p w14:paraId="6D3A2F2B"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04582DC7" w14:textId="77777777" w:rsidTr="00A947D9">
        <w:tc>
          <w:tcPr>
            <w:tcW w:w="1228" w:type="pct"/>
            <w:shd w:val="clear" w:color="auto" w:fill="auto"/>
          </w:tcPr>
          <w:p w14:paraId="1C22474D" w14:textId="5ECD77A3" w:rsidR="009A755E" w:rsidRPr="00781112" w:rsidRDefault="002B7490" w:rsidP="004369B2">
            <w:pPr>
              <w:jc w:val="center"/>
              <w:rPr>
                <w:rFonts w:cs="Arial"/>
                <w:color w:val="000000" w:themeColor="text1"/>
                <w:szCs w:val="16"/>
              </w:rPr>
            </w:pPr>
            <w:r w:rsidRPr="00781112">
              <w:rPr>
                <w:rFonts w:cs="Arial"/>
                <w:color w:val="000000" w:themeColor="text1"/>
                <w:szCs w:val="16"/>
              </w:rPr>
              <w:t>5</w:t>
            </w:r>
          </w:p>
        </w:tc>
        <w:tc>
          <w:tcPr>
            <w:tcW w:w="1288" w:type="pct"/>
            <w:shd w:val="clear" w:color="auto" w:fill="auto"/>
          </w:tcPr>
          <w:p w14:paraId="6A161A21" w14:textId="698D820A" w:rsidR="009A755E" w:rsidRPr="00781112" w:rsidRDefault="002B7490" w:rsidP="004369B2">
            <w:pPr>
              <w:jc w:val="center"/>
              <w:rPr>
                <w:rFonts w:cs="Arial"/>
                <w:color w:val="000000" w:themeColor="text1"/>
                <w:szCs w:val="16"/>
              </w:rPr>
            </w:pPr>
            <w:r w:rsidRPr="00781112">
              <w:rPr>
                <w:rFonts w:cs="Arial"/>
                <w:color w:val="000000" w:themeColor="text1"/>
                <w:szCs w:val="16"/>
              </w:rPr>
              <w:t>5</w:t>
            </w:r>
          </w:p>
        </w:tc>
        <w:tc>
          <w:tcPr>
            <w:tcW w:w="1231" w:type="pct"/>
            <w:shd w:val="clear" w:color="auto" w:fill="auto"/>
          </w:tcPr>
          <w:p w14:paraId="6CF556ED" w14:textId="6BD64A21" w:rsidR="009A755E" w:rsidRPr="00781112" w:rsidRDefault="002B7490" w:rsidP="004369B2">
            <w:pPr>
              <w:jc w:val="center"/>
              <w:rPr>
                <w:rFonts w:cs="Arial"/>
                <w:color w:val="000000" w:themeColor="text1"/>
                <w:szCs w:val="16"/>
              </w:rPr>
            </w:pPr>
            <w:r w:rsidRPr="00781112">
              <w:rPr>
                <w:rFonts w:cs="Arial"/>
                <w:color w:val="000000" w:themeColor="text1"/>
                <w:szCs w:val="16"/>
              </w:rPr>
              <w:t>0</w:t>
            </w:r>
          </w:p>
        </w:tc>
        <w:tc>
          <w:tcPr>
            <w:tcW w:w="1254" w:type="pct"/>
            <w:shd w:val="clear" w:color="auto" w:fill="auto"/>
          </w:tcPr>
          <w:p w14:paraId="1B14B45E" w14:textId="6409289E" w:rsidR="009A755E" w:rsidRPr="00781112" w:rsidRDefault="002B7490" w:rsidP="004369B2">
            <w:pPr>
              <w:jc w:val="center"/>
              <w:rPr>
                <w:rFonts w:cs="Arial"/>
                <w:color w:val="000000" w:themeColor="text1"/>
                <w:szCs w:val="16"/>
              </w:rPr>
            </w:pPr>
            <w:r w:rsidRPr="00781112">
              <w:rPr>
                <w:rFonts w:cs="Arial"/>
                <w:color w:val="000000" w:themeColor="text1"/>
                <w:szCs w:val="16"/>
              </w:rPr>
              <w:t>0</w:t>
            </w:r>
          </w:p>
        </w:tc>
      </w:tr>
    </w:tbl>
    <w:p w14:paraId="45E0E48A" w14:textId="433105F8" w:rsidR="009A755E" w:rsidRPr="00781112" w:rsidRDefault="00450F98" w:rsidP="004369B2">
      <w:pPr>
        <w:rPr>
          <w:color w:val="000000" w:themeColor="text1"/>
        </w:rPr>
      </w:pPr>
      <w:r>
        <w:rPr>
          <w:b/>
          <w:color w:val="000000" w:themeColor="text1"/>
        </w:rPr>
        <w:t>FFY 2020 Findings of Noncompliance Verified as Corrected</w:t>
      </w:r>
    </w:p>
    <w:p w14:paraId="5FAC5347" w14:textId="3A1B8056"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the source of noncompliance is correctly implementing the </w:t>
      </w:r>
      <w:r w:rsidRPr="00781112">
        <w:rPr>
          <w:rFonts w:cs="Arial"/>
          <w:b/>
          <w:i/>
          <w:color w:val="000000" w:themeColor="text1"/>
          <w:szCs w:val="16"/>
        </w:rPr>
        <w:t>regulatory requirements</w:t>
      </w:r>
    </w:p>
    <w:p w14:paraId="7BD51D93" w14:textId="30292384" w:rsidR="00326C0B" w:rsidRPr="00781112" w:rsidRDefault="002B7490" w:rsidP="009A755E">
      <w:pPr>
        <w:rPr>
          <w:rFonts w:cs="Arial"/>
          <w:color w:val="000000" w:themeColor="text1"/>
          <w:szCs w:val="16"/>
        </w:rPr>
      </w:pPr>
      <w:r w:rsidRPr="00781112">
        <w:rPr>
          <w:rFonts w:cs="Arial"/>
          <w:color w:val="000000" w:themeColor="text1"/>
          <w:szCs w:val="16"/>
        </w:rPr>
        <w:t>All LEAs with a level of compliance below 100% on any of the areas outlined in the APR Measurement Table for Indicator 13 at the time of the review were required to submit additional student files for USBE SES review to ensure the correct implementation of the regulatory requirements. The USBE SES verified the subsequent records were 100% compliant and the LEAs are correctly implementing the regulatory requirements.</w:t>
      </w:r>
    </w:p>
    <w:p w14:paraId="580C3804" w14:textId="4C173B5C"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each </w:t>
      </w:r>
      <w:r w:rsidRPr="00781112">
        <w:rPr>
          <w:rFonts w:cs="Arial"/>
          <w:b/>
          <w:i/>
          <w:color w:val="000000" w:themeColor="text1"/>
          <w:szCs w:val="16"/>
        </w:rPr>
        <w:t>individual case</w:t>
      </w:r>
      <w:r w:rsidRPr="00781112">
        <w:rPr>
          <w:rFonts w:cs="Arial"/>
          <w:b/>
          <w:color w:val="000000" w:themeColor="text1"/>
          <w:szCs w:val="16"/>
        </w:rPr>
        <w:t xml:space="preserve"> of noncompliance was corrected</w:t>
      </w:r>
    </w:p>
    <w:p w14:paraId="3CC9D0C9" w14:textId="1A1AB4E7" w:rsidR="00326C0B" w:rsidRPr="00781112" w:rsidRDefault="002B7490" w:rsidP="009A755E">
      <w:pPr>
        <w:rPr>
          <w:rFonts w:cs="Arial"/>
          <w:color w:val="000000" w:themeColor="text1"/>
          <w:szCs w:val="16"/>
        </w:rPr>
      </w:pPr>
      <w:r w:rsidRPr="00781112">
        <w:rPr>
          <w:rFonts w:cs="Arial"/>
          <w:color w:val="000000" w:themeColor="text1"/>
          <w:szCs w:val="16"/>
        </w:rPr>
        <w:t>The USBE SES provided technical assistance to LEAs on how to bring each noncompliant postsecondary transition plan into compliance. Upon making corrections, LEAs were required to submit evidence of the now-compliant postsecondary transition plans to the USBE SES for review. The LEAs submitted the required evidence for all noncompliant plans, the USBE SES reviewed all the evidence, and verified that all individual cases of noncompliance had been corrected.</w:t>
      </w:r>
    </w:p>
    <w:p w14:paraId="09CD9C74" w14:textId="77777777" w:rsidR="00A947D9" w:rsidRPr="00781112" w:rsidRDefault="00A947D9" w:rsidP="004369B2">
      <w:pPr>
        <w:rPr>
          <w:color w:val="000000" w:themeColor="text1"/>
        </w:rPr>
      </w:pPr>
    </w:p>
    <w:p w14:paraId="59FD8363" w14:textId="16A81EBD" w:rsidR="009A755E" w:rsidRPr="00781112" w:rsidRDefault="00450F98" w:rsidP="004369B2">
      <w:pPr>
        <w:rPr>
          <w:color w:val="000000" w:themeColor="text1"/>
        </w:rPr>
      </w:pPr>
      <w:r>
        <w:rPr>
          <w:b/>
          <w:color w:val="000000" w:themeColor="text1"/>
        </w:rPr>
        <w:lastRenderedPageBreak/>
        <w:t>Correction of Findings of Noncompliance Identified Prior to FFY 2020</w:t>
      </w:r>
    </w:p>
    <w:tbl>
      <w:tblPr>
        <w:tblStyle w:val="TableGrid"/>
        <w:tblW w:w="5000" w:type="pct"/>
        <w:tblLook w:val="04A0" w:firstRow="1" w:lastRow="0" w:firstColumn="1" w:lastColumn="0" w:noHBand="0" w:noVBand="1"/>
        <w:tblCaption w:val="B13PPFFYNCFINDINGS"/>
      </w:tblPr>
      <w:tblGrid>
        <w:gridCol w:w="2132"/>
        <w:gridCol w:w="3153"/>
        <w:gridCol w:w="2842"/>
        <w:gridCol w:w="2663"/>
      </w:tblGrid>
      <w:tr w:rsidR="005C29F8" w:rsidRPr="00781112" w14:paraId="1C8DDFE9" w14:textId="77777777" w:rsidTr="00A947D9">
        <w:trPr>
          <w:tblHeader/>
        </w:trPr>
        <w:tc>
          <w:tcPr>
            <w:tcW w:w="988" w:type="pct"/>
            <w:shd w:val="clear" w:color="auto" w:fill="auto"/>
            <w:vAlign w:val="bottom"/>
          </w:tcPr>
          <w:p w14:paraId="6DA65F9A" w14:textId="186CEF16" w:rsidR="009A755E" w:rsidRPr="00781112" w:rsidRDefault="003A4027" w:rsidP="009A755E">
            <w:pPr>
              <w:jc w:val="center"/>
              <w:rPr>
                <w:rFonts w:cs="Arial"/>
                <w:b/>
                <w:color w:val="000000" w:themeColor="text1"/>
                <w:szCs w:val="16"/>
              </w:rPr>
            </w:pPr>
            <w:r w:rsidRPr="00781112">
              <w:rPr>
                <w:rFonts w:cs="Arial"/>
                <w:b/>
                <w:color w:val="000000" w:themeColor="text1"/>
                <w:szCs w:val="16"/>
              </w:rPr>
              <w:t>Year Findings of Noncompliance Were Identified</w:t>
            </w:r>
          </w:p>
        </w:tc>
        <w:tc>
          <w:tcPr>
            <w:tcW w:w="1461" w:type="pct"/>
            <w:shd w:val="clear" w:color="auto" w:fill="auto"/>
            <w:vAlign w:val="bottom"/>
          </w:tcPr>
          <w:p w14:paraId="22AE93B4" w14:textId="4AB000F7" w:rsidR="009A755E" w:rsidRPr="00781112" w:rsidRDefault="00450F98" w:rsidP="009A755E">
            <w:pPr>
              <w:jc w:val="center"/>
              <w:rPr>
                <w:rFonts w:cs="Arial"/>
                <w:b/>
                <w:color w:val="000000" w:themeColor="text1"/>
                <w:szCs w:val="16"/>
              </w:rPr>
            </w:pPr>
            <w:r>
              <w:rPr>
                <w:rFonts w:cs="Arial"/>
                <w:b/>
                <w:color w:val="000000" w:themeColor="text1"/>
                <w:szCs w:val="16"/>
              </w:rPr>
              <w:t>Findings of Noncompliance Not Yet Verified as Corrected as of FFY 2020 APR</w:t>
            </w:r>
          </w:p>
        </w:tc>
        <w:tc>
          <w:tcPr>
            <w:tcW w:w="1317" w:type="pct"/>
            <w:shd w:val="clear" w:color="auto" w:fill="auto"/>
            <w:vAlign w:val="bottom"/>
          </w:tcPr>
          <w:p w14:paraId="1E652481"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234" w:type="pct"/>
            <w:shd w:val="clear" w:color="auto" w:fill="auto"/>
            <w:vAlign w:val="bottom"/>
          </w:tcPr>
          <w:p w14:paraId="2936209D"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1DF4458C" w14:textId="77777777" w:rsidTr="00A947D9">
        <w:tc>
          <w:tcPr>
            <w:tcW w:w="988" w:type="pct"/>
            <w:shd w:val="clear" w:color="auto" w:fill="auto"/>
          </w:tcPr>
          <w:p w14:paraId="09D39BF4" w14:textId="12080EC7" w:rsidR="009A755E" w:rsidRPr="00781112" w:rsidRDefault="009A755E" w:rsidP="00A018D4">
            <w:pPr>
              <w:jc w:val="center"/>
              <w:rPr>
                <w:rFonts w:cs="Arial"/>
                <w:color w:val="000000" w:themeColor="text1"/>
                <w:szCs w:val="16"/>
              </w:rPr>
            </w:pPr>
          </w:p>
        </w:tc>
        <w:tc>
          <w:tcPr>
            <w:tcW w:w="1461" w:type="pct"/>
            <w:shd w:val="clear" w:color="auto" w:fill="auto"/>
          </w:tcPr>
          <w:p w14:paraId="16129CDC" w14:textId="4ECB3EAC" w:rsidR="009A755E" w:rsidRPr="00781112" w:rsidRDefault="009A755E">
            <w:pPr>
              <w:jc w:val="center"/>
              <w:rPr>
                <w:rFonts w:cs="Arial"/>
                <w:noProof/>
                <w:color w:val="000000" w:themeColor="text1"/>
                <w:szCs w:val="16"/>
              </w:rPr>
            </w:pPr>
          </w:p>
        </w:tc>
        <w:tc>
          <w:tcPr>
            <w:tcW w:w="1317" w:type="pct"/>
            <w:shd w:val="clear" w:color="auto" w:fill="auto"/>
          </w:tcPr>
          <w:p w14:paraId="631866C2" w14:textId="7A733589" w:rsidR="009A755E" w:rsidRPr="00781112" w:rsidRDefault="009A755E">
            <w:pPr>
              <w:jc w:val="center"/>
              <w:rPr>
                <w:rFonts w:cs="Arial"/>
                <w:noProof/>
                <w:color w:val="000000" w:themeColor="text1"/>
                <w:szCs w:val="16"/>
              </w:rPr>
            </w:pPr>
          </w:p>
        </w:tc>
        <w:tc>
          <w:tcPr>
            <w:tcW w:w="1234" w:type="pct"/>
            <w:shd w:val="clear" w:color="auto" w:fill="auto"/>
          </w:tcPr>
          <w:p w14:paraId="3A2AFB37" w14:textId="4D254CD3" w:rsidR="009A755E" w:rsidRPr="00781112" w:rsidRDefault="009A755E">
            <w:pPr>
              <w:jc w:val="center"/>
              <w:rPr>
                <w:rFonts w:cs="Arial"/>
                <w:noProof/>
                <w:color w:val="000000" w:themeColor="text1"/>
                <w:szCs w:val="16"/>
              </w:rPr>
            </w:pPr>
          </w:p>
        </w:tc>
      </w:tr>
      <w:tr w:rsidR="005C29F8" w:rsidRPr="00781112" w14:paraId="22754C03" w14:textId="77777777" w:rsidTr="00A947D9">
        <w:tc>
          <w:tcPr>
            <w:tcW w:w="988" w:type="pct"/>
            <w:shd w:val="clear" w:color="auto" w:fill="auto"/>
          </w:tcPr>
          <w:p w14:paraId="3F1CDA29" w14:textId="16C6A591" w:rsidR="009A755E" w:rsidRPr="00781112" w:rsidRDefault="009A755E" w:rsidP="00A018D4">
            <w:pPr>
              <w:jc w:val="center"/>
              <w:rPr>
                <w:rFonts w:cs="Arial"/>
                <w:color w:val="000000" w:themeColor="text1"/>
                <w:szCs w:val="16"/>
              </w:rPr>
            </w:pPr>
          </w:p>
        </w:tc>
        <w:tc>
          <w:tcPr>
            <w:tcW w:w="1461" w:type="pct"/>
            <w:shd w:val="clear" w:color="auto" w:fill="auto"/>
          </w:tcPr>
          <w:p w14:paraId="50EA299D" w14:textId="70FCF876" w:rsidR="009A755E" w:rsidRPr="00781112" w:rsidRDefault="009A755E">
            <w:pPr>
              <w:jc w:val="center"/>
              <w:rPr>
                <w:rFonts w:cs="Arial"/>
                <w:noProof/>
                <w:color w:val="000000" w:themeColor="text1"/>
                <w:szCs w:val="16"/>
              </w:rPr>
            </w:pPr>
          </w:p>
        </w:tc>
        <w:tc>
          <w:tcPr>
            <w:tcW w:w="1317" w:type="pct"/>
            <w:shd w:val="clear" w:color="auto" w:fill="auto"/>
          </w:tcPr>
          <w:p w14:paraId="424B5A41" w14:textId="57F0D24B" w:rsidR="009A755E" w:rsidRPr="00781112" w:rsidRDefault="009A755E">
            <w:pPr>
              <w:jc w:val="center"/>
              <w:rPr>
                <w:rFonts w:cs="Arial"/>
                <w:noProof/>
                <w:color w:val="000000" w:themeColor="text1"/>
                <w:szCs w:val="16"/>
              </w:rPr>
            </w:pPr>
          </w:p>
        </w:tc>
        <w:tc>
          <w:tcPr>
            <w:tcW w:w="1234" w:type="pct"/>
            <w:shd w:val="clear" w:color="auto" w:fill="auto"/>
          </w:tcPr>
          <w:p w14:paraId="5FD250DE" w14:textId="1F07D8E0" w:rsidR="009A755E" w:rsidRPr="00781112" w:rsidRDefault="009A755E">
            <w:pPr>
              <w:jc w:val="center"/>
              <w:rPr>
                <w:rFonts w:cs="Arial"/>
                <w:noProof/>
                <w:color w:val="000000" w:themeColor="text1"/>
                <w:szCs w:val="16"/>
              </w:rPr>
            </w:pPr>
          </w:p>
        </w:tc>
      </w:tr>
      <w:tr w:rsidR="005C29F8" w:rsidRPr="00781112" w14:paraId="1554C3DE" w14:textId="77777777" w:rsidTr="00A947D9">
        <w:tc>
          <w:tcPr>
            <w:tcW w:w="988" w:type="pct"/>
            <w:shd w:val="clear" w:color="auto" w:fill="auto"/>
          </w:tcPr>
          <w:p w14:paraId="08F1D022" w14:textId="2DEB05AF" w:rsidR="009A755E" w:rsidRPr="00781112" w:rsidRDefault="009A755E" w:rsidP="00A018D4">
            <w:pPr>
              <w:jc w:val="center"/>
              <w:rPr>
                <w:rFonts w:cs="Arial"/>
                <w:color w:val="000000" w:themeColor="text1"/>
                <w:szCs w:val="16"/>
              </w:rPr>
            </w:pPr>
          </w:p>
        </w:tc>
        <w:tc>
          <w:tcPr>
            <w:tcW w:w="1461" w:type="pct"/>
            <w:shd w:val="clear" w:color="auto" w:fill="auto"/>
          </w:tcPr>
          <w:p w14:paraId="3FCA4EF1" w14:textId="25DC21F7" w:rsidR="009A755E" w:rsidRPr="00781112" w:rsidRDefault="009A755E">
            <w:pPr>
              <w:jc w:val="center"/>
              <w:rPr>
                <w:rFonts w:cs="Arial"/>
                <w:noProof/>
                <w:color w:val="000000" w:themeColor="text1"/>
                <w:szCs w:val="16"/>
              </w:rPr>
            </w:pPr>
          </w:p>
        </w:tc>
        <w:tc>
          <w:tcPr>
            <w:tcW w:w="1317" w:type="pct"/>
            <w:shd w:val="clear" w:color="auto" w:fill="auto"/>
          </w:tcPr>
          <w:p w14:paraId="4F433BEE" w14:textId="401E2469" w:rsidR="009A755E" w:rsidRPr="00781112" w:rsidRDefault="009A755E">
            <w:pPr>
              <w:jc w:val="center"/>
              <w:rPr>
                <w:rFonts w:cs="Arial"/>
                <w:noProof/>
                <w:color w:val="000000" w:themeColor="text1"/>
                <w:szCs w:val="16"/>
              </w:rPr>
            </w:pPr>
          </w:p>
        </w:tc>
        <w:tc>
          <w:tcPr>
            <w:tcW w:w="1234" w:type="pct"/>
            <w:shd w:val="clear" w:color="auto" w:fill="auto"/>
          </w:tcPr>
          <w:p w14:paraId="615F0522" w14:textId="27A5AF36" w:rsidR="009A755E" w:rsidRPr="00781112" w:rsidRDefault="009A755E">
            <w:pPr>
              <w:jc w:val="center"/>
              <w:rPr>
                <w:rFonts w:cs="Arial"/>
                <w:noProof/>
                <w:color w:val="000000" w:themeColor="text1"/>
                <w:szCs w:val="16"/>
              </w:rPr>
            </w:pPr>
          </w:p>
        </w:tc>
      </w:tr>
    </w:tbl>
    <w:p w14:paraId="0764B6D1" w14:textId="7BF666C6" w:rsidR="004E2151" w:rsidRPr="00781112" w:rsidRDefault="00056350" w:rsidP="00123D76">
      <w:pPr>
        <w:pStyle w:val="Heading2"/>
      </w:pPr>
      <w:r w:rsidRPr="00781112">
        <w:t>13</w:t>
      </w:r>
      <w:r w:rsidR="001D508D" w:rsidRPr="00781112">
        <w:t xml:space="preserve"> </w:t>
      </w:r>
      <w:r w:rsidRPr="00781112">
        <w:t xml:space="preserve">- </w:t>
      </w:r>
      <w:r w:rsidR="004E2151" w:rsidRPr="00781112">
        <w:t>Prior FFY Required Actions</w:t>
      </w:r>
    </w:p>
    <w:p w14:paraId="3DC62C2B" w14:textId="341FD615" w:rsidR="004E2151" w:rsidRPr="00781112" w:rsidRDefault="002B7490" w:rsidP="004E2151">
      <w:pPr>
        <w:rPr>
          <w:rFonts w:cs="Arial"/>
          <w:color w:val="000000" w:themeColor="text1"/>
          <w:szCs w:val="16"/>
        </w:rPr>
      </w:pPr>
      <w:r w:rsidRPr="00781112">
        <w:rPr>
          <w:rFonts w:cs="Arial"/>
          <w:color w:val="000000" w:themeColor="text1"/>
          <w:szCs w:val="16"/>
        </w:rPr>
        <w:t>Because the State reported less than 100% compliance for FFY 2020, the State must report on the status of correction of noncompliance identified in FFY 2020 for this indicator. When reporting on the correction of noncompliance, the State must report, in the FFY 2021 SPP/APR, that it has verified that each LEA with noncompliance identified in FFY 2020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LEA, consistent with OSEP Memo 09-02.  In the FFY 2021 SPP/APR, the State must describe the specific actions that were taken to verify the correction.</w:t>
      </w:r>
      <w:r w:rsidRPr="00781112">
        <w:rPr>
          <w:rFonts w:cs="Arial"/>
          <w:color w:val="000000" w:themeColor="text1"/>
          <w:szCs w:val="16"/>
        </w:rPr>
        <w:br/>
        <w:t>If the State did not identify any findings of noncompliance in FFY 2020, although its FFY 2020 data reflect less than 100% compliance, provide an explanation of why the State did not identify any findings of noncompliance in FFY 2020.</w:t>
      </w:r>
      <w:r w:rsidRPr="00781112">
        <w:rPr>
          <w:rFonts w:cs="Arial"/>
          <w:color w:val="000000" w:themeColor="text1"/>
          <w:szCs w:val="16"/>
        </w:rPr>
        <w:br/>
      </w:r>
      <w:r w:rsidRPr="00781112">
        <w:rPr>
          <w:rFonts w:cs="Arial"/>
          <w:color w:val="000000" w:themeColor="text1"/>
          <w:szCs w:val="16"/>
        </w:rPr>
        <w:br/>
        <w:t>In addition, the State must demonstrate, in the FFY 2021 SPP/APR, that each LEA corrected the findings of noncompliance identified in FFY 2019 and verified correction of those findings, consistent with OSEP Memo 09-02. When reporting on the correction of noncompliance, the State must report, in the FFY 2021 SPP/APR, that it has verified that each LEA with noncompliance identified in FFY 2019: (1) is correctly implementing the specific regulatory requirements (i.e., achieved 100% compliance) based on a review of updated data such as data subsequently collected through on-site monitoring or a State data system.</w:t>
      </w:r>
    </w:p>
    <w:p w14:paraId="6FDC964C" w14:textId="7C7EE16F" w:rsidR="009F69E7" w:rsidRPr="00781112" w:rsidRDefault="009F69E7" w:rsidP="004E2151">
      <w:pPr>
        <w:rPr>
          <w:rFonts w:cs="Arial"/>
          <w:color w:val="000000" w:themeColor="text1"/>
          <w:szCs w:val="16"/>
        </w:rPr>
      </w:pPr>
    </w:p>
    <w:p w14:paraId="769948F5" w14:textId="5D21E86F" w:rsidR="004E2151" w:rsidRPr="00781112" w:rsidRDefault="007639D7" w:rsidP="004369B2">
      <w:pPr>
        <w:rPr>
          <w:b/>
          <w:color w:val="000000" w:themeColor="text1"/>
        </w:rPr>
      </w:pPr>
      <w:r>
        <w:rPr>
          <w:b/>
          <w:color w:val="000000" w:themeColor="text1"/>
        </w:rPr>
        <w:t>Response to actions required in FFY 2020 SPP/APR</w:t>
      </w:r>
    </w:p>
    <w:p w14:paraId="18FDD3C1" w14:textId="77777777" w:rsidR="009F69E7" w:rsidRPr="00781112" w:rsidRDefault="002B7490" w:rsidP="004E2151">
      <w:pPr>
        <w:rPr>
          <w:rFonts w:cs="Arial"/>
          <w:color w:val="000000" w:themeColor="text1"/>
          <w:szCs w:val="16"/>
        </w:rPr>
      </w:pPr>
      <w:r w:rsidRPr="00781112">
        <w:rPr>
          <w:rFonts w:cs="Arial"/>
          <w:color w:val="000000" w:themeColor="text1"/>
          <w:szCs w:val="16"/>
        </w:rPr>
        <w:t>Prior to FFY 2022, the USBE SES determined that LEAs who corrected individual cases of noncompliance within a State-established correction window were also demonstrating the correct implementation of regulatory requirements. LEAs were issued findings of noncompliance when they did not correct the individual noncompliance within the State-established correction window.</w:t>
      </w:r>
      <w:r w:rsidRPr="00781112">
        <w:rPr>
          <w:rFonts w:cs="Arial"/>
          <w:color w:val="000000" w:themeColor="text1"/>
          <w:szCs w:val="16"/>
        </w:rPr>
        <w:br/>
      </w:r>
      <w:r w:rsidRPr="00781112">
        <w:rPr>
          <w:rFonts w:cs="Arial"/>
          <w:color w:val="000000" w:themeColor="text1"/>
          <w:szCs w:val="16"/>
        </w:rPr>
        <w:br/>
        <w:t>All individual noncompliance was corrected by showing an additional student file with consent and evaluations to ensure the evaluations were completed within the State-established 45-school day timeline. For LEAs who were issued findings of noncompliance, additional files were also provided by the LEA and verified by the USBE SES as compliant to demonstrate the correct implementation of the regulatory requirements. All noncompliance from FFY 2020 and prior were corrected using this process and were verified within 10 months from the date noncompliance was identified.</w:t>
      </w:r>
      <w:r w:rsidRPr="00781112">
        <w:rPr>
          <w:rFonts w:cs="Arial"/>
          <w:color w:val="000000" w:themeColor="text1"/>
          <w:szCs w:val="16"/>
        </w:rPr>
        <w:br/>
      </w:r>
      <w:r w:rsidRPr="00781112">
        <w:rPr>
          <w:rFonts w:cs="Arial"/>
          <w:color w:val="000000" w:themeColor="text1"/>
          <w:szCs w:val="16"/>
        </w:rPr>
        <w:br/>
        <w:t>The USBE SES has reviewed and revised statewide procedures for correcting noncompliance for everything below 100% as follows:</w:t>
      </w:r>
      <w:r w:rsidRPr="00781112">
        <w:rPr>
          <w:rFonts w:cs="Arial"/>
          <w:color w:val="000000" w:themeColor="text1"/>
          <w:szCs w:val="16"/>
        </w:rPr>
        <w:br/>
      </w:r>
      <w:r w:rsidRPr="00781112">
        <w:rPr>
          <w:rFonts w:cs="Arial"/>
          <w:color w:val="000000" w:themeColor="text1"/>
          <w:szCs w:val="16"/>
        </w:rPr>
        <w:br/>
        <w:t>PRONG 1: CORRECTING EACH INDIVIDUAL CASE OF STUDENT-SPECIFIC NONCOMPLIANCE</w:t>
      </w:r>
      <w:r w:rsidRPr="00781112">
        <w:rPr>
          <w:rFonts w:cs="Arial"/>
          <w:color w:val="000000" w:themeColor="text1"/>
          <w:szCs w:val="16"/>
        </w:rPr>
        <w:br/>
        <w:t>To correct noncompliance concerning student-specific requirements, the LEA must submit documentation that the LEA has corrected each individual case of noncompliance, unless the student’s special education file is no longer within the jurisdiction of the LEA. The LEA documents the required evidence by indicating correction and providing it to a UPIPS team member for review in-person, or by uploading the evidence to the UPIPS program.</w:t>
      </w:r>
      <w:r w:rsidRPr="00781112">
        <w:rPr>
          <w:rFonts w:cs="Arial"/>
          <w:color w:val="000000" w:themeColor="text1"/>
          <w:szCs w:val="16"/>
        </w:rPr>
        <w:br/>
      </w:r>
      <w:r w:rsidRPr="00781112">
        <w:rPr>
          <w:rFonts w:cs="Arial"/>
          <w:color w:val="000000" w:themeColor="text1"/>
          <w:szCs w:val="16"/>
        </w:rPr>
        <w:br/>
        <w:t xml:space="preserve">PRONG 2: CORRECTLY IMPLEMENTING THE SPECIFIC REGULATORY REQUIREMENTS </w:t>
      </w:r>
      <w:r w:rsidRPr="00781112">
        <w:rPr>
          <w:rFonts w:cs="Arial"/>
          <w:color w:val="000000" w:themeColor="text1"/>
          <w:szCs w:val="16"/>
        </w:rPr>
        <w:br/>
        <w:t>In conjunction with Prong 1 corrections, the LEA will be required to provide additional student special education files for review. The LEA may also be required to show evidence of training, collaboration, and/or other competency-based learning activities. The LEA documents the required evidence by indicating correction and providing it to a UPIPS team member for review in-person, or by uploading the evidence to the UPIPS program.</w:t>
      </w:r>
    </w:p>
    <w:p w14:paraId="310A49DA" w14:textId="36D1B81C" w:rsidR="007F5071" w:rsidRPr="00781112" w:rsidRDefault="00056350" w:rsidP="00123D76">
      <w:pPr>
        <w:pStyle w:val="Heading2"/>
      </w:pPr>
      <w:r w:rsidRPr="00781112">
        <w:t>13 - OSEP Response</w:t>
      </w:r>
    </w:p>
    <w:p w14:paraId="55757593" w14:textId="79413C8B" w:rsidR="00293C7E" w:rsidRPr="00781112" w:rsidRDefault="00293C7E" w:rsidP="00212954">
      <w:pPr>
        <w:rPr>
          <w:rFonts w:cs="Arial"/>
          <w:color w:val="000000" w:themeColor="text1"/>
          <w:szCs w:val="16"/>
        </w:rPr>
      </w:pPr>
    </w:p>
    <w:p w14:paraId="139D82E4" w14:textId="2690DF84" w:rsidR="007F5071" w:rsidRPr="00781112" w:rsidRDefault="00056350" w:rsidP="00123D76">
      <w:pPr>
        <w:pStyle w:val="Heading2"/>
      </w:pPr>
      <w:r w:rsidRPr="00781112">
        <w:t>13 - Required Actions</w:t>
      </w:r>
    </w:p>
    <w:p w14:paraId="3AC05AE9" w14:textId="66211D68" w:rsidR="00293C7E" w:rsidRPr="00781112" w:rsidRDefault="002B7490" w:rsidP="00212954">
      <w:pPr>
        <w:rPr>
          <w:rFonts w:cs="Arial"/>
          <w:color w:val="000000" w:themeColor="text1"/>
          <w:szCs w:val="16"/>
        </w:rPr>
      </w:pPr>
      <w:r w:rsidRPr="00781112">
        <w:rPr>
          <w:rFonts w:cs="Arial"/>
          <w:color w:val="000000" w:themeColor="text1"/>
          <w:szCs w:val="16"/>
        </w:rPr>
        <w:t>Because the State reported less than 100% compliance for FFY 2021, the State must report on the status of correction of noncompliance identified in FFY 2021 for this indicator. When reporting on the correction of noncompliance, the State must report, in the FFY 2022 SPP/APR, that it has verified that each LEA with noncompliance identified in FFY 2021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LEA, consistent with OSEP Memo 09-02.  In the FFY 2022 SPP/APR, the State must describe the specific actions that were taken to verify the correction.</w:t>
      </w:r>
      <w:r w:rsidRPr="00781112">
        <w:rPr>
          <w:rFonts w:cs="Arial"/>
          <w:color w:val="000000" w:themeColor="text1"/>
          <w:szCs w:val="16"/>
        </w:rPr>
        <w:br/>
      </w:r>
      <w:r w:rsidRPr="00781112">
        <w:rPr>
          <w:rFonts w:cs="Arial"/>
          <w:color w:val="000000" w:themeColor="text1"/>
          <w:szCs w:val="16"/>
        </w:rPr>
        <w:br/>
        <w:t>If the State did not identify any findings of noncompliance in FFY 2021, although its FFY 2021 data reflect less than 100% compliance, provide an explanation of why the State did not identify any findings of noncompliance in FFY 2021.</w:t>
      </w:r>
    </w:p>
    <w:p w14:paraId="2D88F5D3"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6BE48297" w14:textId="049A8FC3" w:rsidR="00B3462E" w:rsidRPr="00781112" w:rsidRDefault="00B3462E" w:rsidP="000444E2">
      <w:pPr>
        <w:pStyle w:val="Heading1"/>
        <w:rPr>
          <w:color w:val="000000" w:themeColor="text1"/>
          <w:sz w:val="22"/>
        </w:rPr>
      </w:pPr>
      <w:r w:rsidRPr="00781112">
        <w:rPr>
          <w:color w:val="000000" w:themeColor="text1"/>
          <w:sz w:val="22"/>
        </w:rPr>
        <w:lastRenderedPageBreak/>
        <w:t>Indicator 14: Post-School Outcomes</w:t>
      </w:r>
      <w:bookmarkEnd w:id="85"/>
    </w:p>
    <w:p w14:paraId="22761492" w14:textId="77777777" w:rsidR="005C50DB" w:rsidRPr="00781112" w:rsidRDefault="005C50DB" w:rsidP="00A018D4">
      <w:pPr>
        <w:rPr>
          <w:szCs w:val="20"/>
        </w:rPr>
      </w:pPr>
      <w:bookmarkStart w:id="86" w:name="_Toc392159336"/>
      <w:r w:rsidRPr="00781112">
        <w:rPr>
          <w:b/>
          <w:sz w:val="20"/>
          <w:szCs w:val="20"/>
        </w:rPr>
        <w:t>Instructions and Measurement</w:t>
      </w:r>
    </w:p>
    <w:p w14:paraId="3872DE81" w14:textId="173DF04F" w:rsidR="001F3A65" w:rsidRPr="00781112" w:rsidRDefault="001F3A65" w:rsidP="005F442C">
      <w:pPr>
        <w:rPr>
          <w:rFonts w:cs="Arial"/>
          <w:szCs w:val="16"/>
        </w:rPr>
      </w:pPr>
      <w:r w:rsidRPr="00781112">
        <w:rPr>
          <w:rFonts w:cs="Arial"/>
          <w:b/>
          <w:szCs w:val="16"/>
        </w:rPr>
        <w:t>Monitoring Priority</w:t>
      </w:r>
      <w:r w:rsidRPr="00781112">
        <w:rPr>
          <w:rFonts w:cs="Arial"/>
          <w:szCs w:val="16"/>
        </w:rPr>
        <w:t>: Effective General Supervision Part B / Effective Transition</w:t>
      </w:r>
    </w:p>
    <w:p w14:paraId="29CEDA40" w14:textId="10BE3AE6" w:rsidR="001F3A65" w:rsidRPr="00781112" w:rsidRDefault="001F3A65" w:rsidP="005F442C">
      <w:pPr>
        <w:rPr>
          <w:rFonts w:cs="Arial"/>
          <w:szCs w:val="16"/>
        </w:rPr>
      </w:pPr>
      <w:r w:rsidRPr="00781112">
        <w:rPr>
          <w:rFonts w:cs="Arial"/>
          <w:b/>
          <w:szCs w:val="16"/>
        </w:rPr>
        <w:t>Results indicator:</w:t>
      </w:r>
      <w:r w:rsidR="00131842" w:rsidRPr="00781112">
        <w:rPr>
          <w:rFonts w:cs="Arial"/>
          <w:szCs w:val="16"/>
        </w:rPr>
        <w:t xml:space="preserve"> </w:t>
      </w:r>
      <w:r w:rsidRPr="00781112">
        <w:rPr>
          <w:rFonts w:cs="Arial"/>
          <w:szCs w:val="16"/>
        </w:rPr>
        <w:t>Percent of youth who are no longer in secondary school, had IEPs in effect at the time they left school, and were:</w:t>
      </w:r>
    </w:p>
    <w:p w14:paraId="7F97857D" w14:textId="783928AC" w:rsidR="001F3A65" w:rsidRPr="00781112" w:rsidRDefault="00F52ED5" w:rsidP="005F442C">
      <w:pPr>
        <w:rPr>
          <w:rFonts w:cs="Arial"/>
          <w:szCs w:val="16"/>
        </w:rPr>
      </w:pPr>
      <w:r w:rsidRPr="00781112">
        <w:rPr>
          <w:rFonts w:cs="Arial"/>
          <w:szCs w:val="16"/>
        </w:rPr>
        <w:tab/>
      </w:r>
      <w:r w:rsidRPr="00781112">
        <w:rPr>
          <w:rFonts w:cs="Arial"/>
          <w:szCs w:val="16"/>
        </w:rPr>
        <w:tab/>
        <w:t>A. Enrolled in higher education within one year of leaving high school.</w:t>
      </w:r>
    </w:p>
    <w:p w14:paraId="72E90E1C" w14:textId="0FC21DC4" w:rsidR="001F3A65" w:rsidRPr="00781112" w:rsidRDefault="00F52ED5" w:rsidP="005F442C">
      <w:pPr>
        <w:rPr>
          <w:rFonts w:cs="Arial"/>
          <w:szCs w:val="16"/>
        </w:rPr>
      </w:pPr>
      <w:r w:rsidRPr="00781112">
        <w:rPr>
          <w:rFonts w:cs="Arial"/>
          <w:szCs w:val="16"/>
        </w:rPr>
        <w:tab/>
      </w:r>
      <w:r w:rsidRPr="00781112">
        <w:rPr>
          <w:rFonts w:cs="Arial"/>
          <w:szCs w:val="16"/>
        </w:rPr>
        <w:tab/>
        <w:t>B. Enrolled in higher education or competitively employed within one year of leaving high school.</w:t>
      </w:r>
    </w:p>
    <w:p w14:paraId="71CF3231" w14:textId="0CA0669B" w:rsidR="001F3A65" w:rsidRPr="00781112" w:rsidRDefault="00F52ED5" w:rsidP="00856B0E">
      <w:pPr>
        <w:tabs>
          <w:tab w:val="left" w:pos="1440"/>
        </w:tabs>
        <w:ind w:left="1440"/>
        <w:rPr>
          <w:rFonts w:cs="Arial"/>
          <w:szCs w:val="16"/>
        </w:rPr>
      </w:pPr>
      <w:r w:rsidRPr="00781112">
        <w:rPr>
          <w:rFonts w:cs="Arial"/>
          <w:szCs w:val="16"/>
        </w:rPr>
        <w:t>C. Enrolled in higher education or in some other postsecondary education or training program; or competitively employed or in some other employment within one year of leaving high school.</w:t>
      </w:r>
    </w:p>
    <w:p w14:paraId="34C582E7" w14:textId="77777777" w:rsidR="001F3A65" w:rsidRPr="00781112" w:rsidRDefault="001F3A65" w:rsidP="005F442C">
      <w:pPr>
        <w:rPr>
          <w:rFonts w:cs="Arial"/>
          <w:szCs w:val="16"/>
        </w:rPr>
      </w:pPr>
      <w:r w:rsidRPr="00781112">
        <w:rPr>
          <w:rFonts w:cs="Arial"/>
          <w:szCs w:val="16"/>
        </w:rPr>
        <w:t>(20 U.S.C. 1416(a)(3)(B))</w:t>
      </w:r>
    </w:p>
    <w:p w14:paraId="48D4CA91" w14:textId="77777777" w:rsidR="00B67038" w:rsidRPr="00781112" w:rsidRDefault="00B67038" w:rsidP="004369B2">
      <w:r w:rsidRPr="00781112">
        <w:rPr>
          <w:b/>
        </w:rPr>
        <w:t>Data Source</w:t>
      </w:r>
    </w:p>
    <w:p w14:paraId="266BF2FF" w14:textId="7EC5F0A3" w:rsidR="00B67038" w:rsidRPr="00781112" w:rsidRDefault="00B67038" w:rsidP="005F442C">
      <w:pPr>
        <w:rPr>
          <w:rFonts w:cs="Arial"/>
          <w:szCs w:val="16"/>
        </w:rPr>
      </w:pPr>
      <w:r w:rsidRPr="00781112">
        <w:rPr>
          <w:rFonts w:cs="Arial"/>
          <w:szCs w:val="16"/>
        </w:rPr>
        <w:t>State selected data source.</w:t>
      </w:r>
    </w:p>
    <w:p w14:paraId="1655DDB5" w14:textId="4F072B5B" w:rsidR="00B67038" w:rsidRPr="00781112" w:rsidRDefault="00B67038" w:rsidP="004369B2">
      <w:r w:rsidRPr="00781112">
        <w:rPr>
          <w:b/>
        </w:rPr>
        <w:t>Measurement</w:t>
      </w:r>
    </w:p>
    <w:p w14:paraId="0B074DD3" w14:textId="77777777" w:rsidR="00B67038" w:rsidRPr="00781112" w:rsidRDefault="009B2B72" w:rsidP="006A01BD">
      <w:pPr>
        <w:pStyle w:val="Numbering"/>
        <w:ind w:left="360"/>
        <w:rPr>
          <w:color w:val="auto"/>
        </w:rPr>
      </w:pPr>
      <w:r w:rsidRPr="00781112">
        <w:rPr>
          <w:color w:val="auto"/>
        </w:rPr>
        <w:t>A. Percent enrolled in higher education = [(# of youth who are no longer in secondary school, had IEPs in effect at the time they left school and were enrolled in higher education within one year of leaving high school) divided by the (# of respondent youth who are no longer in secondary school and had IEPs in effect at the time they left school)] times 100.</w:t>
      </w:r>
    </w:p>
    <w:p w14:paraId="32414D87" w14:textId="01962ED5" w:rsidR="00B67038" w:rsidRPr="00781112" w:rsidRDefault="009B2B72" w:rsidP="006A01BD">
      <w:pPr>
        <w:pStyle w:val="Numbering"/>
        <w:ind w:left="360"/>
        <w:rPr>
          <w:color w:val="auto"/>
        </w:rPr>
      </w:pPr>
      <w:r w:rsidRPr="00781112">
        <w:rPr>
          <w:color w:val="auto"/>
        </w:rPr>
        <w:t>B. Percent enrolled in higher education or competitively employed within one year of leaving high school = [(# of youth who are no longer in secondary school, had IEPs in effect at the time they left school and were enrolled in higher education or competitively employed within one year of leaving high school) divided by the (# of respondent youth who are no longer in secondary school and had IEPs in effect at the time they left school)] times 100.</w:t>
      </w:r>
    </w:p>
    <w:p w14:paraId="0E47FE86" w14:textId="3EAC7580" w:rsidR="00B67038" w:rsidRPr="00781112" w:rsidRDefault="009B2B72" w:rsidP="006A01BD">
      <w:pPr>
        <w:pStyle w:val="Numbering"/>
        <w:ind w:left="360"/>
        <w:rPr>
          <w:color w:val="auto"/>
        </w:rPr>
      </w:pPr>
      <w:r w:rsidRPr="00781112">
        <w:rPr>
          <w:color w:val="auto"/>
        </w:rPr>
        <w:t>C. Percent enrolled in higher education, or in some other postsecondary education or training program; or competitively employed or in some other employment = [(# of youth who are no longer in secondary school, had IEPs in effect at the time they left school and were enrolled in higher education, or in some other postsecondary education or training program; or competitively employed or in some other employment) divided by the (# of respondent youth who are no longer in secondary school and had IEPs in effect at the time they left school)] times 100.</w:t>
      </w:r>
    </w:p>
    <w:p w14:paraId="20442BDD" w14:textId="77777777" w:rsidR="00B67038" w:rsidRPr="00781112" w:rsidRDefault="00B67038" w:rsidP="004369B2">
      <w:r w:rsidRPr="00781112">
        <w:rPr>
          <w:b/>
        </w:rPr>
        <w:t>Instructions</w:t>
      </w:r>
    </w:p>
    <w:p w14:paraId="4987E862" w14:textId="77777777" w:rsidR="00B67038" w:rsidRPr="00781112" w:rsidRDefault="00B67038" w:rsidP="003A4027">
      <w:pPr>
        <w:spacing w:before="0" w:after="210"/>
        <w:rPr>
          <w:rFonts w:eastAsia="Times New Roman" w:cs="Arial"/>
          <w:i/>
          <w:iCs/>
          <w:szCs w:val="16"/>
        </w:rPr>
      </w:pPr>
      <w:r w:rsidRPr="00781112">
        <w:rPr>
          <w:rFonts w:eastAsia="Times New Roman" w:cs="Arial"/>
          <w:i/>
          <w:iCs/>
          <w:szCs w:val="16"/>
        </w:rPr>
        <w:t>Sampling </w:t>
      </w:r>
      <w:r w:rsidRPr="00781112">
        <w:rPr>
          <w:rFonts w:eastAsia="Times New Roman" w:cs="Arial"/>
          <w:b/>
          <w:bCs/>
          <w:i/>
          <w:iCs/>
          <w:szCs w:val="16"/>
        </w:rPr>
        <w:t>of youth who had IEPs and are no longer in secondary school</w:t>
      </w:r>
      <w:r w:rsidRPr="00781112">
        <w:rPr>
          <w:rFonts w:eastAsia="Times New Roman" w:cs="Arial"/>
          <w:i/>
          <w:iCs/>
          <w:szCs w:val="16"/>
        </w:rPr>
        <w:t> is allowed. When sampling is used, submit a description of the sampling methodology outlining how the design will yield valid and reliable estimates of the target population. (See </w:t>
      </w:r>
      <w:r w:rsidRPr="00781112">
        <w:rPr>
          <w:rFonts w:eastAsia="Times New Roman" w:cs="Arial"/>
          <w:i/>
          <w:iCs/>
          <w:szCs w:val="16"/>
          <w:u w:val="single"/>
        </w:rPr>
        <w:t>General Instructions</w:t>
      </w:r>
      <w:r w:rsidRPr="00781112">
        <w:rPr>
          <w:rFonts w:eastAsia="Times New Roman" w:cs="Arial"/>
          <w:i/>
          <w:iCs/>
          <w:szCs w:val="16"/>
        </w:rPr>
        <w:t> on page 2 for additional instructions on sampling.)</w:t>
      </w:r>
    </w:p>
    <w:p w14:paraId="7DEAD51C" w14:textId="2775E89A" w:rsidR="00B67038" w:rsidRPr="00781112" w:rsidRDefault="003A4027" w:rsidP="003A4027">
      <w:pPr>
        <w:spacing w:before="0" w:after="210"/>
        <w:rPr>
          <w:rFonts w:eastAsia="Times New Roman" w:cs="Arial"/>
          <w:szCs w:val="16"/>
        </w:rPr>
      </w:pPr>
      <w:r w:rsidRPr="00781112">
        <w:rPr>
          <w:rFonts w:eastAsia="Times New Roman" w:cs="Arial"/>
          <w:szCs w:val="16"/>
        </w:rPr>
        <w:t>Collect data by September 2022 on students who left school during 2020-2021, timing the data collection so that at least one year has passed since the students left school. Include students who dropped out during 2020-2021 or who were expected to return but did not return for the current school year. This includes all youth who had an IEP in effect at the time they left school, including those who graduated with a regular diploma or some other credential, dropped out, or aged out.</w:t>
      </w:r>
    </w:p>
    <w:p w14:paraId="34FE8763" w14:textId="77777777" w:rsidR="00B67038" w:rsidRPr="00781112" w:rsidRDefault="00B67038" w:rsidP="003A4027">
      <w:pPr>
        <w:spacing w:before="0" w:after="0"/>
        <w:rPr>
          <w:rFonts w:eastAsia="Times New Roman" w:cs="Arial"/>
          <w:b/>
          <w:bCs/>
          <w:szCs w:val="16"/>
        </w:rPr>
      </w:pPr>
      <w:r w:rsidRPr="00781112">
        <w:rPr>
          <w:rFonts w:eastAsia="Times New Roman" w:cs="Arial"/>
          <w:b/>
          <w:bCs/>
          <w:szCs w:val="16"/>
        </w:rPr>
        <w:t>I. </w:t>
      </w:r>
      <w:r w:rsidRPr="00781112">
        <w:rPr>
          <w:rFonts w:eastAsia="Times New Roman" w:cs="Arial"/>
          <w:b/>
          <w:bCs/>
          <w:i/>
          <w:iCs/>
          <w:szCs w:val="16"/>
        </w:rPr>
        <w:t>Definitions</w:t>
      </w:r>
    </w:p>
    <w:p w14:paraId="239CB051" w14:textId="357D0921" w:rsidR="00B67038" w:rsidRPr="00781112" w:rsidRDefault="00B67038" w:rsidP="003A4027">
      <w:pPr>
        <w:spacing w:before="0" w:after="210"/>
        <w:rPr>
          <w:rFonts w:eastAsia="Times New Roman" w:cs="Arial"/>
          <w:szCs w:val="16"/>
        </w:rPr>
      </w:pPr>
      <w:r w:rsidRPr="00781112">
        <w:rPr>
          <w:rFonts w:eastAsia="Times New Roman" w:cs="Arial"/>
          <w:i/>
          <w:iCs/>
          <w:szCs w:val="16"/>
        </w:rPr>
        <w:t>Enrolled in higher education</w:t>
      </w:r>
      <w:r w:rsidRPr="00781112">
        <w:rPr>
          <w:rFonts w:eastAsia="Times New Roman" w:cs="Arial"/>
          <w:szCs w:val="16"/>
        </w:rPr>
        <w:t> as used in measures A, B, and C means youth have been enrolled on a full- or part-time basis in a community college (</w:t>
      </w:r>
      <w:r w:rsidR="00DB1150" w:rsidRPr="00781112">
        <w:rPr>
          <w:rFonts w:eastAsia="Times New Roman" w:cs="Arial"/>
          <w:szCs w:val="16"/>
        </w:rPr>
        <w:t>two-year</w:t>
      </w:r>
      <w:r w:rsidRPr="00781112">
        <w:rPr>
          <w:rFonts w:eastAsia="Times New Roman" w:cs="Arial"/>
          <w:szCs w:val="16"/>
        </w:rPr>
        <w:t xml:space="preserve"> program) or college/university (</w:t>
      </w:r>
      <w:proofErr w:type="gramStart"/>
      <w:r w:rsidRPr="00781112">
        <w:rPr>
          <w:rFonts w:eastAsia="Times New Roman" w:cs="Arial"/>
          <w:szCs w:val="16"/>
        </w:rPr>
        <w:t>four or more year</w:t>
      </w:r>
      <w:proofErr w:type="gramEnd"/>
      <w:r w:rsidRPr="00781112">
        <w:rPr>
          <w:rFonts w:eastAsia="Times New Roman" w:cs="Arial"/>
          <w:szCs w:val="16"/>
        </w:rPr>
        <w:t xml:space="preserve"> program) for at least one complete term, at any time in the year since leaving high school.</w:t>
      </w:r>
    </w:p>
    <w:p w14:paraId="4D24D49D" w14:textId="70217398" w:rsidR="00B67038" w:rsidRPr="00781112" w:rsidRDefault="003A4027" w:rsidP="003A4027">
      <w:pPr>
        <w:spacing w:before="0" w:after="210"/>
        <w:rPr>
          <w:rFonts w:eastAsia="Times New Roman" w:cs="Arial"/>
          <w:szCs w:val="16"/>
        </w:rPr>
      </w:pPr>
      <w:r w:rsidRPr="00781112">
        <w:rPr>
          <w:rFonts w:eastAsia="Times New Roman" w:cs="Arial"/>
          <w:i/>
          <w:iCs/>
          <w:szCs w:val="16"/>
        </w:rPr>
        <w:t xml:space="preserve">Competitive employment </w:t>
      </w:r>
      <w:r w:rsidRPr="00781112">
        <w:rPr>
          <w:rFonts w:eastAsia="Times New Roman" w:cs="Arial"/>
          <w:iCs/>
          <w:szCs w:val="16"/>
        </w:rPr>
        <w:t>as used in measures B and C: States have two options to report data under “competitive employment”:</w:t>
      </w:r>
    </w:p>
    <w:p w14:paraId="18FD65ED" w14:textId="77777777" w:rsidR="00B67038" w:rsidRPr="00781112" w:rsidRDefault="00B67038" w:rsidP="002D597B">
      <w:pPr>
        <w:spacing w:before="0" w:after="210"/>
        <w:rPr>
          <w:rFonts w:eastAsia="Times New Roman" w:cs="Arial"/>
          <w:szCs w:val="16"/>
        </w:rPr>
      </w:pPr>
      <w:r w:rsidRPr="00781112">
        <w:rPr>
          <w:rFonts w:eastAsia="Times New Roman" w:cs="Arial"/>
          <w:szCs w:val="16"/>
        </w:rPr>
        <w:t>Option 1: Use the same definition as used to report in the FFY 2015 SPP/APR, i.e., competitive employment means that youth have worked for pay at or above the minimum wage in a setting with others who are nondisabled for a period of 20 hours a week for at least 90 days at any time in the year since leaving high school. This includes military employment.</w:t>
      </w:r>
    </w:p>
    <w:p w14:paraId="4C3BF53C" w14:textId="4E5C90D1" w:rsidR="00B67038" w:rsidRPr="00781112" w:rsidRDefault="00B67038" w:rsidP="002D597B">
      <w:pPr>
        <w:spacing w:before="0"/>
        <w:rPr>
          <w:rFonts w:eastAsia="Times New Roman" w:cs="Arial"/>
          <w:szCs w:val="16"/>
        </w:rPr>
      </w:pPr>
      <w:r w:rsidRPr="00781112">
        <w:rPr>
          <w:rFonts w:eastAsia="Times New Roman" w:cs="Arial"/>
          <w:szCs w:val="16"/>
        </w:rPr>
        <w:t xml:space="preserve">Option 2: States report in alignment with the term “competitive integrated employment” and its definition, in section 7(5) of the Rehabilitation Act of 1973, as amended by Workforce Innovation and Opportunity Act (WIOA). </w:t>
      </w:r>
      <w:proofErr w:type="gramStart"/>
      <w:r w:rsidRPr="00781112">
        <w:rPr>
          <w:rFonts w:eastAsia="Times New Roman" w:cs="Arial"/>
          <w:szCs w:val="16"/>
        </w:rPr>
        <w:t>For the purpose of</w:t>
      </w:r>
      <w:proofErr w:type="gramEnd"/>
      <w:r w:rsidRPr="00781112">
        <w:rPr>
          <w:rFonts w:eastAsia="Times New Roman" w:cs="Arial"/>
          <w:szCs w:val="16"/>
        </w:rPr>
        <w:t xml:space="preserve"> defining the rate of compensation for students working on a “part-time basis” under this category, OSEP maintains the standard of 20 hours a week for at least 90 days at any time in the year since leaving high school. This definition applies to military employment.</w:t>
      </w:r>
    </w:p>
    <w:p w14:paraId="333BEB38" w14:textId="039F8C06" w:rsidR="00B67038" w:rsidRPr="00781112" w:rsidRDefault="00B67038" w:rsidP="003A4027">
      <w:pPr>
        <w:spacing w:before="0" w:after="0"/>
        <w:rPr>
          <w:rFonts w:eastAsia="Times New Roman" w:cs="Arial"/>
          <w:b/>
          <w:bCs/>
          <w:szCs w:val="16"/>
        </w:rPr>
      </w:pPr>
    </w:p>
    <w:p w14:paraId="1CBB96D1" w14:textId="18D4158D" w:rsidR="00B67038" w:rsidRPr="00781112" w:rsidRDefault="00B67038" w:rsidP="003A4027">
      <w:pPr>
        <w:spacing w:before="0" w:after="210"/>
        <w:rPr>
          <w:rFonts w:eastAsia="Times New Roman" w:cs="Arial"/>
          <w:szCs w:val="16"/>
        </w:rPr>
      </w:pPr>
      <w:r w:rsidRPr="00781112">
        <w:rPr>
          <w:rFonts w:eastAsia="Times New Roman" w:cs="Arial"/>
          <w:i/>
          <w:iCs/>
          <w:szCs w:val="16"/>
        </w:rPr>
        <w:t>Enrolled in other postsecondary education or training</w:t>
      </w:r>
      <w:r w:rsidRPr="00781112">
        <w:rPr>
          <w:rFonts w:eastAsia="Times New Roman" w:cs="Arial"/>
          <w:szCs w:val="16"/>
        </w:rPr>
        <w:t xml:space="preserve"> as used in measure C, means youth have been enrolled on a full- or part-time basis for at least 1 complete term at any time in the year since leaving high school in an education or training program (e.g., Job Corps, adult education, workforce development program, vocational technical school which is less than a </w:t>
      </w:r>
      <w:r w:rsidR="00DB1150" w:rsidRPr="00781112">
        <w:rPr>
          <w:rFonts w:eastAsia="Times New Roman" w:cs="Arial"/>
          <w:szCs w:val="16"/>
        </w:rPr>
        <w:t>two-year</w:t>
      </w:r>
      <w:r w:rsidRPr="00781112">
        <w:rPr>
          <w:rFonts w:eastAsia="Times New Roman" w:cs="Arial"/>
          <w:szCs w:val="16"/>
        </w:rPr>
        <w:t xml:space="preserve"> program).</w:t>
      </w:r>
    </w:p>
    <w:p w14:paraId="639590BD" w14:textId="0A54B9D3" w:rsidR="00B67038" w:rsidRPr="00781112" w:rsidRDefault="00B67038" w:rsidP="003A4027">
      <w:pPr>
        <w:spacing w:before="0"/>
        <w:rPr>
          <w:rFonts w:eastAsia="Times New Roman" w:cs="Arial"/>
          <w:szCs w:val="16"/>
        </w:rPr>
      </w:pPr>
      <w:r w:rsidRPr="00781112">
        <w:rPr>
          <w:rFonts w:eastAsia="Times New Roman" w:cs="Arial"/>
          <w:i/>
          <w:iCs/>
          <w:szCs w:val="16"/>
        </w:rPr>
        <w:t>Some other employment</w:t>
      </w:r>
      <w:r w:rsidRPr="00781112">
        <w:rPr>
          <w:rFonts w:eastAsia="Times New Roman" w:cs="Arial"/>
          <w:szCs w:val="16"/>
        </w:rPr>
        <w:t> as used in measure C means youth have worked for pay or been self-employed for a period of at least 90 days at any time in the year since leaving high school. This includes working in a family business (e.g., farm, store, fishing, ranching, catering services, etc.).</w:t>
      </w:r>
    </w:p>
    <w:p w14:paraId="6F699AAF" w14:textId="77777777" w:rsidR="00A45E9F" w:rsidRPr="00781112" w:rsidRDefault="00A45E9F" w:rsidP="003A4027">
      <w:pPr>
        <w:spacing w:before="0"/>
        <w:rPr>
          <w:rFonts w:eastAsia="Times New Roman" w:cs="Arial"/>
          <w:szCs w:val="16"/>
        </w:rPr>
      </w:pPr>
    </w:p>
    <w:p w14:paraId="7BDE8111" w14:textId="77777777" w:rsidR="00B67038" w:rsidRPr="00781112" w:rsidRDefault="00B67038" w:rsidP="003A4027">
      <w:pPr>
        <w:spacing w:before="0" w:after="0"/>
        <w:rPr>
          <w:rFonts w:eastAsia="Times New Roman" w:cs="Arial"/>
          <w:b/>
          <w:bCs/>
          <w:szCs w:val="16"/>
        </w:rPr>
      </w:pPr>
      <w:r w:rsidRPr="00781112">
        <w:rPr>
          <w:rFonts w:eastAsia="Times New Roman" w:cs="Arial"/>
          <w:b/>
          <w:bCs/>
          <w:szCs w:val="16"/>
        </w:rPr>
        <w:t>II. </w:t>
      </w:r>
      <w:r w:rsidRPr="00781112">
        <w:rPr>
          <w:rFonts w:eastAsia="Times New Roman" w:cs="Arial"/>
          <w:b/>
          <w:bCs/>
          <w:i/>
          <w:iCs/>
          <w:szCs w:val="16"/>
        </w:rPr>
        <w:t>Data Reporting</w:t>
      </w:r>
    </w:p>
    <w:p w14:paraId="46BA4A98" w14:textId="77777777" w:rsidR="003B692F" w:rsidRPr="00781112" w:rsidRDefault="003B692F" w:rsidP="003B692F">
      <w:pPr>
        <w:spacing w:before="0" w:after="0"/>
        <w:rPr>
          <w:rFonts w:eastAsia="Times New Roman" w:cs="Arial"/>
          <w:szCs w:val="16"/>
        </w:rPr>
      </w:pPr>
      <w:r w:rsidRPr="00781112">
        <w:rPr>
          <w:rFonts w:eastAsia="Times New Roman" w:cs="Arial"/>
          <w:szCs w:val="16"/>
        </w:rPr>
        <w:t>States must describe the metric used to determine representativeness (e.g., +/- 3% discrepancy in the proportion of responders compared to target group).</w:t>
      </w:r>
    </w:p>
    <w:p w14:paraId="73CC7B43" w14:textId="77777777" w:rsidR="003B692F" w:rsidRPr="00781112" w:rsidRDefault="003B692F" w:rsidP="003B692F">
      <w:pPr>
        <w:spacing w:before="0" w:after="0"/>
        <w:rPr>
          <w:rFonts w:eastAsia="Times New Roman" w:cs="Arial"/>
          <w:szCs w:val="16"/>
        </w:rPr>
      </w:pPr>
      <w:r w:rsidRPr="00781112">
        <w:rPr>
          <w:rFonts w:eastAsia="Times New Roman" w:cs="Arial"/>
          <w:szCs w:val="16"/>
        </w:rPr>
        <w:t xml:space="preserve">Provide the total number of targeted </w:t>
      </w:r>
      <w:proofErr w:type="gramStart"/>
      <w:r w:rsidRPr="00781112">
        <w:rPr>
          <w:rFonts w:eastAsia="Times New Roman" w:cs="Arial"/>
          <w:szCs w:val="16"/>
        </w:rPr>
        <w:t>youth</w:t>
      </w:r>
      <w:proofErr w:type="gramEnd"/>
      <w:r w:rsidRPr="00781112">
        <w:rPr>
          <w:rFonts w:eastAsia="Times New Roman" w:cs="Arial"/>
          <w:szCs w:val="16"/>
        </w:rPr>
        <w:t xml:space="preserve"> in the sample or census.</w:t>
      </w:r>
    </w:p>
    <w:p w14:paraId="220A6449" w14:textId="50017A86" w:rsidR="00B67038" w:rsidRPr="00781112" w:rsidRDefault="00B67038" w:rsidP="003A4027">
      <w:pPr>
        <w:spacing w:before="0" w:after="210"/>
        <w:rPr>
          <w:rFonts w:eastAsia="Times New Roman" w:cs="Arial"/>
          <w:szCs w:val="16"/>
        </w:rPr>
      </w:pPr>
      <w:r w:rsidRPr="00781112">
        <w:rPr>
          <w:rFonts w:eastAsia="Times New Roman" w:cs="Arial"/>
          <w:szCs w:val="16"/>
        </w:rPr>
        <w:t>Provide the actual numbers for each of the following mutually exclusive categories. The actual number of “leavers” who are:</w:t>
      </w:r>
    </w:p>
    <w:p w14:paraId="03B608C9" w14:textId="51223E67" w:rsidR="00B67038" w:rsidRPr="00781112" w:rsidRDefault="006C58FD" w:rsidP="006A01BD">
      <w:pPr>
        <w:spacing w:before="0" w:after="0"/>
        <w:ind w:left="432"/>
        <w:rPr>
          <w:rFonts w:eastAsia="Times New Roman" w:cs="Arial"/>
          <w:szCs w:val="16"/>
        </w:rPr>
      </w:pPr>
      <w:r w:rsidRPr="00781112">
        <w:rPr>
          <w:rFonts w:eastAsia="Times New Roman" w:cs="Arial"/>
          <w:szCs w:val="16"/>
        </w:rPr>
        <w:tab/>
        <w:t xml:space="preserve">1. Enrolled in higher education within one year of leaving high </w:t>
      </w:r>
      <w:proofErr w:type="gramStart"/>
      <w:r w:rsidRPr="00781112">
        <w:rPr>
          <w:rFonts w:eastAsia="Times New Roman" w:cs="Arial"/>
          <w:szCs w:val="16"/>
        </w:rPr>
        <w:t>school;</w:t>
      </w:r>
      <w:proofErr w:type="gramEnd"/>
    </w:p>
    <w:p w14:paraId="797BA656" w14:textId="599F8145" w:rsidR="00B67038" w:rsidRPr="00781112" w:rsidRDefault="006C58FD" w:rsidP="006A01BD">
      <w:pPr>
        <w:spacing w:before="0" w:after="0"/>
        <w:ind w:left="432"/>
        <w:rPr>
          <w:rFonts w:eastAsia="Times New Roman" w:cs="Arial"/>
          <w:szCs w:val="16"/>
        </w:rPr>
      </w:pPr>
      <w:r w:rsidRPr="00781112">
        <w:rPr>
          <w:rFonts w:eastAsia="Times New Roman" w:cs="Arial"/>
          <w:szCs w:val="16"/>
        </w:rPr>
        <w:tab/>
        <w:t>2. Competitively employed within one year of leaving high school (but not enrolled in higher education</w:t>
      </w:r>
      <w:proofErr w:type="gramStart"/>
      <w:r w:rsidRPr="00781112">
        <w:rPr>
          <w:rFonts w:eastAsia="Times New Roman" w:cs="Arial"/>
          <w:szCs w:val="16"/>
        </w:rPr>
        <w:t>);</w:t>
      </w:r>
      <w:proofErr w:type="gramEnd"/>
    </w:p>
    <w:p w14:paraId="17A92E9A" w14:textId="38C95AA9" w:rsidR="00B67038" w:rsidRPr="00781112" w:rsidRDefault="006C58FD" w:rsidP="00856B0E">
      <w:pPr>
        <w:spacing w:before="0" w:after="0"/>
        <w:ind w:left="720"/>
        <w:rPr>
          <w:rFonts w:eastAsia="Times New Roman" w:cs="Arial"/>
          <w:szCs w:val="16"/>
        </w:rPr>
      </w:pPr>
      <w:r w:rsidRPr="00781112">
        <w:rPr>
          <w:rFonts w:eastAsia="Times New Roman" w:cs="Arial"/>
          <w:szCs w:val="16"/>
        </w:rPr>
        <w:t>3. Enrolled in some other postsecondary education or training program within one year of leaving high school (but not enrolled in higher education or competitively employed</w:t>
      </w:r>
      <w:proofErr w:type="gramStart"/>
      <w:r w:rsidRPr="00781112">
        <w:rPr>
          <w:rFonts w:eastAsia="Times New Roman" w:cs="Arial"/>
          <w:szCs w:val="16"/>
        </w:rPr>
        <w:t>);</w:t>
      </w:r>
      <w:proofErr w:type="gramEnd"/>
    </w:p>
    <w:p w14:paraId="506D7913" w14:textId="6D55FB4B" w:rsidR="00B67038" w:rsidRPr="00781112" w:rsidRDefault="006C58FD" w:rsidP="00856B0E">
      <w:pPr>
        <w:spacing w:before="0" w:after="0"/>
        <w:ind w:left="720"/>
        <w:rPr>
          <w:rFonts w:eastAsia="Times New Roman" w:cs="Arial"/>
          <w:szCs w:val="16"/>
        </w:rPr>
      </w:pPr>
      <w:r w:rsidRPr="00781112">
        <w:rPr>
          <w:rFonts w:eastAsia="Times New Roman" w:cs="Arial"/>
          <w:szCs w:val="16"/>
        </w:rPr>
        <w:t>4. In some other employment within one year of leaving high school (but not enrolled in higher education, some other postsecondary education or training program, or competitively employed).</w:t>
      </w:r>
    </w:p>
    <w:p w14:paraId="32C672D4" w14:textId="77777777" w:rsidR="006C58FD" w:rsidRPr="00781112" w:rsidRDefault="006C58FD" w:rsidP="00B67038">
      <w:pPr>
        <w:spacing w:before="0"/>
        <w:ind w:left="432"/>
        <w:rPr>
          <w:rFonts w:eastAsia="Times New Roman" w:cs="Arial"/>
          <w:szCs w:val="16"/>
        </w:rPr>
      </w:pPr>
    </w:p>
    <w:p w14:paraId="12CAB169" w14:textId="34F2A4F0" w:rsidR="00B67038" w:rsidRPr="00781112" w:rsidRDefault="00B67038" w:rsidP="00B67038">
      <w:pPr>
        <w:spacing w:before="0"/>
        <w:ind w:left="432"/>
        <w:rPr>
          <w:rFonts w:eastAsia="Times New Roman" w:cs="Arial"/>
          <w:color w:val="000000" w:themeColor="text1"/>
          <w:szCs w:val="16"/>
        </w:rPr>
      </w:pPr>
      <w:r w:rsidRPr="00781112">
        <w:rPr>
          <w:rFonts w:eastAsia="Times New Roman" w:cs="Arial"/>
          <w:szCs w:val="16"/>
        </w:rPr>
        <w:t xml:space="preserve">“Leavers” should only be counted in one of the above categories, and the categories are organized hierarchically. So, for example, “leavers” who are enrolled in full- or part-time higher education within one year of leaving high school should only be reported in category 1, even if they also </w:t>
      </w:r>
      <w:r w:rsidRPr="00781112">
        <w:rPr>
          <w:rFonts w:eastAsia="Times New Roman" w:cs="Arial"/>
          <w:szCs w:val="16"/>
        </w:rPr>
        <w:lastRenderedPageBreak/>
        <w:t>happen to be employed. Likewise, “leavers” who are not enrolled in either part- or full-time higher education</w:t>
      </w:r>
      <w:r w:rsidRPr="00781112">
        <w:rPr>
          <w:rFonts w:eastAsia="Times New Roman" w:cs="Arial"/>
          <w:color w:val="000000" w:themeColor="text1"/>
          <w:szCs w:val="16"/>
        </w:rPr>
        <w:t>, but who are competitively employed, should only be reported under category 2, even if they happen to be enrolled in some other postsecondary education or training program.</w:t>
      </w:r>
    </w:p>
    <w:p w14:paraId="4A3EA80C" w14:textId="61D64FB4" w:rsidR="00A45E9F" w:rsidRPr="00781112" w:rsidRDefault="00A45E9F" w:rsidP="00A45E9F">
      <w:pPr>
        <w:spacing w:before="0"/>
        <w:rPr>
          <w:rFonts w:eastAsia="Times New Roman" w:cs="Arial"/>
          <w:szCs w:val="16"/>
        </w:rPr>
      </w:pPr>
      <w:r w:rsidRPr="00781112">
        <w:rPr>
          <w:rFonts w:eastAsia="Times New Roman" w:cs="Arial"/>
          <w:szCs w:val="16"/>
        </w:rPr>
        <w:t>States must compare the response rate for the reporting year to the response rate for the previous year (e.g., in the FFY 2021 SPP/APR, compare the FFY 2021 response rate to the FFY 2020 response rate), and describe strategies that will be implemented which are expected to increase the response rate year over year, particularly for those groups that are underrepresented.</w:t>
      </w:r>
    </w:p>
    <w:p w14:paraId="5BAE56A4" w14:textId="0E46D158" w:rsidR="00A45E9F" w:rsidRPr="00781112" w:rsidRDefault="00A45E9F" w:rsidP="00A45E9F">
      <w:pPr>
        <w:spacing w:before="0"/>
        <w:rPr>
          <w:rFonts w:eastAsia="Times New Roman" w:cs="Arial"/>
          <w:szCs w:val="16"/>
        </w:rPr>
      </w:pPr>
      <w:r w:rsidRPr="00781112">
        <w:rPr>
          <w:rFonts w:eastAsia="Times New Roman" w:cs="Arial"/>
          <w:szCs w:val="16"/>
        </w:rPr>
        <w:t>The State must also analyze the response rate to identify potential nonresponse bias and take steps to reduce any identified bias and promote response from a broad cross section of youth who are no longer in secondary school and had IEPs in effect at the time they left school.</w:t>
      </w:r>
    </w:p>
    <w:p w14:paraId="1B5E439E" w14:textId="77777777" w:rsidR="00A45E9F" w:rsidRPr="00781112" w:rsidRDefault="00A45E9F" w:rsidP="00360DD6">
      <w:pPr>
        <w:spacing w:before="0"/>
        <w:rPr>
          <w:rFonts w:eastAsia="Times New Roman" w:cs="Arial"/>
          <w:szCs w:val="16"/>
        </w:rPr>
      </w:pPr>
    </w:p>
    <w:p w14:paraId="0504C504" w14:textId="1B4B7E8B" w:rsidR="00B67038" w:rsidRPr="00781112" w:rsidRDefault="00B67038" w:rsidP="003A4027">
      <w:pPr>
        <w:spacing w:before="0" w:after="0"/>
        <w:rPr>
          <w:rFonts w:eastAsia="Times New Roman" w:cs="Arial"/>
          <w:b/>
          <w:bCs/>
          <w:color w:val="000000" w:themeColor="text1"/>
          <w:szCs w:val="16"/>
        </w:rPr>
      </w:pPr>
      <w:r w:rsidRPr="00781112">
        <w:rPr>
          <w:rFonts w:eastAsia="Times New Roman" w:cs="Arial"/>
          <w:b/>
          <w:bCs/>
          <w:color w:val="000000" w:themeColor="text1"/>
          <w:szCs w:val="16"/>
        </w:rPr>
        <w:t>III. </w:t>
      </w:r>
      <w:r w:rsidRPr="00781112">
        <w:rPr>
          <w:rFonts w:eastAsia="Times New Roman" w:cs="Arial"/>
          <w:b/>
          <w:bCs/>
          <w:i/>
          <w:iCs/>
          <w:color w:val="000000" w:themeColor="text1"/>
          <w:szCs w:val="16"/>
        </w:rPr>
        <w:t xml:space="preserve">Reporting </w:t>
      </w:r>
      <w:r w:rsidR="00DB1150" w:rsidRPr="00781112">
        <w:rPr>
          <w:rFonts w:eastAsia="Times New Roman" w:cs="Arial"/>
          <w:b/>
          <w:bCs/>
          <w:i/>
          <w:iCs/>
          <w:color w:val="000000" w:themeColor="text1"/>
          <w:szCs w:val="16"/>
        </w:rPr>
        <w:t>on</w:t>
      </w:r>
      <w:r w:rsidRPr="00781112">
        <w:rPr>
          <w:rFonts w:eastAsia="Times New Roman" w:cs="Arial"/>
          <w:b/>
          <w:bCs/>
          <w:i/>
          <w:iCs/>
          <w:color w:val="000000" w:themeColor="text1"/>
          <w:szCs w:val="16"/>
        </w:rPr>
        <w:t xml:space="preserve"> the Measures/Indicators</w:t>
      </w:r>
    </w:p>
    <w:p w14:paraId="2306E2F3" w14:textId="77777777" w:rsidR="00B67038" w:rsidRPr="00781112" w:rsidRDefault="00B67038" w:rsidP="003A4027">
      <w:pPr>
        <w:spacing w:before="0" w:after="210"/>
        <w:rPr>
          <w:rFonts w:eastAsia="Times New Roman" w:cs="Arial"/>
          <w:color w:val="000000" w:themeColor="text1"/>
          <w:szCs w:val="16"/>
        </w:rPr>
      </w:pPr>
      <w:r w:rsidRPr="00781112">
        <w:rPr>
          <w:rFonts w:eastAsia="Times New Roman" w:cs="Arial"/>
          <w:color w:val="000000" w:themeColor="text1"/>
          <w:szCs w:val="16"/>
        </w:rPr>
        <w:t>Targets must be established for measures A, B, and C.</w:t>
      </w:r>
    </w:p>
    <w:p w14:paraId="5A3D5C77" w14:textId="77777777" w:rsidR="00B67038" w:rsidRPr="00781112" w:rsidRDefault="00B67038" w:rsidP="003A4027">
      <w:pPr>
        <w:spacing w:before="0" w:after="210"/>
        <w:rPr>
          <w:rFonts w:eastAsia="Times New Roman" w:cs="Arial"/>
          <w:color w:val="000000" w:themeColor="text1"/>
          <w:szCs w:val="16"/>
        </w:rPr>
      </w:pPr>
      <w:r w:rsidRPr="00781112">
        <w:rPr>
          <w:rFonts w:eastAsia="Times New Roman" w:cs="Arial"/>
          <w:color w:val="000000" w:themeColor="text1"/>
          <w:szCs w:val="16"/>
        </w:rPr>
        <w:t>Measure A: For purposes of reporting on the measures/indicators, please note that any youth enrolled in an institution of higher education (that meets any definition of this term in the Higher Education Act (HEA)) within one year of leaving high school must be reported under measure A. This could include youth who also happen to be competitively employed, or in some other training program; however, the key outcome we are interested in here is enrollment in higher education.</w:t>
      </w:r>
    </w:p>
    <w:p w14:paraId="7F113969" w14:textId="77777777" w:rsidR="00B67038" w:rsidRPr="00781112" w:rsidRDefault="00B67038" w:rsidP="003A4027">
      <w:pPr>
        <w:spacing w:before="0" w:after="210"/>
        <w:rPr>
          <w:rFonts w:eastAsia="Times New Roman" w:cs="Arial"/>
          <w:color w:val="000000" w:themeColor="text1"/>
          <w:szCs w:val="16"/>
        </w:rPr>
      </w:pPr>
      <w:r w:rsidRPr="00781112">
        <w:rPr>
          <w:rFonts w:eastAsia="Times New Roman" w:cs="Arial"/>
          <w:color w:val="000000" w:themeColor="text1"/>
          <w:szCs w:val="16"/>
        </w:rPr>
        <w:t>Measure B: All youth reported under measure A should also be reported under measure B, in addition to all youth that obtain competitive employment within one year of leaving high school.</w:t>
      </w:r>
    </w:p>
    <w:p w14:paraId="52D47ED5" w14:textId="76A8EB3A" w:rsidR="00B67038" w:rsidRDefault="00B67038" w:rsidP="003A4027">
      <w:pPr>
        <w:spacing w:before="0" w:after="210"/>
        <w:rPr>
          <w:rFonts w:eastAsia="Times New Roman" w:cs="Arial"/>
          <w:color w:val="000000" w:themeColor="text1"/>
          <w:szCs w:val="16"/>
        </w:rPr>
      </w:pPr>
      <w:r w:rsidRPr="00781112">
        <w:rPr>
          <w:rFonts w:eastAsia="Times New Roman" w:cs="Arial"/>
          <w:color w:val="000000" w:themeColor="text1"/>
          <w:szCs w:val="16"/>
        </w:rPr>
        <w:t>Measure C: All youth reported under measures A and B should also be reported under measure C, in addition to youth that are enrolled in some other postsecondary education or training program, or in some other employment.</w:t>
      </w:r>
    </w:p>
    <w:p w14:paraId="5D1C94BB" w14:textId="44727F96" w:rsidR="00DF5951" w:rsidRPr="006D5DC4" w:rsidRDefault="00DF5951" w:rsidP="003A4027">
      <w:pPr>
        <w:spacing w:before="0" w:after="210"/>
      </w:pPr>
      <w:bookmarkStart w:id="87" w:name="_Hlk116647998"/>
      <w:r>
        <w:t>Beginning with the FFY 2021 SPP/APR, due February 1, 2023, include the State’s analysis of the extent to which the response data are representative of the demographics of youth who are no longer in secondary school and had IEPs in effect at the time they left school. States must include race/ethnicity in their analysis. In addition, the State’s analysis must include at least one of the following demographics:</w:t>
      </w:r>
      <w:r w:rsidR="00F24C95">
        <w:t xml:space="preserve"> disability category, gender, geographic location, and/or another demographic category approved through the stakeholder input process. If the analysis shows that the response data are not representative of the demographics of youth who are no longer in secondary school and had IEPs in effect at the time they left school, describe the strategies that the State will use to ensure that in the future the response data are representative of those demographics. In identifying such strategies, the State should consider factors such as how the State collected the data.</w:t>
      </w:r>
    </w:p>
    <w:bookmarkEnd w:id="87"/>
    <w:p w14:paraId="3FE9961A" w14:textId="1EDBA086" w:rsidR="000301BA" w:rsidRPr="00781112" w:rsidRDefault="00172058" w:rsidP="00123D76">
      <w:pPr>
        <w:pStyle w:val="Heading2"/>
      </w:pPr>
      <w:r w:rsidRPr="00781112">
        <w:t>14 - Indicator Data</w:t>
      </w:r>
    </w:p>
    <w:bookmarkEnd w:id="86"/>
    <w:p w14:paraId="373EDCC8" w14:textId="77777777" w:rsidR="005F442C" w:rsidRPr="00781112" w:rsidRDefault="005F442C" w:rsidP="004369B2">
      <w:pPr>
        <w:rPr>
          <w:color w:val="000000" w:themeColor="text1"/>
        </w:rPr>
      </w:pPr>
      <w:r w:rsidRPr="00781112">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B14HISTDATA"/>
      </w:tblPr>
      <w:tblGrid>
        <w:gridCol w:w="866"/>
        <w:gridCol w:w="1693"/>
        <w:gridCol w:w="833"/>
        <w:gridCol w:w="1480"/>
        <w:gridCol w:w="1480"/>
        <w:gridCol w:w="1480"/>
        <w:gridCol w:w="1480"/>
        <w:gridCol w:w="1478"/>
      </w:tblGrid>
      <w:tr w:rsidR="005C29F8" w:rsidRPr="00781112" w14:paraId="23017209" w14:textId="77777777" w:rsidTr="00C37CAE">
        <w:trPr>
          <w:trHeight w:val="350"/>
        </w:trPr>
        <w:tc>
          <w:tcPr>
            <w:tcW w:w="190" w:type="pct"/>
            <w:tcBorders>
              <w:top w:val="single" w:sz="4" w:space="0" w:color="auto"/>
              <w:left w:val="single" w:sz="4" w:space="0" w:color="auto"/>
              <w:bottom w:val="single" w:sz="4" w:space="0" w:color="auto"/>
              <w:right w:val="single" w:sz="4" w:space="0" w:color="auto"/>
            </w:tcBorders>
            <w:shd w:val="clear" w:color="auto" w:fill="auto"/>
          </w:tcPr>
          <w:p w14:paraId="01A8BBA7" w14:textId="09A1D650" w:rsidR="005F442C" w:rsidRPr="00781112" w:rsidRDefault="004E1996" w:rsidP="008E31C4">
            <w:pPr>
              <w:spacing w:line="276" w:lineRule="auto"/>
              <w:jc w:val="center"/>
              <w:rPr>
                <w:rFonts w:cs="Arial"/>
                <w:b/>
                <w:color w:val="000000" w:themeColor="text1"/>
                <w:szCs w:val="16"/>
              </w:rPr>
            </w:pPr>
            <w:r w:rsidRPr="00781112">
              <w:rPr>
                <w:rFonts w:cs="Arial"/>
                <w:b/>
                <w:color w:val="000000" w:themeColor="text1"/>
                <w:szCs w:val="16"/>
              </w:rPr>
              <w:t>Measure</w:t>
            </w:r>
          </w:p>
        </w:tc>
        <w:tc>
          <w:tcPr>
            <w:tcW w:w="815" w:type="pct"/>
            <w:tcBorders>
              <w:top w:val="single" w:sz="4" w:space="0" w:color="auto"/>
              <w:left w:val="single" w:sz="4" w:space="0" w:color="auto"/>
              <w:bottom w:val="single" w:sz="4" w:space="0" w:color="auto"/>
              <w:right w:val="single" w:sz="4" w:space="0" w:color="auto"/>
            </w:tcBorders>
            <w:shd w:val="clear" w:color="auto" w:fill="auto"/>
          </w:tcPr>
          <w:p w14:paraId="4133A4B9" w14:textId="6C60B813" w:rsidR="005F442C" w:rsidRPr="00781112" w:rsidRDefault="005F442C" w:rsidP="008E31C4">
            <w:pPr>
              <w:spacing w:line="276" w:lineRule="auto"/>
              <w:jc w:val="center"/>
              <w:rPr>
                <w:rFonts w:cs="Arial"/>
                <w:b/>
                <w:color w:val="000000" w:themeColor="text1"/>
                <w:szCs w:val="16"/>
              </w:rPr>
            </w:pPr>
            <w:r w:rsidRPr="00781112">
              <w:rPr>
                <w:rFonts w:cs="Arial"/>
                <w:b/>
                <w:color w:val="000000" w:themeColor="text1"/>
                <w:szCs w:val="16"/>
              </w:rPr>
              <w:t xml:space="preserve">Baseline </w:t>
            </w:r>
          </w:p>
        </w:tc>
        <w:tc>
          <w:tcPr>
            <w:tcW w:w="416" w:type="pct"/>
            <w:tcBorders>
              <w:top w:val="single" w:sz="4" w:space="0" w:color="auto"/>
              <w:left w:val="single" w:sz="4" w:space="0" w:color="auto"/>
              <w:bottom w:val="single" w:sz="4" w:space="0" w:color="auto"/>
              <w:right w:val="single" w:sz="4" w:space="0" w:color="auto"/>
            </w:tcBorders>
            <w:shd w:val="clear" w:color="auto" w:fill="auto"/>
          </w:tcPr>
          <w:p w14:paraId="754329BE" w14:textId="77777777" w:rsidR="005F442C" w:rsidRPr="00781112" w:rsidRDefault="005F442C" w:rsidP="008E31C4">
            <w:pPr>
              <w:spacing w:line="276" w:lineRule="auto"/>
              <w:jc w:val="center"/>
              <w:rPr>
                <w:rFonts w:cs="Arial"/>
                <w:b/>
                <w:color w:val="000000" w:themeColor="text1"/>
                <w:szCs w:val="16"/>
              </w:rPr>
            </w:pPr>
            <w:r w:rsidRPr="00781112">
              <w:rPr>
                <w:rFonts w:cs="Arial"/>
                <w:b/>
                <w:color w:val="000000" w:themeColor="text1"/>
                <w:szCs w:val="16"/>
              </w:rPr>
              <w:t>FFY</w:t>
            </w:r>
          </w:p>
        </w:tc>
        <w:tc>
          <w:tcPr>
            <w:tcW w:w="716" w:type="pct"/>
            <w:tcBorders>
              <w:top w:val="single" w:sz="4" w:space="0" w:color="auto"/>
              <w:left w:val="single" w:sz="4" w:space="0" w:color="auto"/>
              <w:bottom w:val="single" w:sz="4" w:space="0" w:color="auto"/>
              <w:right w:val="single" w:sz="4" w:space="0" w:color="auto"/>
            </w:tcBorders>
            <w:shd w:val="clear" w:color="auto" w:fill="auto"/>
            <w:hideMark/>
          </w:tcPr>
          <w:p w14:paraId="2CA54FD7" w14:textId="7E2CC703" w:rsidR="005F442C" w:rsidRPr="00781112" w:rsidRDefault="002B7490" w:rsidP="001111BE">
            <w:pPr>
              <w:spacing w:line="276" w:lineRule="auto"/>
              <w:jc w:val="center"/>
              <w:rPr>
                <w:rFonts w:cs="Arial"/>
                <w:b/>
                <w:color w:val="000000" w:themeColor="text1"/>
                <w:szCs w:val="16"/>
              </w:rPr>
            </w:pPr>
            <w:r w:rsidRPr="00781112">
              <w:rPr>
                <w:rFonts w:cs="Arial"/>
                <w:b/>
                <w:color w:val="000000" w:themeColor="text1"/>
                <w:szCs w:val="16"/>
              </w:rPr>
              <w:t>2016</w:t>
            </w:r>
          </w:p>
        </w:tc>
        <w:tc>
          <w:tcPr>
            <w:tcW w:w="716" w:type="pct"/>
            <w:tcBorders>
              <w:top w:val="single" w:sz="4" w:space="0" w:color="auto"/>
              <w:left w:val="single" w:sz="4" w:space="0" w:color="auto"/>
              <w:bottom w:val="single" w:sz="4" w:space="0" w:color="auto"/>
              <w:right w:val="single" w:sz="4" w:space="0" w:color="auto"/>
            </w:tcBorders>
            <w:shd w:val="clear" w:color="auto" w:fill="auto"/>
            <w:hideMark/>
          </w:tcPr>
          <w:p w14:paraId="5CF4C1A5" w14:textId="184560DA" w:rsidR="005F442C" w:rsidRPr="00781112" w:rsidRDefault="002B7490" w:rsidP="001111BE">
            <w:pPr>
              <w:spacing w:line="276" w:lineRule="auto"/>
              <w:jc w:val="center"/>
              <w:rPr>
                <w:rFonts w:cs="Arial"/>
                <w:b/>
                <w:color w:val="000000" w:themeColor="text1"/>
                <w:szCs w:val="16"/>
              </w:rPr>
            </w:pPr>
            <w:r w:rsidRPr="00781112">
              <w:rPr>
                <w:rFonts w:cs="Arial"/>
                <w:b/>
                <w:color w:val="000000" w:themeColor="text1"/>
                <w:szCs w:val="16"/>
              </w:rPr>
              <w:t>2017</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34B5CF47" w14:textId="3E5885FF" w:rsidR="005F442C" w:rsidRPr="00781112" w:rsidRDefault="002B7490" w:rsidP="001111BE">
            <w:pPr>
              <w:spacing w:line="276" w:lineRule="auto"/>
              <w:jc w:val="center"/>
              <w:rPr>
                <w:rFonts w:cs="Arial"/>
                <w:b/>
                <w:color w:val="000000" w:themeColor="text1"/>
                <w:szCs w:val="16"/>
              </w:rPr>
            </w:pPr>
            <w:r w:rsidRPr="00781112">
              <w:rPr>
                <w:rFonts w:cs="Arial"/>
                <w:b/>
                <w:color w:val="000000" w:themeColor="text1"/>
                <w:szCs w:val="16"/>
              </w:rPr>
              <w:t>2018</w:t>
            </w:r>
          </w:p>
        </w:tc>
        <w:tc>
          <w:tcPr>
            <w:tcW w:w="716" w:type="pct"/>
            <w:tcBorders>
              <w:top w:val="single" w:sz="4" w:space="0" w:color="auto"/>
              <w:left w:val="single" w:sz="4" w:space="0" w:color="auto"/>
              <w:bottom w:val="single" w:sz="4" w:space="0" w:color="auto"/>
              <w:right w:val="single" w:sz="4" w:space="0" w:color="auto"/>
            </w:tcBorders>
            <w:shd w:val="clear" w:color="auto" w:fill="auto"/>
            <w:hideMark/>
          </w:tcPr>
          <w:p w14:paraId="3DDDA5B1" w14:textId="0E359AEC" w:rsidR="005F442C" w:rsidRPr="00781112" w:rsidRDefault="002B7490" w:rsidP="001111BE">
            <w:pPr>
              <w:spacing w:line="276" w:lineRule="auto"/>
              <w:jc w:val="center"/>
              <w:rPr>
                <w:rFonts w:cs="Arial"/>
                <w:b/>
                <w:color w:val="000000" w:themeColor="text1"/>
                <w:szCs w:val="16"/>
              </w:rPr>
            </w:pPr>
            <w:r w:rsidRPr="00781112">
              <w:rPr>
                <w:rFonts w:cs="Arial"/>
                <w:b/>
                <w:color w:val="000000" w:themeColor="text1"/>
                <w:szCs w:val="16"/>
              </w:rPr>
              <w:t>2019</w:t>
            </w:r>
          </w:p>
        </w:tc>
        <w:tc>
          <w:tcPr>
            <w:tcW w:w="715" w:type="pct"/>
            <w:tcBorders>
              <w:top w:val="single" w:sz="4" w:space="0" w:color="auto"/>
              <w:left w:val="single" w:sz="4" w:space="0" w:color="auto"/>
              <w:bottom w:val="single" w:sz="4" w:space="0" w:color="auto"/>
              <w:right w:val="single" w:sz="4" w:space="0" w:color="auto"/>
            </w:tcBorders>
            <w:shd w:val="clear" w:color="auto" w:fill="auto"/>
            <w:hideMark/>
          </w:tcPr>
          <w:p w14:paraId="7B2A5B67" w14:textId="00166B91" w:rsidR="005F442C" w:rsidRPr="00781112" w:rsidRDefault="002B7490" w:rsidP="001111BE">
            <w:pPr>
              <w:spacing w:line="276" w:lineRule="auto"/>
              <w:jc w:val="center"/>
              <w:rPr>
                <w:rFonts w:cs="Arial"/>
                <w:b/>
                <w:color w:val="000000" w:themeColor="text1"/>
                <w:szCs w:val="16"/>
              </w:rPr>
            </w:pPr>
            <w:r w:rsidRPr="00781112">
              <w:rPr>
                <w:rFonts w:cs="Arial"/>
                <w:b/>
                <w:color w:val="000000" w:themeColor="text1"/>
                <w:szCs w:val="16"/>
              </w:rPr>
              <w:t>2020</w:t>
            </w:r>
          </w:p>
        </w:tc>
      </w:tr>
      <w:tr w:rsidR="005C29F8" w:rsidRPr="00781112" w14:paraId="083B463F" w14:textId="77777777" w:rsidTr="00C37CAE">
        <w:trPr>
          <w:trHeight w:val="70"/>
        </w:trPr>
        <w:tc>
          <w:tcPr>
            <w:tcW w:w="190" w:type="pct"/>
            <w:tcBorders>
              <w:top w:val="single" w:sz="4" w:space="0" w:color="auto"/>
              <w:left w:val="single" w:sz="4" w:space="0" w:color="auto"/>
              <w:right w:val="single" w:sz="4" w:space="0" w:color="auto"/>
            </w:tcBorders>
            <w:shd w:val="clear" w:color="auto" w:fill="auto"/>
            <w:vAlign w:val="center"/>
          </w:tcPr>
          <w:p w14:paraId="0980813D" w14:textId="77777777" w:rsidR="005F442C" w:rsidRPr="00781112" w:rsidRDefault="005F442C">
            <w:pPr>
              <w:spacing w:line="276" w:lineRule="auto"/>
              <w:jc w:val="center"/>
              <w:rPr>
                <w:rFonts w:cs="Arial"/>
                <w:color w:val="000000" w:themeColor="text1"/>
                <w:szCs w:val="16"/>
              </w:rPr>
            </w:pPr>
            <w:r w:rsidRPr="00781112">
              <w:rPr>
                <w:rFonts w:cs="Arial"/>
                <w:color w:val="000000" w:themeColor="text1"/>
                <w:szCs w:val="16"/>
              </w:rPr>
              <w:t>A</w:t>
            </w:r>
          </w:p>
        </w:tc>
        <w:tc>
          <w:tcPr>
            <w:tcW w:w="815" w:type="pct"/>
            <w:tcBorders>
              <w:top w:val="single" w:sz="4" w:space="0" w:color="auto"/>
              <w:left w:val="single" w:sz="4" w:space="0" w:color="auto"/>
              <w:right w:val="single" w:sz="4" w:space="0" w:color="auto"/>
            </w:tcBorders>
            <w:shd w:val="clear" w:color="auto" w:fill="auto"/>
          </w:tcPr>
          <w:p w14:paraId="21EABCF5" w14:textId="1AD6B491" w:rsidR="005F442C" w:rsidRPr="00781112" w:rsidRDefault="002B7490" w:rsidP="00A018D4">
            <w:pPr>
              <w:jc w:val="center"/>
              <w:rPr>
                <w:rFonts w:cs="Arial"/>
                <w:color w:val="000000" w:themeColor="text1"/>
                <w:szCs w:val="16"/>
              </w:rPr>
            </w:pPr>
            <w:r w:rsidRPr="00781112">
              <w:rPr>
                <w:rFonts w:cs="Arial"/>
                <w:color w:val="000000" w:themeColor="text1"/>
                <w:szCs w:val="16"/>
              </w:rPr>
              <w:t>2018</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55FB488" w14:textId="55829AC6"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Target &gt;=</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039DA1B9" w14:textId="441A6795" w:rsidR="005F442C" w:rsidRPr="00781112" w:rsidRDefault="002B7490" w:rsidP="00A018D4">
            <w:pPr>
              <w:jc w:val="center"/>
              <w:rPr>
                <w:rFonts w:cs="Arial"/>
                <w:color w:val="000000" w:themeColor="text1"/>
                <w:szCs w:val="16"/>
              </w:rPr>
            </w:pPr>
            <w:r w:rsidRPr="00781112">
              <w:rPr>
                <w:rFonts w:cs="Arial"/>
                <w:color w:val="000000" w:themeColor="text1"/>
                <w:szCs w:val="16"/>
              </w:rPr>
              <w:t>27.50%</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5151E14A" w14:textId="4DA0C6F7" w:rsidR="005F442C" w:rsidRPr="00781112" w:rsidRDefault="002B7490" w:rsidP="00A018D4">
            <w:pPr>
              <w:jc w:val="center"/>
              <w:rPr>
                <w:rFonts w:cs="Arial"/>
                <w:color w:val="000000" w:themeColor="text1"/>
                <w:szCs w:val="16"/>
              </w:rPr>
            </w:pPr>
            <w:r w:rsidRPr="00781112">
              <w:rPr>
                <w:rFonts w:cs="Arial"/>
                <w:color w:val="000000" w:themeColor="text1"/>
                <w:szCs w:val="16"/>
              </w:rPr>
              <w:t>28.25%</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4D3CBEBB" w14:textId="1729C879" w:rsidR="005F442C" w:rsidRPr="00781112" w:rsidRDefault="002B7490" w:rsidP="00A018D4">
            <w:pPr>
              <w:jc w:val="center"/>
              <w:rPr>
                <w:rFonts w:cs="Arial"/>
                <w:color w:val="000000" w:themeColor="text1"/>
                <w:szCs w:val="16"/>
              </w:rPr>
            </w:pPr>
            <w:r w:rsidRPr="00781112">
              <w:rPr>
                <w:rFonts w:cs="Arial"/>
                <w:color w:val="000000" w:themeColor="text1"/>
                <w:szCs w:val="16"/>
              </w:rPr>
              <w:t>29.00%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2E6DE686" w14:textId="15B31522" w:rsidR="005F442C" w:rsidRPr="00781112" w:rsidRDefault="002B7490" w:rsidP="00A018D4">
            <w:pPr>
              <w:jc w:val="center"/>
              <w:rPr>
                <w:rFonts w:cs="Arial"/>
                <w:color w:val="000000" w:themeColor="text1"/>
                <w:szCs w:val="16"/>
              </w:rPr>
            </w:pPr>
            <w:r w:rsidRPr="00781112">
              <w:rPr>
                <w:rFonts w:cs="Arial"/>
                <w:color w:val="000000" w:themeColor="text1"/>
                <w:szCs w:val="16"/>
              </w:rPr>
              <w:t>29.75%</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49316D4F" w14:textId="0095C778" w:rsidR="005F442C" w:rsidRPr="00781112" w:rsidRDefault="002B7490" w:rsidP="00A018D4">
            <w:pPr>
              <w:jc w:val="center"/>
              <w:rPr>
                <w:rFonts w:cs="Arial"/>
                <w:color w:val="000000" w:themeColor="text1"/>
                <w:szCs w:val="16"/>
              </w:rPr>
            </w:pPr>
            <w:r w:rsidRPr="00781112">
              <w:rPr>
                <w:rFonts w:cs="Arial"/>
                <w:color w:val="000000" w:themeColor="text1"/>
                <w:szCs w:val="16"/>
              </w:rPr>
              <w:t>17.62%</w:t>
            </w:r>
          </w:p>
        </w:tc>
      </w:tr>
      <w:tr w:rsidR="005C29F8" w:rsidRPr="00781112" w14:paraId="4DFAA88C" w14:textId="77777777" w:rsidTr="00C37CAE">
        <w:trPr>
          <w:trHeight w:val="85"/>
        </w:trPr>
        <w:tc>
          <w:tcPr>
            <w:tcW w:w="190" w:type="pct"/>
            <w:tcBorders>
              <w:left w:val="single" w:sz="4" w:space="0" w:color="auto"/>
              <w:right w:val="single" w:sz="4" w:space="0" w:color="auto"/>
            </w:tcBorders>
            <w:shd w:val="clear" w:color="auto" w:fill="auto"/>
          </w:tcPr>
          <w:p w14:paraId="65028A7E" w14:textId="6CD117ED" w:rsidR="005F442C" w:rsidRPr="00781112" w:rsidRDefault="00676431" w:rsidP="00A018D4">
            <w:pPr>
              <w:spacing w:line="276" w:lineRule="auto"/>
              <w:jc w:val="center"/>
              <w:rPr>
                <w:rFonts w:cs="Arial"/>
                <w:color w:val="000000" w:themeColor="text1"/>
                <w:szCs w:val="16"/>
              </w:rPr>
            </w:pPr>
            <w:r w:rsidRPr="00781112">
              <w:rPr>
                <w:rFonts w:cs="Arial"/>
                <w:color w:val="000000" w:themeColor="text1"/>
                <w:szCs w:val="16"/>
              </w:rPr>
              <w:t>A</w:t>
            </w:r>
          </w:p>
        </w:tc>
        <w:tc>
          <w:tcPr>
            <w:tcW w:w="815" w:type="pct"/>
            <w:tcBorders>
              <w:left w:val="single" w:sz="4" w:space="0" w:color="auto"/>
              <w:right w:val="single" w:sz="4" w:space="0" w:color="auto"/>
            </w:tcBorders>
            <w:shd w:val="clear" w:color="auto" w:fill="auto"/>
          </w:tcPr>
          <w:p w14:paraId="2D87F90A" w14:textId="5AE78B73" w:rsidR="005F442C" w:rsidRPr="00781112" w:rsidRDefault="002B7490" w:rsidP="00A018D4">
            <w:pPr>
              <w:jc w:val="center"/>
              <w:rPr>
                <w:rFonts w:cs="Arial"/>
                <w:color w:val="000000" w:themeColor="text1"/>
                <w:szCs w:val="16"/>
              </w:rPr>
            </w:pPr>
            <w:r w:rsidRPr="00781112">
              <w:rPr>
                <w:rFonts w:cs="Arial"/>
                <w:color w:val="000000" w:themeColor="text1"/>
                <w:szCs w:val="16"/>
              </w:rPr>
              <w:t>19.62%</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469B25F" w14:textId="77777777"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Data</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75ECDA20" w14:textId="748C8CB2" w:rsidR="005F442C" w:rsidRPr="00781112" w:rsidRDefault="002B7490" w:rsidP="00A018D4">
            <w:pPr>
              <w:jc w:val="center"/>
              <w:rPr>
                <w:rFonts w:cs="Arial"/>
                <w:color w:val="000000" w:themeColor="text1"/>
                <w:szCs w:val="16"/>
              </w:rPr>
            </w:pPr>
            <w:r w:rsidRPr="00781112">
              <w:rPr>
                <w:rFonts w:cs="Arial"/>
                <w:color w:val="000000" w:themeColor="text1"/>
                <w:szCs w:val="16"/>
              </w:rPr>
              <w:t>20.74%</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1A78E1E2" w14:textId="126BA5B7" w:rsidR="005F442C" w:rsidRPr="00781112" w:rsidRDefault="002B7490" w:rsidP="00A018D4">
            <w:pPr>
              <w:jc w:val="center"/>
              <w:rPr>
                <w:rFonts w:cs="Arial"/>
                <w:color w:val="000000" w:themeColor="text1"/>
                <w:szCs w:val="16"/>
              </w:rPr>
            </w:pPr>
            <w:r w:rsidRPr="00781112">
              <w:rPr>
                <w:rFonts w:cs="Arial"/>
                <w:color w:val="000000" w:themeColor="text1"/>
                <w:szCs w:val="16"/>
              </w:rPr>
              <w:t>20.24%</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2A7E5014" w14:textId="76B4842F" w:rsidR="005F442C" w:rsidRPr="00781112" w:rsidRDefault="002B7490" w:rsidP="00A018D4">
            <w:pPr>
              <w:jc w:val="center"/>
              <w:rPr>
                <w:rFonts w:cs="Arial"/>
                <w:color w:val="000000" w:themeColor="text1"/>
                <w:szCs w:val="16"/>
              </w:rPr>
            </w:pPr>
            <w:r w:rsidRPr="00781112">
              <w:rPr>
                <w:rFonts w:cs="Arial"/>
                <w:color w:val="000000" w:themeColor="text1"/>
                <w:szCs w:val="16"/>
              </w:rPr>
              <w:t>19.62%</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4AD2D2DA" w14:textId="5D991656" w:rsidR="005F442C" w:rsidRPr="00781112" w:rsidRDefault="002B7490" w:rsidP="00A018D4">
            <w:pPr>
              <w:jc w:val="center"/>
              <w:rPr>
                <w:rFonts w:cs="Arial"/>
                <w:color w:val="000000" w:themeColor="text1"/>
                <w:szCs w:val="16"/>
              </w:rPr>
            </w:pPr>
            <w:r w:rsidRPr="00781112">
              <w:rPr>
                <w:rFonts w:cs="Arial"/>
                <w:color w:val="000000" w:themeColor="text1"/>
                <w:szCs w:val="16"/>
              </w:rPr>
              <w:t>19.39%</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14EFC8E5" w14:textId="36855126" w:rsidR="005F442C" w:rsidRPr="00781112" w:rsidRDefault="002B7490" w:rsidP="00A018D4">
            <w:pPr>
              <w:jc w:val="center"/>
              <w:rPr>
                <w:rFonts w:cs="Arial"/>
                <w:color w:val="000000" w:themeColor="text1"/>
                <w:szCs w:val="16"/>
              </w:rPr>
            </w:pPr>
            <w:r w:rsidRPr="00781112">
              <w:rPr>
                <w:rFonts w:cs="Arial"/>
                <w:color w:val="000000" w:themeColor="text1"/>
                <w:szCs w:val="16"/>
              </w:rPr>
              <w:t>17.88%</w:t>
            </w:r>
          </w:p>
        </w:tc>
      </w:tr>
      <w:tr w:rsidR="005C29F8" w:rsidRPr="00781112" w14:paraId="626D1DE5" w14:textId="77777777" w:rsidTr="00C37CAE">
        <w:trPr>
          <w:trHeight w:val="357"/>
        </w:trPr>
        <w:tc>
          <w:tcPr>
            <w:tcW w:w="190" w:type="pct"/>
            <w:tcBorders>
              <w:top w:val="single" w:sz="4" w:space="0" w:color="auto"/>
              <w:left w:val="single" w:sz="4" w:space="0" w:color="auto"/>
              <w:right w:val="single" w:sz="4" w:space="0" w:color="auto"/>
            </w:tcBorders>
            <w:shd w:val="clear" w:color="auto" w:fill="auto"/>
            <w:vAlign w:val="center"/>
          </w:tcPr>
          <w:p w14:paraId="2420D4E8" w14:textId="77777777" w:rsidR="005F442C" w:rsidRPr="00781112" w:rsidRDefault="005F442C">
            <w:pPr>
              <w:spacing w:line="276" w:lineRule="auto"/>
              <w:jc w:val="center"/>
              <w:rPr>
                <w:rFonts w:cs="Arial"/>
                <w:color w:val="000000" w:themeColor="text1"/>
                <w:szCs w:val="16"/>
              </w:rPr>
            </w:pPr>
            <w:r w:rsidRPr="00781112">
              <w:rPr>
                <w:rFonts w:cs="Arial"/>
                <w:color w:val="000000" w:themeColor="text1"/>
                <w:szCs w:val="16"/>
              </w:rPr>
              <w:t>B</w:t>
            </w:r>
          </w:p>
        </w:tc>
        <w:tc>
          <w:tcPr>
            <w:tcW w:w="815" w:type="pct"/>
            <w:tcBorders>
              <w:top w:val="single" w:sz="4" w:space="0" w:color="auto"/>
              <w:left w:val="single" w:sz="4" w:space="0" w:color="auto"/>
              <w:right w:val="single" w:sz="4" w:space="0" w:color="auto"/>
            </w:tcBorders>
            <w:shd w:val="clear" w:color="auto" w:fill="auto"/>
          </w:tcPr>
          <w:p w14:paraId="1A949E27" w14:textId="6BA6427F" w:rsidR="005F442C" w:rsidRPr="00781112" w:rsidRDefault="002B7490" w:rsidP="00A018D4">
            <w:pPr>
              <w:jc w:val="center"/>
              <w:rPr>
                <w:rFonts w:cs="Arial"/>
                <w:color w:val="000000" w:themeColor="text1"/>
                <w:szCs w:val="16"/>
              </w:rPr>
            </w:pPr>
            <w:r w:rsidRPr="00781112">
              <w:rPr>
                <w:rFonts w:cs="Arial"/>
                <w:color w:val="000000" w:themeColor="text1"/>
                <w:szCs w:val="16"/>
              </w:rPr>
              <w:t>2018</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83F7C9" w14:textId="0A3252A0"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Target &gt;=</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2BC5CE03" w14:textId="44707AE5" w:rsidR="005F442C" w:rsidRPr="00781112" w:rsidRDefault="002B7490" w:rsidP="00A018D4">
            <w:pPr>
              <w:jc w:val="center"/>
              <w:rPr>
                <w:rFonts w:cs="Arial"/>
                <w:color w:val="000000" w:themeColor="text1"/>
                <w:szCs w:val="16"/>
              </w:rPr>
            </w:pPr>
            <w:r w:rsidRPr="00781112">
              <w:rPr>
                <w:rFonts w:cs="Arial"/>
                <w:color w:val="000000" w:themeColor="text1"/>
                <w:szCs w:val="16"/>
              </w:rPr>
              <w:t>75.67%</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5E7D0375" w14:textId="72BE41AE" w:rsidR="005F442C" w:rsidRPr="00781112" w:rsidRDefault="002B7490" w:rsidP="00A018D4">
            <w:pPr>
              <w:jc w:val="center"/>
              <w:rPr>
                <w:rFonts w:cs="Arial"/>
                <w:color w:val="000000" w:themeColor="text1"/>
                <w:szCs w:val="16"/>
              </w:rPr>
            </w:pPr>
            <w:r w:rsidRPr="00781112">
              <w:rPr>
                <w:rFonts w:cs="Arial"/>
                <w:color w:val="000000" w:themeColor="text1"/>
                <w:szCs w:val="16"/>
              </w:rPr>
              <w:t>78.67%</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7CFA8C72" w14:textId="1DBA7AD5" w:rsidR="005F442C" w:rsidRPr="00781112" w:rsidRDefault="002B7490" w:rsidP="00A018D4">
            <w:pPr>
              <w:jc w:val="center"/>
              <w:rPr>
                <w:rFonts w:cs="Arial"/>
                <w:color w:val="000000" w:themeColor="text1"/>
                <w:szCs w:val="16"/>
              </w:rPr>
            </w:pPr>
            <w:r w:rsidRPr="00781112">
              <w:rPr>
                <w:rFonts w:cs="Arial"/>
                <w:color w:val="000000" w:themeColor="text1"/>
                <w:szCs w:val="16"/>
              </w:rPr>
              <w:t>81.67%</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32EAF5AA" w14:textId="0EED287F" w:rsidR="005F442C" w:rsidRPr="00781112" w:rsidRDefault="002B7490" w:rsidP="00A018D4">
            <w:pPr>
              <w:jc w:val="center"/>
              <w:rPr>
                <w:rFonts w:cs="Arial"/>
                <w:color w:val="000000" w:themeColor="text1"/>
                <w:szCs w:val="16"/>
              </w:rPr>
            </w:pPr>
            <w:r w:rsidRPr="00781112">
              <w:rPr>
                <w:rFonts w:cs="Arial"/>
                <w:color w:val="000000" w:themeColor="text1"/>
                <w:szCs w:val="16"/>
              </w:rPr>
              <w:t>85.07%</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7ADF4529" w14:textId="5459CD21" w:rsidR="005F442C" w:rsidRPr="00781112" w:rsidRDefault="002B7490" w:rsidP="00A018D4">
            <w:pPr>
              <w:jc w:val="center"/>
              <w:rPr>
                <w:rFonts w:cs="Arial"/>
                <w:color w:val="000000" w:themeColor="text1"/>
                <w:szCs w:val="16"/>
              </w:rPr>
            </w:pPr>
            <w:r w:rsidRPr="00781112">
              <w:rPr>
                <w:rFonts w:cs="Arial"/>
                <w:color w:val="000000" w:themeColor="text1"/>
                <w:szCs w:val="16"/>
              </w:rPr>
              <w:t>65.50%</w:t>
            </w:r>
          </w:p>
        </w:tc>
      </w:tr>
      <w:tr w:rsidR="005C29F8" w:rsidRPr="00781112" w14:paraId="04BD4647" w14:textId="77777777" w:rsidTr="00C37CAE">
        <w:trPr>
          <w:trHeight w:val="85"/>
        </w:trPr>
        <w:tc>
          <w:tcPr>
            <w:tcW w:w="190" w:type="pct"/>
            <w:tcBorders>
              <w:left w:val="single" w:sz="4" w:space="0" w:color="auto"/>
              <w:right w:val="single" w:sz="4" w:space="0" w:color="auto"/>
            </w:tcBorders>
            <w:shd w:val="clear" w:color="auto" w:fill="auto"/>
          </w:tcPr>
          <w:p w14:paraId="0F20B888" w14:textId="46217DEF" w:rsidR="005F442C" w:rsidRPr="00781112" w:rsidRDefault="00676431" w:rsidP="00A018D4">
            <w:pPr>
              <w:spacing w:line="276" w:lineRule="auto"/>
              <w:jc w:val="center"/>
              <w:rPr>
                <w:rFonts w:cs="Arial"/>
                <w:color w:val="000000" w:themeColor="text1"/>
                <w:szCs w:val="16"/>
              </w:rPr>
            </w:pPr>
            <w:r w:rsidRPr="00781112">
              <w:rPr>
                <w:rFonts w:cs="Arial"/>
                <w:color w:val="000000" w:themeColor="text1"/>
                <w:szCs w:val="16"/>
              </w:rPr>
              <w:t>B</w:t>
            </w:r>
          </w:p>
        </w:tc>
        <w:tc>
          <w:tcPr>
            <w:tcW w:w="815" w:type="pct"/>
            <w:tcBorders>
              <w:left w:val="single" w:sz="4" w:space="0" w:color="auto"/>
              <w:right w:val="single" w:sz="4" w:space="0" w:color="auto"/>
            </w:tcBorders>
            <w:shd w:val="clear" w:color="auto" w:fill="auto"/>
          </w:tcPr>
          <w:p w14:paraId="7553E0D1" w14:textId="50261931" w:rsidR="005F442C" w:rsidRPr="00781112" w:rsidRDefault="002B7490" w:rsidP="00A018D4">
            <w:pPr>
              <w:jc w:val="center"/>
              <w:rPr>
                <w:rFonts w:cs="Arial"/>
                <w:color w:val="000000" w:themeColor="text1"/>
                <w:szCs w:val="16"/>
              </w:rPr>
            </w:pPr>
            <w:r w:rsidRPr="00781112">
              <w:rPr>
                <w:rFonts w:cs="Arial"/>
                <w:color w:val="000000" w:themeColor="text1"/>
                <w:szCs w:val="16"/>
              </w:rPr>
              <w:t>67.60%</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DE4A099" w14:textId="77777777"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Data</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36F1CC00" w14:textId="27BDC0A1" w:rsidR="005F442C" w:rsidRPr="00781112" w:rsidRDefault="002B7490" w:rsidP="00A018D4">
            <w:pPr>
              <w:jc w:val="center"/>
              <w:rPr>
                <w:rFonts w:cs="Arial"/>
                <w:color w:val="000000" w:themeColor="text1"/>
                <w:szCs w:val="16"/>
              </w:rPr>
            </w:pPr>
            <w:r w:rsidRPr="00781112">
              <w:rPr>
                <w:rFonts w:cs="Arial"/>
                <w:color w:val="000000" w:themeColor="text1"/>
                <w:szCs w:val="16"/>
              </w:rPr>
              <w:t>66.82%</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752BDB3D" w14:textId="7C9CDA00" w:rsidR="005F442C" w:rsidRPr="00781112" w:rsidRDefault="002B7490" w:rsidP="00A018D4">
            <w:pPr>
              <w:jc w:val="center"/>
              <w:rPr>
                <w:rFonts w:cs="Arial"/>
                <w:color w:val="000000" w:themeColor="text1"/>
                <w:szCs w:val="16"/>
              </w:rPr>
            </w:pPr>
            <w:r w:rsidRPr="00781112">
              <w:rPr>
                <w:rFonts w:cs="Arial"/>
                <w:color w:val="000000" w:themeColor="text1"/>
                <w:szCs w:val="16"/>
              </w:rPr>
              <w:t>68.77%</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2E8698B0" w14:textId="23886D70" w:rsidR="005F442C" w:rsidRPr="00781112" w:rsidRDefault="002B7490" w:rsidP="00A018D4">
            <w:pPr>
              <w:jc w:val="center"/>
              <w:rPr>
                <w:rFonts w:cs="Arial"/>
                <w:color w:val="000000" w:themeColor="text1"/>
                <w:szCs w:val="16"/>
              </w:rPr>
            </w:pPr>
            <w:r w:rsidRPr="00781112">
              <w:rPr>
                <w:rFonts w:cs="Arial"/>
                <w:color w:val="000000" w:themeColor="text1"/>
                <w:szCs w:val="16"/>
              </w:rPr>
              <w:t>67.60%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7C9C7692" w14:textId="490F43AD" w:rsidR="005F442C" w:rsidRPr="00781112" w:rsidRDefault="002B7490" w:rsidP="00A018D4">
            <w:pPr>
              <w:jc w:val="center"/>
              <w:rPr>
                <w:rFonts w:cs="Arial"/>
                <w:color w:val="000000" w:themeColor="text1"/>
                <w:szCs w:val="16"/>
              </w:rPr>
            </w:pPr>
            <w:r w:rsidRPr="00781112">
              <w:rPr>
                <w:rFonts w:cs="Arial"/>
                <w:color w:val="000000" w:themeColor="text1"/>
                <w:szCs w:val="16"/>
              </w:rPr>
              <w:t>60.56%</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197DA8B1" w14:textId="591F0E95" w:rsidR="005F442C" w:rsidRPr="00781112" w:rsidRDefault="002B7490" w:rsidP="00A018D4">
            <w:pPr>
              <w:jc w:val="center"/>
              <w:rPr>
                <w:rFonts w:cs="Arial"/>
                <w:color w:val="000000" w:themeColor="text1"/>
                <w:szCs w:val="16"/>
              </w:rPr>
            </w:pPr>
            <w:r w:rsidRPr="00781112">
              <w:rPr>
                <w:rFonts w:cs="Arial"/>
                <w:color w:val="000000" w:themeColor="text1"/>
                <w:szCs w:val="16"/>
              </w:rPr>
              <w:t>65.55%</w:t>
            </w:r>
          </w:p>
        </w:tc>
      </w:tr>
      <w:tr w:rsidR="005C29F8" w:rsidRPr="00781112" w14:paraId="3B4797BA" w14:textId="77777777" w:rsidTr="00C37CAE">
        <w:trPr>
          <w:trHeight w:val="357"/>
        </w:trPr>
        <w:tc>
          <w:tcPr>
            <w:tcW w:w="190" w:type="pct"/>
            <w:tcBorders>
              <w:top w:val="single" w:sz="4" w:space="0" w:color="auto"/>
              <w:left w:val="single" w:sz="4" w:space="0" w:color="auto"/>
              <w:right w:val="single" w:sz="4" w:space="0" w:color="auto"/>
            </w:tcBorders>
            <w:shd w:val="clear" w:color="auto" w:fill="auto"/>
            <w:vAlign w:val="center"/>
          </w:tcPr>
          <w:p w14:paraId="6C3DB934" w14:textId="77777777" w:rsidR="005F442C" w:rsidRPr="00781112" w:rsidRDefault="005F442C">
            <w:pPr>
              <w:spacing w:line="276" w:lineRule="auto"/>
              <w:jc w:val="center"/>
              <w:rPr>
                <w:rFonts w:cs="Arial"/>
                <w:color w:val="000000" w:themeColor="text1"/>
                <w:szCs w:val="16"/>
              </w:rPr>
            </w:pPr>
            <w:r w:rsidRPr="00781112">
              <w:rPr>
                <w:rFonts w:cs="Arial"/>
                <w:color w:val="000000" w:themeColor="text1"/>
                <w:szCs w:val="16"/>
              </w:rPr>
              <w:t>C</w:t>
            </w:r>
          </w:p>
        </w:tc>
        <w:tc>
          <w:tcPr>
            <w:tcW w:w="815" w:type="pct"/>
            <w:tcBorders>
              <w:top w:val="single" w:sz="4" w:space="0" w:color="auto"/>
              <w:left w:val="single" w:sz="4" w:space="0" w:color="auto"/>
              <w:right w:val="single" w:sz="4" w:space="0" w:color="auto"/>
            </w:tcBorders>
            <w:shd w:val="clear" w:color="auto" w:fill="auto"/>
          </w:tcPr>
          <w:p w14:paraId="16F6EE90" w14:textId="5DB098B3" w:rsidR="005F442C" w:rsidRPr="00781112" w:rsidRDefault="002B7490" w:rsidP="00A018D4">
            <w:pPr>
              <w:jc w:val="center"/>
              <w:rPr>
                <w:rFonts w:cs="Arial"/>
                <w:color w:val="000000" w:themeColor="text1"/>
                <w:szCs w:val="16"/>
              </w:rPr>
            </w:pPr>
            <w:r w:rsidRPr="00781112">
              <w:rPr>
                <w:rFonts w:cs="Arial"/>
                <w:color w:val="000000" w:themeColor="text1"/>
                <w:szCs w:val="16"/>
              </w:rPr>
              <w:t>2018</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A2AC8BB" w14:textId="575B1EC7"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Target &gt;=</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76636D2C" w14:textId="048A2FD1" w:rsidR="005F442C" w:rsidRPr="00781112" w:rsidRDefault="002B7490" w:rsidP="00A018D4">
            <w:pPr>
              <w:jc w:val="center"/>
              <w:rPr>
                <w:rFonts w:cs="Arial"/>
                <w:color w:val="000000" w:themeColor="text1"/>
                <w:szCs w:val="16"/>
              </w:rPr>
            </w:pPr>
            <w:r w:rsidRPr="00781112">
              <w:rPr>
                <w:rFonts w:cs="Arial"/>
                <w:color w:val="000000" w:themeColor="text1"/>
                <w:szCs w:val="16"/>
              </w:rPr>
              <w:t>90.83%</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5F601683" w14:textId="08666F48" w:rsidR="005F442C" w:rsidRPr="00781112" w:rsidRDefault="002B7490" w:rsidP="00A018D4">
            <w:pPr>
              <w:jc w:val="center"/>
              <w:rPr>
                <w:rFonts w:cs="Arial"/>
                <w:color w:val="000000" w:themeColor="text1"/>
                <w:szCs w:val="16"/>
              </w:rPr>
            </w:pPr>
            <w:r w:rsidRPr="00781112">
              <w:rPr>
                <w:rFonts w:cs="Arial"/>
                <w:color w:val="000000" w:themeColor="text1"/>
                <w:szCs w:val="16"/>
              </w:rPr>
              <w:t>93.83%</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044C7E3A" w14:textId="4B31ECC3" w:rsidR="005F442C" w:rsidRPr="00781112" w:rsidRDefault="002B7490" w:rsidP="00A018D4">
            <w:pPr>
              <w:jc w:val="center"/>
              <w:rPr>
                <w:rFonts w:cs="Arial"/>
                <w:color w:val="000000" w:themeColor="text1"/>
                <w:szCs w:val="16"/>
              </w:rPr>
            </w:pPr>
            <w:r w:rsidRPr="00781112">
              <w:rPr>
                <w:rFonts w:cs="Arial"/>
                <w:color w:val="000000" w:themeColor="text1"/>
                <w:szCs w:val="16"/>
              </w:rPr>
              <w:t>96.83%</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05933A5C" w14:textId="2942912F" w:rsidR="005F442C" w:rsidRPr="00781112" w:rsidRDefault="002B7490" w:rsidP="00A018D4">
            <w:pPr>
              <w:jc w:val="center"/>
              <w:rPr>
                <w:rFonts w:cs="Arial"/>
                <w:color w:val="000000" w:themeColor="text1"/>
                <w:szCs w:val="16"/>
              </w:rPr>
            </w:pPr>
            <w:r w:rsidRPr="00781112">
              <w:rPr>
                <w:rFonts w:cs="Arial"/>
                <w:color w:val="000000" w:themeColor="text1"/>
                <w:szCs w:val="16"/>
              </w:rPr>
              <w:t>99.83%</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7C32933D" w14:textId="5E0B7F18" w:rsidR="005F442C" w:rsidRPr="00781112" w:rsidRDefault="002B7490" w:rsidP="00A018D4">
            <w:pPr>
              <w:jc w:val="center"/>
              <w:rPr>
                <w:rFonts w:cs="Arial"/>
                <w:color w:val="000000" w:themeColor="text1"/>
                <w:szCs w:val="16"/>
              </w:rPr>
            </w:pPr>
            <w:r w:rsidRPr="00781112">
              <w:rPr>
                <w:rFonts w:cs="Arial"/>
                <w:color w:val="000000" w:themeColor="text1"/>
                <w:szCs w:val="16"/>
              </w:rPr>
              <w:t>82.37%</w:t>
            </w:r>
          </w:p>
        </w:tc>
      </w:tr>
      <w:tr w:rsidR="005C29F8" w:rsidRPr="00781112" w14:paraId="6F394366" w14:textId="77777777" w:rsidTr="00C37CAE">
        <w:trPr>
          <w:trHeight w:val="85"/>
        </w:trPr>
        <w:tc>
          <w:tcPr>
            <w:tcW w:w="190" w:type="pct"/>
            <w:tcBorders>
              <w:left w:val="single" w:sz="4" w:space="0" w:color="auto"/>
              <w:right w:val="single" w:sz="4" w:space="0" w:color="auto"/>
            </w:tcBorders>
            <w:shd w:val="clear" w:color="auto" w:fill="auto"/>
          </w:tcPr>
          <w:p w14:paraId="44948B1E" w14:textId="67BC5CB9" w:rsidR="005F442C" w:rsidRPr="00781112" w:rsidRDefault="00676431" w:rsidP="00A018D4">
            <w:pPr>
              <w:spacing w:line="276" w:lineRule="auto"/>
              <w:jc w:val="center"/>
              <w:rPr>
                <w:rFonts w:cs="Arial"/>
                <w:color w:val="000000" w:themeColor="text1"/>
                <w:szCs w:val="16"/>
              </w:rPr>
            </w:pPr>
            <w:r w:rsidRPr="00781112">
              <w:rPr>
                <w:rFonts w:cs="Arial"/>
                <w:color w:val="000000" w:themeColor="text1"/>
                <w:szCs w:val="16"/>
              </w:rPr>
              <w:t>C</w:t>
            </w:r>
          </w:p>
        </w:tc>
        <w:tc>
          <w:tcPr>
            <w:tcW w:w="815" w:type="pct"/>
            <w:tcBorders>
              <w:left w:val="single" w:sz="4" w:space="0" w:color="auto"/>
              <w:right w:val="single" w:sz="4" w:space="0" w:color="auto"/>
            </w:tcBorders>
            <w:shd w:val="clear" w:color="auto" w:fill="auto"/>
          </w:tcPr>
          <w:p w14:paraId="11A9E1DB" w14:textId="6AB2315D" w:rsidR="005F442C" w:rsidRPr="00781112" w:rsidRDefault="002B7490" w:rsidP="00A018D4">
            <w:pPr>
              <w:jc w:val="center"/>
              <w:rPr>
                <w:rFonts w:cs="Arial"/>
                <w:color w:val="000000" w:themeColor="text1"/>
                <w:szCs w:val="16"/>
              </w:rPr>
            </w:pPr>
            <w:r w:rsidRPr="00781112">
              <w:rPr>
                <w:rFonts w:cs="Arial"/>
                <w:color w:val="000000" w:themeColor="text1"/>
                <w:szCs w:val="16"/>
              </w:rPr>
              <w:t>84.37%</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D4A4DE0" w14:textId="77777777"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Data</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669A5081" w14:textId="5506F90A" w:rsidR="005F442C" w:rsidRPr="00781112" w:rsidRDefault="002B7490" w:rsidP="00A018D4">
            <w:pPr>
              <w:jc w:val="center"/>
              <w:rPr>
                <w:rFonts w:cs="Arial"/>
                <w:color w:val="000000" w:themeColor="text1"/>
                <w:szCs w:val="16"/>
              </w:rPr>
            </w:pPr>
            <w:r w:rsidRPr="00781112">
              <w:rPr>
                <w:rFonts w:cs="Arial"/>
                <w:color w:val="000000" w:themeColor="text1"/>
                <w:szCs w:val="16"/>
              </w:rPr>
              <w:t>82.63%</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490F65AA" w14:textId="42AB492B" w:rsidR="005F442C" w:rsidRPr="00781112" w:rsidRDefault="002B7490" w:rsidP="00A018D4">
            <w:pPr>
              <w:jc w:val="center"/>
              <w:rPr>
                <w:rFonts w:cs="Arial"/>
                <w:color w:val="000000" w:themeColor="text1"/>
                <w:szCs w:val="16"/>
              </w:rPr>
            </w:pPr>
            <w:r w:rsidRPr="00781112">
              <w:rPr>
                <w:rFonts w:cs="Arial"/>
                <w:color w:val="000000" w:themeColor="text1"/>
                <w:szCs w:val="16"/>
              </w:rPr>
              <w:t>84.32%</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6EBC0DCF" w14:textId="12C96EDC" w:rsidR="005F442C" w:rsidRPr="00781112" w:rsidRDefault="002B7490" w:rsidP="00A018D4">
            <w:pPr>
              <w:jc w:val="center"/>
              <w:rPr>
                <w:rFonts w:cs="Arial"/>
                <w:color w:val="000000" w:themeColor="text1"/>
                <w:szCs w:val="16"/>
              </w:rPr>
            </w:pPr>
            <w:r w:rsidRPr="00781112">
              <w:rPr>
                <w:rFonts w:cs="Arial"/>
                <w:color w:val="000000" w:themeColor="text1"/>
                <w:szCs w:val="16"/>
              </w:rPr>
              <w:t>84.37%</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3F6AC359" w14:textId="4DD9908A" w:rsidR="005F442C" w:rsidRPr="00781112" w:rsidRDefault="002B7490" w:rsidP="00A018D4">
            <w:pPr>
              <w:jc w:val="center"/>
              <w:rPr>
                <w:rFonts w:cs="Arial"/>
                <w:color w:val="000000" w:themeColor="text1"/>
                <w:szCs w:val="16"/>
              </w:rPr>
            </w:pPr>
            <w:r w:rsidRPr="00781112">
              <w:rPr>
                <w:rFonts w:cs="Arial"/>
                <w:color w:val="000000" w:themeColor="text1"/>
                <w:szCs w:val="16"/>
              </w:rPr>
              <w:t>83.37%</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7DD4FEA0" w14:textId="22130008" w:rsidR="005F442C" w:rsidRPr="00781112" w:rsidRDefault="002B7490" w:rsidP="00A018D4">
            <w:pPr>
              <w:jc w:val="center"/>
              <w:rPr>
                <w:rFonts w:cs="Arial"/>
                <w:color w:val="000000" w:themeColor="text1"/>
                <w:szCs w:val="16"/>
              </w:rPr>
            </w:pPr>
            <w:r w:rsidRPr="00781112">
              <w:rPr>
                <w:rFonts w:cs="Arial"/>
                <w:color w:val="000000" w:themeColor="text1"/>
                <w:szCs w:val="16"/>
              </w:rPr>
              <w:t>82.82%</w:t>
            </w:r>
          </w:p>
        </w:tc>
      </w:tr>
    </w:tbl>
    <w:p w14:paraId="7084612B" w14:textId="77777777" w:rsidR="00E448E9" w:rsidRPr="00781112" w:rsidRDefault="00E448E9" w:rsidP="004369B2">
      <w:pPr>
        <w:rPr>
          <w:color w:val="000000" w:themeColor="text1"/>
        </w:rPr>
      </w:pPr>
    </w:p>
    <w:p w14:paraId="02DB82E4" w14:textId="43A8E2E5" w:rsidR="005F442C" w:rsidRPr="00781112" w:rsidRDefault="00806C75" w:rsidP="004369B2">
      <w:pPr>
        <w:rPr>
          <w:color w:val="000000" w:themeColor="text1"/>
        </w:rPr>
      </w:pPr>
      <w:r w:rsidRPr="00781112">
        <w:rPr>
          <w:b/>
          <w:color w:val="000000" w:themeColor="text1"/>
        </w:rPr>
        <w:t>FFY 2020 Targets</w:t>
      </w:r>
    </w:p>
    <w:tbl>
      <w:tblPr>
        <w:tblW w:w="42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4TARGETS"/>
      </w:tblPr>
      <w:tblGrid>
        <w:gridCol w:w="822"/>
        <w:gridCol w:w="1664"/>
        <w:gridCol w:w="1664"/>
        <w:gridCol w:w="1663"/>
        <w:gridCol w:w="1663"/>
        <w:gridCol w:w="1663"/>
      </w:tblGrid>
      <w:tr w:rsidR="00B14519" w:rsidRPr="00781112" w14:paraId="0D5EED67" w14:textId="79D43F28" w:rsidTr="00451D7E">
        <w:trPr>
          <w:trHeight w:val="388"/>
        </w:trPr>
        <w:tc>
          <w:tcPr>
            <w:tcW w:w="449" w:type="pct"/>
            <w:tcBorders>
              <w:bottom w:val="single" w:sz="4" w:space="0" w:color="auto"/>
            </w:tcBorders>
            <w:shd w:val="clear" w:color="auto" w:fill="auto"/>
          </w:tcPr>
          <w:p w14:paraId="3A39086B" w14:textId="77777777" w:rsidR="00B14519" w:rsidRPr="00781112" w:rsidRDefault="00B14519" w:rsidP="00AF574F">
            <w:pPr>
              <w:jc w:val="center"/>
              <w:rPr>
                <w:b/>
                <w:color w:val="000000" w:themeColor="text1"/>
              </w:rPr>
            </w:pPr>
            <w:r w:rsidRPr="00781112">
              <w:rPr>
                <w:b/>
                <w:color w:val="000000" w:themeColor="text1"/>
              </w:rPr>
              <w:t>FFY</w:t>
            </w:r>
          </w:p>
        </w:tc>
        <w:tc>
          <w:tcPr>
            <w:tcW w:w="910" w:type="pct"/>
            <w:shd w:val="clear" w:color="auto" w:fill="auto"/>
          </w:tcPr>
          <w:p w14:paraId="3904D56E" w14:textId="5A40B787" w:rsidR="00B14519" w:rsidRPr="00781112" w:rsidRDefault="00B14519" w:rsidP="00AF574F">
            <w:pPr>
              <w:jc w:val="center"/>
              <w:rPr>
                <w:b/>
                <w:color w:val="000000" w:themeColor="text1"/>
              </w:rPr>
            </w:pPr>
            <w:r w:rsidRPr="00781112">
              <w:rPr>
                <w:b/>
                <w:color w:val="000000" w:themeColor="text1"/>
              </w:rPr>
              <w:t>2021</w:t>
            </w:r>
          </w:p>
        </w:tc>
        <w:tc>
          <w:tcPr>
            <w:tcW w:w="910" w:type="pct"/>
          </w:tcPr>
          <w:p w14:paraId="5E87DEBC" w14:textId="3C58C740" w:rsidR="00B14519" w:rsidRPr="00781112" w:rsidRDefault="00B14519" w:rsidP="00AF574F">
            <w:pPr>
              <w:jc w:val="center"/>
              <w:rPr>
                <w:b/>
                <w:color w:val="000000" w:themeColor="text1"/>
              </w:rPr>
            </w:pPr>
            <w:r w:rsidRPr="00781112">
              <w:rPr>
                <w:rFonts w:cs="Arial"/>
                <w:b/>
                <w:color w:val="000000" w:themeColor="text1"/>
                <w:szCs w:val="16"/>
              </w:rPr>
              <w:t>2022</w:t>
            </w:r>
          </w:p>
        </w:tc>
        <w:tc>
          <w:tcPr>
            <w:tcW w:w="910" w:type="pct"/>
          </w:tcPr>
          <w:p w14:paraId="1D78C038" w14:textId="34E0A4B6" w:rsidR="00B14519" w:rsidRPr="00781112" w:rsidRDefault="00B14519" w:rsidP="00AF574F">
            <w:pPr>
              <w:jc w:val="center"/>
              <w:rPr>
                <w:b/>
                <w:color w:val="000000" w:themeColor="text1"/>
              </w:rPr>
            </w:pPr>
            <w:r w:rsidRPr="00781112">
              <w:rPr>
                <w:rFonts w:cs="Arial"/>
                <w:b/>
                <w:color w:val="000000" w:themeColor="text1"/>
                <w:szCs w:val="16"/>
              </w:rPr>
              <w:t>2023</w:t>
            </w:r>
          </w:p>
        </w:tc>
        <w:tc>
          <w:tcPr>
            <w:tcW w:w="910" w:type="pct"/>
          </w:tcPr>
          <w:p w14:paraId="3C72E9BA" w14:textId="291BB861" w:rsidR="00B14519" w:rsidRPr="00781112" w:rsidRDefault="00B14519" w:rsidP="00AF574F">
            <w:pPr>
              <w:jc w:val="center"/>
              <w:rPr>
                <w:b/>
                <w:color w:val="000000" w:themeColor="text1"/>
              </w:rPr>
            </w:pPr>
            <w:r w:rsidRPr="00781112">
              <w:rPr>
                <w:rFonts w:cs="Arial"/>
                <w:b/>
                <w:color w:val="000000" w:themeColor="text1"/>
                <w:szCs w:val="16"/>
              </w:rPr>
              <w:t>2024</w:t>
            </w:r>
          </w:p>
        </w:tc>
        <w:tc>
          <w:tcPr>
            <w:tcW w:w="910" w:type="pct"/>
          </w:tcPr>
          <w:p w14:paraId="1F7D660E" w14:textId="277D280C" w:rsidR="00B14519" w:rsidRPr="00781112" w:rsidRDefault="00B14519" w:rsidP="00AF574F">
            <w:pPr>
              <w:jc w:val="center"/>
              <w:rPr>
                <w:b/>
                <w:color w:val="000000" w:themeColor="text1"/>
              </w:rPr>
            </w:pPr>
            <w:r w:rsidRPr="00781112">
              <w:rPr>
                <w:rFonts w:cs="Arial"/>
                <w:b/>
                <w:color w:val="000000" w:themeColor="text1"/>
                <w:szCs w:val="16"/>
              </w:rPr>
              <w:t>2025</w:t>
            </w:r>
          </w:p>
        </w:tc>
      </w:tr>
      <w:tr w:rsidR="00B14519" w:rsidRPr="00781112" w14:paraId="7E2B073B" w14:textId="0B5C632B" w:rsidTr="00451D7E">
        <w:trPr>
          <w:trHeight w:val="396"/>
        </w:trPr>
        <w:tc>
          <w:tcPr>
            <w:tcW w:w="449" w:type="pct"/>
            <w:shd w:val="clear" w:color="auto" w:fill="auto"/>
          </w:tcPr>
          <w:p w14:paraId="0DC64663" w14:textId="2175F0A9" w:rsidR="00B14519" w:rsidRPr="00781112" w:rsidRDefault="00B14519" w:rsidP="00AF574F">
            <w:pPr>
              <w:rPr>
                <w:rFonts w:cs="Arial"/>
                <w:color w:val="000000" w:themeColor="text1"/>
                <w:szCs w:val="16"/>
              </w:rPr>
            </w:pPr>
            <w:r w:rsidRPr="00781112">
              <w:rPr>
                <w:rFonts w:cs="Arial"/>
                <w:color w:val="000000" w:themeColor="text1"/>
                <w:szCs w:val="16"/>
              </w:rPr>
              <w:t>Target A &gt;=</w:t>
            </w:r>
          </w:p>
        </w:tc>
        <w:tc>
          <w:tcPr>
            <w:tcW w:w="910" w:type="pct"/>
            <w:shd w:val="clear" w:color="auto" w:fill="auto"/>
            <w:vAlign w:val="center"/>
          </w:tcPr>
          <w:p w14:paraId="0A86FFC3" w14:textId="4AE9585E" w:rsidR="00B14519" w:rsidRPr="00781112" w:rsidRDefault="00B14519" w:rsidP="00AF574F">
            <w:pPr>
              <w:jc w:val="center"/>
              <w:rPr>
                <w:rFonts w:cs="Arial"/>
                <w:color w:val="000000" w:themeColor="text1"/>
                <w:szCs w:val="16"/>
              </w:rPr>
            </w:pPr>
            <w:r w:rsidRPr="00781112">
              <w:rPr>
                <w:rFonts w:cs="Arial"/>
                <w:color w:val="000000" w:themeColor="text1"/>
                <w:szCs w:val="16"/>
              </w:rPr>
              <w:t>17.62%</w:t>
            </w:r>
          </w:p>
        </w:tc>
        <w:tc>
          <w:tcPr>
            <w:tcW w:w="910" w:type="pct"/>
          </w:tcPr>
          <w:p w14:paraId="72551055" w14:textId="7A9EF926" w:rsidR="00B14519" w:rsidRPr="00781112" w:rsidRDefault="00B14519" w:rsidP="00AF574F">
            <w:pPr>
              <w:jc w:val="center"/>
              <w:rPr>
                <w:rFonts w:cs="Arial"/>
                <w:color w:val="000000" w:themeColor="text1"/>
                <w:szCs w:val="16"/>
              </w:rPr>
            </w:pPr>
            <w:r w:rsidRPr="00781112">
              <w:rPr>
                <w:color w:val="000000" w:themeColor="text1"/>
                <w:szCs w:val="16"/>
              </w:rPr>
              <w:t>18.29%</w:t>
            </w:r>
          </w:p>
        </w:tc>
        <w:tc>
          <w:tcPr>
            <w:tcW w:w="910" w:type="pct"/>
          </w:tcPr>
          <w:p w14:paraId="4460710F" w14:textId="653162EA" w:rsidR="00B14519" w:rsidRPr="00781112" w:rsidRDefault="00B14519" w:rsidP="00AF574F">
            <w:pPr>
              <w:jc w:val="center"/>
              <w:rPr>
                <w:rFonts w:cs="Arial"/>
                <w:color w:val="000000" w:themeColor="text1"/>
                <w:szCs w:val="16"/>
              </w:rPr>
            </w:pPr>
            <w:r w:rsidRPr="00781112">
              <w:rPr>
                <w:color w:val="000000" w:themeColor="text1"/>
                <w:szCs w:val="16"/>
              </w:rPr>
              <w:t>18.97%</w:t>
            </w:r>
          </w:p>
        </w:tc>
        <w:tc>
          <w:tcPr>
            <w:tcW w:w="910" w:type="pct"/>
          </w:tcPr>
          <w:p w14:paraId="42DE20BE" w14:textId="660F0A38" w:rsidR="00B14519" w:rsidRPr="00781112" w:rsidRDefault="00B14519" w:rsidP="00AF574F">
            <w:pPr>
              <w:jc w:val="center"/>
              <w:rPr>
                <w:rFonts w:cs="Arial"/>
                <w:color w:val="000000" w:themeColor="text1"/>
                <w:szCs w:val="16"/>
              </w:rPr>
            </w:pPr>
            <w:r w:rsidRPr="00781112">
              <w:rPr>
                <w:color w:val="000000" w:themeColor="text1"/>
                <w:szCs w:val="16"/>
              </w:rPr>
              <w:t>20.31%</w:t>
            </w:r>
          </w:p>
        </w:tc>
        <w:tc>
          <w:tcPr>
            <w:tcW w:w="910" w:type="pct"/>
          </w:tcPr>
          <w:p w14:paraId="5E9B0020" w14:textId="74258703" w:rsidR="00B14519" w:rsidRPr="00781112" w:rsidRDefault="00B14519" w:rsidP="00AF574F">
            <w:pPr>
              <w:jc w:val="center"/>
              <w:rPr>
                <w:rFonts w:cs="Arial"/>
                <w:color w:val="000000" w:themeColor="text1"/>
                <w:szCs w:val="16"/>
              </w:rPr>
            </w:pPr>
            <w:r w:rsidRPr="00781112">
              <w:rPr>
                <w:color w:val="000000" w:themeColor="text1"/>
                <w:szCs w:val="16"/>
              </w:rPr>
              <w:t>23.00%</w:t>
            </w:r>
          </w:p>
        </w:tc>
      </w:tr>
      <w:tr w:rsidR="00B14519" w:rsidRPr="00781112" w14:paraId="0314BAE3" w14:textId="455C9C0A" w:rsidTr="00451D7E">
        <w:trPr>
          <w:trHeight w:val="396"/>
        </w:trPr>
        <w:tc>
          <w:tcPr>
            <w:tcW w:w="449" w:type="pct"/>
            <w:shd w:val="clear" w:color="auto" w:fill="auto"/>
          </w:tcPr>
          <w:p w14:paraId="53C1536D" w14:textId="615A342B" w:rsidR="00B14519" w:rsidRPr="00781112" w:rsidRDefault="00B14519" w:rsidP="00AF574F">
            <w:pPr>
              <w:rPr>
                <w:rFonts w:cs="Arial"/>
                <w:color w:val="000000" w:themeColor="text1"/>
                <w:szCs w:val="16"/>
              </w:rPr>
            </w:pPr>
            <w:r w:rsidRPr="00781112">
              <w:rPr>
                <w:rFonts w:cs="Arial"/>
                <w:color w:val="000000" w:themeColor="text1"/>
                <w:szCs w:val="16"/>
              </w:rPr>
              <w:t>Target B &gt;=</w:t>
            </w:r>
          </w:p>
        </w:tc>
        <w:tc>
          <w:tcPr>
            <w:tcW w:w="910" w:type="pct"/>
            <w:shd w:val="clear" w:color="auto" w:fill="auto"/>
            <w:vAlign w:val="center"/>
          </w:tcPr>
          <w:p w14:paraId="3AAA5324" w14:textId="5539646A" w:rsidR="00B14519" w:rsidRPr="00781112" w:rsidRDefault="00B14519" w:rsidP="00AF574F">
            <w:pPr>
              <w:jc w:val="center"/>
              <w:rPr>
                <w:rFonts w:cs="Arial"/>
                <w:color w:val="000000" w:themeColor="text1"/>
                <w:szCs w:val="16"/>
              </w:rPr>
            </w:pPr>
            <w:r w:rsidRPr="00781112">
              <w:rPr>
                <w:rFonts w:cs="Arial"/>
                <w:color w:val="000000" w:themeColor="text1"/>
                <w:szCs w:val="16"/>
              </w:rPr>
              <w:t>65.50%</w:t>
            </w:r>
          </w:p>
        </w:tc>
        <w:tc>
          <w:tcPr>
            <w:tcW w:w="910" w:type="pct"/>
          </w:tcPr>
          <w:p w14:paraId="0CDB15F6" w14:textId="4F01BE13" w:rsidR="00B14519" w:rsidRPr="00781112" w:rsidRDefault="00B14519" w:rsidP="00AF574F">
            <w:pPr>
              <w:jc w:val="center"/>
              <w:rPr>
                <w:rFonts w:cs="Arial"/>
                <w:color w:val="000000" w:themeColor="text1"/>
                <w:szCs w:val="16"/>
              </w:rPr>
            </w:pPr>
            <w:r w:rsidRPr="00781112">
              <w:rPr>
                <w:color w:val="000000" w:themeColor="text1"/>
                <w:szCs w:val="16"/>
              </w:rPr>
              <w:t>65.81%</w:t>
            </w:r>
          </w:p>
        </w:tc>
        <w:tc>
          <w:tcPr>
            <w:tcW w:w="910" w:type="pct"/>
          </w:tcPr>
          <w:p w14:paraId="4BE6282D" w14:textId="241D14B5" w:rsidR="00B14519" w:rsidRPr="00781112" w:rsidRDefault="00B14519" w:rsidP="00AF574F">
            <w:pPr>
              <w:jc w:val="center"/>
              <w:rPr>
                <w:rFonts w:cs="Arial"/>
                <w:color w:val="000000" w:themeColor="text1"/>
                <w:szCs w:val="16"/>
              </w:rPr>
            </w:pPr>
            <w:r w:rsidRPr="00781112">
              <w:rPr>
                <w:color w:val="000000" w:themeColor="text1"/>
                <w:szCs w:val="16"/>
              </w:rPr>
              <w:t>66.13%</w:t>
            </w:r>
          </w:p>
        </w:tc>
        <w:tc>
          <w:tcPr>
            <w:tcW w:w="910" w:type="pct"/>
          </w:tcPr>
          <w:p w14:paraId="57A02DD3" w14:textId="4CEDC8B3" w:rsidR="00B14519" w:rsidRPr="00781112" w:rsidRDefault="00B14519" w:rsidP="00AF574F">
            <w:pPr>
              <w:jc w:val="center"/>
              <w:rPr>
                <w:rFonts w:cs="Arial"/>
                <w:color w:val="000000" w:themeColor="text1"/>
                <w:szCs w:val="16"/>
              </w:rPr>
            </w:pPr>
            <w:r w:rsidRPr="00781112">
              <w:rPr>
                <w:color w:val="000000" w:themeColor="text1"/>
                <w:szCs w:val="16"/>
              </w:rPr>
              <w:t>66.75%</w:t>
            </w:r>
          </w:p>
        </w:tc>
        <w:tc>
          <w:tcPr>
            <w:tcW w:w="910" w:type="pct"/>
          </w:tcPr>
          <w:p w14:paraId="370ACB93" w14:textId="0BC1C559" w:rsidR="00B14519" w:rsidRPr="00781112" w:rsidRDefault="00B14519" w:rsidP="00AF574F">
            <w:pPr>
              <w:jc w:val="center"/>
              <w:rPr>
                <w:rFonts w:cs="Arial"/>
                <w:color w:val="000000" w:themeColor="text1"/>
                <w:szCs w:val="16"/>
              </w:rPr>
            </w:pPr>
            <w:r w:rsidRPr="00781112">
              <w:rPr>
                <w:color w:val="000000" w:themeColor="text1"/>
                <w:szCs w:val="16"/>
              </w:rPr>
              <w:t>68.00%</w:t>
            </w:r>
          </w:p>
        </w:tc>
      </w:tr>
      <w:tr w:rsidR="00B14519" w:rsidRPr="00781112" w14:paraId="571B685C" w14:textId="45446171" w:rsidTr="00451D7E">
        <w:trPr>
          <w:trHeight w:val="396"/>
        </w:trPr>
        <w:tc>
          <w:tcPr>
            <w:tcW w:w="449" w:type="pct"/>
            <w:shd w:val="clear" w:color="auto" w:fill="auto"/>
          </w:tcPr>
          <w:p w14:paraId="4D525255" w14:textId="5D1105EA" w:rsidR="00B14519" w:rsidRPr="00781112" w:rsidRDefault="00B14519" w:rsidP="00AF574F">
            <w:pPr>
              <w:rPr>
                <w:rFonts w:cs="Arial"/>
                <w:color w:val="000000" w:themeColor="text1"/>
                <w:szCs w:val="16"/>
              </w:rPr>
            </w:pPr>
            <w:r w:rsidRPr="00781112">
              <w:rPr>
                <w:rFonts w:cs="Arial"/>
                <w:color w:val="000000" w:themeColor="text1"/>
                <w:szCs w:val="16"/>
              </w:rPr>
              <w:t>Target C &gt;=</w:t>
            </w:r>
          </w:p>
        </w:tc>
        <w:tc>
          <w:tcPr>
            <w:tcW w:w="910" w:type="pct"/>
            <w:shd w:val="clear" w:color="auto" w:fill="auto"/>
            <w:vAlign w:val="center"/>
          </w:tcPr>
          <w:p w14:paraId="6A2D65BD" w14:textId="1F6D3E1F" w:rsidR="00B14519" w:rsidRPr="00781112" w:rsidRDefault="00B14519" w:rsidP="00AF574F">
            <w:pPr>
              <w:jc w:val="center"/>
              <w:rPr>
                <w:rFonts w:cs="Arial"/>
                <w:color w:val="000000" w:themeColor="text1"/>
                <w:szCs w:val="16"/>
              </w:rPr>
            </w:pPr>
            <w:r w:rsidRPr="00781112">
              <w:rPr>
                <w:rFonts w:cs="Arial"/>
                <w:color w:val="000000" w:themeColor="text1"/>
                <w:szCs w:val="16"/>
              </w:rPr>
              <w:t>82.37%</w:t>
            </w:r>
          </w:p>
        </w:tc>
        <w:tc>
          <w:tcPr>
            <w:tcW w:w="910" w:type="pct"/>
          </w:tcPr>
          <w:p w14:paraId="6B5B030A" w14:textId="41C6CE98" w:rsidR="00B14519" w:rsidRPr="00781112" w:rsidRDefault="00B14519" w:rsidP="00AF574F">
            <w:pPr>
              <w:jc w:val="center"/>
              <w:rPr>
                <w:rFonts w:cs="Arial"/>
                <w:color w:val="000000" w:themeColor="text1"/>
                <w:szCs w:val="16"/>
              </w:rPr>
            </w:pPr>
            <w:r w:rsidRPr="00781112">
              <w:rPr>
                <w:color w:val="000000" w:themeColor="text1"/>
                <w:szCs w:val="16"/>
              </w:rPr>
              <w:t>82.70%</w:t>
            </w:r>
          </w:p>
        </w:tc>
        <w:tc>
          <w:tcPr>
            <w:tcW w:w="910" w:type="pct"/>
          </w:tcPr>
          <w:p w14:paraId="1D90926B" w14:textId="034D06FC" w:rsidR="00B14519" w:rsidRPr="00781112" w:rsidRDefault="00B14519" w:rsidP="00AF574F">
            <w:pPr>
              <w:jc w:val="center"/>
              <w:rPr>
                <w:rFonts w:cs="Arial"/>
                <w:color w:val="000000" w:themeColor="text1"/>
                <w:szCs w:val="16"/>
              </w:rPr>
            </w:pPr>
            <w:r w:rsidRPr="00781112">
              <w:rPr>
                <w:color w:val="000000" w:themeColor="text1"/>
                <w:szCs w:val="16"/>
              </w:rPr>
              <w:t>83.03%</w:t>
            </w:r>
          </w:p>
        </w:tc>
        <w:tc>
          <w:tcPr>
            <w:tcW w:w="910" w:type="pct"/>
          </w:tcPr>
          <w:p w14:paraId="4E4DC90B" w14:textId="096AE3F3" w:rsidR="00B14519" w:rsidRPr="00781112" w:rsidRDefault="00B14519" w:rsidP="00AF574F">
            <w:pPr>
              <w:jc w:val="center"/>
              <w:rPr>
                <w:rFonts w:cs="Arial"/>
                <w:color w:val="000000" w:themeColor="text1"/>
                <w:szCs w:val="16"/>
              </w:rPr>
            </w:pPr>
            <w:r w:rsidRPr="00781112">
              <w:rPr>
                <w:color w:val="000000" w:themeColor="text1"/>
                <w:szCs w:val="16"/>
              </w:rPr>
              <w:t>83.69%</w:t>
            </w:r>
          </w:p>
        </w:tc>
        <w:tc>
          <w:tcPr>
            <w:tcW w:w="910" w:type="pct"/>
          </w:tcPr>
          <w:p w14:paraId="1926915A" w14:textId="136C8151" w:rsidR="00B14519" w:rsidRPr="00781112" w:rsidRDefault="00B14519" w:rsidP="00AF574F">
            <w:pPr>
              <w:jc w:val="center"/>
              <w:rPr>
                <w:rFonts w:cs="Arial"/>
                <w:color w:val="000000" w:themeColor="text1"/>
                <w:szCs w:val="16"/>
              </w:rPr>
            </w:pPr>
            <w:r w:rsidRPr="00781112">
              <w:rPr>
                <w:color w:val="000000" w:themeColor="text1"/>
                <w:szCs w:val="16"/>
              </w:rPr>
              <w:t>85.00%</w:t>
            </w:r>
          </w:p>
        </w:tc>
      </w:tr>
    </w:tbl>
    <w:p w14:paraId="007E6F50" w14:textId="125782E4" w:rsidR="000A2C83" w:rsidRPr="00781112" w:rsidRDefault="000A2C83" w:rsidP="004369B2">
      <w:pPr>
        <w:rPr>
          <w:b/>
          <w:color w:val="000000" w:themeColor="text1"/>
        </w:rPr>
      </w:pPr>
      <w:r w:rsidRPr="00781112">
        <w:rPr>
          <w:b/>
          <w:color w:val="000000" w:themeColor="text1"/>
        </w:rPr>
        <w:t xml:space="preserve">Targets: Description of Stakeholder Input </w:t>
      </w:r>
    </w:p>
    <w:p w14:paraId="0D80EDD0" w14:textId="285AFA3B" w:rsidR="000A2C83" w:rsidRPr="00781112" w:rsidRDefault="002B7490" w:rsidP="000A2C83">
      <w:pPr>
        <w:rPr>
          <w:rFonts w:cs="Arial"/>
          <w:color w:val="000000" w:themeColor="text1"/>
          <w:szCs w:val="16"/>
        </w:rPr>
      </w:pPr>
      <w:r w:rsidRPr="00781112">
        <w:rPr>
          <w:rFonts w:cs="Arial"/>
          <w:color w:val="000000" w:themeColor="text1"/>
          <w:szCs w:val="16"/>
        </w:rPr>
        <w:t>The USBE SES values stakeholder engagement and input and solicits ongoing feedback and review. Stakeholders consistently provide input through collaborative meetings, public comment, written communication, survey data, data analysis, and informal conversations. To share data and information and collect feedback on areas such as SPP/APR targets, the USBE SES employs meetings, newsletters, emails, surveys, and social media with stakeholder groups:</w:t>
      </w:r>
      <w:r w:rsidRPr="00781112">
        <w:rPr>
          <w:rFonts w:cs="Arial"/>
          <w:color w:val="000000" w:themeColor="text1"/>
          <w:szCs w:val="16"/>
        </w:rPr>
        <w:br/>
        <w:t>• LEA Special Education Directors</w:t>
      </w:r>
      <w:r w:rsidRPr="00781112">
        <w:rPr>
          <w:rFonts w:cs="Arial"/>
          <w:color w:val="000000" w:themeColor="text1"/>
          <w:szCs w:val="16"/>
        </w:rPr>
        <w:br/>
        <w:t>• Utah Special Education Advisory Panel (USEAP)</w:t>
      </w:r>
      <w:r w:rsidRPr="00781112">
        <w:rPr>
          <w:rFonts w:cs="Arial"/>
          <w:color w:val="000000" w:themeColor="text1"/>
          <w:szCs w:val="16"/>
        </w:rPr>
        <w:br/>
        <w:t>• USBE Committees</w:t>
      </w:r>
      <w:r w:rsidRPr="00781112">
        <w:rPr>
          <w:rFonts w:cs="Arial"/>
          <w:color w:val="000000" w:themeColor="text1"/>
          <w:szCs w:val="16"/>
        </w:rPr>
        <w:br/>
        <w:t>• Utah Legislative Committees</w:t>
      </w:r>
      <w:r w:rsidRPr="00781112">
        <w:rPr>
          <w:rFonts w:cs="Arial"/>
          <w:color w:val="000000" w:themeColor="text1"/>
          <w:szCs w:val="16"/>
        </w:rPr>
        <w:br/>
        <w:t>• Utah Parent Center (UPC)</w:t>
      </w:r>
      <w:r w:rsidRPr="00781112">
        <w:rPr>
          <w:rFonts w:cs="Arial"/>
          <w:color w:val="000000" w:themeColor="text1"/>
          <w:szCs w:val="16"/>
        </w:rPr>
        <w:br/>
        <w:t>• LEA Curriculum and Assessment Directors</w:t>
      </w:r>
      <w:r w:rsidRPr="00781112">
        <w:rPr>
          <w:rFonts w:cs="Arial"/>
          <w:color w:val="000000" w:themeColor="text1"/>
          <w:szCs w:val="16"/>
        </w:rPr>
        <w:br/>
        <w:t>• LEA Preschool Coordinators</w:t>
      </w:r>
      <w:r w:rsidRPr="00781112">
        <w:rPr>
          <w:rFonts w:cs="Arial"/>
          <w:color w:val="000000" w:themeColor="text1"/>
          <w:szCs w:val="16"/>
        </w:rPr>
        <w:br/>
      </w:r>
      <w:r w:rsidRPr="00781112">
        <w:rPr>
          <w:rFonts w:cs="Arial"/>
          <w:color w:val="000000" w:themeColor="text1"/>
          <w:szCs w:val="16"/>
        </w:rPr>
        <w:lastRenderedPageBreak/>
        <w:t>• LEA Administrators</w:t>
      </w:r>
      <w:r w:rsidRPr="00781112">
        <w:rPr>
          <w:rFonts w:cs="Arial"/>
          <w:color w:val="000000" w:themeColor="text1"/>
          <w:szCs w:val="16"/>
        </w:rPr>
        <w:br/>
        <w:t>•Utah Institutes of Higher Education (IHEs)</w:t>
      </w:r>
      <w:r w:rsidRPr="00781112">
        <w:rPr>
          <w:rFonts w:cs="Arial"/>
          <w:color w:val="000000" w:themeColor="text1"/>
          <w:szCs w:val="16"/>
        </w:rPr>
        <w:br/>
        <w:t>• Baby Watch/Early Intervention (Utah’s Part C agency)</w:t>
      </w:r>
      <w:r w:rsidRPr="00781112">
        <w:rPr>
          <w:rFonts w:cs="Arial"/>
          <w:color w:val="000000" w:themeColor="text1"/>
          <w:szCs w:val="16"/>
        </w:rPr>
        <w:br/>
        <w:t>• Agencies and non-profit organizations that provide services to SWD</w:t>
      </w:r>
      <w:r w:rsidRPr="00781112">
        <w:rPr>
          <w:rFonts w:cs="Arial"/>
          <w:color w:val="000000" w:themeColor="text1"/>
          <w:szCs w:val="16"/>
        </w:rPr>
        <w:br/>
        <w:t>• Utah Educators</w:t>
      </w:r>
      <w:r w:rsidRPr="00781112">
        <w:rPr>
          <w:rFonts w:cs="Arial"/>
          <w:color w:val="000000" w:themeColor="text1"/>
          <w:szCs w:val="16"/>
        </w:rPr>
        <w:br/>
        <w:t>• Advocacy groups throughout the State</w:t>
      </w:r>
      <w:r w:rsidRPr="00781112">
        <w:rPr>
          <w:rFonts w:cs="Arial"/>
          <w:color w:val="000000" w:themeColor="text1"/>
          <w:szCs w:val="16"/>
        </w:rPr>
        <w:br/>
        <w:t>During FFY 2021, no changes were made to the SPP/APR targets. The USBE SES reviewed the progress of the implementation of the Theory of Action for the SSIP and SPP/APR data with USEAM, USEAP, and the Coordinating Council for People with Disabilities (CCPD) (which includes all state agencies that serve individuals with disabilities and all nonprofit organizations that receive any state funding and/or grants).</w:t>
      </w:r>
      <w:r w:rsidRPr="00781112">
        <w:rPr>
          <w:rFonts w:cs="Arial"/>
          <w:color w:val="000000" w:themeColor="text1"/>
          <w:szCs w:val="16"/>
        </w:rPr>
        <w:br/>
        <w:t>The APR summit was held virtually on July 30, 2021. Over 100 participants attended from the stakeholder groups and those with individual interests. Participants reviewed data and projections for the State in 2025–2026. Participants were provided with an overview of the advantages and disadvantages of predictive models as well as an overview of the mindset for target-setting. Participants were asked to select the end targets (2025–2026) for indicators. The USBE SES would then calculate intervening targets between FFY 2020 and FFY 2025 whereby there would be no increase in the target the first year, followed by small increases, then large increases near the end. This is to allow enough time for LEAs to implement initiatives and change practices to realistically meet targets along their way to the rigorous end targets. After this overview, participants determined challenging and achievable end targets. The USBE SES calculated intervening targets and shared these intervening targets with the participants and additional stakeholders to get final approval for all the targets.</w:t>
      </w:r>
      <w:r w:rsidRPr="00781112">
        <w:rPr>
          <w:rFonts w:cs="Arial"/>
          <w:color w:val="000000" w:themeColor="text1"/>
          <w:szCs w:val="16"/>
        </w:rPr>
        <w:br/>
        <w:t>A survey was sent out and 101 individuals participated. Most participants identified as white females in suburban parts of Utah. American Indian/Native Alaskan, Hispanic/Latino, and individuals who identified as multiracial also participated. As a result of this additional feedback, the USBE SES revised Indicator 5 targets to maintain rigor and develop reasonable targets manageable by the LEAs. Targets for all indicators were developed after review of historical indicator and trend data, recommendations from the USBE statistician, the impact of COVID-19, APR summit and APR survey review. All targets were subsequently reviewed and adopted by USBE staff, USEAP, and LEAs. OSEP approved SPP/APR targets in the FFY 2020 SPP/APR.</w:t>
      </w:r>
      <w:r w:rsidRPr="00781112">
        <w:rPr>
          <w:rFonts w:cs="Arial"/>
          <w:color w:val="000000" w:themeColor="text1"/>
          <w:szCs w:val="16"/>
        </w:rPr>
        <w:br/>
        <w:t>During FFY 2021, the SPP/APR and SSIP were discussed regularly with LEA special education directors, USEAP, UPC, the state Parent Teacher Association (PTA), and other parent groups focused on inclusionary practices in Utah schools. Regular meetings are held with all these groups typically on a quarterly basis. Emails, phone calls, and in-person meetings provide for informal opportunities to gain insight and adjust.</w:t>
      </w:r>
      <w:r w:rsidRPr="00781112">
        <w:rPr>
          <w:rFonts w:cs="Arial"/>
          <w:color w:val="000000" w:themeColor="text1"/>
          <w:szCs w:val="16"/>
        </w:rPr>
        <w:br/>
        <w:t>The UPC works closely with USBE to increase the capacity of diverse groups of parents. Meetings at UPC are held in Spanish as the second highest language in the State. Refugee populations are connected through UPC staff assigned to specific LEAs with large populations of refugees.</w:t>
      </w:r>
      <w:r w:rsidRPr="00781112">
        <w:rPr>
          <w:rFonts w:cs="Arial"/>
          <w:color w:val="000000" w:themeColor="text1"/>
          <w:szCs w:val="16"/>
        </w:rPr>
        <w:br/>
        <w:t>The USBE family engagement specialist seeks to increase capacity through cross collaboration with other parent and family engagement programs provided in LEAs that we will continue to target.</w:t>
      </w:r>
      <w:r w:rsidRPr="00781112">
        <w:rPr>
          <w:rFonts w:cs="Arial"/>
          <w:color w:val="000000" w:themeColor="text1"/>
          <w:szCs w:val="16"/>
        </w:rPr>
        <w:br/>
        <w:t>INDICATOR 1</w:t>
      </w:r>
      <w:r w:rsidRPr="00781112">
        <w:rPr>
          <w:rFonts w:cs="Arial"/>
          <w:color w:val="000000" w:themeColor="text1"/>
          <w:szCs w:val="16"/>
        </w:rPr>
        <w:br/>
        <w:t>Data from 2018 was determined to be an appropriate baseline. With a baseline of 67.90%, targets will increase with consideration for COVID-19 impacts.</w:t>
      </w:r>
      <w:r w:rsidRPr="00781112">
        <w:rPr>
          <w:rFonts w:cs="Arial"/>
          <w:color w:val="000000" w:themeColor="text1"/>
          <w:szCs w:val="16"/>
        </w:rPr>
        <w:br/>
        <w:t>INDICATOR 2</w:t>
      </w:r>
      <w:r w:rsidRPr="00781112">
        <w:rPr>
          <w:rFonts w:cs="Arial"/>
          <w:color w:val="000000" w:themeColor="text1"/>
          <w:szCs w:val="16"/>
        </w:rPr>
        <w:br/>
        <w:t>Data from 2018 was determined to be an appropriate baseline. With a baseline of 25.81%, targets will decrease with consideration for COVID-19 impacts.</w:t>
      </w:r>
      <w:r w:rsidRPr="00781112">
        <w:rPr>
          <w:rFonts w:cs="Arial"/>
          <w:color w:val="000000" w:themeColor="text1"/>
          <w:szCs w:val="16"/>
        </w:rPr>
        <w:br/>
        <w:t>INDICATOR 3A</w:t>
      </w:r>
      <w:r w:rsidRPr="00781112">
        <w:rPr>
          <w:rFonts w:cs="Arial"/>
          <w:color w:val="000000" w:themeColor="text1"/>
          <w:szCs w:val="16"/>
        </w:rPr>
        <w:br/>
        <w:t>This target is set by OSEP. Stakeholders discussed ways to improve participation.</w:t>
      </w:r>
      <w:r w:rsidRPr="00781112">
        <w:rPr>
          <w:rFonts w:cs="Arial"/>
          <w:color w:val="000000" w:themeColor="text1"/>
          <w:szCs w:val="16"/>
        </w:rPr>
        <w:br/>
        <w:t>INDICATORS 3B, C, D</w:t>
      </w:r>
      <w:r w:rsidRPr="00781112">
        <w:rPr>
          <w:rFonts w:cs="Arial"/>
          <w:color w:val="000000" w:themeColor="text1"/>
          <w:szCs w:val="16"/>
        </w:rPr>
        <w:br/>
        <w:t>Participants looked at the average mean from the previous four years of data in conjunction with the linear trend and forecasting. This process allowed participants to analyze the best statistical guess of where Utah’s data would most likely be in six years while also seeing the forecasting of possible error over time for predicting far into the future.</w:t>
      </w:r>
      <w:r w:rsidRPr="00781112">
        <w:rPr>
          <w:rFonts w:cs="Arial"/>
          <w:color w:val="000000" w:themeColor="text1"/>
          <w:szCs w:val="16"/>
        </w:rPr>
        <w:br/>
        <w:t>INDICATOR 5</w:t>
      </w:r>
      <w:r w:rsidRPr="00781112">
        <w:rPr>
          <w:rFonts w:cs="Arial"/>
          <w:color w:val="000000" w:themeColor="text1"/>
          <w:szCs w:val="16"/>
        </w:rPr>
        <w:br/>
        <w:t>During FFY 2020, the Indicator 5 baseline was reset. In FFY 2021, all targets were met. A comprehensive approach was taken to provide informative learning sessions to support special education directors who are accountable for reviewing Indicator 5 outcome data. Recognizing the need to differentiate support, the USBE SES offered individual LEA data analysis and problem-solving sessions.</w:t>
      </w:r>
      <w:r w:rsidRPr="00781112">
        <w:rPr>
          <w:rFonts w:cs="Arial"/>
          <w:color w:val="000000" w:themeColor="text1"/>
          <w:szCs w:val="16"/>
        </w:rPr>
        <w:br/>
        <w:t>INDICATOR 6</w:t>
      </w:r>
      <w:r w:rsidRPr="00781112">
        <w:rPr>
          <w:rFonts w:cs="Arial"/>
          <w:color w:val="000000" w:themeColor="text1"/>
          <w:szCs w:val="16"/>
        </w:rPr>
        <w:br/>
        <w:t>Data from 2018 was determined to be an appropriate baseline. With baselines of (A) 46.86%, (B) 32.67%, (C) 0.25%, targets will gradually increase and decrease with consideration for COVID-19 impacts.</w:t>
      </w:r>
      <w:r w:rsidRPr="00781112">
        <w:rPr>
          <w:rFonts w:cs="Arial"/>
          <w:color w:val="000000" w:themeColor="text1"/>
          <w:szCs w:val="16"/>
        </w:rPr>
        <w:br/>
        <w:t>INDICATOR 7</w:t>
      </w:r>
      <w:r w:rsidRPr="00781112">
        <w:rPr>
          <w:rFonts w:cs="Arial"/>
          <w:color w:val="000000" w:themeColor="text1"/>
          <w:szCs w:val="16"/>
        </w:rPr>
        <w:br/>
        <w:t>Data from 2018 was determined to be an appropriate baseline. The USBE predicts outcomes for this indicator are still being largely impacted by COVID-19, and targets are currently set below the baseline. With baselines of (A1) 88.86%, (A2) 58.94%, (B1) 88.41%, (B2) 50.48%, (C1) 89.86%, (C2) 70.52%, targets will increase with consideration for COVID-19 impacts.</w:t>
      </w:r>
      <w:r w:rsidRPr="00781112">
        <w:rPr>
          <w:rFonts w:cs="Arial"/>
          <w:color w:val="000000" w:themeColor="text1"/>
          <w:szCs w:val="16"/>
        </w:rPr>
        <w:br/>
        <w:t>INDICATOR 8</w:t>
      </w:r>
      <w:r w:rsidRPr="00781112">
        <w:rPr>
          <w:rFonts w:cs="Arial"/>
          <w:color w:val="000000" w:themeColor="text1"/>
          <w:szCs w:val="16"/>
        </w:rPr>
        <w:br/>
        <w:t>Data from 2018 was determined to be an appropriate baseline. With a baseline of 78.38%, targets will gradually increase with consideration for COVID-19 impacts.</w:t>
      </w:r>
      <w:r w:rsidRPr="00781112">
        <w:rPr>
          <w:rFonts w:cs="Arial"/>
          <w:color w:val="000000" w:themeColor="text1"/>
          <w:szCs w:val="16"/>
        </w:rPr>
        <w:br/>
        <w:t>INDICATORS 4, 9, 10</w:t>
      </w:r>
      <w:r w:rsidRPr="00781112">
        <w:rPr>
          <w:rFonts w:cs="Arial"/>
          <w:color w:val="000000" w:themeColor="text1"/>
          <w:szCs w:val="16"/>
        </w:rPr>
        <w:br/>
        <w:t>During the APR Summit, stakeholders reviewed current data trends and ways to improve outcomes. Although targets cannot be changed, stakeholder input has been instrumental in meeting targets for these indicators. The calculations and data collection process for these indicators has been updated to improve outcomes for SWD. Stakeholder input has been utilized to determine processes, PL, and support provided to bridge the gap between current performance and targets.</w:t>
      </w:r>
      <w:r w:rsidRPr="00781112">
        <w:rPr>
          <w:rFonts w:cs="Arial"/>
          <w:color w:val="000000" w:themeColor="text1"/>
          <w:szCs w:val="16"/>
        </w:rPr>
        <w:br/>
        <w:t>INDICATORS 11, 12</w:t>
      </w:r>
      <w:r w:rsidRPr="00781112">
        <w:rPr>
          <w:rFonts w:cs="Arial"/>
          <w:color w:val="000000" w:themeColor="text1"/>
          <w:szCs w:val="16"/>
        </w:rPr>
        <w:br/>
        <w:t>During the APR Summit, stakeholders reviewed current data trends and ways to improve outcomes. Although targets cannot be changed, stakeholder input has been instrumental in meeting targets for these indicators. Input has been utilized to determine PL and support provided to bridge the gap between current performance and targets.</w:t>
      </w:r>
      <w:r w:rsidRPr="00781112">
        <w:rPr>
          <w:rFonts w:cs="Arial"/>
          <w:color w:val="000000" w:themeColor="text1"/>
          <w:szCs w:val="16"/>
        </w:rPr>
        <w:br/>
        <w:t>INDICATOR 13</w:t>
      </w:r>
      <w:r w:rsidRPr="00781112">
        <w:rPr>
          <w:rFonts w:cs="Arial"/>
          <w:color w:val="000000" w:themeColor="text1"/>
          <w:szCs w:val="16"/>
        </w:rPr>
        <w:br/>
        <w:t>The USBE SES recognizes this is an area requiring improvement. During the APR Summit, stakeholders reviewed current data trends and ways to improve outcomes. Although targets cannot be changed, stakeholder input has been instrumental in the progression toward meeting the target.</w:t>
      </w:r>
      <w:r w:rsidRPr="00781112">
        <w:rPr>
          <w:rFonts w:cs="Arial"/>
          <w:color w:val="000000" w:themeColor="text1"/>
          <w:szCs w:val="16"/>
        </w:rPr>
        <w:br/>
        <w:t>INDICATOR 14</w:t>
      </w:r>
      <w:r w:rsidRPr="00781112">
        <w:rPr>
          <w:rFonts w:cs="Arial"/>
          <w:color w:val="000000" w:themeColor="text1"/>
          <w:szCs w:val="16"/>
        </w:rPr>
        <w:br/>
        <w:t>Data from 2018 was determined to be an appropriate baseline. The USBE predicts outcomes for this indicator are still being largely impacted by COVID-19, and targets are currently set below the baseline. With baselines of (A) 19.62%, (B) 67.60%, (C) 84.37%, targets will increase with consideration for COVID-19 impacts.</w:t>
      </w:r>
      <w:r w:rsidRPr="00781112">
        <w:rPr>
          <w:rFonts w:cs="Arial"/>
          <w:color w:val="000000" w:themeColor="text1"/>
          <w:szCs w:val="16"/>
        </w:rPr>
        <w:br/>
        <w:t xml:space="preserve">INDICATOR 15 </w:t>
      </w:r>
      <w:r w:rsidRPr="00781112">
        <w:rPr>
          <w:rFonts w:cs="Arial"/>
          <w:color w:val="000000" w:themeColor="text1"/>
          <w:szCs w:val="16"/>
        </w:rPr>
        <w:br/>
        <w:t>The USBE continues to experience relatively low levels of due process hearing requests and resolution meetings and is not required to set a target.</w:t>
      </w:r>
      <w:r w:rsidRPr="00781112">
        <w:rPr>
          <w:rFonts w:cs="Arial"/>
          <w:color w:val="000000" w:themeColor="text1"/>
          <w:szCs w:val="16"/>
        </w:rPr>
        <w:br/>
        <w:t xml:space="preserve">INDICATOR 16 </w:t>
      </w:r>
      <w:r w:rsidRPr="00781112">
        <w:rPr>
          <w:rFonts w:cs="Arial"/>
          <w:color w:val="000000" w:themeColor="text1"/>
          <w:szCs w:val="16"/>
        </w:rPr>
        <w:br/>
        <w:t>The USBE continues to experience relatively low levels of dispute resolution requests, including mediation. Targets have been set based on the low level of mediation requests.</w:t>
      </w:r>
    </w:p>
    <w:p w14:paraId="262FFC50" w14:textId="3E779EE8" w:rsidR="000A2C83" w:rsidRPr="00781112" w:rsidRDefault="000A2C83" w:rsidP="000A2C83">
      <w:pPr>
        <w:rPr>
          <w:rFonts w:cs="Arial"/>
          <w:color w:val="000000" w:themeColor="text1"/>
          <w:szCs w:val="16"/>
        </w:rPr>
      </w:pPr>
    </w:p>
    <w:p w14:paraId="4522ADD4" w14:textId="77777777" w:rsidR="00E448E9" w:rsidRPr="00781112" w:rsidRDefault="00E448E9" w:rsidP="004369B2">
      <w:pPr>
        <w:rPr>
          <w:color w:val="000000" w:themeColor="text1"/>
        </w:rPr>
      </w:pPr>
      <w:bookmarkStart w:id="88" w:name="_Toc392159337"/>
    </w:p>
    <w:bookmarkEnd w:id="88"/>
    <w:p w14:paraId="4202DC3A" w14:textId="73004647" w:rsidR="00A03EFA" w:rsidRPr="00781112" w:rsidRDefault="0047313F" w:rsidP="004369B2">
      <w:pPr>
        <w:rPr>
          <w:color w:val="000000" w:themeColor="text1"/>
        </w:rPr>
      </w:pPr>
      <w:r>
        <w:rPr>
          <w:b/>
          <w:color w:val="000000" w:themeColor="text1"/>
        </w:rPr>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4CFFYAPRDATA"/>
      </w:tblPr>
      <w:tblGrid>
        <w:gridCol w:w="8395"/>
        <w:gridCol w:w="2395"/>
      </w:tblGrid>
      <w:tr w:rsidR="00090132" w:rsidRPr="00781112" w14:paraId="207EB2D1" w14:textId="77777777" w:rsidTr="00090132">
        <w:tc>
          <w:tcPr>
            <w:tcW w:w="3890" w:type="pct"/>
            <w:vAlign w:val="center"/>
          </w:tcPr>
          <w:p w14:paraId="67362B4A" w14:textId="3209EFE1" w:rsidR="00090132" w:rsidRPr="00781112" w:rsidRDefault="00090132" w:rsidP="00090132">
            <w:pPr>
              <w:keepNext/>
              <w:rPr>
                <w:rFonts w:cs="Arial"/>
                <w:color w:val="000000" w:themeColor="text1"/>
                <w:szCs w:val="16"/>
              </w:rPr>
            </w:pPr>
            <w:r>
              <w:rPr>
                <w:rFonts w:cs="Arial"/>
                <w:szCs w:val="16"/>
              </w:rPr>
              <w:t>Total</w:t>
            </w:r>
            <w:r w:rsidRPr="000B10B6">
              <w:rPr>
                <w:rFonts w:eastAsia="Times New Roman" w:cs="Arial"/>
                <w:szCs w:val="16"/>
              </w:rPr>
              <w:t xml:space="preserve"> number of targeted </w:t>
            </w:r>
            <w:proofErr w:type="gramStart"/>
            <w:r w:rsidRPr="000B10B6">
              <w:rPr>
                <w:rFonts w:eastAsia="Times New Roman" w:cs="Arial"/>
                <w:szCs w:val="16"/>
              </w:rPr>
              <w:t>youth</w:t>
            </w:r>
            <w:proofErr w:type="gramEnd"/>
            <w:r w:rsidRPr="000B10B6">
              <w:rPr>
                <w:rFonts w:eastAsia="Times New Roman" w:cs="Arial"/>
                <w:szCs w:val="16"/>
              </w:rPr>
              <w:t xml:space="preserve"> in the sample or census</w:t>
            </w:r>
          </w:p>
        </w:tc>
        <w:tc>
          <w:tcPr>
            <w:tcW w:w="1110" w:type="pct"/>
            <w:vAlign w:val="center"/>
          </w:tcPr>
          <w:p w14:paraId="2427A8AD" w14:textId="54179547" w:rsidR="00090132" w:rsidRPr="00781112" w:rsidRDefault="00090132" w:rsidP="00090132">
            <w:pPr>
              <w:jc w:val="center"/>
              <w:rPr>
                <w:rFonts w:cs="Arial"/>
                <w:color w:val="000000" w:themeColor="text1"/>
                <w:szCs w:val="16"/>
              </w:rPr>
            </w:pPr>
            <w:r>
              <w:rPr>
                <w:rFonts w:cs="Arial"/>
                <w:color w:val="000000" w:themeColor="text1"/>
                <w:szCs w:val="16"/>
              </w:rPr>
              <w:t>5,011</w:t>
            </w:r>
          </w:p>
        </w:tc>
      </w:tr>
      <w:tr w:rsidR="00090132" w:rsidRPr="00781112" w14:paraId="4BEBCF45" w14:textId="77777777" w:rsidTr="00090132">
        <w:tc>
          <w:tcPr>
            <w:tcW w:w="3890" w:type="pct"/>
            <w:vAlign w:val="center"/>
          </w:tcPr>
          <w:p w14:paraId="362898CB" w14:textId="77777777" w:rsidR="00090132" w:rsidRPr="00781112" w:rsidRDefault="00090132" w:rsidP="00090132">
            <w:pPr>
              <w:keepNext/>
              <w:rPr>
                <w:rFonts w:cs="Arial"/>
                <w:color w:val="000000" w:themeColor="text1"/>
                <w:szCs w:val="16"/>
              </w:rPr>
            </w:pPr>
            <w:r w:rsidRPr="00781112">
              <w:rPr>
                <w:rFonts w:cs="Arial"/>
                <w:color w:val="000000" w:themeColor="text1"/>
                <w:szCs w:val="16"/>
              </w:rPr>
              <w:t>Number of respondent youth who are no longer in secondary school and had IEPs in effect at the time they left school</w:t>
            </w:r>
          </w:p>
        </w:tc>
        <w:tc>
          <w:tcPr>
            <w:tcW w:w="1110" w:type="pct"/>
            <w:vAlign w:val="center"/>
          </w:tcPr>
          <w:p w14:paraId="4E7A7BCA" w14:textId="4D8CFE95" w:rsidR="00090132" w:rsidRPr="00781112" w:rsidRDefault="00090132" w:rsidP="00090132">
            <w:pPr>
              <w:jc w:val="center"/>
              <w:rPr>
                <w:rFonts w:cs="Arial"/>
                <w:color w:val="000000" w:themeColor="text1"/>
                <w:szCs w:val="16"/>
              </w:rPr>
            </w:pPr>
            <w:r w:rsidRPr="00781112">
              <w:rPr>
                <w:rFonts w:cs="Arial"/>
                <w:color w:val="000000" w:themeColor="text1"/>
                <w:szCs w:val="16"/>
              </w:rPr>
              <w:t>2,508</w:t>
            </w:r>
          </w:p>
        </w:tc>
      </w:tr>
      <w:tr w:rsidR="00090132" w:rsidRPr="00781112" w14:paraId="099154C0" w14:textId="77777777" w:rsidTr="00090132">
        <w:tc>
          <w:tcPr>
            <w:tcW w:w="3890" w:type="pct"/>
            <w:vAlign w:val="center"/>
          </w:tcPr>
          <w:p w14:paraId="5A4C399B" w14:textId="5923727A" w:rsidR="00090132" w:rsidRPr="00781112" w:rsidRDefault="00090132" w:rsidP="00090132">
            <w:pPr>
              <w:rPr>
                <w:rFonts w:cs="Arial"/>
                <w:color w:val="000000" w:themeColor="text1"/>
                <w:szCs w:val="16"/>
              </w:rPr>
            </w:pPr>
            <w:r>
              <w:rPr>
                <w:rFonts w:cs="Arial"/>
                <w:szCs w:val="16"/>
              </w:rPr>
              <w:t>Response Rate</w:t>
            </w:r>
          </w:p>
        </w:tc>
        <w:tc>
          <w:tcPr>
            <w:tcW w:w="1110" w:type="pct"/>
            <w:vAlign w:val="center"/>
          </w:tcPr>
          <w:p w14:paraId="394AE71F" w14:textId="54DFC261" w:rsidR="00090132" w:rsidRPr="00781112" w:rsidRDefault="00090132" w:rsidP="00090132">
            <w:pPr>
              <w:jc w:val="center"/>
              <w:rPr>
                <w:rFonts w:cs="Arial"/>
                <w:color w:val="000000" w:themeColor="text1"/>
                <w:szCs w:val="16"/>
              </w:rPr>
            </w:pPr>
            <w:r w:rsidRPr="00ED172B">
              <w:rPr>
                <w:rFonts w:cs="Arial"/>
                <w:color w:val="000000" w:themeColor="text1"/>
                <w:szCs w:val="16"/>
              </w:rPr>
              <w:t>50.05%</w:t>
            </w:r>
          </w:p>
        </w:tc>
      </w:tr>
      <w:tr w:rsidR="00090132" w:rsidRPr="00781112" w14:paraId="5E0C2D8D" w14:textId="77777777" w:rsidTr="00090132">
        <w:tc>
          <w:tcPr>
            <w:tcW w:w="3890" w:type="pct"/>
            <w:vAlign w:val="center"/>
          </w:tcPr>
          <w:p w14:paraId="307B7092" w14:textId="77777777" w:rsidR="00090132" w:rsidRPr="00781112" w:rsidRDefault="00090132" w:rsidP="00090132">
            <w:pPr>
              <w:rPr>
                <w:rFonts w:cs="Arial"/>
                <w:color w:val="000000" w:themeColor="text1"/>
                <w:szCs w:val="16"/>
              </w:rPr>
            </w:pPr>
            <w:r w:rsidRPr="00781112">
              <w:rPr>
                <w:rFonts w:cs="Arial"/>
                <w:color w:val="000000" w:themeColor="text1"/>
                <w:szCs w:val="16"/>
              </w:rPr>
              <w:t xml:space="preserve">1. Number of respondent youth who enrolled in higher education within one year of leaving high school </w:t>
            </w:r>
          </w:p>
        </w:tc>
        <w:tc>
          <w:tcPr>
            <w:tcW w:w="1110" w:type="pct"/>
            <w:vAlign w:val="center"/>
          </w:tcPr>
          <w:p w14:paraId="0A9A571A" w14:textId="2C7C274B" w:rsidR="00090132" w:rsidRPr="00781112" w:rsidRDefault="00090132" w:rsidP="00090132">
            <w:pPr>
              <w:jc w:val="center"/>
              <w:rPr>
                <w:rFonts w:cs="Arial"/>
                <w:color w:val="000000" w:themeColor="text1"/>
                <w:szCs w:val="16"/>
              </w:rPr>
            </w:pPr>
            <w:r w:rsidRPr="00781112">
              <w:rPr>
                <w:rFonts w:cs="Arial"/>
                <w:color w:val="000000" w:themeColor="text1"/>
                <w:szCs w:val="16"/>
              </w:rPr>
              <w:t>494</w:t>
            </w:r>
          </w:p>
        </w:tc>
      </w:tr>
      <w:tr w:rsidR="00090132" w:rsidRPr="00781112" w14:paraId="7827FDF9" w14:textId="77777777" w:rsidTr="00090132">
        <w:tc>
          <w:tcPr>
            <w:tcW w:w="3890" w:type="pct"/>
            <w:vAlign w:val="center"/>
          </w:tcPr>
          <w:p w14:paraId="143C6167" w14:textId="77777777" w:rsidR="00090132" w:rsidRPr="00781112" w:rsidRDefault="00090132" w:rsidP="00090132">
            <w:pPr>
              <w:rPr>
                <w:rFonts w:cs="Arial"/>
                <w:color w:val="000000" w:themeColor="text1"/>
                <w:szCs w:val="16"/>
              </w:rPr>
            </w:pPr>
            <w:r w:rsidRPr="00781112">
              <w:rPr>
                <w:rFonts w:cs="Arial"/>
                <w:color w:val="000000" w:themeColor="text1"/>
                <w:szCs w:val="16"/>
              </w:rPr>
              <w:t xml:space="preserve">2. Number of respondent youth who competitively employed within one year of leaving high school </w:t>
            </w:r>
          </w:p>
        </w:tc>
        <w:tc>
          <w:tcPr>
            <w:tcW w:w="1110" w:type="pct"/>
            <w:vAlign w:val="center"/>
          </w:tcPr>
          <w:p w14:paraId="6B716476" w14:textId="340D4859" w:rsidR="00090132" w:rsidRPr="00781112" w:rsidRDefault="00090132" w:rsidP="00090132">
            <w:pPr>
              <w:jc w:val="center"/>
              <w:rPr>
                <w:rFonts w:cs="Arial"/>
                <w:color w:val="000000" w:themeColor="text1"/>
                <w:szCs w:val="16"/>
              </w:rPr>
            </w:pPr>
            <w:r w:rsidRPr="00781112">
              <w:rPr>
                <w:rFonts w:cs="Arial"/>
                <w:color w:val="000000" w:themeColor="text1"/>
                <w:szCs w:val="16"/>
              </w:rPr>
              <w:t>1,169</w:t>
            </w:r>
          </w:p>
        </w:tc>
      </w:tr>
      <w:tr w:rsidR="00090132" w:rsidRPr="00781112" w14:paraId="5F3556EC" w14:textId="77777777" w:rsidTr="00090132">
        <w:tc>
          <w:tcPr>
            <w:tcW w:w="3890" w:type="pct"/>
            <w:vAlign w:val="center"/>
          </w:tcPr>
          <w:p w14:paraId="31472415" w14:textId="77777777" w:rsidR="00090132" w:rsidRPr="00781112" w:rsidRDefault="00090132" w:rsidP="00090132">
            <w:pPr>
              <w:rPr>
                <w:rFonts w:cs="Arial"/>
                <w:color w:val="000000" w:themeColor="text1"/>
                <w:szCs w:val="16"/>
              </w:rPr>
            </w:pPr>
            <w:r w:rsidRPr="00781112">
              <w:rPr>
                <w:rFonts w:cs="Arial"/>
                <w:color w:val="000000" w:themeColor="text1"/>
                <w:szCs w:val="16"/>
              </w:rPr>
              <w:t>3. Number of respondent youth enrolled in some other postsecondary education or training program within one year of leaving high school (but not enrolled in higher education or competitively employed)</w:t>
            </w:r>
          </w:p>
        </w:tc>
        <w:tc>
          <w:tcPr>
            <w:tcW w:w="1110" w:type="pct"/>
            <w:vAlign w:val="center"/>
          </w:tcPr>
          <w:p w14:paraId="113FFF64" w14:textId="3A694BE0" w:rsidR="00090132" w:rsidRPr="00781112" w:rsidRDefault="00090132" w:rsidP="00090132">
            <w:pPr>
              <w:jc w:val="center"/>
              <w:rPr>
                <w:rFonts w:cs="Arial"/>
                <w:color w:val="000000" w:themeColor="text1"/>
                <w:szCs w:val="16"/>
              </w:rPr>
            </w:pPr>
            <w:r w:rsidRPr="00781112">
              <w:rPr>
                <w:rFonts w:cs="Arial"/>
                <w:color w:val="000000" w:themeColor="text1"/>
                <w:szCs w:val="16"/>
              </w:rPr>
              <w:t>236</w:t>
            </w:r>
          </w:p>
        </w:tc>
      </w:tr>
      <w:tr w:rsidR="00090132" w:rsidRPr="00781112" w14:paraId="781804C6" w14:textId="77777777" w:rsidTr="00090132">
        <w:tc>
          <w:tcPr>
            <w:tcW w:w="3890" w:type="pct"/>
            <w:vAlign w:val="center"/>
          </w:tcPr>
          <w:p w14:paraId="1C549366" w14:textId="77777777" w:rsidR="00090132" w:rsidRPr="00781112" w:rsidRDefault="00090132" w:rsidP="00090132">
            <w:pPr>
              <w:rPr>
                <w:rFonts w:cs="Arial"/>
                <w:color w:val="000000" w:themeColor="text1"/>
                <w:szCs w:val="16"/>
              </w:rPr>
            </w:pPr>
            <w:r w:rsidRPr="00781112">
              <w:rPr>
                <w:rFonts w:cs="Arial"/>
                <w:color w:val="000000" w:themeColor="text1"/>
                <w:szCs w:val="16"/>
              </w:rPr>
              <w:t>4. Number of respondent youth who are in some other employment within one year of leaving high school (but not enrolled in higher education, some other postsecondary education or training program, or competitively employed).</w:t>
            </w:r>
          </w:p>
        </w:tc>
        <w:tc>
          <w:tcPr>
            <w:tcW w:w="1110" w:type="pct"/>
            <w:vAlign w:val="center"/>
          </w:tcPr>
          <w:p w14:paraId="73A7669A" w14:textId="69DC744F" w:rsidR="00090132" w:rsidRPr="00781112" w:rsidRDefault="00090132" w:rsidP="00090132">
            <w:pPr>
              <w:jc w:val="center"/>
              <w:rPr>
                <w:rFonts w:cs="Arial"/>
                <w:color w:val="000000" w:themeColor="text1"/>
                <w:szCs w:val="16"/>
              </w:rPr>
            </w:pPr>
            <w:r w:rsidRPr="00781112">
              <w:rPr>
                <w:rFonts w:cs="Arial"/>
                <w:color w:val="000000" w:themeColor="text1"/>
                <w:szCs w:val="16"/>
              </w:rPr>
              <w:t>176</w:t>
            </w:r>
          </w:p>
        </w:tc>
      </w:tr>
    </w:tbl>
    <w:p w14:paraId="4C7C103F" w14:textId="77777777" w:rsidR="00634AD8" w:rsidRPr="00781112" w:rsidRDefault="00634AD8" w:rsidP="00634AD8">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4CFFYAPRDATA1"/>
      </w:tblPr>
      <w:tblGrid>
        <w:gridCol w:w="1348"/>
        <w:gridCol w:w="1348"/>
        <w:gridCol w:w="1349"/>
        <w:gridCol w:w="1349"/>
        <w:gridCol w:w="1349"/>
        <w:gridCol w:w="1349"/>
        <w:gridCol w:w="1349"/>
        <w:gridCol w:w="1349"/>
      </w:tblGrid>
      <w:tr w:rsidR="00B1652C" w:rsidRPr="00781112" w14:paraId="5EEC1BAF" w14:textId="0A8A2949" w:rsidTr="0033429D">
        <w:trPr>
          <w:trHeight w:val="358"/>
          <w:tblHeader/>
        </w:trPr>
        <w:tc>
          <w:tcPr>
            <w:tcW w:w="625" w:type="pct"/>
            <w:shd w:val="clear" w:color="auto" w:fill="auto"/>
            <w:vAlign w:val="bottom"/>
          </w:tcPr>
          <w:p w14:paraId="4E882584" w14:textId="038C3477" w:rsidR="00B1652C" w:rsidRPr="00781112" w:rsidRDefault="00B1652C" w:rsidP="00B1652C">
            <w:pPr>
              <w:jc w:val="center"/>
              <w:rPr>
                <w:rFonts w:cs="Arial"/>
                <w:b/>
                <w:color w:val="000000" w:themeColor="text1"/>
                <w:szCs w:val="16"/>
              </w:rPr>
            </w:pPr>
            <w:r w:rsidRPr="00781112">
              <w:rPr>
                <w:rFonts w:cs="Arial"/>
                <w:b/>
                <w:color w:val="000000" w:themeColor="text1"/>
                <w:szCs w:val="16"/>
              </w:rPr>
              <w:t>Measure</w:t>
            </w:r>
          </w:p>
        </w:tc>
        <w:tc>
          <w:tcPr>
            <w:tcW w:w="625" w:type="pct"/>
            <w:shd w:val="clear" w:color="auto" w:fill="auto"/>
            <w:vAlign w:val="bottom"/>
          </w:tcPr>
          <w:p w14:paraId="5814109E" w14:textId="77777777" w:rsidR="00B1652C" w:rsidRPr="00781112" w:rsidRDefault="00B1652C" w:rsidP="00B1652C">
            <w:pPr>
              <w:jc w:val="center"/>
              <w:rPr>
                <w:rFonts w:cs="Arial"/>
                <w:b/>
                <w:color w:val="000000" w:themeColor="text1"/>
                <w:szCs w:val="16"/>
              </w:rPr>
            </w:pPr>
            <w:r w:rsidRPr="00781112">
              <w:rPr>
                <w:rFonts w:cs="Arial"/>
                <w:b/>
                <w:color w:val="000000" w:themeColor="text1"/>
                <w:szCs w:val="16"/>
              </w:rPr>
              <w:t>Number of respondent youth</w:t>
            </w:r>
          </w:p>
        </w:tc>
        <w:tc>
          <w:tcPr>
            <w:tcW w:w="625" w:type="pct"/>
            <w:shd w:val="clear" w:color="auto" w:fill="auto"/>
            <w:vAlign w:val="bottom"/>
          </w:tcPr>
          <w:p w14:paraId="14CE6B2C" w14:textId="77777777" w:rsidR="00B1652C" w:rsidRPr="00781112" w:rsidRDefault="00B1652C" w:rsidP="00B1652C">
            <w:pPr>
              <w:jc w:val="center"/>
              <w:rPr>
                <w:rFonts w:cs="Arial"/>
                <w:b/>
                <w:color w:val="000000" w:themeColor="text1"/>
                <w:szCs w:val="16"/>
              </w:rPr>
            </w:pPr>
            <w:r w:rsidRPr="00781112">
              <w:rPr>
                <w:rFonts w:cs="Arial"/>
                <w:b/>
                <w:color w:val="000000" w:themeColor="text1"/>
                <w:szCs w:val="16"/>
              </w:rPr>
              <w:t>Number of respondent youth who are no longer in secondary school and had IEPs in effect at the time they left school</w:t>
            </w:r>
          </w:p>
        </w:tc>
        <w:tc>
          <w:tcPr>
            <w:tcW w:w="625" w:type="pct"/>
            <w:shd w:val="clear" w:color="auto" w:fill="auto"/>
            <w:vAlign w:val="bottom"/>
          </w:tcPr>
          <w:p w14:paraId="12E02A36" w14:textId="523422A9" w:rsidR="00B1652C" w:rsidRPr="006D0A52" w:rsidRDefault="00B1652C" w:rsidP="00B1652C">
            <w:pPr>
              <w:jc w:val="center"/>
              <w:rPr>
                <w:rFonts w:cs="Arial"/>
                <w:b/>
                <w:bCs/>
                <w:color w:val="000000" w:themeColor="text1"/>
                <w:szCs w:val="16"/>
              </w:rPr>
            </w:pPr>
            <w:r w:rsidRPr="006D0A52">
              <w:rPr>
                <w:b/>
                <w:bCs/>
              </w:rPr>
              <w:t>FFY 2020 Data</w:t>
            </w:r>
          </w:p>
        </w:tc>
        <w:tc>
          <w:tcPr>
            <w:tcW w:w="625" w:type="pct"/>
            <w:shd w:val="clear" w:color="auto" w:fill="auto"/>
            <w:vAlign w:val="bottom"/>
          </w:tcPr>
          <w:p w14:paraId="5152926B" w14:textId="35228357" w:rsidR="00B1652C" w:rsidRPr="006D0A52" w:rsidRDefault="00B1652C" w:rsidP="00B1652C">
            <w:pPr>
              <w:jc w:val="center"/>
              <w:rPr>
                <w:rFonts w:cs="Arial"/>
                <w:b/>
                <w:bCs/>
                <w:color w:val="000000" w:themeColor="text1"/>
                <w:szCs w:val="16"/>
              </w:rPr>
            </w:pPr>
            <w:r w:rsidRPr="006D0A52">
              <w:rPr>
                <w:b/>
                <w:bCs/>
              </w:rPr>
              <w:t>FFY 2021 Target</w:t>
            </w:r>
          </w:p>
        </w:tc>
        <w:tc>
          <w:tcPr>
            <w:tcW w:w="625" w:type="pct"/>
            <w:shd w:val="clear" w:color="auto" w:fill="auto"/>
            <w:vAlign w:val="bottom"/>
          </w:tcPr>
          <w:p w14:paraId="520BBB1B" w14:textId="08156133" w:rsidR="00B1652C" w:rsidRPr="006D0A52" w:rsidRDefault="00B1652C" w:rsidP="00B1652C">
            <w:pPr>
              <w:jc w:val="center"/>
              <w:rPr>
                <w:rFonts w:cs="Arial"/>
                <w:b/>
                <w:bCs/>
                <w:color w:val="000000" w:themeColor="text1"/>
                <w:szCs w:val="16"/>
              </w:rPr>
            </w:pPr>
            <w:r w:rsidRPr="006D0A52">
              <w:rPr>
                <w:b/>
                <w:bCs/>
              </w:rPr>
              <w:t>FFY 2021 Data</w:t>
            </w:r>
          </w:p>
        </w:tc>
        <w:tc>
          <w:tcPr>
            <w:tcW w:w="625" w:type="pct"/>
            <w:shd w:val="clear" w:color="auto" w:fill="auto"/>
            <w:vAlign w:val="bottom"/>
          </w:tcPr>
          <w:p w14:paraId="4E9CD96E" w14:textId="648B12FE" w:rsidR="00B1652C" w:rsidRPr="00781112" w:rsidRDefault="00B1652C" w:rsidP="00B1652C">
            <w:pPr>
              <w:jc w:val="center"/>
              <w:rPr>
                <w:rFonts w:cs="Arial"/>
                <w:b/>
                <w:color w:val="000000" w:themeColor="text1"/>
                <w:szCs w:val="16"/>
              </w:rPr>
            </w:pPr>
            <w:r w:rsidRPr="00781112">
              <w:rPr>
                <w:rFonts w:cs="Arial"/>
                <w:b/>
                <w:color w:val="000000" w:themeColor="text1"/>
                <w:szCs w:val="16"/>
              </w:rPr>
              <w:t>Status</w:t>
            </w:r>
          </w:p>
        </w:tc>
        <w:tc>
          <w:tcPr>
            <w:tcW w:w="625" w:type="pct"/>
            <w:shd w:val="clear" w:color="auto" w:fill="auto"/>
            <w:vAlign w:val="bottom"/>
          </w:tcPr>
          <w:p w14:paraId="715E8BB1" w14:textId="2FE9D03B" w:rsidR="00B1652C" w:rsidRPr="00781112" w:rsidRDefault="00B1652C" w:rsidP="00B1652C">
            <w:pPr>
              <w:jc w:val="center"/>
              <w:rPr>
                <w:rFonts w:cs="Arial"/>
                <w:b/>
                <w:color w:val="000000" w:themeColor="text1"/>
                <w:szCs w:val="16"/>
              </w:rPr>
            </w:pPr>
            <w:r w:rsidRPr="00781112">
              <w:rPr>
                <w:rFonts w:cs="Arial"/>
                <w:b/>
                <w:color w:val="000000" w:themeColor="text1"/>
                <w:szCs w:val="16"/>
              </w:rPr>
              <w:t>Slippage</w:t>
            </w:r>
          </w:p>
        </w:tc>
      </w:tr>
      <w:tr w:rsidR="005C29F8" w:rsidRPr="00781112" w14:paraId="2526E003" w14:textId="5321EBA7" w:rsidTr="0033429D">
        <w:trPr>
          <w:trHeight w:val="365"/>
        </w:trPr>
        <w:tc>
          <w:tcPr>
            <w:tcW w:w="625" w:type="pct"/>
            <w:shd w:val="clear" w:color="auto" w:fill="auto"/>
            <w:vAlign w:val="center"/>
          </w:tcPr>
          <w:p w14:paraId="4322DAA7" w14:textId="775B971A" w:rsidR="00C66181" w:rsidRPr="00781112" w:rsidRDefault="00C66181" w:rsidP="00C66181">
            <w:pPr>
              <w:rPr>
                <w:rFonts w:cs="Arial"/>
                <w:color w:val="000000" w:themeColor="text1"/>
                <w:szCs w:val="16"/>
              </w:rPr>
            </w:pPr>
            <w:r w:rsidRPr="00781112">
              <w:rPr>
                <w:rFonts w:cs="Arial"/>
                <w:color w:val="000000" w:themeColor="text1"/>
                <w:szCs w:val="16"/>
              </w:rPr>
              <w:t>A. Enrolled in higher education (1)</w:t>
            </w:r>
          </w:p>
        </w:tc>
        <w:tc>
          <w:tcPr>
            <w:tcW w:w="625" w:type="pct"/>
            <w:shd w:val="clear" w:color="auto" w:fill="auto"/>
            <w:vAlign w:val="center"/>
          </w:tcPr>
          <w:p w14:paraId="2B2B0998" w14:textId="349D0F93" w:rsidR="00C66181" w:rsidRPr="00781112" w:rsidRDefault="002B7490" w:rsidP="00A018D4">
            <w:pPr>
              <w:jc w:val="center"/>
              <w:rPr>
                <w:rFonts w:cs="Arial"/>
                <w:color w:val="000000" w:themeColor="text1"/>
                <w:szCs w:val="16"/>
              </w:rPr>
            </w:pPr>
            <w:r w:rsidRPr="00781112">
              <w:rPr>
                <w:rFonts w:cs="Arial"/>
                <w:color w:val="000000" w:themeColor="text1"/>
                <w:szCs w:val="16"/>
              </w:rPr>
              <w:t>494</w:t>
            </w:r>
          </w:p>
        </w:tc>
        <w:tc>
          <w:tcPr>
            <w:tcW w:w="625" w:type="pct"/>
            <w:shd w:val="clear" w:color="auto" w:fill="auto"/>
            <w:vAlign w:val="center"/>
          </w:tcPr>
          <w:p w14:paraId="2D1BC64A" w14:textId="15C5A024" w:rsidR="00C66181" w:rsidRPr="00781112" w:rsidRDefault="002B7490" w:rsidP="00A018D4">
            <w:pPr>
              <w:jc w:val="center"/>
              <w:rPr>
                <w:rFonts w:cs="Arial"/>
                <w:color w:val="000000" w:themeColor="text1"/>
                <w:szCs w:val="16"/>
              </w:rPr>
            </w:pPr>
            <w:r w:rsidRPr="00781112">
              <w:rPr>
                <w:rFonts w:cs="Arial"/>
                <w:color w:val="000000" w:themeColor="text1"/>
                <w:szCs w:val="16"/>
              </w:rPr>
              <w:t>2,508</w:t>
            </w:r>
          </w:p>
        </w:tc>
        <w:tc>
          <w:tcPr>
            <w:tcW w:w="625" w:type="pct"/>
            <w:shd w:val="clear" w:color="auto" w:fill="auto"/>
            <w:vAlign w:val="center"/>
          </w:tcPr>
          <w:p w14:paraId="3243FB0B" w14:textId="028EEEBB" w:rsidR="00C66181" w:rsidRPr="00781112" w:rsidRDefault="002B7490" w:rsidP="00A018D4">
            <w:pPr>
              <w:jc w:val="center"/>
              <w:rPr>
                <w:rFonts w:cs="Arial"/>
                <w:color w:val="000000" w:themeColor="text1"/>
                <w:szCs w:val="16"/>
              </w:rPr>
            </w:pPr>
            <w:r w:rsidRPr="00781112">
              <w:rPr>
                <w:rFonts w:cs="Arial"/>
                <w:color w:val="000000" w:themeColor="text1"/>
                <w:szCs w:val="16"/>
              </w:rPr>
              <w:t>17.88%</w:t>
            </w:r>
          </w:p>
        </w:tc>
        <w:tc>
          <w:tcPr>
            <w:tcW w:w="625" w:type="pct"/>
            <w:shd w:val="clear" w:color="auto" w:fill="auto"/>
            <w:vAlign w:val="center"/>
          </w:tcPr>
          <w:p w14:paraId="7BCB140B" w14:textId="02D0AFDC" w:rsidR="00C66181" w:rsidRPr="00781112" w:rsidRDefault="002B7490" w:rsidP="00A018D4">
            <w:pPr>
              <w:jc w:val="center"/>
              <w:rPr>
                <w:rFonts w:cs="Arial"/>
                <w:color w:val="000000" w:themeColor="text1"/>
                <w:szCs w:val="16"/>
              </w:rPr>
            </w:pPr>
            <w:r w:rsidRPr="00781112">
              <w:rPr>
                <w:rFonts w:cs="Arial"/>
                <w:color w:val="000000" w:themeColor="text1"/>
                <w:szCs w:val="16"/>
              </w:rPr>
              <w:t>17.62%</w:t>
            </w:r>
          </w:p>
        </w:tc>
        <w:tc>
          <w:tcPr>
            <w:tcW w:w="625" w:type="pct"/>
            <w:shd w:val="clear" w:color="auto" w:fill="auto"/>
            <w:vAlign w:val="center"/>
          </w:tcPr>
          <w:p w14:paraId="0D6600A4" w14:textId="4E0FD8C8" w:rsidR="00C66181" w:rsidRPr="00781112" w:rsidRDefault="002B7490" w:rsidP="00A018D4">
            <w:pPr>
              <w:jc w:val="center"/>
              <w:rPr>
                <w:rFonts w:cs="Arial"/>
                <w:color w:val="000000" w:themeColor="text1"/>
                <w:szCs w:val="16"/>
              </w:rPr>
            </w:pPr>
            <w:r w:rsidRPr="00781112">
              <w:rPr>
                <w:rFonts w:cs="Arial"/>
                <w:color w:val="000000" w:themeColor="text1"/>
                <w:szCs w:val="16"/>
              </w:rPr>
              <w:t>19.70%</w:t>
            </w:r>
          </w:p>
        </w:tc>
        <w:tc>
          <w:tcPr>
            <w:tcW w:w="625" w:type="pct"/>
            <w:shd w:val="clear" w:color="auto" w:fill="auto"/>
            <w:vAlign w:val="center"/>
          </w:tcPr>
          <w:p w14:paraId="3C766484" w14:textId="7B272BC5" w:rsidR="00C66181"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625" w:type="pct"/>
            <w:shd w:val="clear" w:color="auto" w:fill="auto"/>
            <w:vAlign w:val="center"/>
          </w:tcPr>
          <w:p w14:paraId="575A444D" w14:textId="78F1C14C" w:rsidR="00C66181"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r w:rsidR="005C29F8" w:rsidRPr="00781112" w14:paraId="490D8194" w14:textId="3CFB279F" w:rsidTr="0033429D">
        <w:trPr>
          <w:trHeight w:val="365"/>
        </w:trPr>
        <w:tc>
          <w:tcPr>
            <w:tcW w:w="625" w:type="pct"/>
            <w:shd w:val="clear" w:color="auto" w:fill="auto"/>
            <w:vAlign w:val="center"/>
          </w:tcPr>
          <w:p w14:paraId="64A6757D" w14:textId="0FC0A9B9" w:rsidR="00C66181" w:rsidRPr="00781112" w:rsidRDefault="00C66181" w:rsidP="00C66181">
            <w:pPr>
              <w:rPr>
                <w:rFonts w:cs="Arial"/>
                <w:color w:val="000000" w:themeColor="text1"/>
                <w:szCs w:val="16"/>
              </w:rPr>
            </w:pPr>
            <w:r w:rsidRPr="00781112">
              <w:rPr>
                <w:rFonts w:cs="Arial"/>
                <w:color w:val="000000" w:themeColor="text1"/>
                <w:szCs w:val="16"/>
              </w:rPr>
              <w:t>B. Enrolled in higher education or competitively employed within one year of leaving high school (1 +2)</w:t>
            </w:r>
          </w:p>
        </w:tc>
        <w:tc>
          <w:tcPr>
            <w:tcW w:w="625" w:type="pct"/>
            <w:shd w:val="clear" w:color="auto" w:fill="auto"/>
            <w:vAlign w:val="center"/>
          </w:tcPr>
          <w:p w14:paraId="60F6248F" w14:textId="7EC302DD" w:rsidR="00C66181" w:rsidRPr="00781112" w:rsidRDefault="002B7490" w:rsidP="00A018D4">
            <w:pPr>
              <w:jc w:val="center"/>
              <w:rPr>
                <w:rFonts w:cs="Arial"/>
                <w:color w:val="000000" w:themeColor="text1"/>
                <w:szCs w:val="16"/>
              </w:rPr>
            </w:pPr>
            <w:r w:rsidRPr="00781112">
              <w:rPr>
                <w:rFonts w:cs="Arial"/>
                <w:color w:val="000000" w:themeColor="text1"/>
                <w:szCs w:val="16"/>
              </w:rPr>
              <w:t>1,663</w:t>
            </w:r>
          </w:p>
        </w:tc>
        <w:tc>
          <w:tcPr>
            <w:tcW w:w="625" w:type="pct"/>
            <w:shd w:val="clear" w:color="auto" w:fill="auto"/>
            <w:vAlign w:val="center"/>
          </w:tcPr>
          <w:p w14:paraId="5DE56E38" w14:textId="525AF49A" w:rsidR="00C66181" w:rsidRPr="00781112" w:rsidRDefault="002B7490" w:rsidP="00A018D4">
            <w:pPr>
              <w:jc w:val="center"/>
              <w:rPr>
                <w:rFonts w:cs="Arial"/>
                <w:color w:val="000000" w:themeColor="text1"/>
                <w:szCs w:val="16"/>
              </w:rPr>
            </w:pPr>
            <w:r w:rsidRPr="00781112">
              <w:rPr>
                <w:rFonts w:cs="Arial"/>
                <w:color w:val="000000" w:themeColor="text1"/>
                <w:szCs w:val="16"/>
              </w:rPr>
              <w:t>2,508</w:t>
            </w:r>
          </w:p>
        </w:tc>
        <w:tc>
          <w:tcPr>
            <w:tcW w:w="625" w:type="pct"/>
            <w:shd w:val="clear" w:color="auto" w:fill="auto"/>
            <w:vAlign w:val="center"/>
          </w:tcPr>
          <w:p w14:paraId="7FF1FC54" w14:textId="2A5DA1E3" w:rsidR="00C66181" w:rsidRPr="00781112" w:rsidRDefault="002B7490" w:rsidP="00A018D4">
            <w:pPr>
              <w:jc w:val="center"/>
              <w:rPr>
                <w:rFonts w:cs="Arial"/>
                <w:color w:val="000000" w:themeColor="text1"/>
                <w:szCs w:val="16"/>
              </w:rPr>
            </w:pPr>
            <w:r w:rsidRPr="00781112">
              <w:rPr>
                <w:rFonts w:cs="Arial"/>
                <w:color w:val="000000" w:themeColor="text1"/>
                <w:szCs w:val="16"/>
              </w:rPr>
              <w:t>65.55%</w:t>
            </w:r>
          </w:p>
        </w:tc>
        <w:tc>
          <w:tcPr>
            <w:tcW w:w="625" w:type="pct"/>
            <w:shd w:val="clear" w:color="auto" w:fill="auto"/>
            <w:vAlign w:val="center"/>
          </w:tcPr>
          <w:p w14:paraId="296C6AD3" w14:textId="560D60D3" w:rsidR="00C66181" w:rsidRPr="00781112" w:rsidRDefault="002B7490" w:rsidP="00A018D4">
            <w:pPr>
              <w:jc w:val="center"/>
              <w:rPr>
                <w:rFonts w:cs="Arial"/>
                <w:color w:val="000000" w:themeColor="text1"/>
                <w:szCs w:val="16"/>
              </w:rPr>
            </w:pPr>
            <w:r w:rsidRPr="00781112">
              <w:rPr>
                <w:rFonts w:cs="Arial"/>
                <w:color w:val="000000" w:themeColor="text1"/>
                <w:szCs w:val="16"/>
              </w:rPr>
              <w:t>65.50%</w:t>
            </w:r>
          </w:p>
        </w:tc>
        <w:tc>
          <w:tcPr>
            <w:tcW w:w="625" w:type="pct"/>
            <w:shd w:val="clear" w:color="auto" w:fill="auto"/>
            <w:vAlign w:val="center"/>
          </w:tcPr>
          <w:p w14:paraId="54BDC44C" w14:textId="0AE0B920" w:rsidR="00C66181" w:rsidRPr="00781112" w:rsidRDefault="002B7490" w:rsidP="00A018D4">
            <w:pPr>
              <w:jc w:val="center"/>
              <w:rPr>
                <w:rFonts w:cs="Arial"/>
                <w:color w:val="000000" w:themeColor="text1"/>
                <w:szCs w:val="16"/>
              </w:rPr>
            </w:pPr>
            <w:r w:rsidRPr="00781112">
              <w:rPr>
                <w:rFonts w:cs="Arial"/>
                <w:color w:val="000000" w:themeColor="text1"/>
                <w:szCs w:val="16"/>
              </w:rPr>
              <w:t>66.31%</w:t>
            </w:r>
          </w:p>
        </w:tc>
        <w:tc>
          <w:tcPr>
            <w:tcW w:w="625" w:type="pct"/>
            <w:shd w:val="clear" w:color="auto" w:fill="auto"/>
            <w:vAlign w:val="center"/>
          </w:tcPr>
          <w:p w14:paraId="48B49570" w14:textId="038E3826" w:rsidR="00C66181"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625" w:type="pct"/>
            <w:shd w:val="clear" w:color="auto" w:fill="auto"/>
            <w:vAlign w:val="center"/>
          </w:tcPr>
          <w:p w14:paraId="0A2BDCF3" w14:textId="3B0044C6" w:rsidR="00C66181"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r w:rsidR="005C29F8" w:rsidRPr="00781112" w14:paraId="493DA09A" w14:textId="4FC8161E" w:rsidTr="0033429D">
        <w:trPr>
          <w:trHeight w:val="365"/>
        </w:trPr>
        <w:tc>
          <w:tcPr>
            <w:tcW w:w="625" w:type="pct"/>
            <w:shd w:val="clear" w:color="auto" w:fill="auto"/>
            <w:vAlign w:val="center"/>
          </w:tcPr>
          <w:p w14:paraId="3D517963" w14:textId="6D3BD99F" w:rsidR="00C66181" w:rsidRPr="00781112" w:rsidRDefault="00C66181" w:rsidP="00C66181">
            <w:pPr>
              <w:rPr>
                <w:rFonts w:cs="Arial"/>
                <w:color w:val="000000" w:themeColor="text1"/>
                <w:szCs w:val="16"/>
              </w:rPr>
            </w:pPr>
            <w:r w:rsidRPr="00781112">
              <w:rPr>
                <w:rFonts w:cs="Arial"/>
                <w:color w:val="000000" w:themeColor="text1"/>
                <w:szCs w:val="16"/>
              </w:rPr>
              <w:t>C. Enrolled in higher education, or in some other postsecondary education or training program; or competitively employed or in some other employment (1+2+3+4)</w:t>
            </w:r>
          </w:p>
        </w:tc>
        <w:tc>
          <w:tcPr>
            <w:tcW w:w="625" w:type="pct"/>
            <w:shd w:val="clear" w:color="auto" w:fill="auto"/>
            <w:vAlign w:val="center"/>
          </w:tcPr>
          <w:p w14:paraId="79AA91FE" w14:textId="0803E2EE" w:rsidR="00C66181" w:rsidRPr="00781112" w:rsidRDefault="002B7490" w:rsidP="00A018D4">
            <w:pPr>
              <w:jc w:val="center"/>
              <w:rPr>
                <w:rFonts w:cs="Arial"/>
                <w:color w:val="000000" w:themeColor="text1"/>
                <w:szCs w:val="16"/>
              </w:rPr>
            </w:pPr>
            <w:r w:rsidRPr="00781112">
              <w:rPr>
                <w:rFonts w:cs="Arial"/>
                <w:color w:val="000000" w:themeColor="text1"/>
                <w:szCs w:val="16"/>
              </w:rPr>
              <w:t>2,075</w:t>
            </w:r>
          </w:p>
        </w:tc>
        <w:tc>
          <w:tcPr>
            <w:tcW w:w="625" w:type="pct"/>
            <w:shd w:val="clear" w:color="auto" w:fill="auto"/>
            <w:vAlign w:val="center"/>
          </w:tcPr>
          <w:p w14:paraId="1FAFC4F9" w14:textId="70DE7F33" w:rsidR="00C66181" w:rsidRPr="00781112" w:rsidRDefault="002B7490" w:rsidP="00A018D4">
            <w:pPr>
              <w:jc w:val="center"/>
              <w:rPr>
                <w:rFonts w:cs="Arial"/>
                <w:color w:val="000000" w:themeColor="text1"/>
                <w:szCs w:val="16"/>
              </w:rPr>
            </w:pPr>
            <w:r w:rsidRPr="00781112">
              <w:rPr>
                <w:rFonts w:cs="Arial"/>
                <w:color w:val="000000" w:themeColor="text1"/>
                <w:szCs w:val="16"/>
              </w:rPr>
              <w:t>2,508</w:t>
            </w:r>
          </w:p>
        </w:tc>
        <w:tc>
          <w:tcPr>
            <w:tcW w:w="625" w:type="pct"/>
            <w:shd w:val="clear" w:color="auto" w:fill="auto"/>
            <w:vAlign w:val="center"/>
          </w:tcPr>
          <w:p w14:paraId="5FB73F1B" w14:textId="26275AAA" w:rsidR="00C66181" w:rsidRPr="00781112" w:rsidRDefault="002B7490" w:rsidP="00A018D4">
            <w:pPr>
              <w:jc w:val="center"/>
              <w:rPr>
                <w:rFonts w:cs="Arial"/>
                <w:color w:val="000000" w:themeColor="text1"/>
                <w:szCs w:val="16"/>
              </w:rPr>
            </w:pPr>
            <w:r w:rsidRPr="00781112">
              <w:rPr>
                <w:rFonts w:cs="Arial"/>
                <w:color w:val="000000" w:themeColor="text1"/>
                <w:szCs w:val="16"/>
              </w:rPr>
              <w:t>82.82%</w:t>
            </w:r>
          </w:p>
        </w:tc>
        <w:tc>
          <w:tcPr>
            <w:tcW w:w="625" w:type="pct"/>
            <w:shd w:val="clear" w:color="auto" w:fill="auto"/>
            <w:vAlign w:val="center"/>
          </w:tcPr>
          <w:p w14:paraId="3A75A593" w14:textId="74B21849" w:rsidR="00C66181" w:rsidRPr="00781112" w:rsidRDefault="002B7490" w:rsidP="00A018D4">
            <w:pPr>
              <w:jc w:val="center"/>
              <w:rPr>
                <w:rFonts w:cs="Arial"/>
                <w:color w:val="000000" w:themeColor="text1"/>
                <w:szCs w:val="16"/>
              </w:rPr>
            </w:pPr>
            <w:r w:rsidRPr="00781112">
              <w:rPr>
                <w:rFonts w:cs="Arial"/>
                <w:color w:val="000000" w:themeColor="text1"/>
                <w:szCs w:val="16"/>
              </w:rPr>
              <w:t>82.37%</w:t>
            </w:r>
          </w:p>
        </w:tc>
        <w:tc>
          <w:tcPr>
            <w:tcW w:w="625" w:type="pct"/>
            <w:shd w:val="clear" w:color="auto" w:fill="auto"/>
            <w:vAlign w:val="center"/>
          </w:tcPr>
          <w:p w14:paraId="6D78DA3F" w14:textId="61DB3CB1" w:rsidR="00C66181" w:rsidRPr="00781112" w:rsidRDefault="002B7490" w:rsidP="00A018D4">
            <w:pPr>
              <w:jc w:val="center"/>
              <w:rPr>
                <w:rFonts w:cs="Arial"/>
                <w:color w:val="000000" w:themeColor="text1"/>
                <w:szCs w:val="16"/>
              </w:rPr>
            </w:pPr>
            <w:r w:rsidRPr="00781112">
              <w:rPr>
                <w:rFonts w:cs="Arial"/>
                <w:color w:val="000000" w:themeColor="text1"/>
                <w:szCs w:val="16"/>
              </w:rPr>
              <w:t>82.74%</w:t>
            </w:r>
          </w:p>
        </w:tc>
        <w:tc>
          <w:tcPr>
            <w:tcW w:w="625" w:type="pct"/>
            <w:shd w:val="clear" w:color="auto" w:fill="auto"/>
            <w:vAlign w:val="center"/>
          </w:tcPr>
          <w:p w14:paraId="6E5BDC78" w14:textId="48EDE622" w:rsidR="00C66181"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625" w:type="pct"/>
            <w:shd w:val="clear" w:color="auto" w:fill="auto"/>
            <w:vAlign w:val="center"/>
          </w:tcPr>
          <w:p w14:paraId="4A054D72" w14:textId="19B24E43" w:rsidR="00C66181"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p w14:paraId="4A5381A2" w14:textId="3787227C" w:rsidR="001773E7" w:rsidRPr="00781112" w:rsidRDefault="001773E7" w:rsidP="00C66181">
      <w:pPr>
        <w:rPr>
          <w:rFonts w:cs="Arial"/>
          <w:i/>
          <w:color w:val="000000" w:themeColor="text1"/>
          <w:szCs w:val="16"/>
        </w:rPr>
      </w:pPr>
    </w:p>
    <w:p w14:paraId="2B9D1101" w14:textId="12285E81" w:rsidR="00C95094" w:rsidRPr="00781112" w:rsidRDefault="0077712B" w:rsidP="00C66181">
      <w:pPr>
        <w:rPr>
          <w:rFonts w:cs="Arial"/>
          <w:b/>
          <w:color w:val="000000" w:themeColor="text1"/>
          <w:szCs w:val="16"/>
        </w:rPr>
      </w:pPr>
      <w:r w:rsidRPr="00781112">
        <w:rPr>
          <w:rFonts w:cs="Arial"/>
          <w:b/>
          <w:color w:val="000000" w:themeColor="text1"/>
          <w:szCs w:val="16"/>
        </w:rPr>
        <w:t xml:space="preserve">Please select the reporting option your State is using: </w:t>
      </w:r>
    </w:p>
    <w:p w14:paraId="5C46FD26" w14:textId="5673980D" w:rsidR="000070D5" w:rsidRPr="00781112" w:rsidRDefault="002B7490" w:rsidP="00C66181">
      <w:pPr>
        <w:rPr>
          <w:rFonts w:cs="Arial"/>
          <w:color w:val="000000" w:themeColor="text1"/>
          <w:szCs w:val="16"/>
        </w:rPr>
      </w:pPr>
      <w:r w:rsidRPr="00781112">
        <w:rPr>
          <w:rFonts w:cs="Arial"/>
          <w:color w:val="000000" w:themeColor="text1"/>
          <w:szCs w:val="16"/>
        </w:rPr>
        <w:t>Option 1: Use the same definition as used to report in the FFY 2015 SPP/APR, i.e., competitive employment means that youth have worked for pay at or above the minimum wage in a setting with others who are nondisabled for a period of 20 hours a week for at least 90 days at any time in the year since leaving high school. This includes military employment.</w:t>
      </w:r>
    </w:p>
    <w:p w14:paraId="6A816945" w14:textId="687D218F" w:rsidR="00090132" w:rsidRDefault="00090132" w:rsidP="00C66181">
      <w:pPr>
        <w:rPr>
          <w:rFonts w:cs="Arial"/>
          <w:color w:val="000000" w:themeColor="text1"/>
          <w:szCs w:val="16"/>
        </w:rPr>
      </w:pPr>
    </w:p>
    <w:p w14:paraId="18E71DFF" w14:textId="77777777" w:rsidR="00090132" w:rsidRPr="00E578E2" w:rsidRDefault="00090132" w:rsidP="00090132">
      <w:pPr>
        <w:rPr>
          <w:rFonts w:cs="Arial"/>
          <w:b/>
          <w:bCs/>
          <w:szCs w:val="16"/>
        </w:rPr>
      </w:pPr>
      <w:r w:rsidRPr="00E578E2">
        <w:rPr>
          <w:rFonts w:cs="Arial"/>
          <w:b/>
          <w:bCs/>
          <w:szCs w:val="16"/>
        </w:rPr>
        <w:t>Response Rate</w:t>
      </w:r>
    </w:p>
    <w:tbl>
      <w:tblPr>
        <w:tblStyle w:val="TableGrid"/>
        <w:tblW w:w="0" w:type="auto"/>
        <w:tblLook w:val="04A0" w:firstRow="1" w:lastRow="0" w:firstColumn="1" w:lastColumn="0" w:noHBand="0" w:noVBand="1"/>
        <w:tblCaption w:val="B14CFFYRSPRTE"/>
      </w:tblPr>
      <w:tblGrid>
        <w:gridCol w:w="1885"/>
        <w:gridCol w:w="1453"/>
        <w:gridCol w:w="1284"/>
      </w:tblGrid>
      <w:tr w:rsidR="00090132" w:rsidRPr="00353E62" w14:paraId="5280416F" w14:textId="77777777" w:rsidTr="00DF5DC9">
        <w:tc>
          <w:tcPr>
            <w:tcW w:w="1885" w:type="dxa"/>
            <w:shd w:val="clear" w:color="auto" w:fill="auto"/>
          </w:tcPr>
          <w:p w14:paraId="7576786E" w14:textId="77777777" w:rsidR="00090132" w:rsidRPr="008D51F2" w:rsidRDefault="00090132" w:rsidP="00DF5DC9">
            <w:pPr>
              <w:jc w:val="center"/>
              <w:rPr>
                <w:rFonts w:cs="Arial"/>
                <w:b/>
                <w:szCs w:val="16"/>
              </w:rPr>
            </w:pPr>
            <w:r w:rsidRPr="008D51F2">
              <w:rPr>
                <w:rFonts w:cs="Arial"/>
                <w:b/>
                <w:szCs w:val="16"/>
              </w:rPr>
              <w:t>FFY</w:t>
            </w:r>
          </w:p>
        </w:tc>
        <w:tc>
          <w:tcPr>
            <w:tcW w:w="1453" w:type="dxa"/>
            <w:shd w:val="clear" w:color="auto" w:fill="auto"/>
            <w:vAlign w:val="center"/>
          </w:tcPr>
          <w:p w14:paraId="5CF70806" w14:textId="77777777" w:rsidR="00090132" w:rsidRPr="008D51F2" w:rsidRDefault="00090132" w:rsidP="00DF5DC9">
            <w:pPr>
              <w:jc w:val="center"/>
              <w:rPr>
                <w:rFonts w:cs="Arial"/>
                <w:b/>
                <w:szCs w:val="16"/>
              </w:rPr>
            </w:pPr>
            <w:r w:rsidRPr="008D51F2">
              <w:rPr>
                <w:rFonts w:cs="Arial"/>
                <w:b/>
                <w:color w:val="000000" w:themeColor="text1"/>
                <w:szCs w:val="16"/>
              </w:rPr>
              <w:t>2020</w:t>
            </w:r>
          </w:p>
        </w:tc>
        <w:tc>
          <w:tcPr>
            <w:tcW w:w="1284" w:type="dxa"/>
            <w:shd w:val="clear" w:color="auto" w:fill="auto"/>
          </w:tcPr>
          <w:p w14:paraId="0BFBB5F5" w14:textId="77777777" w:rsidR="00090132" w:rsidRPr="008D51F2" w:rsidRDefault="00090132" w:rsidP="00DF5DC9">
            <w:pPr>
              <w:jc w:val="center"/>
              <w:rPr>
                <w:rFonts w:cs="Arial"/>
                <w:b/>
                <w:szCs w:val="16"/>
              </w:rPr>
            </w:pPr>
            <w:r w:rsidRPr="008D51F2">
              <w:rPr>
                <w:rFonts w:cs="Arial"/>
                <w:b/>
                <w:color w:val="000000" w:themeColor="text1"/>
                <w:szCs w:val="16"/>
              </w:rPr>
              <w:t>2021</w:t>
            </w:r>
          </w:p>
        </w:tc>
      </w:tr>
      <w:tr w:rsidR="00090132" w14:paraId="576CCA3B" w14:textId="77777777" w:rsidTr="00DF5DC9">
        <w:tc>
          <w:tcPr>
            <w:tcW w:w="1885" w:type="dxa"/>
            <w:shd w:val="clear" w:color="auto" w:fill="auto"/>
          </w:tcPr>
          <w:p w14:paraId="1D5B1977" w14:textId="77777777" w:rsidR="00090132" w:rsidRPr="008D51F2" w:rsidRDefault="00090132" w:rsidP="00DF5DC9">
            <w:pPr>
              <w:rPr>
                <w:rFonts w:cs="Arial"/>
                <w:szCs w:val="16"/>
              </w:rPr>
            </w:pPr>
            <w:r w:rsidRPr="008D51F2">
              <w:rPr>
                <w:rFonts w:cs="Arial"/>
                <w:szCs w:val="16"/>
              </w:rPr>
              <w:t xml:space="preserve">Response Rate </w:t>
            </w:r>
          </w:p>
        </w:tc>
        <w:tc>
          <w:tcPr>
            <w:tcW w:w="1453" w:type="dxa"/>
            <w:shd w:val="clear" w:color="auto" w:fill="auto"/>
            <w:vAlign w:val="center"/>
          </w:tcPr>
          <w:p w14:paraId="4AECB169" w14:textId="3ECBE4F7" w:rsidR="00090132" w:rsidRPr="008D51F2" w:rsidRDefault="00090132" w:rsidP="00DF5DC9">
            <w:pPr>
              <w:jc w:val="center"/>
              <w:rPr>
                <w:rFonts w:cs="Arial"/>
                <w:szCs w:val="16"/>
              </w:rPr>
            </w:pPr>
            <w:r w:rsidRPr="008D51F2">
              <w:rPr>
                <w:color w:val="000000" w:themeColor="text1"/>
              </w:rPr>
              <w:t>50.46%</w:t>
            </w:r>
          </w:p>
        </w:tc>
        <w:tc>
          <w:tcPr>
            <w:tcW w:w="1284" w:type="dxa"/>
            <w:shd w:val="clear" w:color="auto" w:fill="auto"/>
            <w:vAlign w:val="center"/>
          </w:tcPr>
          <w:p w14:paraId="755EF869" w14:textId="2F1BA7D5" w:rsidR="00090132" w:rsidRPr="008D51F2" w:rsidRDefault="00090132" w:rsidP="00DF5DC9">
            <w:pPr>
              <w:jc w:val="center"/>
              <w:rPr>
                <w:rFonts w:cs="Arial"/>
                <w:szCs w:val="16"/>
              </w:rPr>
            </w:pPr>
            <w:r w:rsidRPr="008D51F2">
              <w:rPr>
                <w:rFonts w:cs="Arial"/>
                <w:color w:val="000000" w:themeColor="text1"/>
                <w:szCs w:val="16"/>
              </w:rPr>
              <w:t>50.05%</w:t>
            </w:r>
          </w:p>
        </w:tc>
      </w:tr>
    </w:tbl>
    <w:p w14:paraId="03971D78" w14:textId="77777777" w:rsidR="00090132" w:rsidRDefault="00090132" w:rsidP="00090132">
      <w:pPr>
        <w:pStyle w:val="Header"/>
        <w:tabs>
          <w:tab w:val="clear" w:pos="4320"/>
          <w:tab w:val="clear" w:pos="8640"/>
        </w:tabs>
        <w:spacing w:before="0"/>
        <w:rPr>
          <w:rFonts w:ascii="Arial" w:hAnsi="Arial" w:cs="Arial"/>
          <w:bCs/>
          <w:sz w:val="16"/>
          <w:szCs w:val="16"/>
          <w:highlight w:val="yellow"/>
        </w:rPr>
      </w:pPr>
    </w:p>
    <w:p w14:paraId="57522483" w14:textId="77777777" w:rsidR="00090132" w:rsidRPr="00002B33" w:rsidRDefault="00090132" w:rsidP="00090132">
      <w:pPr>
        <w:rPr>
          <w:b/>
          <w:bCs/>
        </w:rPr>
      </w:pPr>
      <w:r w:rsidRPr="00002B33">
        <w:rPr>
          <w:b/>
          <w:bCs/>
        </w:rPr>
        <w:t>Describe strategies that will be implemented which are expected to increase the response rate year over year, particularly for those groups that are underrepresented.</w:t>
      </w:r>
    </w:p>
    <w:p w14:paraId="054F9DF8" w14:textId="77777777" w:rsidR="00090132" w:rsidRPr="00B551F2" w:rsidRDefault="00090132" w:rsidP="00090132">
      <w:r w:rsidRPr="00B551F2">
        <w:t>USBE postsecondary transition specialists have provided multiple learning opportunities and direct training to special education directors and teacher specialists in improving survey response rates. USBE recognizes and awards LEAs for high response rates on their post school outcomes survey annually. In addition to recognition, training, and support, stipends for educators to conduct surveys are also available to LEAs.</w:t>
      </w:r>
    </w:p>
    <w:p w14:paraId="5A6BE78B" w14:textId="77777777" w:rsidR="00090132" w:rsidRPr="00002B33" w:rsidRDefault="00090132" w:rsidP="00090132">
      <w:pPr>
        <w:rPr>
          <w:b/>
          <w:bCs/>
        </w:rPr>
      </w:pPr>
      <w:r w:rsidRPr="00002B33">
        <w:rPr>
          <w:b/>
          <w:bCs/>
        </w:rPr>
        <w:lastRenderedPageBreak/>
        <w:t>Describe the analysis of the response rate including any nonresponse bias that was identified, and the steps taken to reduce any identified bias and promote response from a broad cross section of youth who are no longer in secondary school and had IEPs in effect at the time they left school.</w:t>
      </w:r>
    </w:p>
    <w:p w14:paraId="789E9F07" w14:textId="77777777" w:rsidR="00090132" w:rsidRPr="00B551F2" w:rsidRDefault="00090132" w:rsidP="00090132">
      <w:r w:rsidRPr="00B551F2">
        <w:t xml:space="preserve">The metric of 3% or higher was used to determine underrepresentation. An analysis of the data does not indicate a nonresponse bias discrepancy as there was a 2.3% underrepresentation of Hispanic and Latino students reflected in the survey responses. There was, however, a nonresponse bias with the dropout responses, which reflected a 4% underrepresentation in the survey. Steps to reduce underrepresentation and bias are outlined in the "If </w:t>
      </w:r>
      <w:proofErr w:type="gramStart"/>
      <w:r w:rsidRPr="00B551F2">
        <w:t>no</w:t>
      </w:r>
      <w:proofErr w:type="gramEnd"/>
      <w:r w:rsidRPr="00B551F2">
        <w:t>, describe the strategies that the State will use to ensure that in the future the response data are representative of those demographics" section.</w:t>
      </w:r>
    </w:p>
    <w:p w14:paraId="16C9E9FA" w14:textId="77777777" w:rsidR="00F03088" w:rsidRPr="00F03088" w:rsidRDefault="00F03088" w:rsidP="00F03088">
      <w:pPr>
        <w:spacing w:before="0"/>
        <w:rPr>
          <w:rFonts w:eastAsia="Times New Roman" w:cs="Arial"/>
          <w:b/>
          <w:bCs/>
          <w:szCs w:val="16"/>
        </w:rPr>
      </w:pPr>
      <w:r w:rsidRPr="00F03088">
        <w:rPr>
          <w:b/>
          <w:bCs/>
        </w:rPr>
        <w:t>Include the State’s analyses of the extent to which the response data are representative of the demographics of youth who are no longer in secondary school and had IEPs in effect at the time they left school.</w:t>
      </w:r>
      <w:r w:rsidRPr="00F03088">
        <w:rPr>
          <w:rFonts w:eastAsia="Times New Roman" w:cs="Arial"/>
          <w:b/>
          <w:bCs/>
          <w:szCs w:val="16"/>
        </w:rPr>
        <w:t xml:space="preserve"> States must include race/ethnicity in its analysis. In addition, the State’s analysis must include at least one of the following demographics: disability category, gender, geographic location, and/or another demographic category approved through the stakeholder input process.</w:t>
      </w:r>
    </w:p>
    <w:p w14:paraId="73A0DF3C" w14:textId="77777777" w:rsidR="00090132" w:rsidRPr="00560FEE" w:rsidRDefault="00090132" w:rsidP="00090132">
      <w:r w:rsidRPr="008D51F2">
        <w:t>The USBE SES has used data matching with Adult Education to close the gap of responses from students who dropped out which has closed the gap in representative responses over the last several years. The USBE SES is continually working to examine the root causes to implement strategies that will decrease disproportionality in the survey data. Additionally, the USBE SES is providing LEAs with strategies for contacting hard to find youth, as well as encouraging and training LEAs to conduct their own surveys rather than using USBE contracted interviewers. There has been an increase in response rates among those LEAs that have conducted their own surveys, especially for underrepresented populations. For this year’s survey (FFY 2021), the USBE SES matched student exit data with Adult Education enrollment data to increase outcomes data for those students who had dropped out and have enrolled in Adult Education for completion of a General Education Diploma (GED) or Adult Education Diploma. This practice of Adult Education data matching has decreased the gap in the USBE's underrepresentation of survey data for students who dropped out.</w:t>
      </w:r>
    </w:p>
    <w:p w14:paraId="7DA0F981" w14:textId="77777777" w:rsidR="00090132" w:rsidRPr="005C202C" w:rsidRDefault="00090132" w:rsidP="005C202C">
      <w:pPr>
        <w:rPr>
          <w:b/>
          <w:bCs/>
        </w:rPr>
      </w:pPr>
      <w:r w:rsidRPr="005C202C">
        <w:rPr>
          <w:b/>
          <w:bCs/>
        </w:rPr>
        <w:t>The response data is representative of the demographics of youth who are no longer in school and had IEPs in effect at the time they left school. (yes/no)</w:t>
      </w:r>
    </w:p>
    <w:p w14:paraId="2390BBAE" w14:textId="77777777" w:rsidR="00090132" w:rsidRPr="00560FEE" w:rsidRDefault="00090132" w:rsidP="00090132">
      <w:pPr>
        <w:pStyle w:val="Subhed"/>
        <w:rPr>
          <w:b w:val="0"/>
          <w:bCs/>
        </w:rPr>
      </w:pPr>
      <w:r w:rsidRPr="008D51F2">
        <w:rPr>
          <w:b w:val="0"/>
          <w:bCs/>
        </w:rPr>
        <w:t>NO</w:t>
      </w:r>
    </w:p>
    <w:p w14:paraId="027CD8C2" w14:textId="77777777" w:rsidR="00090132" w:rsidRPr="005C202C" w:rsidRDefault="00090132" w:rsidP="005C202C">
      <w:pPr>
        <w:rPr>
          <w:b/>
          <w:bCs/>
        </w:rPr>
      </w:pPr>
      <w:r w:rsidRPr="005C202C">
        <w:rPr>
          <w:b/>
          <w:bCs/>
        </w:rPr>
        <w:t xml:space="preserve">If </w:t>
      </w:r>
      <w:proofErr w:type="gramStart"/>
      <w:r w:rsidRPr="005C202C">
        <w:rPr>
          <w:b/>
          <w:bCs/>
        </w:rPr>
        <w:t>no</w:t>
      </w:r>
      <w:proofErr w:type="gramEnd"/>
      <w:r w:rsidRPr="005C202C">
        <w:rPr>
          <w:b/>
          <w:bCs/>
        </w:rPr>
        <w:t>, describe the strategies that the State will use to ensure that in the future the response data are representative of those demographics.</w:t>
      </w:r>
    </w:p>
    <w:p w14:paraId="0A943617" w14:textId="77777777" w:rsidR="00090132" w:rsidRPr="00560FEE" w:rsidRDefault="00090132" w:rsidP="00090132">
      <w:pPr>
        <w:pStyle w:val="Subhed"/>
        <w:rPr>
          <w:b w:val="0"/>
        </w:rPr>
      </w:pPr>
      <w:r w:rsidRPr="008D51F2">
        <w:rPr>
          <w:b w:val="0"/>
        </w:rPr>
        <w:t>The USBE SES had a 4% underrepresentation of students who dropped out of school in the FFY 2021 survey data, an increase of 1% over the FFY 2020 survey data. This is likely due to the increase in dropouts overall and the fact that there are now more students to survey. There were 1007 dropouts in 2021 and 865 in 2020.</w:t>
      </w:r>
      <w:r w:rsidRPr="008D51F2">
        <w:rPr>
          <w:b w:val="0"/>
        </w:rPr>
        <w:br/>
      </w:r>
      <w:r w:rsidRPr="008D51F2">
        <w:rPr>
          <w:b w:val="0"/>
        </w:rPr>
        <w:br/>
        <w:t>Demographic data were collected for race and ethnicity, but no group showed underrepresentation larger than 1.8%. Gap representation has decreased since 2018 when there was a 7% underrepresentation in the survey of students who dropped out due to matching data with Adult Education.</w:t>
      </w:r>
      <w:r w:rsidRPr="008D51F2">
        <w:rPr>
          <w:b w:val="0"/>
        </w:rPr>
        <w:br/>
      </w:r>
      <w:r w:rsidRPr="008D51F2">
        <w:rPr>
          <w:b w:val="0"/>
        </w:rPr>
        <w:br/>
        <w:t>The USBE SES is continually working to examine the root causes to implement strategies that will decrease disproportionality in the survey data. Additionally, the USBE SES is providing LEAs with strategies for contacting hard to find youth, as well as encouraging and training LEAs to conduct their own surveys rather than using USBE contracted interviewers. There has been an increase in response rates among those LEAs that have conducted their own surveys, especially for underrepresented populations. For this year’s survey (FFY 2021), the USBE matched student exit data with Adult Education enrollment data to increase outcomes data for those students who had dropped out and have enrolled in Adult Education for completion of a GED or Adult Education Diploma. This practice of Adult Education data matching has decreased the gap in the USBE's underrepresentation of survey data for students who dropped out.</w:t>
      </w:r>
    </w:p>
    <w:p w14:paraId="72EBB8E4" w14:textId="77777777" w:rsidR="00090132" w:rsidRPr="00560FEE" w:rsidRDefault="00090132" w:rsidP="00090132">
      <w:pPr>
        <w:pStyle w:val="Subhed"/>
        <w:rPr>
          <w:b w:val="0"/>
        </w:rPr>
      </w:pPr>
    </w:p>
    <w:p w14:paraId="5820FDED" w14:textId="77777777" w:rsidR="00090132" w:rsidRPr="005C202C" w:rsidRDefault="00090132" w:rsidP="005C202C">
      <w:pPr>
        <w:rPr>
          <w:b/>
          <w:bCs/>
        </w:rPr>
      </w:pPr>
      <w:r w:rsidRPr="005C202C">
        <w:rPr>
          <w:b/>
          <w:bCs/>
        </w:rPr>
        <w:t>Describe the metric used to determine representativeness (e.g., +/- 3% discrepancy in the proportion of responders compared to target group).</w:t>
      </w:r>
    </w:p>
    <w:p w14:paraId="04BA4870" w14:textId="77777777" w:rsidR="00090132" w:rsidRDefault="00090132" w:rsidP="00090132">
      <w:pPr>
        <w:pStyle w:val="Subhed"/>
        <w:rPr>
          <w:b w:val="0"/>
        </w:rPr>
      </w:pPr>
      <w:r w:rsidRPr="008D51F2">
        <w:rPr>
          <w:b w:val="0"/>
        </w:rPr>
        <w:t>The metric of 3% or higher was used to determine underrepresentation by the demographics list on the State Demographics Table (https://usbe-my.sharepoint.com/:b:/g/personal/deanna_taylor_schools_utah_gov/EewbktRHIARGmsG4ouxYREIBeQbj_hvUneQ8cvZgT0k3UQ?e=7xa0av).</w:t>
      </w:r>
    </w:p>
    <w:p w14:paraId="237D4C5C" w14:textId="77777777" w:rsidR="00090132" w:rsidRPr="00781112" w:rsidRDefault="00090132" w:rsidP="00C66181">
      <w:pPr>
        <w:rPr>
          <w:rFonts w:cs="Arial"/>
          <w:color w:val="000000" w:themeColor="text1"/>
          <w:szCs w:val="16"/>
        </w:rPr>
      </w:pPr>
    </w:p>
    <w:tbl>
      <w:tblPr>
        <w:tblStyle w:val="TableGrid"/>
        <w:tblW w:w="0" w:type="auto"/>
        <w:tblLook w:val="04A0" w:firstRow="1" w:lastRow="0" w:firstColumn="1" w:lastColumn="0" w:noHBand="0" w:noVBand="1"/>
        <w:tblCaption w:val="B14SAMPLEUSED"/>
      </w:tblPr>
      <w:tblGrid>
        <w:gridCol w:w="8306"/>
        <w:gridCol w:w="2484"/>
      </w:tblGrid>
      <w:tr w:rsidR="005C29F8" w:rsidRPr="00781112" w14:paraId="10AC36E3" w14:textId="77777777" w:rsidTr="0033429D">
        <w:trPr>
          <w:tblHeader/>
        </w:trPr>
        <w:tc>
          <w:tcPr>
            <w:tcW w:w="8310" w:type="dxa"/>
            <w:tcBorders>
              <w:top w:val="single" w:sz="4" w:space="0" w:color="auto"/>
              <w:left w:val="single" w:sz="4" w:space="0" w:color="auto"/>
            </w:tcBorders>
            <w:shd w:val="clear" w:color="auto" w:fill="auto"/>
          </w:tcPr>
          <w:p w14:paraId="01371920" w14:textId="2568990B" w:rsidR="00763780" w:rsidRPr="00781112" w:rsidRDefault="00CC2002" w:rsidP="008E31C4">
            <w:pPr>
              <w:rPr>
                <w:rFonts w:cs="Arial"/>
                <w:b/>
                <w:bCs/>
                <w:color w:val="000000" w:themeColor="text1"/>
                <w:szCs w:val="16"/>
              </w:rPr>
            </w:pPr>
            <w:r w:rsidRPr="00781112">
              <w:rPr>
                <w:rFonts w:cs="Arial"/>
                <w:b/>
                <w:bCs/>
                <w:color w:val="000000" w:themeColor="text1"/>
                <w:szCs w:val="16"/>
              </w:rPr>
              <w:t>Sampling Question</w:t>
            </w:r>
          </w:p>
        </w:tc>
        <w:tc>
          <w:tcPr>
            <w:tcW w:w="2485" w:type="dxa"/>
            <w:tcBorders>
              <w:top w:val="single" w:sz="4" w:space="0" w:color="auto"/>
            </w:tcBorders>
            <w:shd w:val="clear" w:color="auto" w:fill="auto"/>
          </w:tcPr>
          <w:p w14:paraId="39CB8232" w14:textId="5BE196A9" w:rsidR="00763780" w:rsidRPr="00781112" w:rsidRDefault="00763780"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408903DE" w14:textId="1FE95128" w:rsidTr="0033429D">
        <w:tc>
          <w:tcPr>
            <w:tcW w:w="8310" w:type="dxa"/>
            <w:shd w:val="clear" w:color="auto" w:fill="auto"/>
          </w:tcPr>
          <w:p w14:paraId="0472BB53" w14:textId="55673E5F" w:rsidR="00763780" w:rsidRPr="00781112" w:rsidRDefault="00763780" w:rsidP="008E31C4">
            <w:pPr>
              <w:rPr>
                <w:rFonts w:cs="Arial"/>
                <w:color w:val="000000" w:themeColor="text1"/>
                <w:szCs w:val="16"/>
              </w:rPr>
            </w:pPr>
            <w:r w:rsidRPr="00781112">
              <w:rPr>
                <w:rFonts w:cs="Arial"/>
                <w:color w:val="000000" w:themeColor="text1"/>
                <w:szCs w:val="16"/>
              </w:rPr>
              <w:t xml:space="preserve">Was sampling used? </w:t>
            </w:r>
          </w:p>
        </w:tc>
        <w:tc>
          <w:tcPr>
            <w:tcW w:w="2485" w:type="dxa"/>
            <w:shd w:val="clear" w:color="auto" w:fill="auto"/>
          </w:tcPr>
          <w:p w14:paraId="0BA01DE6" w14:textId="013EE38E" w:rsidR="00763780" w:rsidRPr="00781112" w:rsidRDefault="002B7490" w:rsidP="00A018D4">
            <w:pPr>
              <w:jc w:val="center"/>
              <w:rPr>
                <w:rFonts w:cs="Arial"/>
                <w:color w:val="000000" w:themeColor="text1"/>
                <w:szCs w:val="16"/>
              </w:rPr>
            </w:pPr>
            <w:r w:rsidRPr="00781112">
              <w:rPr>
                <w:rFonts w:cs="Arial"/>
                <w:color w:val="000000" w:themeColor="text1"/>
                <w:szCs w:val="16"/>
              </w:rPr>
              <w:t>NO</w:t>
            </w:r>
          </w:p>
        </w:tc>
      </w:tr>
      <w:tr w:rsidR="005C29F8" w:rsidRPr="00781112" w14:paraId="0E2BC2A3" w14:textId="77777777" w:rsidTr="0033429D">
        <w:trPr>
          <w:tblHeader/>
        </w:trPr>
        <w:tc>
          <w:tcPr>
            <w:tcW w:w="3849" w:type="pct"/>
            <w:tcBorders>
              <w:top w:val="single" w:sz="4" w:space="0" w:color="auto"/>
              <w:left w:val="single" w:sz="4" w:space="0" w:color="auto"/>
            </w:tcBorders>
            <w:shd w:val="clear" w:color="auto" w:fill="auto"/>
          </w:tcPr>
          <w:p w14:paraId="2EA51A3E" w14:textId="6A33A9D8" w:rsidR="00BC4655" w:rsidRPr="00781112" w:rsidRDefault="00CC2002" w:rsidP="008E31C4">
            <w:pPr>
              <w:rPr>
                <w:rFonts w:cs="Arial"/>
                <w:b/>
                <w:bCs/>
                <w:color w:val="000000" w:themeColor="text1"/>
                <w:szCs w:val="16"/>
              </w:rPr>
            </w:pPr>
            <w:r w:rsidRPr="00781112">
              <w:rPr>
                <w:rFonts w:cs="Arial"/>
                <w:b/>
                <w:bCs/>
                <w:color w:val="000000" w:themeColor="text1"/>
                <w:szCs w:val="16"/>
              </w:rPr>
              <w:t>Survey Question</w:t>
            </w:r>
          </w:p>
        </w:tc>
        <w:tc>
          <w:tcPr>
            <w:tcW w:w="1151" w:type="pct"/>
            <w:tcBorders>
              <w:top w:val="single" w:sz="4" w:space="0" w:color="auto"/>
            </w:tcBorders>
            <w:shd w:val="clear" w:color="auto" w:fill="auto"/>
          </w:tcPr>
          <w:p w14:paraId="0EEC81FC" w14:textId="73C14A3F" w:rsidR="00BC4655" w:rsidRPr="00781112" w:rsidRDefault="00BC4655"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6901B015" w14:textId="2CE4C417" w:rsidTr="0033429D">
        <w:tc>
          <w:tcPr>
            <w:tcW w:w="3849" w:type="pct"/>
            <w:shd w:val="clear" w:color="auto" w:fill="auto"/>
          </w:tcPr>
          <w:p w14:paraId="0856121E" w14:textId="5B1AD843" w:rsidR="00BC4655" w:rsidRPr="00781112" w:rsidRDefault="00BC4655" w:rsidP="008E31C4">
            <w:pPr>
              <w:rPr>
                <w:rFonts w:cs="Arial"/>
                <w:color w:val="000000" w:themeColor="text1"/>
                <w:szCs w:val="16"/>
              </w:rPr>
            </w:pPr>
            <w:r w:rsidRPr="00781112">
              <w:rPr>
                <w:rFonts w:cs="Arial"/>
                <w:color w:val="000000" w:themeColor="text1"/>
                <w:szCs w:val="16"/>
              </w:rPr>
              <w:t xml:space="preserve">Was a survey used? </w:t>
            </w:r>
          </w:p>
        </w:tc>
        <w:tc>
          <w:tcPr>
            <w:tcW w:w="1151" w:type="pct"/>
            <w:shd w:val="clear" w:color="auto" w:fill="auto"/>
          </w:tcPr>
          <w:p w14:paraId="47AE85B8" w14:textId="2FE77A74" w:rsidR="00BC4655" w:rsidRPr="00781112" w:rsidRDefault="002B7490" w:rsidP="00A018D4">
            <w:pPr>
              <w:jc w:val="center"/>
              <w:rPr>
                <w:rFonts w:cs="Arial"/>
                <w:color w:val="000000" w:themeColor="text1"/>
                <w:szCs w:val="16"/>
              </w:rPr>
            </w:pPr>
            <w:r w:rsidRPr="00781112">
              <w:rPr>
                <w:rFonts w:cs="Arial"/>
                <w:color w:val="000000" w:themeColor="text1"/>
                <w:szCs w:val="16"/>
              </w:rPr>
              <w:t>YES</w:t>
            </w:r>
          </w:p>
        </w:tc>
      </w:tr>
      <w:tr w:rsidR="005C29F8" w:rsidRPr="00781112" w14:paraId="649D8839" w14:textId="3AAB3A92" w:rsidTr="0033429D">
        <w:tc>
          <w:tcPr>
            <w:tcW w:w="3849" w:type="pct"/>
            <w:shd w:val="clear" w:color="auto" w:fill="auto"/>
          </w:tcPr>
          <w:p w14:paraId="56C87E2E" w14:textId="1890EBD8" w:rsidR="00BC4655" w:rsidRPr="00781112" w:rsidRDefault="003805D3" w:rsidP="008E31C4">
            <w:pPr>
              <w:rPr>
                <w:rFonts w:cs="Arial"/>
                <w:color w:val="000000" w:themeColor="text1"/>
                <w:szCs w:val="16"/>
              </w:rPr>
            </w:pPr>
            <w:r w:rsidRPr="00781112">
              <w:rPr>
                <w:rFonts w:cs="Arial"/>
                <w:color w:val="000000" w:themeColor="text1"/>
                <w:szCs w:val="16"/>
              </w:rPr>
              <w:t>If yes, is it a new or revised survey?</w:t>
            </w:r>
          </w:p>
        </w:tc>
        <w:tc>
          <w:tcPr>
            <w:tcW w:w="1151" w:type="pct"/>
            <w:shd w:val="clear" w:color="auto" w:fill="auto"/>
          </w:tcPr>
          <w:p w14:paraId="53803AF8" w14:textId="54EB33AD" w:rsidR="00BC4655" w:rsidRPr="00781112" w:rsidRDefault="002B7490" w:rsidP="00A018D4">
            <w:pPr>
              <w:jc w:val="center"/>
              <w:rPr>
                <w:rFonts w:cs="Arial"/>
                <w:color w:val="000000" w:themeColor="text1"/>
                <w:szCs w:val="16"/>
              </w:rPr>
            </w:pPr>
            <w:r w:rsidRPr="00781112">
              <w:rPr>
                <w:rFonts w:cs="Arial"/>
                <w:color w:val="000000" w:themeColor="text1"/>
                <w:szCs w:val="16"/>
              </w:rPr>
              <w:t>NO</w:t>
            </w:r>
          </w:p>
        </w:tc>
      </w:tr>
    </w:tbl>
    <w:p w14:paraId="62361D73" w14:textId="77777777" w:rsidR="00644AC8" w:rsidRPr="00781112" w:rsidRDefault="00644AC8" w:rsidP="00644AC8">
      <w:pPr>
        <w:rPr>
          <w:rFonts w:cs="Arial"/>
          <w:b/>
          <w:color w:val="000000" w:themeColor="text1"/>
          <w:szCs w:val="16"/>
        </w:rPr>
      </w:pPr>
      <w:bookmarkStart w:id="89" w:name="_Toc382082390"/>
      <w:bookmarkStart w:id="90" w:name="_Toc392159339"/>
      <w:r w:rsidRPr="00781112">
        <w:rPr>
          <w:rFonts w:cs="Arial"/>
          <w:b/>
          <w:color w:val="000000" w:themeColor="text1"/>
          <w:szCs w:val="16"/>
        </w:rPr>
        <w:t>Provide additional information about this indicator (optional)</w:t>
      </w:r>
    </w:p>
    <w:p w14:paraId="30BD41D2" w14:textId="40D58B63" w:rsidR="00293C7E" w:rsidRPr="00781112" w:rsidRDefault="00293C7E" w:rsidP="007D435F">
      <w:pPr>
        <w:rPr>
          <w:rFonts w:cs="Arial"/>
          <w:color w:val="000000" w:themeColor="text1"/>
          <w:szCs w:val="16"/>
        </w:rPr>
      </w:pPr>
    </w:p>
    <w:p w14:paraId="7B9DDAF2" w14:textId="6AA9F8CA" w:rsidR="000A2C83" w:rsidRPr="00781112" w:rsidRDefault="00172058" w:rsidP="00123D76">
      <w:pPr>
        <w:pStyle w:val="Heading2"/>
      </w:pPr>
      <w:r w:rsidRPr="00781112">
        <w:t>14</w:t>
      </w:r>
      <w:r w:rsidR="001D508D" w:rsidRPr="00781112">
        <w:t xml:space="preserve"> </w:t>
      </w:r>
      <w:r w:rsidRPr="00781112">
        <w:t xml:space="preserve">- </w:t>
      </w:r>
      <w:r w:rsidR="000A2C83" w:rsidRPr="00781112">
        <w:t>Prior FFY Required Actions</w:t>
      </w:r>
    </w:p>
    <w:p w14:paraId="3812AD37" w14:textId="58CBF83D" w:rsidR="009F69E7" w:rsidRPr="00781112" w:rsidRDefault="002B7490" w:rsidP="000A2C83">
      <w:pPr>
        <w:rPr>
          <w:rFonts w:cs="Arial"/>
          <w:color w:val="000000" w:themeColor="text1"/>
          <w:szCs w:val="16"/>
        </w:rPr>
      </w:pPr>
      <w:r w:rsidRPr="00781112">
        <w:rPr>
          <w:rFonts w:cs="Arial"/>
          <w:color w:val="000000" w:themeColor="text1"/>
          <w:szCs w:val="16"/>
        </w:rPr>
        <w:t xml:space="preserve">In the FFY 2021 SPP/APR, the State must report whether the FFY 2021 data are representative of the demographics of youth who are no longer in secondary school and had IEPs in effect at the time they left school, and, if not, the actions the State is taking to address this issue. The State must also include its analysis of the extent to which the response data are representative of the demographics of youth who are no longer in secondary school and had IEPs in effect at the time they left school. </w:t>
      </w:r>
    </w:p>
    <w:p w14:paraId="09927E6D" w14:textId="373E84AB" w:rsidR="000A2C83" w:rsidRPr="00781112" w:rsidRDefault="007639D7" w:rsidP="004369B2">
      <w:pPr>
        <w:rPr>
          <w:b/>
          <w:color w:val="000000" w:themeColor="text1"/>
        </w:rPr>
      </w:pPr>
      <w:r>
        <w:rPr>
          <w:b/>
          <w:color w:val="000000" w:themeColor="text1"/>
        </w:rPr>
        <w:t>Response to actions required in FFY 2020 SPP/APR</w:t>
      </w:r>
    </w:p>
    <w:p w14:paraId="31BF0B33" w14:textId="77777777" w:rsidR="009F69E7" w:rsidRPr="00781112" w:rsidRDefault="002B7490" w:rsidP="000A2C83">
      <w:pPr>
        <w:rPr>
          <w:rFonts w:cs="Arial"/>
          <w:color w:val="000000" w:themeColor="text1"/>
          <w:szCs w:val="16"/>
        </w:rPr>
      </w:pPr>
      <w:r w:rsidRPr="00781112">
        <w:rPr>
          <w:rFonts w:cs="Arial"/>
          <w:color w:val="000000" w:themeColor="text1"/>
          <w:szCs w:val="16"/>
        </w:rPr>
        <w:t>The USBE SES has responded to this requirement in the following sections:</w:t>
      </w:r>
      <w:r w:rsidRPr="00781112">
        <w:rPr>
          <w:rFonts w:cs="Arial"/>
          <w:color w:val="000000" w:themeColor="text1"/>
          <w:szCs w:val="16"/>
        </w:rPr>
        <w:br/>
        <w:t>• Include the State’s analyses of the extent to which the response data are representative of the demographics of youth who are no longer in secondary school and had IEPs in effect at the time they left school. States must include race/ethnicity in its analysis. In addition, the State’s analysis must include at least one of the following demographics: disability category, gender, geographic location, and/or another demographic category approved through the stakeholder input process.</w:t>
      </w:r>
      <w:r w:rsidRPr="00781112">
        <w:rPr>
          <w:rFonts w:cs="Arial"/>
          <w:color w:val="000000" w:themeColor="text1"/>
          <w:szCs w:val="16"/>
        </w:rPr>
        <w:br/>
        <w:t>• Describe the strategies that the State will use to ensure that in the future the response data are representative of those demographics.</w:t>
      </w:r>
      <w:r w:rsidRPr="00781112">
        <w:rPr>
          <w:rFonts w:cs="Arial"/>
          <w:color w:val="000000" w:themeColor="text1"/>
          <w:szCs w:val="16"/>
        </w:rPr>
        <w:br/>
      </w:r>
      <w:r w:rsidRPr="00781112">
        <w:rPr>
          <w:rFonts w:cs="Arial"/>
          <w:color w:val="000000" w:themeColor="text1"/>
          <w:szCs w:val="16"/>
        </w:rPr>
        <w:br/>
        <w:t>If additional or more specific information is needed, please request it during the clarification period.</w:t>
      </w:r>
    </w:p>
    <w:p w14:paraId="5408D9B6" w14:textId="3CB80FFF" w:rsidR="000A2C83" w:rsidRPr="00781112" w:rsidRDefault="000A2C83" w:rsidP="000A2C83">
      <w:pPr>
        <w:rPr>
          <w:rFonts w:cs="Arial"/>
          <w:color w:val="000000" w:themeColor="text1"/>
          <w:szCs w:val="16"/>
        </w:rPr>
      </w:pPr>
      <w:r w:rsidRPr="00781112">
        <w:rPr>
          <w:rFonts w:cs="Arial"/>
          <w:color w:val="000000" w:themeColor="text1"/>
          <w:szCs w:val="16"/>
        </w:rPr>
        <w:t xml:space="preserve"> </w:t>
      </w:r>
    </w:p>
    <w:p w14:paraId="59CF3C2B" w14:textId="15BA3B7F" w:rsidR="00644AC8" w:rsidRPr="00781112" w:rsidRDefault="00172058" w:rsidP="00123D76">
      <w:pPr>
        <w:pStyle w:val="Heading2"/>
      </w:pPr>
      <w:r w:rsidRPr="00781112">
        <w:lastRenderedPageBreak/>
        <w:t>14 - OSEP Response</w:t>
      </w:r>
    </w:p>
    <w:p w14:paraId="29D70E23" w14:textId="165DA616" w:rsidR="00293C7E" w:rsidRPr="00781112" w:rsidRDefault="00293C7E" w:rsidP="001F692C">
      <w:pPr>
        <w:rPr>
          <w:rFonts w:cs="Arial"/>
          <w:color w:val="000000" w:themeColor="text1"/>
          <w:szCs w:val="16"/>
        </w:rPr>
      </w:pPr>
    </w:p>
    <w:p w14:paraId="18F151E0" w14:textId="24893002" w:rsidR="00644AC8" w:rsidRPr="00781112" w:rsidRDefault="00172058" w:rsidP="00123D76">
      <w:pPr>
        <w:pStyle w:val="Heading2"/>
      </w:pPr>
      <w:r w:rsidRPr="00781112">
        <w:t>14 - Required Actions</w:t>
      </w:r>
    </w:p>
    <w:p w14:paraId="623F356B" w14:textId="668EB2DD" w:rsidR="00293C7E" w:rsidRPr="00781112" w:rsidRDefault="002B7490" w:rsidP="001F692C">
      <w:pPr>
        <w:rPr>
          <w:rFonts w:cs="Arial"/>
          <w:color w:val="000000" w:themeColor="text1"/>
          <w:szCs w:val="16"/>
        </w:rPr>
      </w:pPr>
      <w:r w:rsidRPr="00781112">
        <w:rPr>
          <w:rFonts w:cs="Arial"/>
          <w:color w:val="000000" w:themeColor="text1"/>
          <w:szCs w:val="16"/>
        </w:rPr>
        <w:t xml:space="preserve">In the FFY 2022 SPP/APR, the State must report whether the FFY 2022 data are representative of the demographics of youth who are no longer in secondary school and had IEPs in effect at the time they left school, and, if not, the actions the State is taking to address this issue. The State must also include its analysis of the extent to which the response data are representative of the demographics of youth who are no longer in secondary school and had IEPs in effect at the time they left school. </w:t>
      </w:r>
    </w:p>
    <w:p w14:paraId="1ADD288B"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7E15DEAF" w14:textId="72984127" w:rsidR="00B3462E" w:rsidRPr="00781112" w:rsidRDefault="00B3462E" w:rsidP="000444E2">
      <w:pPr>
        <w:pStyle w:val="Heading1"/>
        <w:rPr>
          <w:color w:val="000000" w:themeColor="text1"/>
          <w:sz w:val="22"/>
        </w:rPr>
      </w:pPr>
      <w:r w:rsidRPr="00781112">
        <w:rPr>
          <w:color w:val="000000" w:themeColor="text1"/>
          <w:sz w:val="22"/>
        </w:rPr>
        <w:lastRenderedPageBreak/>
        <w:t>Indicator 15: Resolution Sessions</w:t>
      </w:r>
      <w:bookmarkEnd w:id="89"/>
      <w:bookmarkEnd w:id="90"/>
    </w:p>
    <w:p w14:paraId="7EA31497" w14:textId="77777777" w:rsidR="005B0B58" w:rsidRPr="00781112" w:rsidRDefault="005B0B58" w:rsidP="00A018D4">
      <w:pPr>
        <w:rPr>
          <w:color w:val="000000" w:themeColor="text1"/>
          <w:szCs w:val="20"/>
        </w:rPr>
      </w:pPr>
      <w:bookmarkStart w:id="91" w:name="_Toc381786822"/>
      <w:bookmarkStart w:id="92" w:name="_Toc382731911"/>
      <w:bookmarkStart w:id="93" w:name="_Toc382731912"/>
      <w:bookmarkStart w:id="94" w:name="_Toc392159340"/>
      <w:bookmarkEnd w:id="91"/>
      <w:bookmarkEnd w:id="92"/>
      <w:r w:rsidRPr="00781112">
        <w:rPr>
          <w:b/>
          <w:color w:val="000000" w:themeColor="text1"/>
          <w:sz w:val="20"/>
          <w:szCs w:val="20"/>
        </w:rPr>
        <w:t>Instructions and Measurement</w:t>
      </w:r>
    </w:p>
    <w:p w14:paraId="280CD956" w14:textId="60A4C66A" w:rsidR="009B6586" w:rsidRPr="00781112" w:rsidRDefault="009B6586" w:rsidP="00206890">
      <w:pPr>
        <w:rPr>
          <w:rFonts w:cs="Arial"/>
          <w:color w:val="000000" w:themeColor="text1"/>
          <w:szCs w:val="16"/>
        </w:rPr>
      </w:pPr>
      <w:r w:rsidRPr="00781112">
        <w:rPr>
          <w:rFonts w:cs="Arial"/>
          <w:b/>
          <w:color w:val="000000" w:themeColor="text1"/>
          <w:szCs w:val="16"/>
        </w:rPr>
        <w:t>Monitoring Priority</w:t>
      </w:r>
      <w:r w:rsidRPr="00781112">
        <w:rPr>
          <w:rFonts w:cs="Arial"/>
          <w:color w:val="000000" w:themeColor="text1"/>
          <w:szCs w:val="16"/>
        </w:rPr>
        <w:t>: Effective General Supervision Part B / General Supervision</w:t>
      </w:r>
    </w:p>
    <w:p w14:paraId="676E98EE" w14:textId="77777777" w:rsidR="00692B95" w:rsidRPr="00781112" w:rsidRDefault="009B6586" w:rsidP="00206890">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xml:space="preserve"> Percent of hearing requests that went to resolution sessions that were resolved through resolution session settlement agreements.</w:t>
      </w:r>
    </w:p>
    <w:p w14:paraId="0FFA722A" w14:textId="6CF0A81F" w:rsidR="009B6586" w:rsidRPr="00781112" w:rsidRDefault="009B6586" w:rsidP="00206890">
      <w:pPr>
        <w:rPr>
          <w:rFonts w:cs="Arial"/>
          <w:color w:val="000000" w:themeColor="text1"/>
          <w:szCs w:val="16"/>
        </w:rPr>
      </w:pPr>
      <w:r w:rsidRPr="00781112">
        <w:rPr>
          <w:rFonts w:cs="Arial"/>
          <w:color w:val="000000" w:themeColor="text1"/>
          <w:szCs w:val="16"/>
        </w:rPr>
        <w:t xml:space="preserve"> (20 U.S.C. 1416(a)(3)(B))</w:t>
      </w:r>
    </w:p>
    <w:p w14:paraId="40DC2407" w14:textId="77777777" w:rsidR="00B14746" w:rsidRPr="00781112" w:rsidRDefault="00B14746" w:rsidP="004369B2">
      <w:pPr>
        <w:rPr>
          <w:color w:val="000000" w:themeColor="text1"/>
        </w:rPr>
      </w:pPr>
      <w:r w:rsidRPr="00781112">
        <w:rPr>
          <w:b/>
          <w:color w:val="000000" w:themeColor="text1"/>
        </w:rPr>
        <w:t>Data Source</w:t>
      </w:r>
    </w:p>
    <w:p w14:paraId="585EF86F" w14:textId="2E239104" w:rsidR="00B14746" w:rsidRPr="00781112" w:rsidRDefault="00B14746" w:rsidP="00206890">
      <w:pPr>
        <w:rPr>
          <w:rFonts w:cs="Arial"/>
          <w:color w:val="000000" w:themeColor="text1"/>
          <w:szCs w:val="16"/>
        </w:rPr>
      </w:pPr>
      <w:r w:rsidRPr="00781112">
        <w:rPr>
          <w:rFonts w:cs="Arial"/>
          <w:color w:val="000000" w:themeColor="text1"/>
          <w:szCs w:val="16"/>
        </w:rPr>
        <w:t>Data collected under section 618 of the IDEA (IDEA Part B Dispute Resolution Survey in the EDFacts Metadata and Process System (E</w:t>
      </w:r>
      <w:r w:rsidR="00E65E32" w:rsidRPr="00781112">
        <w:rPr>
          <w:rFonts w:cs="Arial"/>
          <w:i/>
          <w:color w:val="000000" w:themeColor="text1"/>
          <w:szCs w:val="16"/>
        </w:rPr>
        <w:t>MAPS</w:t>
      </w:r>
      <w:r w:rsidRPr="00781112">
        <w:rPr>
          <w:rFonts w:cs="Arial"/>
          <w:color w:val="000000" w:themeColor="text1"/>
          <w:szCs w:val="16"/>
        </w:rPr>
        <w:t>)).</w:t>
      </w:r>
    </w:p>
    <w:p w14:paraId="4E6D96A3" w14:textId="77777777" w:rsidR="00B14746" w:rsidRPr="00781112" w:rsidRDefault="00B14746" w:rsidP="004369B2">
      <w:pPr>
        <w:rPr>
          <w:color w:val="000000" w:themeColor="text1"/>
        </w:rPr>
      </w:pPr>
      <w:r w:rsidRPr="00781112">
        <w:rPr>
          <w:b/>
          <w:color w:val="000000" w:themeColor="text1"/>
        </w:rPr>
        <w:t>Measurement</w:t>
      </w:r>
    </w:p>
    <w:p w14:paraId="64AA8A3E" w14:textId="743F9348" w:rsidR="00B14746" w:rsidRPr="00781112" w:rsidRDefault="00B14746" w:rsidP="00206890">
      <w:pPr>
        <w:rPr>
          <w:rFonts w:cs="Arial"/>
          <w:color w:val="000000" w:themeColor="text1"/>
          <w:szCs w:val="16"/>
        </w:rPr>
      </w:pPr>
      <w:r w:rsidRPr="00781112">
        <w:rPr>
          <w:rFonts w:cs="Arial"/>
          <w:color w:val="000000" w:themeColor="text1"/>
          <w:szCs w:val="16"/>
        </w:rPr>
        <w:t>Percent = (3.1(a) divided by 3.1) times 100.</w:t>
      </w:r>
    </w:p>
    <w:p w14:paraId="7D86471C" w14:textId="77777777" w:rsidR="00B14746" w:rsidRPr="00781112" w:rsidRDefault="00B14746" w:rsidP="004369B2">
      <w:pPr>
        <w:rPr>
          <w:color w:val="000000" w:themeColor="text1"/>
        </w:rPr>
      </w:pPr>
      <w:r w:rsidRPr="00781112">
        <w:rPr>
          <w:b/>
          <w:color w:val="000000" w:themeColor="text1"/>
        </w:rPr>
        <w:t>Instructions</w:t>
      </w:r>
    </w:p>
    <w:p w14:paraId="7F1341EF" w14:textId="77777777" w:rsidR="00B14746" w:rsidRPr="00781112" w:rsidRDefault="00B14746" w:rsidP="00286BDF">
      <w:pPr>
        <w:rPr>
          <w:rFonts w:cs="Arial"/>
          <w:i/>
          <w:iCs/>
          <w:color w:val="000000" w:themeColor="text1"/>
          <w:szCs w:val="16"/>
        </w:rPr>
      </w:pPr>
      <w:r w:rsidRPr="00781112">
        <w:rPr>
          <w:rFonts w:cs="Arial"/>
          <w:i/>
          <w:iCs/>
          <w:color w:val="000000" w:themeColor="text1"/>
          <w:szCs w:val="16"/>
        </w:rPr>
        <w:t>Sampling is not allowed.</w:t>
      </w:r>
    </w:p>
    <w:p w14:paraId="20D56B7B" w14:textId="77777777" w:rsidR="00B14746" w:rsidRPr="00781112" w:rsidRDefault="00B14746" w:rsidP="00286BDF">
      <w:pPr>
        <w:rPr>
          <w:rFonts w:cs="Arial"/>
          <w:color w:val="000000" w:themeColor="text1"/>
          <w:szCs w:val="16"/>
        </w:rPr>
      </w:pPr>
      <w:r w:rsidRPr="00781112">
        <w:rPr>
          <w:rFonts w:cs="Arial"/>
          <w:color w:val="000000" w:themeColor="text1"/>
          <w:szCs w:val="16"/>
        </w:rPr>
        <w:t>Describe the results of the calculations and compare the results to the target.</w:t>
      </w:r>
    </w:p>
    <w:p w14:paraId="368918B0" w14:textId="755A746B" w:rsidR="00B14746" w:rsidRPr="00781112" w:rsidRDefault="00B14746" w:rsidP="00286BDF">
      <w:pPr>
        <w:rPr>
          <w:rFonts w:cs="Arial"/>
          <w:color w:val="000000" w:themeColor="text1"/>
          <w:szCs w:val="16"/>
        </w:rPr>
      </w:pPr>
      <w:r w:rsidRPr="00781112">
        <w:rPr>
          <w:rFonts w:cs="Arial"/>
          <w:color w:val="000000" w:themeColor="text1"/>
          <w:szCs w:val="16"/>
        </w:rPr>
        <w:t xml:space="preserve">States are not required to establish </w:t>
      </w:r>
      <w:proofErr w:type="gramStart"/>
      <w:r w:rsidRPr="00781112">
        <w:rPr>
          <w:rFonts w:cs="Arial"/>
          <w:color w:val="000000" w:themeColor="text1"/>
          <w:szCs w:val="16"/>
        </w:rPr>
        <w:t>baseline</w:t>
      </w:r>
      <w:proofErr w:type="gramEnd"/>
      <w:r w:rsidRPr="00781112">
        <w:rPr>
          <w:rFonts w:cs="Arial"/>
          <w:color w:val="000000" w:themeColor="text1"/>
          <w:szCs w:val="16"/>
        </w:rPr>
        <w:t xml:space="preserve"> or targets if the number of resolution sessions is less than 10. In a reporting period when the number of resolution sessions reaches 10 or greater, develop baseline and targets and report on them in the corresponding SPP/APR.</w:t>
      </w:r>
    </w:p>
    <w:p w14:paraId="4484EAF5" w14:textId="77777777" w:rsidR="00B14746" w:rsidRPr="00781112" w:rsidRDefault="00B14746" w:rsidP="00286BDF">
      <w:pPr>
        <w:rPr>
          <w:rFonts w:cs="Arial"/>
          <w:color w:val="000000" w:themeColor="text1"/>
          <w:szCs w:val="16"/>
        </w:rPr>
      </w:pPr>
      <w:r w:rsidRPr="00781112">
        <w:rPr>
          <w:rFonts w:cs="Arial"/>
          <w:color w:val="000000" w:themeColor="text1"/>
          <w:szCs w:val="16"/>
        </w:rPr>
        <w:t>States may express their targets in a range (e.g., 75-85%).</w:t>
      </w:r>
    </w:p>
    <w:p w14:paraId="3A369CBC" w14:textId="77777777" w:rsidR="00B14746" w:rsidRPr="00781112" w:rsidRDefault="00B14746" w:rsidP="00286BDF">
      <w:pPr>
        <w:rPr>
          <w:rFonts w:cs="Arial"/>
          <w:color w:val="000000" w:themeColor="text1"/>
          <w:szCs w:val="16"/>
        </w:rPr>
      </w:pPr>
      <w:r w:rsidRPr="00781112">
        <w:rPr>
          <w:rFonts w:cs="Arial"/>
          <w:color w:val="000000" w:themeColor="text1"/>
          <w:szCs w:val="16"/>
        </w:rPr>
        <w:t>If the data reported in this indicator are not the same as the State’s data under IDEA section 618, explain.</w:t>
      </w:r>
    </w:p>
    <w:p w14:paraId="5C27A911" w14:textId="0F93F55A" w:rsidR="00B14746" w:rsidRPr="00781112" w:rsidRDefault="00B14746" w:rsidP="00286BDF">
      <w:pPr>
        <w:rPr>
          <w:rFonts w:cs="Arial"/>
          <w:color w:val="000000" w:themeColor="text1"/>
          <w:szCs w:val="16"/>
        </w:rPr>
      </w:pPr>
      <w:r w:rsidRPr="00781112">
        <w:rPr>
          <w:rFonts w:cs="Arial"/>
          <w:color w:val="000000" w:themeColor="text1"/>
          <w:szCs w:val="16"/>
        </w:rPr>
        <w:t>States are not required to report data at the LEA level.</w:t>
      </w:r>
    </w:p>
    <w:p w14:paraId="64F7E7AF" w14:textId="3E039165" w:rsidR="00575F02" w:rsidRPr="00781112" w:rsidRDefault="00DF2D3A" w:rsidP="00123D76">
      <w:pPr>
        <w:pStyle w:val="Heading2"/>
      </w:pPr>
      <w:r w:rsidRPr="00781112">
        <w:t>15</w:t>
      </w:r>
      <w:r w:rsidR="001D508D" w:rsidRPr="00781112">
        <w:t xml:space="preserve"> </w:t>
      </w:r>
      <w:r w:rsidRPr="00781112">
        <w:t xml:space="preserve">- </w:t>
      </w:r>
      <w:r w:rsidR="00575F02" w:rsidRPr="00781112">
        <w:t>Indicator Data</w:t>
      </w:r>
    </w:p>
    <w:p w14:paraId="787F4BF1" w14:textId="4407EA15" w:rsidR="004A33CD" w:rsidRPr="00781112" w:rsidRDefault="00E31E29" w:rsidP="004A33CD">
      <w:pPr>
        <w:rPr>
          <w:rFonts w:cs="Arial"/>
          <w:color w:val="000000" w:themeColor="text1"/>
          <w:szCs w:val="16"/>
        </w:rPr>
      </w:pPr>
      <w:r w:rsidRPr="00781112">
        <w:rPr>
          <w:rFonts w:cs="Arial"/>
          <w:color w:val="000000" w:themeColor="text1"/>
          <w:szCs w:val="16"/>
        </w:rPr>
        <w:t>Select yes to use target ranges</w:t>
      </w:r>
    </w:p>
    <w:p w14:paraId="28345E9C" w14:textId="1A461958" w:rsidR="004A33CD" w:rsidRPr="00781112" w:rsidRDefault="004A33CD" w:rsidP="004369B2">
      <w:pPr>
        <w:rPr>
          <w:color w:val="000000" w:themeColor="text1"/>
        </w:rPr>
      </w:pPr>
      <w:r w:rsidRPr="00781112">
        <w:rPr>
          <w:rFonts w:cs="Arial"/>
          <w:color w:val="000000" w:themeColor="text1"/>
          <w:szCs w:val="16"/>
        </w:rPr>
        <w:t>Target Range not used</w:t>
      </w:r>
    </w:p>
    <w:bookmarkEnd w:id="93"/>
    <w:bookmarkEnd w:id="94"/>
    <w:p w14:paraId="2C183615" w14:textId="77777777" w:rsidR="00CE0C68" w:rsidRPr="00781112" w:rsidRDefault="00CE0C68" w:rsidP="004369B2">
      <w:pPr>
        <w:rPr>
          <w:color w:val="000000" w:themeColor="text1"/>
        </w:rPr>
      </w:pPr>
    </w:p>
    <w:p w14:paraId="23EC0320" w14:textId="2C5AA27C" w:rsidR="00372DF8" w:rsidRPr="00781112" w:rsidRDefault="00372DF8" w:rsidP="004369B2">
      <w:pPr>
        <w:rPr>
          <w:color w:val="000000" w:themeColor="text1"/>
        </w:rPr>
      </w:pPr>
      <w:r w:rsidRPr="00781112">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Caption w:val="B15PREPOPDATA"/>
      </w:tblPr>
      <w:tblGrid>
        <w:gridCol w:w="2605"/>
        <w:gridCol w:w="2700"/>
        <w:gridCol w:w="3571"/>
        <w:gridCol w:w="1914"/>
      </w:tblGrid>
      <w:tr w:rsidR="005C29F8" w:rsidRPr="00781112" w14:paraId="6639EAF6" w14:textId="77777777" w:rsidTr="00AB0D6A">
        <w:trPr>
          <w:trHeight w:val="372"/>
          <w:tblHeader/>
        </w:trPr>
        <w:tc>
          <w:tcPr>
            <w:tcW w:w="1207" w:type="pct"/>
            <w:shd w:val="clear" w:color="auto" w:fill="auto"/>
          </w:tcPr>
          <w:p w14:paraId="3040A217" w14:textId="77777777" w:rsidR="00372DF8" w:rsidRPr="00781112" w:rsidRDefault="00372DF8" w:rsidP="008E31C4">
            <w:pPr>
              <w:spacing w:after="0"/>
              <w:jc w:val="center"/>
              <w:rPr>
                <w:rFonts w:cs="Arial"/>
                <w:b/>
                <w:color w:val="000000" w:themeColor="text1"/>
                <w:szCs w:val="16"/>
              </w:rPr>
            </w:pPr>
            <w:r w:rsidRPr="00781112">
              <w:rPr>
                <w:rFonts w:cs="Arial"/>
                <w:b/>
                <w:color w:val="000000" w:themeColor="text1"/>
                <w:szCs w:val="16"/>
              </w:rPr>
              <w:t>Source</w:t>
            </w:r>
          </w:p>
        </w:tc>
        <w:tc>
          <w:tcPr>
            <w:tcW w:w="1251" w:type="pct"/>
            <w:shd w:val="clear" w:color="auto" w:fill="auto"/>
          </w:tcPr>
          <w:p w14:paraId="3A97206D" w14:textId="77777777" w:rsidR="00372DF8" w:rsidRPr="00781112" w:rsidRDefault="00372DF8" w:rsidP="008E31C4">
            <w:pPr>
              <w:spacing w:after="0"/>
              <w:jc w:val="center"/>
              <w:rPr>
                <w:rFonts w:cs="Arial"/>
                <w:b/>
                <w:color w:val="000000" w:themeColor="text1"/>
                <w:szCs w:val="16"/>
              </w:rPr>
            </w:pPr>
            <w:r w:rsidRPr="00781112">
              <w:rPr>
                <w:rFonts w:cs="Arial"/>
                <w:b/>
                <w:color w:val="000000" w:themeColor="text1"/>
                <w:szCs w:val="16"/>
              </w:rPr>
              <w:t>Date</w:t>
            </w:r>
          </w:p>
        </w:tc>
        <w:tc>
          <w:tcPr>
            <w:tcW w:w="1655" w:type="pct"/>
            <w:shd w:val="clear" w:color="auto" w:fill="auto"/>
          </w:tcPr>
          <w:p w14:paraId="52C3C7CB" w14:textId="77777777" w:rsidR="00372DF8" w:rsidRPr="00781112" w:rsidRDefault="00372DF8" w:rsidP="008E31C4">
            <w:pPr>
              <w:spacing w:after="0"/>
              <w:jc w:val="center"/>
              <w:rPr>
                <w:rFonts w:cs="Arial"/>
                <w:b/>
                <w:color w:val="000000" w:themeColor="text1"/>
                <w:szCs w:val="16"/>
              </w:rPr>
            </w:pPr>
            <w:r w:rsidRPr="00781112">
              <w:rPr>
                <w:rFonts w:cs="Arial"/>
                <w:b/>
                <w:color w:val="000000" w:themeColor="text1"/>
                <w:szCs w:val="16"/>
              </w:rPr>
              <w:t>Description</w:t>
            </w:r>
          </w:p>
        </w:tc>
        <w:tc>
          <w:tcPr>
            <w:tcW w:w="887" w:type="pct"/>
            <w:shd w:val="clear" w:color="auto" w:fill="auto"/>
          </w:tcPr>
          <w:p w14:paraId="3BD49A8D" w14:textId="77777777" w:rsidR="00372DF8" w:rsidRPr="00781112" w:rsidRDefault="00372DF8" w:rsidP="008E31C4">
            <w:pPr>
              <w:spacing w:after="0"/>
              <w:jc w:val="center"/>
              <w:rPr>
                <w:rFonts w:cs="Arial"/>
                <w:b/>
                <w:color w:val="000000" w:themeColor="text1"/>
                <w:szCs w:val="16"/>
              </w:rPr>
            </w:pPr>
            <w:r w:rsidRPr="00781112">
              <w:rPr>
                <w:rFonts w:cs="Arial"/>
                <w:b/>
                <w:color w:val="000000" w:themeColor="text1"/>
                <w:szCs w:val="16"/>
              </w:rPr>
              <w:t>Data</w:t>
            </w:r>
          </w:p>
        </w:tc>
      </w:tr>
      <w:tr w:rsidR="005C29F8" w:rsidRPr="00781112" w14:paraId="50C4DB70" w14:textId="77777777" w:rsidTr="00AB0D6A">
        <w:trPr>
          <w:trHeight w:val="380"/>
        </w:trPr>
        <w:tc>
          <w:tcPr>
            <w:tcW w:w="1207" w:type="pct"/>
            <w:shd w:val="clear" w:color="auto" w:fill="auto"/>
          </w:tcPr>
          <w:p w14:paraId="56F7D41B" w14:textId="55A36B40" w:rsidR="001126C3" w:rsidRPr="00781112" w:rsidRDefault="002B7490" w:rsidP="001126C3">
            <w:pPr>
              <w:jc w:val="center"/>
              <w:rPr>
                <w:rFonts w:cs="Arial"/>
                <w:color w:val="000000" w:themeColor="text1"/>
                <w:szCs w:val="16"/>
              </w:rPr>
            </w:pPr>
            <w:r w:rsidRPr="00781112">
              <w:rPr>
                <w:rFonts w:cs="Arial"/>
                <w:color w:val="000000" w:themeColor="text1"/>
                <w:szCs w:val="16"/>
              </w:rPr>
              <w:t>SY 2021-22 EMAPS IDEA Part B Dispute Resolution Survey; Section C: Due Process Complaints</w:t>
            </w:r>
          </w:p>
        </w:tc>
        <w:tc>
          <w:tcPr>
            <w:tcW w:w="1251" w:type="pct"/>
            <w:shd w:val="clear" w:color="auto" w:fill="auto"/>
          </w:tcPr>
          <w:p w14:paraId="7C90E97F" w14:textId="79564898" w:rsidR="001126C3" w:rsidRPr="00781112" w:rsidRDefault="008174C3" w:rsidP="001126C3">
            <w:pPr>
              <w:jc w:val="center"/>
              <w:rPr>
                <w:rFonts w:cs="Arial"/>
                <w:color w:val="000000" w:themeColor="text1"/>
                <w:szCs w:val="16"/>
              </w:rPr>
            </w:pPr>
            <w:r w:rsidRPr="00781112">
              <w:rPr>
                <w:rFonts w:cs="Arial"/>
                <w:color w:val="000000" w:themeColor="text1"/>
                <w:szCs w:val="16"/>
              </w:rPr>
              <w:t>11/02/2022</w:t>
            </w:r>
          </w:p>
        </w:tc>
        <w:tc>
          <w:tcPr>
            <w:tcW w:w="1655" w:type="pct"/>
            <w:shd w:val="clear" w:color="auto" w:fill="auto"/>
          </w:tcPr>
          <w:p w14:paraId="5E5A973C" w14:textId="77777777" w:rsidR="001126C3" w:rsidRPr="00781112" w:rsidRDefault="001126C3" w:rsidP="001126C3">
            <w:pPr>
              <w:rPr>
                <w:rFonts w:cs="Arial"/>
                <w:color w:val="000000" w:themeColor="text1"/>
                <w:szCs w:val="16"/>
              </w:rPr>
            </w:pPr>
            <w:r w:rsidRPr="00781112">
              <w:rPr>
                <w:rFonts w:cs="Arial"/>
                <w:color w:val="000000" w:themeColor="text1"/>
                <w:szCs w:val="16"/>
              </w:rPr>
              <w:t>3.1 Number of resolution sessions</w:t>
            </w:r>
          </w:p>
        </w:tc>
        <w:tc>
          <w:tcPr>
            <w:tcW w:w="887" w:type="pct"/>
            <w:shd w:val="clear" w:color="auto" w:fill="auto"/>
          </w:tcPr>
          <w:p w14:paraId="5468BA6D" w14:textId="1A6A859B" w:rsidR="001126C3" w:rsidRPr="00781112" w:rsidRDefault="002B7490" w:rsidP="00A018D4">
            <w:pPr>
              <w:jc w:val="center"/>
              <w:rPr>
                <w:rFonts w:cs="Arial"/>
                <w:color w:val="000000" w:themeColor="text1"/>
                <w:szCs w:val="16"/>
              </w:rPr>
            </w:pPr>
            <w:r w:rsidRPr="00781112">
              <w:rPr>
                <w:rFonts w:cs="Arial"/>
                <w:color w:val="000000" w:themeColor="text1"/>
                <w:szCs w:val="16"/>
              </w:rPr>
              <w:t>3</w:t>
            </w:r>
          </w:p>
        </w:tc>
      </w:tr>
      <w:tr w:rsidR="005C29F8" w:rsidRPr="00781112" w14:paraId="2E50DA19" w14:textId="77777777" w:rsidTr="00AB0D6A">
        <w:trPr>
          <w:trHeight w:val="380"/>
        </w:trPr>
        <w:tc>
          <w:tcPr>
            <w:tcW w:w="1207" w:type="pct"/>
            <w:shd w:val="clear" w:color="auto" w:fill="auto"/>
          </w:tcPr>
          <w:p w14:paraId="2B232A7C" w14:textId="7E2BE0F5" w:rsidR="001126C3" w:rsidRPr="00781112" w:rsidRDefault="008174C3" w:rsidP="001126C3">
            <w:pPr>
              <w:jc w:val="center"/>
              <w:rPr>
                <w:rFonts w:cs="Arial"/>
                <w:color w:val="000000" w:themeColor="text1"/>
                <w:szCs w:val="16"/>
              </w:rPr>
            </w:pPr>
            <w:r w:rsidRPr="00781112">
              <w:rPr>
                <w:rFonts w:cs="Arial"/>
                <w:color w:val="000000" w:themeColor="text1"/>
                <w:szCs w:val="16"/>
              </w:rPr>
              <w:t>SY 2021-22 EMAPS IDEA Part B Dispute Resolution Survey; Section C: Due Process Complaints</w:t>
            </w:r>
          </w:p>
        </w:tc>
        <w:tc>
          <w:tcPr>
            <w:tcW w:w="1251" w:type="pct"/>
            <w:shd w:val="clear" w:color="auto" w:fill="auto"/>
          </w:tcPr>
          <w:p w14:paraId="7F21A5DE" w14:textId="74620D03" w:rsidR="001126C3" w:rsidRPr="00781112" w:rsidRDefault="008174C3" w:rsidP="001126C3">
            <w:pPr>
              <w:jc w:val="center"/>
              <w:rPr>
                <w:rFonts w:cs="Arial"/>
                <w:color w:val="000000" w:themeColor="text1"/>
                <w:szCs w:val="16"/>
              </w:rPr>
            </w:pPr>
            <w:r w:rsidRPr="00781112">
              <w:rPr>
                <w:rFonts w:cs="Arial"/>
                <w:color w:val="000000" w:themeColor="text1"/>
                <w:szCs w:val="16"/>
              </w:rPr>
              <w:t>11/02/2022</w:t>
            </w:r>
          </w:p>
        </w:tc>
        <w:tc>
          <w:tcPr>
            <w:tcW w:w="1655" w:type="pct"/>
            <w:shd w:val="clear" w:color="auto" w:fill="auto"/>
          </w:tcPr>
          <w:p w14:paraId="48E53926" w14:textId="77777777" w:rsidR="001126C3" w:rsidRPr="00781112" w:rsidRDefault="001126C3" w:rsidP="001126C3">
            <w:pPr>
              <w:rPr>
                <w:rFonts w:cs="Arial"/>
                <w:color w:val="000000" w:themeColor="text1"/>
                <w:szCs w:val="16"/>
              </w:rPr>
            </w:pPr>
            <w:r w:rsidRPr="00781112">
              <w:rPr>
                <w:rFonts w:cs="Arial"/>
                <w:color w:val="000000" w:themeColor="text1"/>
                <w:szCs w:val="16"/>
              </w:rPr>
              <w:t>3.1(a) Number resolution sessions resolved through settlement agreements</w:t>
            </w:r>
          </w:p>
        </w:tc>
        <w:tc>
          <w:tcPr>
            <w:tcW w:w="887" w:type="pct"/>
            <w:shd w:val="clear" w:color="auto" w:fill="auto"/>
          </w:tcPr>
          <w:p w14:paraId="1CCE3841" w14:textId="455ECD7A" w:rsidR="001126C3" w:rsidRPr="00781112" w:rsidRDefault="002B7490" w:rsidP="00A018D4">
            <w:pPr>
              <w:jc w:val="center"/>
              <w:rPr>
                <w:rFonts w:cs="Arial"/>
                <w:color w:val="000000" w:themeColor="text1"/>
                <w:szCs w:val="16"/>
              </w:rPr>
            </w:pPr>
            <w:r w:rsidRPr="00781112">
              <w:rPr>
                <w:rFonts w:cs="Arial"/>
                <w:color w:val="000000" w:themeColor="text1"/>
                <w:szCs w:val="16"/>
              </w:rPr>
              <w:t>1</w:t>
            </w:r>
          </w:p>
        </w:tc>
      </w:tr>
    </w:tbl>
    <w:p w14:paraId="162CEFB3" w14:textId="55A4ED3A" w:rsidR="004A33CD" w:rsidRPr="00781112" w:rsidRDefault="00E31E29">
      <w:pPr>
        <w:rPr>
          <w:b/>
          <w:color w:val="000000" w:themeColor="text1"/>
        </w:rPr>
      </w:pPr>
      <w:bookmarkStart w:id="95" w:name="_Toc382731913"/>
      <w:bookmarkStart w:id="96" w:name="_Toc392159341"/>
      <w:r w:rsidRPr="00781112">
        <w:rPr>
          <w:b/>
          <w:color w:val="000000" w:themeColor="text1"/>
        </w:rPr>
        <w:t>Select yes if the data reported in this indicator are not the same as the State’s data reported under section 618 of the IDEA.</w:t>
      </w:r>
    </w:p>
    <w:p w14:paraId="619A5AA7" w14:textId="55E9BEAB" w:rsidR="004A33CD" w:rsidRPr="00781112" w:rsidRDefault="004A33CD">
      <w:pPr>
        <w:rPr>
          <w:color w:val="000000" w:themeColor="text1"/>
        </w:rPr>
      </w:pPr>
      <w:r w:rsidRPr="00781112">
        <w:rPr>
          <w:color w:val="000000" w:themeColor="text1"/>
        </w:rPr>
        <w:t>NO</w:t>
      </w:r>
    </w:p>
    <w:p w14:paraId="25CD6A7B" w14:textId="77777777" w:rsidR="000657A8" w:rsidRPr="00781112" w:rsidRDefault="000657A8" w:rsidP="004369B2">
      <w:pPr>
        <w:rPr>
          <w:color w:val="000000" w:themeColor="text1"/>
        </w:rPr>
      </w:pPr>
    </w:p>
    <w:p w14:paraId="2AFA559A" w14:textId="46CC9076" w:rsidR="000A2C83" w:rsidRPr="00781112" w:rsidRDefault="000A2C83" w:rsidP="004369B2">
      <w:pPr>
        <w:rPr>
          <w:b/>
          <w:color w:val="000000" w:themeColor="text1"/>
        </w:rPr>
      </w:pPr>
      <w:r w:rsidRPr="00781112">
        <w:rPr>
          <w:b/>
          <w:color w:val="000000" w:themeColor="text1"/>
        </w:rPr>
        <w:t xml:space="preserve">Targets: Description of Stakeholder Input </w:t>
      </w:r>
    </w:p>
    <w:p w14:paraId="60B2BAB4" w14:textId="6EAE1CD9" w:rsidR="000A2C83" w:rsidRPr="00781112" w:rsidRDefault="002B7490" w:rsidP="000A2C83">
      <w:pPr>
        <w:rPr>
          <w:rFonts w:cs="Arial"/>
          <w:color w:val="000000" w:themeColor="text1"/>
          <w:szCs w:val="16"/>
        </w:rPr>
      </w:pPr>
      <w:r w:rsidRPr="00781112">
        <w:rPr>
          <w:rFonts w:cs="Arial"/>
          <w:color w:val="000000" w:themeColor="text1"/>
          <w:szCs w:val="16"/>
        </w:rPr>
        <w:t>The USBE SES values stakeholder engagement and input and solicits ongoing feedback and review. Stakeholders consistently provide input through collaborative meetings, public comment, written communication, survey data, data analysis, and informal conversations. To share data and information and collect feedback on areas such as SPP/APR targets, the USBE SES employs meetings, newsletters, emails, surveys, and social media with stakeholder groups:</w:t>
      </w:r>
      <w:r w:rsidRPr="00781112">
        <w:rPr>
          <w:rFonts w:cs="Arial"/>
          <w:color w:val="000000" w:themeColor="text1"/>
          <w:szCs w:val="16"/>
        </w:rPr>
        <w:br/>
        <w:t>• LEA Special Education Directors</w:t>
      </w:r>
      <w:r w:rsidRPr="00781112">
        <w:rPr>
          <w:rFonts w:cs="Arial"/>
          <w:color w:val="000000" w:themeColor="text1"/>
          <w:szCs w:val="16"/>
        </w:rPr>
        <w:br/>
        <w:t>• Utah Special Education Advisory Panel (USEAP)</w:t>
      </w:r>
      <w:r w:rsidRPr="00781112">
        <w:rPr>
          <w:rFonts w:cs="Arial"/>
          <w:color w:val="000000" w:themeColor="text1"/>
          <w:szCs w:val="16"/>
        </w:rPr>
        <w:br/>
        <w:t>• USBE Committees</w:t>
      </w:r>
      <w:r w:rsidRPr="00781112">
        <w:rPr>
          <w:rFonts w:cs="Arial"/>
          <w:color w:val="000000" w:themeColor="text1"/>
          <w:szCs w:val="16"/>
        </w:rPr>
        <w:br/>
        <w:t>• Utah Legislative Committees</w:t>
      </w:r>
      <w:r w:rsidRPr="00781112">
        <w:rPr>
          <w:rFonts w:cs="Arial"/>
          <w:color w:val="000000" w:themeColor="text1"/>
          <w:szCs w:val="16"/>
        </w:rPr>
        <w:br/>
        <w:t>• Utah Parent Center (UPC)</w:t>
      </w:r>
      <w:r w:rsidRPr="00781112">
        <w:rPr>
          <w:rFonts w:cs="Arial"/>
          <w:color w:val="000000" w:themeColor="text1"/>
          <w:szCs w:val="16"/>
        </w:rPr>
        <w:br/>
        <w:t>• LEA Curriculum and Assessment Directors</w:t>
      </w:r>
      <w:r w:rsidRPr="00781112">
        <w:rPr>
          <w:rFonts w:cs="Arial"/>
          <w:color w:val="000000" w:themeColor="text1"/>
          <w:szCs w:val="16"/>
        </w:rPr>
        <w:br/>
        <w:t>• LEA Preschool Coordinators</w:t>
      </w:r>
      <w:r w:rsidRPr="00781112">
        <w:rPr>
          <w:rFonts w:cs="Arial"/>
          <w:color w:val="000000" w:themeColor="text1"/>
          <w:szCs w:val="16"/>
        </w:rPr>
        <w:br/>
        <w:t>• LEA Administrators</w:t>
      </w:r>
      <w:r w:rsidRPr="00781112">
        <w:rPr>
          <w:rFonts w:cs="Arial"/>
          <w:color w:val="000000" w:themeColor="text1"/>
          <w:szCs w:val="16"/>
        </w:rPr>
        <w:br/>
        <w:t>•Utah Institutes of Higher Education (IHEs)</w:t>
      </w:r>
      <w:r w:rsidRPr="00781112">
        <w:rPr>
          <w:rFonts w:cs="Arial"/>
          <w:color w:val="000000" w:themeColor="text1"/>
          <w:szCs w:val="16"/>
        </w:rPr>
        <w:br/>
        <w:t>• Baby Watch/Early Intervention (Utah’s Part C agency)</w:t>
      </w:r>
      <w:r w:rsidRPr="00781112">
        <w:rPr>
          <w:rFonts w:cs="Arial"/>
          <w:color w:val="000000" w:themeColor="text1"/>
          <w:szCs w:val="16"/>
        </w:rPr>
        <w:br/>
        <w:t>• Agencies and non-profit organizations that provide services to SWD</w:t>
      </w:r>
      <w:r w:rsidRPr="00781112">
        <w:rPr>
          <w:rFonts w:cs="Arial"/>
          <w:color w:val="000000" w:themeColor="text1"/>
          <w:szCs w:val="16"/>
        </w:rPr>
        <w:br/>
        <w:t>• Utah Educators</w:t>
      </w:r>
      <w:r w:rsidRPr="00781112">
        <w:rPr>
          <w:rFonts w:cs="Arial"/>
          <w:color w:val="000000" w:themeColor="text1"/>
          <w:szCs w:val="16"/>
        </w:rPr>
        <w:br/>
        <w:t>• Advocacy groups throughout the State</w:t>
      </w:r>
      <w:r w:rsidRPr="00781112">
        <w:rPr>
          <w:rFonts w:cs="Arial"/>
          <w:color w:val="000000" w:themeColor="text1"/>
          <w:szCs w:val="16"/>
        </w:rPr>
        <w:br/>
        <w:t>During FFY 2021, no changes were made to the SPP/APR targets. The USBE SES reviewed the progress of the implementation of the Theory of Action for the SSIP and SPP/APR data with USEAM, USEAP, and the Coordinating Council for People with Disabilities (CCPD) (which includes all state agencies that serve individuals with disabilities and all nonprofit organizations that receive any state funding and/or grants).</w:t>
      </w:r>
      <w:r w:rsidRPr="00781112">
        <w:rPr>
          <w:rFonts w:cs="Arial"/>
          <w:color w:val="000000" w:themeColor="text1"/>
          <w:szCs w:val="16"/>
        </w:rPr>
        <w:br/>
        <w:t>The APR summit was held virtually on July 30, 2021. Over 100 participants attended from the stakeholder groups and those with individual interests. Participants reviewed data and projections for the State in 2025–2026. Participants were provided with an overview of the advantages and disadvantages of predictive models as well as an overview of the mindset for target-setting. Participants were asked to select the end targets (2025–2026) for indicators. The USBE SES would then calculate intervening targets between FFY 2020 and FFY 2025 whereby there would be no increase in the target the first year, followed by small increases, then large increases near the end. This is to allow enough time for LEAs to implement initiatives and change practices to realistically meet targets along their way to the rigorous end targets. After this overview, participants determined challenging and achievable end targets. The USBE SES calculated intervening targets and shared these intervening targets with the participants and additional stakeholders to get final approval for all the targets.</w:t>
      </w:r>
      <w:r w:rsidRPr="00781112">
        <w:rPr>
          <w:rFonts w:cs="Arial"/>
          <w:color w:val="000000" w:themeColor="text1"/>
          <w:szCs w:val="16"/>
        </w:rPr>
        <w:br/>
        <w:t xml:space="preserve">A survey was sent out and 101 individuals participated. Most participants identified as white females in suburban parts of Utah. American Indian/Native Alaskan, Hispanic/Latino, and individuals who identified as multiracial also participated. As a result of this additional feedback, the USBE SES revised </w:t>
      </w:r>
      <w:r w:rsidRPr="00781112">
        <w:rPr>
          <w:rFonts w:cs="Arial"/>
          <w:color w:val="000000" w:themeColor="text1"/>
          <w:szCs w:val="16"/>
        </w:rPr>
        <w:lastRenderedPageBreak/>
        <w:t>Indicator 5 targets to maintain rigor and develop reasonable targets manageable by the LEAs. Targets for all indicators were developed after review of historical indicator and trend data, recommendations from the USBE statistician, the impact of COVID-19, APR summit and APR survey review. All targets were subsequently reviewed and adopted by USBE staff, USEAP, and LEAs. OSEP approved SPP/APR targets in the FFY 2020 SPP/APR.</w:t>
      </w:r>
      <w:r w:rsidRPr="00781112">
        <w:rPr>
          <w:rFonts w:cs="Arial"/>
          <w:color w:val="000000" w:themeColor="text1"/>
          <w:szCs w:val="16"/>
        </w:rPr>
        <w:br/>
        <w:t>During FFY 2021, the SPP/APR and SSIP were discussed regularly with LEA special education directors, USEAP, UPC, the state Parent Teacher Association (PTA), and other parent groups focused on inclusionary practices in Utah schools. Regular meetings are held with all these groups typically on a quarterly basis. Emails, phone calls, and in-person meetings provide for informal opportunities to gain insight and adjust.</w:t>
      </w:r>
      <w:r w:rsidRPr="00781112">
        <w:rPr>
          <w:rFonts w:cs="Arial"/>
          <w:color w:val="000000" w:themeColor="text1"/>
          <w:szCs w:val="16"/>
        </w:rPr>
        <w:br/>
        <w:t>The UPC works closely with USBE to increase the capacity of diverse groups of parents. Meetings at UPC are held in Spanish as the second highest language in the State. Refugee populations are connected through UPC staff assigned to specific LEAs with large populations of refugees.</w:t>
      </w:r>
      <w:r w:rsidRPr="00781112">
        <w:rPr>
          <w:rFonts w:cs="Arial"/>
          <w:color w:val="000000" w:themeColor="text1"/>
          <w:szCs w:val="16"/>
        </w:rPr>
        <w:br/>
        <w:t>The USBE family engagement specialist seeks to increase capacity through cross collaboration with other parent and family engagement programs provided in LEAs that we will continue to target.</w:t>
      </w:r>
      <w:r w:rsidRPr="00781112">
        <w:rPr>
          <w:rFonts w:cs="Arial"/>
          <w:color w:val="000000" w:themeColor="text1"/>
          <w:szCs w:val="16"/>
        </w:rPr>
        <w:br/>
        <w:t>INDICATOR 1</w:t>
      </w:r>
      <w:r w:rsidRPr="00781112">
        <w:rPr>
          <w:rFonts w:cs="Arial"/>
          <w:color w:val="000000" w:themeColor="text1"/>
          <w:szCs w:val="16"/>
        </w:rPr>
        <w:br/>
        <w:t>Data from 2018 was determined to be an appropriate baseline. With a baseline of 67.90%, targets will increase with consideration for COVID-19 impacts.</w:t>
      </w:r>
      <w:r w:rsidRPr="00781112">
        <w:rPr>
          <w:rFonts w:cs="Arial"/>
          <w:color w:val="000000" w:themeColor="text1"/>
          <w:szCs w:val="16"/>
        </w:rPr>
        <w:br/>
        <w:t>INDICATOR 2</w:t>
      </w:r>
      <w:r w:rsidRPr="00781112">
        <w:rPr>
          <w:rFonts w:cs="Arial"/>
          <w:color w:val="000000" w:themeColor="text1"/>
          <w:szCs w:val="16"/>
        </w:rPr>
        <w:br/>
        <w:t>Data from 2018 was determined to be an appropriate baseline. With a baseline of 25.81%, targets will decrease with consideration for COVID-19 impacts.</w:t>
      </w:r>
      <w:r w:rsidRPr="00781112">
        <w:rPr>
          <w:rFonts w:cs="Arial"/>
          <w:color w:val="000000" w:themeColor="text1"/>
          <w:szCs w:val="16"/>
        </w:rPr>
        <w:br/>
        <w:t>INDICATOR 3A</w:t>
      </w:r>
      <w:r w:rsidRPr="00781112">
        <w:rPr>
          <w:rFonts w:cs="Arial"/>
          <w:color w:val="000000" w:themeColor="text1"/>
          <w:szCs w:val="16"/>
        </w:rPr>
        <w:br/>
        <w:t>This target is set by OSEP. Stakeholders discussed ways to improve participation.</w:t>
      </w:r>
      <w:r w:rsidRPr="00781112">
        <w:rPr>
          <w:rFonts w:cs="Arial"/>
          <w:color w:val="000000" w:themeColor="text1"/>
          <w:szCs w:val="16"/>
        </w:rPr>
        <w:br/>
        <w:t>INDICATORS 3B, C, D</w:t>
      </w:r>
      <w:r w:rsidRPr="00781112">
        <w:rPr>
          <w:rFonts w:cs="Arial"/>
          <w:color w:val="000000" w:themeColor="text1"/>
          <w:szCs w:val="16"/>
        </w:rPr>
        <w:br/>
        <w:t>Participants looked at the average mean from the previous four years of data in conjunction with the linear trend and forecasting. This process allowed participants to analyze the best statistical guess of where Utah’s data would most likely be in six years while also seeing the forecasting of possible error over time for predicting far into the future.</w:t>
      </w:r>
      <w:r w:rsidRPr="00781112">
        <w:rPr>
          <w:rFonts w:cs="Arial"/>
          <w:color w:val="000000" w:themeColor="text1"/>
          <w:szCs w:val="16"/>
        </w:rPr>
        <w:br/>
        <w:t>INDICATOR 5</w:t>
      </w:r>
      <w:r w:rsidRPr="00781112">
        <w:rPr>
          <w:rFonts w:cs="Arial"/>
          <w:color w:val="000000" w:themeColor="text1"/>
          <w:szCs w:val="16"/>
        </w:rPr>
        <w:br/>
        <w:t>During FFY 2020, the Indicator 5 baseline was reset. In FFY 2021, all targets were met. A comprehensive approach was taken to provide informative learning sessions to support special education directors who are accountable for reviewing Indicator 5 outcome data. Recognizing the need to differentiate support, the USBE SES offered individual LEA data analysis and problem-solving sessions.</w:t>
      </w:r>
      <w:r w:rsidRPr="00781112">
        <w:rPr>
          <w:rFonts w:cs="Arial"/>
          <w:color w:val="000000" w:themeColor="text1"/>
          <w:szCs w:val="16"/>
        </w:rPr>
        <w:br/>
        <w:t>INDICATOR 6</w:t>
      </w:r>
      <w:r w:rsidRPr="00781112">
        <w:rPr>
          <w:rFonts w:cs="Arial"/>
          <w:color w:val="000000" w:themeColor="text1"/>
          <w:szCs w:val="16"/>
        </w:rPr>
        <w:br/>
        <w:t>Data from 2018 was determined to be an appropriate baseline. With baselines of (A) 46.86%, (B) 32.67%, (C) 0.25%, targets will gradually increase and decrease with consideration for COVID-19 impacts.</w:t>
      </w:r>
      <w:r w:rsidRPr="00781112">
        <w:rPr>
          <w:rFonts w:cs="Arial"/>
          <w:color w:val="000000" w:themeColor="text1"/>
          <w:szCs w:val="16"/>
        </w:rPr>
        <w:br/>
        <w:t>INDICATOR 7</w:t>
      </w:r>
      <w:r w:rsidRPr="00781112">
        <w:rPr>
          <w:rFonts w:cs="Arial"/>
          <w:color w:val="000000" w:themeColor="text1"/>
          <w:szCs w:val="16"/>
        </w:rPr>
        <w:br/>
        <w:t>Data from 2018 was determined to be an appropriate baseline. The USBE predicts outcomes for this indicator are still being largely impacted by COVID-19, and targets are currently set below the baseline. With baselines of (A1) 88.86%, (A2) 58.94%, (B1) 88.41%, (B2) 50.48%, (C1) 89.86%, (C2) 70.52%, targets will increase with consideration for COVID-19 impacts.</w:t>
      </w:r>
      <w:r w:rsidRPr="00781112">
        <w:rPr>
          <w:rFonts w:cs="Arial"/>
          <w:color w:val="000000" w:themeColor="text1"/>
          <w:szCs w:val="16"/>
        </w:rPr>
        <w:br/>
        <w:t>INDICATOR 8</w:t>
      </w:r>
      <w:r w:rsidRPr="00781112">
        <w:rPr>
          <w:rFonts w:cs="Arial"/>
          <w:color w:val="000000" w:themeColor="text1"/>
          <w:szCs w:val="16"/>
        </w:rPr>
        <w:br/>
        <w:t>Data from 2018 was determined to be an appropriate baseline. With a baseline of 78.38%, targets will gradually increase with consideration for COVID-19 impacts.</w:t>
      </w:r>
      <w:r w:rsidRPr="00781112">
        <w:rPr>
          <w:rFonts w:cs="Arial"/>
          <w:color w:val="000000" w:themeColor="text1"/>
          <w:szCs w:val="16"/>
        </w:rPr>
        <w:br/>
        <w:t>INDICATORS 4, 9, 10</w:t>
      </w:r>
      <w:r w:rsidRPr="00781112">
        <w:rPr>
          <w:rFonts w:cs="Arial"/>
          <w:color w:val="000000" w:themeColor="text1"/>
          <w:szCs w:val="16"/>
        </w:rPr>
        <w:br/>
        <w:t>During the APR Summit, stakeholders reviewed current data trends and ways to improve outcomes. Although targets cannot be changed, stakeholder input has been instrumental in meeting targets for these indicators. The calculations and data collection process for these indicators has been updated to improve outcomes for SWD. Stakeholder input has been utilized to determine processes, PL, and support provided to bridge the gap between current performance and targets.</w:t>
      </w:r>
      <w:r w:rsidRPr="00781112">
        <w:rPr>
          <w:rFonts w:cs="Arial"/>
          <w:color w:val="000000" w:themeColor="text1"/>
          <w:szCs w:val="16"/>
        </w:rPr>
        <w:br/>
        <w:t>INDICATORS 11, 12</w:t>
      </w:r>
      <w:r w:rsidRPr="00781112">
        <w:rPr>
          <w:rFonts w:cs="Arial"/>
          <w:color w:val="000000" w:themeColor="text1"/>
          <w:szCs w:val="16"/>
        </w:rPr>
        <w:br/>
        <w:t>During the APR Summit, stakeholders reviewed current data trends and ways to improve outcomes. Although targets cannot be changed, stakeholder input has been instrumental in meeting targets for these indicators. Input has been utilized to determine PL and support provided to bridge the gap between current performance and targets.</w:t>
      </w:r>
      <w:r w:rsidRPr="00781112">
        <w:rPr>
          <w:rFonts w:cs="Arial"/>
          <w:color w:val="000000" w:themeColor="text1"/>
          <w:szCs w:val="16"/>
        </w:rPr>
        <w:br/>
        <w:t>INDICATOR 13</w:t>
      </w:r>
      <w:r w:rsidRPr="00781112">
        <w:rPr>
          <w:rFonts w:cs="Arial"/>
          <w:color w:val="000000" w:themeColor="text1"/>
          <w:szCs w:val="16"/>
        </w:rPr>
        <w:br/>
        <w:t>The USBE SES recognizes this is an area requiring improvement. During the APR Summit, stakeholders reviewed current data trends and ways to improve outcomes. Although targets cannot be changed, stakeholder input has been instrumental in the progression toward meeting the target.</w:t>
      </w:r>
      <w:r w:rsidRPr="00781112">
        <w:rPr>
          <w:rFonts w:cs="Arial"/>
          <w:color w:val="000000" w:themeColor="text1"/>
          <w:szCs w:val="16"/>
        </w:rPr>
        <w:br/>
        <w:t>INDICATOR 14</w:t>
      </w:r>
      <w:r w:rsidRPr="00781112">
        <w:rPr>
          <w:rFonts w:cs="Arial"/>
          <w:color w:val="000000" w:themeColor="text1"/>
          <w:szCs w:val="16"/>
        </w:rPr>
        <w:br/>
        <w:t>Data from 2018 was determined to be an appropriate baseline. The USBE predicts outcomes for this indicator are still being largely impacted by COVID-19, and targets are currently set below the baseline. With baselines of (A) 19.62%, (B) 67.60%, (C) 84.37%, targets will increase with consideration for COVID-19 impacts.</w:t>
      </w:r>
      <w:r w:rsidRPr="00781112">
        <w:rPr>
          <w:rFonts w:cs="Arial"/>
          <w:color w:val="000000" w:themeColor="text1"/>
          <w:szCs w:val="16"/>
        </w:rPr>
        <w:br/>
        <w:t xml:space="preserve">INDICATOR 15 </w:t>
      </w:r>
      <w:r w:rsidRPr="00781112">
        <w:rPr>
          <w:rFonts w:cs="Arial"/>
          <w:color w:val="000000" w:themeColor="text1"/>
          <w:szCs w:val="16"/>
        </w:rPr>
        <w:br/>
        <w:t>The USBE continues to experience relatively low levels of due process hearing requests and resolution meetings and is not required to set a target.</w:t>
      </w:r>
      <w:r w:rsidRPr="00781112">
        <w:rPr>
          <w:rFonts w:cs="Arial"/>
          <w:color w:val="000000" w:themeColor="text1"/>
          <w:szCs w:val="16"/>
        </w:rPr>
        <w:br/>
        <w:t xml:space="preserve">INDICATOR 16 </w:t>
      </w:r>
      <w:r w:rsidRPr="00781112">
        <w:rPr>
          <w:rFonts w:cs="Arial"/>
          <w:color w:val="000000" w:themeColor="text1"/>
          <w:szCs w:val="16"/>
        </w:rPr>
        <w:br/>
        <w:t>The USBE continues to experience relatively low levels of dispute resolution requests, including mediation. Targets have been set based on the low level of mediation requests.</w:t>
      </w:r>
    </w:p>
    <w:bookmarkEnd w:id="95"/>
    <w:bookmarkEnd w:id="96"/>
    <w:p w14:paraId="3A708A87" w14:textId="77777777" w:rsidR="00CE0C68" w:rsidRDefault="00CE0C68" w:rsidP="00127006">
      <w:pPr>
        <w:pStyle w:val="Bold"/>
        <w:rPr>
          <w:color w:val="000000" w:themeColor="text1"/>
        </w:rPr>
      </w:pPr>
    </w:p>
    <w:p w14:paraId="7035328C" w14:textId="77777777" w:rsidR="007123A2" w:rsidRPr="00781112" w:rsidRDefault="007123A2" w:rsidP="00127006">
      <w:pPr>
        <w:pStyle w:val="Bold"/>
        <w:rPr>
          <w:color w:val="000000" w:themeColor="text1"/>
        </w:rPr>
      </w:pPr>
    </w:p>
    <w:p w14:paraId="4E8407A2" w14:textId="6977F9EE" w:rsidR="00EC46E4" w:rsidRPr="00781112" w:rsidRDefault="00EC46E4"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5BASELINEDATA"/>
      </w:tblPr>
      <w:tblGrid>
        <w:gridCol w:w="1797"/>
        <w:gridCol w:w="1798"/>
      </w:tblGrid>
      <w:tr w:rsidR="00956DFE" w:rsidRPr="00781112" w14:paraId="4BC2AEC0" w14:textId="77777777" w:rsidTr="00123D76">
        <w:trPr>
          <w:trHeight w:val="311"/>
          <w:tblHeader/>
        </w:trPr>
        <w:tc>
          <w:tcPr>
            <w:tcW w:w="1797" w:type="dxa"/>
          </w:tcPr>
          <w:p w14:paraId="5C965FC2" w14:textId="77777777" w:rsidR="00956DFE" w:rsidRPr="00781112" w:rsidRDefault="00956DFE" w:rsidP="00123D76">
            <w:pPr>
              <w:jc w:val="center"/>
              <w:rPr>
                <w:b/>
                <w:color w:val="000000" w:themeColor="text1"/>
              </w:rPr>
            </w:pPr>
            <w:r w:rsidRPr="00781112">
              <w:rPr>
                <w:rFonts w:cs="Arial"/>
                <w:b/>
                <w:color w:val="000000" w:themeColor="text1"/>
                <w:szCs w:val="16"/>
              </w:rPr>
              <w:t>Baseline Year</w:t>
            </w:r>
          </w:p>
        </w:tc>
        <w:tc>
          <w:tcPr>
            <w:tcW w:w="1798" w:type="dxa"/>
          </w:tcPr>
          <w:p w14:paraId="0FE47E01" w14:textId="77777777" w:rsidR="00956DFE" w:rsidRPr="00781112" w:rsidRDefault="00956DFE" w:rsidP="00123D76">
            <w:pPr>
              <w:jc w:val="center"/>
              <w:rPr>
                <w:b/>
                <w:color w:val="000000" w:themeColor="text1"/>
              </w:rPr>
            </w:pPr>
            <w:r w:rsidRPr="00781112">
              <w:rPr>
                <w:b/>
                <w:color w:val="000000" w:themeColor="text1"/>
              </w:rPr>
              <w:t>Baseline Data</w:t>
            </w:r>
          </w:p>
        </w:tc>
      </w:tr>
      <w:tr w:rsidR="00956DFE" w:rsidRPr="00781112" w14:paraId="4061AB26" w14:textId="77777777" w:rsidTr="00123D76">
        <w:trPr>
          <w:trHeight w:val="311"/>
        </w:trPr>
        <w:tc>
          <w:tcPr>
            <w:tcW w:w="1797" w:type="dxa"/>
            <w:vAlign w:val="center"/>
          </w:tcPr>
          <w:p w14:paraId="06B6D30C" w14:textId="2AF9B55C" w:rsidR="00956DFE" w:rsidRPr="00781112" w:rsidRDefault="00956DFE" w:rsidP="00123D76">
            <w:pPr>
              <w:jc w:val="center"/>
              <w:rPr>
                <w:bCs/>
                <w:color w:val="000000" w:themeColor="text1"/>
              </w:rPr>
            </w:pPr>
            <w:r w:rsidRPr="00781112">
              <w:rPr>
                <w:bCs/>
                <w:color w:val="000000" w:themeColor="text1"/>
              </w:rPr>
              <w:t>2018</w:t>
            </w:r>
          </w:p>
        </w:tc>
        <w:tc>
          <w:tcPr>
            <w:tcW w:w="1798" w:type="dxa"/>
            <w:vAlign w:val="center"/>
          </w:tcPr>
          <w:p w14:paraId="2ECB17ED" w14:textId="53ECEEAF" w:rsidR="00956DFE" w:rsidRPr="00781112" w:rsidRDefault="00956DFE" w:rsidP="00123D76">
            <w:pPr>
              <w:jc w:val="center"/>
              <w:rPr>
                <w:bCs/>
                <w:color w:val="000000" w:themeColor="text1"/>
              </w:rPr>
            </w:pPr>
            <w:r w:rsidRPr="00781112">
              <w:rPr>
                <w:bCs/>
                <w:color w:val="000000" w:themeColor="text1"/>
              </w:rPr>
              <w:t>44.44%</w:t>
            </w:r>
          </w:p>
        </w:tc>
      </w:tr>
    </w:tbl>
    <w:p w14:paraId="3ABC15A0" w14:textId="77777777" w:rsidR="00956DFE" w:rsidRPr="00781112" w:rsidRDefault="00956DFE"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5HISTDATA"/>
      </w:tblPr>
      <w:tblGrid>
        <w:gridCol w:w="1798"/>
        <w:gridCol w:w="1798"/>
        <w:gridCol w:w="1798"/>
        <w:gridCol w:w="1798"/>
        <w:gridCol w:w="1798"/>
        <w:gridCol w:w="1800"/>
      </w:tblGrid>
      <w:tr w:rsidR="005C29F8" w:rsidRPr="00781112" w14:paraId="4E412341" w14:textId="77777777" w:rsidTr="004B2960">
        <w:trPr>
          <w:trHeight w:val="350"/>
        </w:trPr>
        <w:tc>
          <w:tcPr>
            <w:tcW w:w="833" w:type="pct"/>
            <w:tcBorders>
              <w:bottom w:val="single" w:sz="4" w:space="0" w:color="auto"/>
            </w:tcBorders>
            <w:shd w:val="clear" w:color="auto" w:fill="auto"/>
          </w:tcPr>
          <w:p w14:paraId="3BCF53D4" w14:textId="77777777" w:rsidR="00206890" w:rsidRPr="00781112" w:rsidRDefault="00206890"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1BCFC70E" w14:textId="1BB5B5A8" w:rsidR="00206890" w:rsidRPr="00781112" w:rsidRDefault="002B7490" w:rsidP="008E31C4">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0D14322A" w14:textId="6BD4D2D0" w:rsidR="00206890" w:rsidRPr="00781112" w:rsidRDefault="002B7490" w:rsidP="008E31C4">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5AD53313" w14:textId="5FC8C632" w:rsidR="00206890" w:rsidRPr="00781112" w:rsidRDefault="002B7490" w:rsidP="008E31C4">
            <w:pPr>
              <w:jc w:val="center"/>
              <w:rPr>
                <w:rFonts w:cs="Arial"/>
                <w:b/>
                <w:color w:val="000000" w:themeColor="text1"/>
                <w:szCs w:val="16"/>
              </w:rPr>
            </w:pPr>
            <w:r w:rsidRPr="00781112">
              <w:rPr>
                <w:rFonts w:cs="Arial"/>
                <w:b/>
                <w:color w:val="000000" w:themeColor="text1"/>
                <w:szCs w:val="16"/>
              </w:rPr>
              <w:t>2018</w:t>
            </w:r>
          </w:p>
        </w:tc>
        <w:tc>
          <w:tcPr>
            <w:tcW w:w="833" w:type="pct"/>
            <w:shd w:val="clear" w:color="auto" w:fill="auto"/>
          </w:tcPr>
          <w:p w14:paraId="4015341F" w14:textId="703AE838" w:rsidR="00206890" w:rsidRPr="00781112" w:rsidRDefault="002B7490" w:rsidP="008E31C4">
            <w:pPr>
              <w:jc w:val="center"/>
              <w:rPr>
                <w:rFonts w:cs="Arial"/>
                <w:b/>
                <w:color w:val="000000" w:themeColor="text1"/>
                <w:szCs w:val="16"/>
              </w:rPr>
            </w:pPr>
            <w:r w:rsidRPr="00781112">
              <w:rPr>
                <w:rFonts w:cs="Arial"/>
                <w:b/>
                <w:color w:val="000000" w:themeColor="text1"/>
                <w:szCs w:val="16"/>
              </w:rPr>
              <w:t>2019</w:t>
            </w:r>
          </w:p>
        </w:tc>
        <w:tc>
          <w:tcPr>
            <w:tcW w:w="834" w:type="pct"/>
            <w:shd w:val="clear" w:color="auto" w:fill="auto"/>
          </w:tcPr>
          <w:p w14:paraId="087D6966" w14:textId="6C948B8E" w:rsidR="00206890" w:rsidRPr="00781112" w:rsidRDefault="002B7490" w:rsidP="008E31C4">
            <w:pPr>
              <w:jc w:val="center"/>
              <w:rPr>
                <w:rFonts w:cs="Arial"/>
                <w:b/>
                <w:color w:val="000000" w:themeColor="text1"/>
                <w:szCs w:val="16"/>
              </w:rPr>
            </w:pPr>
            <w:r w:rsidRPr="00781112">
              <w:rPr>
                <w:rFonts w:cs="Arial"/>
                <w:b/>
                <w:color w:val="000000" w:themeColor="text1"/>
                <w:szCs w:val="16"/>
              </w:rPr>
              <w:t>2020</w:t>
            </w:r>
          </w:p>
        </w:tc>
      </w:tr>
      <w:tr w:rsidR="005C29F8" w:rsidRPr="00781112" w14:paraId="2C55BF13" w14:textId="77777777" w:rsidTr="004B2960">
        <w:trPr>
          <w:trHeight w:val="357"/>
        </w:trPr>
        <w:tc>
          <w:tcPr>
            <w:tcW w:w="833" w:type="pct"/>
            <w:shd w:val="clear" w:color="auto" w:fill="auto"/>
          </w:tcPr>
          <w:p w14:paraId="33F24D1B" w14:textId="209B7194" w:rsidR="00206890" w:rsidRPr="00781112" w:rsidRDefault="00206890" w:rsidP="008E31C4">
            <w:pPr>
              <w:rPr>
                <w:rFonts w:cs="Arial"/>
                <w:color w:val="000000" w:themeColor="text1"/>
                <w:szCs w:val="16"/>
              </w:rPr>
            </w:pPr>
            <w:r w:rsidRPr="00781112">
              <w:rPr>
                <w:rFonts w:cs="Arial"/>
                <w:color w:val="000000" w:themeColor="text1"/>
                <w:szCs w:val="16"/>
              </w:rPr>
              <w:t>Target &gt;=</w:t>
            </w:r>
          </w:p>
        </w:tc>
        <w:tc>
          <w:tcPr>
            <w:tcW w:w="833" w:type="pct"/>
            <w:shd w:val="clear" w:color="auto" w:fill="auto"/>
          </w:tcPr>
          <w:p w14:paraId="7184CC23" w14:textId="0660F716" w:rsidR="00206890" w:rsidRPr="00781112" w:rsidRDefault="00206890" w:rsidP="00A018D4">
            <w:pPr>
              <w:jc w:val="center"/>
              <w:rPr>
                <w:rFonts w:cs="Arial"/>
                <w:color w:val="000000" w:themeColor="text1"/>
                <w:szCs w:val="16"/>
              </w:rPr>
            </w:pPr>
          </w:p>
        </w:tc>
        <w:tc>
          <w:tcPr>
            <w:tcW w:w="833" w:type="pct"/>
            <w:shd w:val="clear" w:color="auto" w:fill="auto"/>
          </w:tcPr>
          <w:p w14:paraId="0E9857EC" w14:textId="50F3C2EF" w:rsidR="00206890" w:rsidRPr="00781112" w:rsidRDefault="00206890" w:rsidP="00A018D4">
            <w:pPr>
              <w:jc w:val="center"/>
              <w:rPr>
                <w:rFonts w:cs="Arial"/>
                <w:color w:val="000000" w:themeColor="text1"/>
                <w:szCs w:val="16"/>
              </w:rPr>
            </w:pPr>
          </w:p>
        </w:tc>
        <w:tc>
          <w:tcPr>
            <w:tcW w:w="833" w:type="pct"/>
            <w:shd w:val="clear" w:color="auto" w:fill="auto"/>
            <w:vAlign w:val="center"/>
          </w:tcPr>
          <w:p w14:paraId="0571C04B" w14:textId="328A30A7" w:rsidR="00206890"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shd w:val="clear" w:color="auto" w:fill="auto"/>
            <w:vAlign w:val="center"/>
          </w:tcPr>
          <w:p w14:paraId="77EAC2A0" w14:textId="7A794ABC" w:rsidR="00206890" w:rsidRPr="00781112" w:rsidRDefault="00206890" w:rsidP="00A018D4">
            <w:pPr>
              <w:jc w:val="center"/>
              <w:rPr>
                <w:rFonts w:cs="Arial"/>
                <w:color w:val="000000" w:themeColor="text1"/>
                <w:szCs w:val="16"/>
              </w:rPr>
            </w:pPr>
          </w:p>
        </w:tc>
        <w:tc>
          <w:tcPr>
            <w:tcW w:w="834" w:type="pct"/>
            <w:shd w:val="clear" w:color="auto" w:fill="auto"/>
            <w:vAlign w:val="center"/>
          </w:tcPr>
          <w:p w14:paraId="04397BF9" w14:textId="1A3506DC" w:rsidR="00206890" w:rsidRPr="00781112" w:rsidRDefault="00206890" w:rsidP="00A018D4">
            <w:pPr>
              <w:jc w:val="center"/>
              <w:rPr>
                <w:rFonts w:cs="Arial"/>
                <w:color w:val="000000" w:themeColor="text1"/>
                <w:szCs w:val="16"/>
              </w:rPr>
            </w:pPr>
          </w:p>
        </w:tc>
      </w:tr>
      <w:tr w:rsidR="005C29F8" w:rsidRPr="00781112" w14:paraId="10C8B4B5" w14:textId="77777777" w:rsidTr="004B2960">
        <w:trPr>
          <w:trHeight w:val="85"/>
        </w:trPr>
        <w:tc>
          <w:tcPr>
            <w:tcW w:w="833" w:type="pct"/>
            <w:shd w:val="clear" w:color="auto" w:fill="auto"/>
          </w:tcPr>
          <w:p w14:paraId="708FF78B" w14:textId="77777777" w:rsidR="00206890" w:rsidRPr="00781112" w:rsidRDefault="00206890" w:rsidP="008E31C4">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5E187FD0" w14:textId="3237A264" w:rsidR="00206890"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shd w:val="clear" w:color="auto" w:fill="auto"/>
          </w:tcPr>
          <w:p w14:paraId="6CEC3330" w14:textId="5E8A3E06" w:rsidR="00206890" w:rsidRPr="00781112" w:rsidRDefault="002B7490" w:rsidP="00A018D4">
            <w:pPr>
              <w:jc w:val="center"/>
              <w:rPr>
                <w:rFonts w:cs="Arial"/>
                <w:color w:val="000000" w:themeColor="text1"/>
                <w:szCs w:val="16"/>
              </w:rPr>
            </w:pPr>
            <w:r w:rsidRPr="00781112">
              <w:rPr>
                <w:rFonts w:cs="Arial"/>
                <w:color w:val="000000" w:themeColor="text1"/>
                <w:szCs w:val="16"/>
              </w:rPr>
              <w:t>66.67%</w:t>
            </w:r>
          </w:p>
        </w:tc>
        <w:tc>
          <w:tcPr>
            <w:tcW w:w="833" w:type="pct"/>
            <w:tcBorders>
              <w:bottom w:val="single" w:sz="4" w:space="0" w:color="auto"/>
            </w:tcBorders>
            <w:shd w:val="clear" w:color="auto" w:fill="auto"/>
            <w:vAlign w:val="center"/>
          </w:tcPr>
          <w:p w14:paraId="3C74B678" w14:textId="22746FF8" w:rsidR="00206890" w:rsidRPr="00781112" w:rsidRDefault="002B7490" w:rsidP="00A018D4">
            <w:pPr>
              <w:jc w:val="center"/>
              <w:rPr>
                <w:rFonts w:cs="Arial"/>
                <w:color w:val="000000" w:themeColor="text1"/>
                <w:szCs w:val="16"/>
              </w:rPr>
            </w:pPr>
            <w:r w:rsidRPr="00781112">
              <w:rPr>
                <w:rFonts w:cs="Arial"/>
                <w:color w:val="000000" w:themeColor="text1"/>
                <w:szCs w:val="16"/>
              </w:rPr>
              <w:t>44.44%</w:t>
            </w:r>
          </w:p>
        </w:tc>
        <w:tc>
          <w:tcPr>
            <w:tcW w:w="833" w:type="pct"/>
            <w:tcBorders>
              <w:bottom w:val="single" w:sz="4" w:space="0" w:color="auto"/>
            </w:tcBorders>
            <w:shd w:val="clear" w:color="auto" w:fill="auto"/>
            <w:vAlign w:val="center"/>
          </w:tcPr>
          <w:p w14:paraId="6488E126" w14:textId="74B63322" w:rsidR="00206890" w:rsidRPr="00781112" w:rsidRDefault="002B7490" w:rsidP="00A018D4">
            <w:pPr>
              <w:jc w:val="center"/>
              <w:rPr>
                <w:rFonts w:cs="Arial"/>
                <w:color w:val="000000" w:themeColor="text1"/>
                <w:szCs w:val="16"/>
              </w:rPr>
            </w:pPr>
            <w:r w:rsidRPr="00781112">
              <w:rPr>
                <w:rFonts w:cs="Arial"/>
                <w:color w:val="000000" w:themeColor="text1"/>
                <w:szCs w:val="16"/>
              </w:rPr>
              <w:t>80.00%</w:t>
            </w:r>
          </w:p>
        </w:tc>
        <w:tc>
          <w:tcPr>
            <w:tcW w:w="834" w:type="pct"/>
            <w:tcBorders>
              <w:bottom w:val="single" w:sz="4" w:space="0" w:color="auto"/>
            </w:tcBorders>
            <w:shd w:val="clear" w:color="auto" w:fill="auto"/>
            <w:vAlign w:val="center"/>
          </w:tcPr>
          <w:p w14:paraId="72325A8D" w14:textId="79CE876D" w:rsidR="00206890" w:rsidRPr="00781112" w:rsidRDefault="002B7490" w:rsidP="00A018D4">
            <w:pPr>
              <w:jc w:val="center"/>
              <w:rPr>
                <w:rFonts w:cs="Arial"/>
                <w:color w:val="000000" w:themeColor="text1"/>
                <w:szCs w:val="16"/>
              </w:rPr>
            </w:pPr>
            <w:r w:rsidRPr="00781112">
              <w:rPr>
                <w:rFonts w:cs="Arial"/>
                <w:color w:val="000000" w:themeColor="text1"/>
                <w:szCs w:val="16"/>
              </w:rPr>
              <w:t>37.50%</w:t>
            </w:r>
          </w:p>
        </w:tc>
      </w:tr>
    </w:tbl>
    <w:p w14:paraId="49D45707" w14:textId="4136C190" w:rsidR="00CE0C68" w:rsidRPr="00781112" w:rsidRDefault="00CE0C68">
      <w:pPr>
        <w:rPr>
          <w:color w:val="000000" w:themeColor="text1"/>
        </w:rPr>
      </w:pPr>
    </w:p>
    <w:p w14:paraId="59067092" w14:textId="77777777" w:rsidR="007123A2" w:rsidRDefault="007123A2">
      <w:pPr>
        <w:spacing w:before="0" w:after="200" w:line="276" w:lineRule="auto"/>
        <w:rPr>
          <w:b/>
          <w:color w:val="000000" w:themeColor="text1"/>
        </w:rPr>
      </w:pPr>
      <w:r>
        <w:rPr>
          <w:b/>
          <w:color w:val="000000" w:themeColor="text1"/>
        </w:rPr>
        <w:br w:type="page"/>
      </w:r>
    </w:p>
    <w:p w14:paraId="0B3CADC6" w14:textId="1A34073D" w:rsidR="00372DF8" w:rsidRPr="00781112" w:rsidRDefault="00372DF8" w:rsidP="004369B2">
      <w:pPr>
        <w:rPr>
          <w:color w:val="000000" w:themeColor="text1"/>
        </w:rPr>
      </w:pPr>
      <w:r w:rsidRPr="00781112">
        <w:rPr>
          <w:b/>
          <w:color w:val="000000" w:themeColor="text1"/>
        </w:rPr>
        <w:lastRenderedPageBreak/>
        <w:t>Targets</w:t>
      </w:r>
    </w:p>
    <w:tbl>
      <w:tblPr>
        <w:tblW w:w="42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TARGETSOPT1"/>
      </w:tblPr>
      <w:tblGrid>
        <w:gridCol w:w="918"/>
        <w:gridCol w:w="2016"/>
        <w:gridCol w:w="1554"/>
        <w:gridCol w:w="1554"/>
        <w:gridCol w:w="1554"/>
        <w:gridCol w:w="1554"/>
      </w:tblGrid>
      <w:tr w:rsidR="00B14519" w:rsidRPr="00781112" w14:paraId="5B5B06C7" w14:textId="5314EC59" w:rsidTr="00451D7E">
        <w:trPr>
          <w:trHeight w:val="431"/>
        </w:trPr>
        <w:tc>
          <w:tcPr>
            <w:tcW w:w="502" w:type="pct"/>
            <w:tcBorders>
              <w:bottom w:val="single" w:sz="4" w:space="0" w:color="auto"/>
            </w:tcBorders>
            <w:shd w:val="clear" w:color="auto" w:fill="auto"/>
          </w:tcPr>
          <w:p w14:paraId="31E34DD6" w14:textId="77777777" w:rsidR="00B14519" w:rsidRPr="00781112" w:rsidRDefault="00B14519" w:rsidP="00AF574F">
            <w:pPr>
              <w:jc w:val="center"/>
              <w:rPr>
                <w:b/>
                <w:color w:val="000000" w:themeColor="text1"/>
              </w:rPr>
            </w:pPr>
            <w:r w:rsidRPr="00781112">
              <w:rPr>
                <w:b/>
                <w:color w:val="000000" w:themeColor="text1"/>
              </w:rPr>
              <w:t>FFY</w:t>
            </w:r>
          </w:p>
        </w:tc>
        <w:tc>
          <w:tcPr>
            <w:tcW w:w="1102" w:type="pct"/>
            <w:shd w:val="clear" w:color="auto" w:fill="auto"/>
          </w:tcPr>
          <w:p w14:paraId="782DDA76" w14:textId="193A6DE4" w:rsidR="00B14519" w:rsidRPr="00781112" w:rsidRDefault="00B14519" w:rsidP="00AF574F">
            <w:pPr>
              <w:jc w:val="center"/>
              <w:rPr>
                <w:b/>
                <w:color w:val="000000" w:themeColor="text1"/>
              </w:rPr>
            </w:pPr>
            <w:r w:rsidRPr="00781112">
              <w:rPr>
                <w:b/>
                <w:color w:val="000000" w:themeColor="text1"/>
              </w:rPr>
              <w:t>2021</w:t>
            </w:r>
          </w:p>
        </w:tc>
        <w:tc>
          <w:tcPr>
            <w:tcW w:w="849" w:type="pct"/>
          </w:tcPr>
          <w:p w14:paraId="64BBFFA7" w14:textId="5A89DD6A" w:rsidR="00B14519" w:rsidRPr="00781112" w:rsidRDefault="00B14519" w:rsidP="00AD75EE">
            <w:pPr>
              <w:spacing w:before="0" w:after="200" w:line="276" w:lineRule="auto"/>
              <w:jc w:val="center"/>
            </w:pPr>
            <w:r w:rsidRPr="00781112">
              <w:rPr>
                <w:rFonts w:cs="Arial"/>
                <w:b/>
                <w:color w:val="000000" w:themeColor="text1"/>
                <w:szCs w:val="16"/>
              </w:rPr>
              <w:t>2022</w:t>
            </w:r>
          </w:p>
        </w:tc>
        <w:tc>
          <w:tcPr>
            <w:tcW w:w="849" w:type="pct"/>
          </w:tcPr>
          <w:p w14:paraId="1B4B8409" w14:textId="760000D9" w:rsidR="00B14519" w:rsidRPr="00781112" w:rsidRDefault="00B14519" w:rsidP="00AD75EE">
            <w:pPr>
              <w:spacing w:before="0" w:after="200" w:line="276" w:lineRule="auto"/>
              <w:jc w:val="center"/>
            </w:pPr>
            <w:r w:rsidRPr="00781112">
              <w:rPr>
                <w:rFonts w:cs="Arial"/>
                <w:b/>
                <w:color w:val="000000" w:themeColor="text1"/>
                <w:szCs w:val="16"/>
              </w:rPr>
              <w:t>2023</w:t>
            </w:r>
          </w:p>
        </w:tc>
        <w:tc>
          <w:tcPr>
            <w:tcW w:w="849" w:type="pct"/>
          </w:tcPr>
          <w:p w14:paraId="3B1502FE" w14:textId="792D80C3" w:rsidR="00B14519" w:rsidRPr="00781112" w:rsidRDefault="00B14519" w:rsidP="00AD75EE">
            <w:pPr>
              <w:spacing w:before="0" w:after="200" w:line="276" w:lineRule="auto"/>
              <w:jc w:val="center"/>
            </w:pPr>
            <w:r w:rsidRPr="00781112">
              <w:rPr>
                <w:rFonts w:cs="Arial"/>
                <w:b/>
                <w:color w:val="000000" w:themeColor="text1"/>
                <w:szCs w:val="16"/>
              </w:rPr>
              <w:t>2024</w:t>
            </w:r>
          </w:p>
        </w:tc>
        <w:tc>
          <w:tcPr>
            <w:tcW w:w="849" w:type="pct"/>
          </w:tcPr>
          <w:p w14:paraId="3020AD2E" w14:textId="61B1A376" w:rsidR="00B14519" w:rsidRPr="00781112" w:rsidRDefault="00B14519" w:rsidP="00AD75EE">
            <w:pPr>
              <w:spacing w:before="0" w:after="200" w:line="276" w:lineRule="auto"/>
              <w:jc w:val="center"/>
            </w:pPr>
            <w:r w:rsidRPr="00781112">
              <w:rPr>
                <w:rFonts w:cs="Arial"/>
                <w:b/>
                <w:color w:val="000000" w:themeColor="text1"/>
                <w:szCs w:val="16"/>
              </w:rPr>
              <w:t>2025</w:t>
            </w:r>
          </w:p>
        </w:tc>
      </w:tr>
      <w:tr w:rsidR="00B14519" w:rsidRPr="00781112" w14:paraId="2E97FCFB" w14:textId="76FCB4DE" w:rsidTr="00451D7E">
        <w:trPr>
          <w:trHeight w:val="521"/>
        </w:trPr>
        <w:tc>
          <w:tcPr>
            <w:tcW w:w="502" w:type="pct"/>
            <w:shd w:val="clear" w:color="auto" w:fill="auto"/>
          </w:tcPr>
          <w:p w14:paraId="4E1FED50" w14:textId="35E6081C" w:rsidR="00B14519" w:rsidRPr="00781112" w:rsidRDefault="00B14519" w:rsidP="00AF574F">
            <w:pPr>
              <w:rPr>
                <w:rFonts w:cs="Arial"/>
                <w:color w:val="000000" w:themeColor="text1"/>
                <w:szCs w:val="16"/>
              </w:rPr>
            </w:pPr>
            <w:r w:rsidRPr="00781112">
              <w:rPr>
                <w:rFonts w:cs="Arial"/>
                <w:color w:val="000000" w:themeColor="text1"/>
                <w:szCs w:val="16"/>
              </w:rPr>
              <w:t>Target &gt;=</w:t>
            </w:r>
          </w:p>
        </w:tc>
        <w:tc>
          <w:tcPr>
            <w:tcW w:w="1102" w:type="pct"/>
            <w:shd w:val="clear" w:color="auto" w:fill="auto"/>
            <w:vAlign w:val="center"/>
          </w:tcPr>
          <w:p w14:paraId="39DFFAEB" w14:textId="54D1D7D6" w:rsidR="00B14519" w:rsidRPr="00781112" w:rsidRDefault="00B14519" w:rsidP="008D24E3">
            <w:pPr>
              <w:jc w:val="center"/>
              <w:rPr>
                <w:rFonts w:cs="Arial"/>
                <w:color w:val="000000" w:themeColor="text1"/>
                <w:szCs w:val="16"/>
              </w:rPr>
            </w:pPr>
          </w:p>
        </w:tc>
        <w:tc>
          <w:tcPr>
            <w:tcW w:w="849" w:type="pct"/>
          </w:tcPr>
          <w:p w14:paraId="57B3A075" w14:textId="21F2B25E" w:rsidR="00B14519" w:rsidRPr="00781112" w:rsidRDefault="00B14519" w:rsidP="008D24E3">
            <w:pPr>
              <w:spacing w:before="0" w:after="200" w:line="276" w:lineRule="auto"/>
              <w:jc w:val="center"/>
            </w:pPr>
          </w:p>
        </w:tc>
        <w:tc>
          <w:tcPr>
            <w:tcW w:w="849" w:type="pct"/>
          </w:tcPr>
          <w:p w14:paraId="211F936E" w14:textId="58F0DC2F" w:rsidR="00B14519" w:rsidRPr="00781112" w:rsidRDefault="00B14519" w:rsidP="008D24E3">
            <w:pPr>
              <w:spacing w:before="0" w:after="200" w:line="276" w:lineRule="auto"/>
              <w:jc w:val="center"/>
            </w:pPr>
          </w:p>
        </w:tc>
        <w:tc>
          <w:tcPr>
            <w:tcW w:w="849" w:type="pct"/>
          </w:tcPr>
          <w:p w14:paraId="53679E27" w14:textId="6773FF8D" w:rsidR="00B14519" w:rsidRPr="00781112" w:rsidRDefault="00B14519" w:rsidP="008D24E3">
            <w:pPr>
              <w:spacing w:before="0" w:after="200" w:line="276" w:lineRule="auto"/>
              <w:jc w:val="center"/>
            </w:pPr>
          </w:p>
        </w:tc>
        <w:tc>
          <w:tcPr>
            <w:tcW w:w="849" w:type="pct"/>
          </w:tcPr>
          <w:p w14:paraId="492B2B0A" w14:textId="258B9D99" w:rsidR="00B14519" w:rsidRPr="00781112" w:rsidRDefault="00B14519" w:rsidP="008D24E3">
            <w:pPr>
              <w:spacing w:before="0" w:after="200" w:line="276" w:lineRule="auto"/>
              <w:jc w:val="center"/>
            </w:pPr>
          </w:p>
        </w:tc>
      </w:tr>
    </w:tbl>
    <w:p w14:paraId="25B7ED55" w14:textId="77777777" w:rsidR="00CE0C68" w:rsidRPr="00781112" w:rsidRDefault="00CE0C68" w:rsidP="004369B2">
      <w:pPr>
        <w:rPr>
          <w:color w:val="000000" w:themeColor="text1"/>
        </w:rPr>
      </w:pPr>
    </w:p>
    <w:p w14:paraId="639445A0" w14:textId="725332EC" w:rsidR="00634AD8" w:rsidRPr="00781112" w:rsidRDefault="0047313F">
      <w:pPr>
        <w:rPr>
          <w:b/>
          <w:color w:val="000000" w:themeColor="text1"/>
        </w:rPr>
      </w:pPr>
      <w:r>
        <w:rPr>
          <w:b/>
          <w:color w:val="000000" w:themeColor="text1"/>
        </w:rPr>
        <w:t>FFY 2021 SPP/APR Data</w:t>
      </w:r>
    </w:p>
    <w:p w14:paraId="59EF63A0" w14:textId="77777777" w:rsidR="00127006" w:rsidRPr="00781112" w:rsidRDefault="00127006"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5CFFYAPRDATA1OPT1"/>
      </w:tblPr>
      <w:tblGrid>
        <w:gridCol w:w="1634"/>
        <w:gridCol w:w="1625"/>
        <w:gridCol w:w="1271"/>
        <w:gridCol w:w="1908"/>
        <w:gridCol w:w="1493"/>
        <w:gridCol w:w="1452"/>
        <w:gridCol w:w="1407"/>
      </w:tblGrid>
      <w:tr w:rsidR="00B21923" w:rsidRPr="00781112" w14:paraId="7CE022CD" w14:textId="689D2875" w:rsidTr="00877012">
        <w:trPr>
          <w:trHeight w:val="354"/>
          <w:tblHeader/>
        </w:trPr>
        <w:tc>
          <w:tcPr>
            <w:tcW w:w="757" w:type="pct"/>
            <w:shd w:val="clear" w:color="auto" w:fill="auto"/>
            <w:vAlign w:val="bottom"/>
          </w:tcPr>
          <w:p w14:paraId="4A4004E2" w14:textId="77777777" w:rsidR="00B21923" w:rsidRPr="00781112" w:rsidRDefault="00B21923" w:rsidP="00B21923">
            <w:pPr>
              <w:jc w:val="center"/>
              <w:rPr>
                <w:rFonts w:cs="Arial"/>
                <w:b/>
                <w:color w:val="000000" w:themeColor="text1"/>
                <w:szCs w:val="16"/>
              </w:rPr>
            </w:pPr>
            <w:r w:rsidRPr="00781112">
              <w:rPr>
                <w:rFonts w:cs="Arial"/>
                <w:b/>
                <w:color w:val="000000" w:themeColor="text1"/>
                <w:szCs w:val="16"/>
              </w:rPr>
              <w:t>3.1(a) Number resolutions sessions resolved through settlement agreements</w:t>
            </w:r>
          </w:p>
        </w:tc>
        <w:tc>
          <w:tcPr>
            <w:tcW w:w="753" w:type="pct"/>
            <w:shd w:val="clear" w:color="auto" w:fill="auto"/>
            <w:vAlign w:val="bottom"/>
          </w:tcPr>
          <w:p w14:paraId="15083250" w14:textId="77777777" w:rsidR="00B21923" w:rsidRPr="00781112" w:rsidRDefault="00B21923" w:rsidP="00B21923">
            <w:pPr>
              <w:jc w:val="center"/>
              <w:rPr>
                <w:rFonts w:cs="Arial"/>
                <w:b/>
                <w:color w:val="000000" w:themeColor="text1"/>
                <w:szCs w:val="16"/>
              </w:rPr>
            </w:pPr>
            <w:r w:rsidRPr="00781112">
              <w:rPr>
                <w:rFonts w:cs="Arial"/>
                <w:b/>
                <w:color w:val="000000" w:themeColor="text1"/>
                <w:szCs w:val="16"/>
              </w:rPr>
              <w:t>3.1 Number of resolutions sessions</w:t>
            </w:r>
          </w:p>
        </w:tc>
        <w:tc>
          <w:tcPr>
            <w:tcW w:w="589" w:type="pct"/>
            <w:shd w:val="clear" w:color="auto" w:fill="auto"/>
            <w:vAlign w:val="bottom"/>
          </w:tcPr>
          <w:p w14:paraId="61FCEFFA" w14:textId="7CD58682" w:rsidR="00B21923" w:rsidRPr="006D0A52" w:rsidRDefault="00B21923" w:rsidP="00B21923">
            <w:pPr>
              <w:jc w:val="center"/>
              <w:rPr>
                <w:rFonts w:cs="Arial"/>
                <w:b/>
                <w:bCs/>
                <w:color w:val="000000" w:themeColor="text1"/>
                <w:szCs w:val="16"/>
              </w:rPr>
            </w:pPr>
            <w:r w:rsidRPr="006D0A52">
              <w:rPr>
                <w:b/>
                <w:bCs/>
              </w:rPr>
              <w:t>FFY 2020 Data</w:t>
            </w:r>
          </w:p>
        </w:tc>
        <w:tc>
          <w:tcPr>
            <w:tcW w:w="884" w:type="pct"/>
            <w:shd w:val="clear" w:color="auto" w:fill="auto"/>
            <w:vAlign w:val="bottom"/>
          </w:tcPr>
          <w:p w14:paraId="5285C3DA" w14:textId="6BAE9C76" w:rsidR="00B21923" w:rsidRPr="006D0A52" w:rsidRDefault="00B21923" w:rsidP="00B21923">
            <w:pPr>
              <w:jc w:val="center"/>
              <w:rPr>
                <w:rFonts w:cs="Arial"/>
                <w:b/>
                <w:bCs/>
                <w:color w:val="000000" w:themeColor="text1"/>
                <w:szCs w:val="16"/>
              </w:rPr>
            </w:pPr>
            <w:r w:rsidRPr="006D0A52">
              <w:rPr>
                <w:b/>
                <w:bCs/>
              </w:rPr>
              <w:t>FFY 2021 Target</w:t>
            </w:r>
          </w:p>
        </w:tc>
        <w:tc>
          <w:tcPr>
            <w:tcW w:w="692" w:type="pct"/>
            <w:shd w:val="clear" w:color="auto" w:fill="auto"/>
            <w:vAlign w:val="bottom"/>
          </w:tcPr>
          <w:p w14:paraId="767EE33A" w14:textId="24B54F4F" w:rsidR="00B21923" w:rsidRPr="006D0A52" w:rsidRDefault="00B21923" w:rsidP="00B21923">
            <w:pPr>
              <w:jc w:val="center"/>
              <w:rPr>
                <w:rFonts w:cs="Arial"/>
                <w:b/>
                <w:bCs/>
                <w:color w:val="000000" w:themeColor="text1"/>
                <w:szCs w:val="16"/>
              </w:rPr>
            </w:pPr>
            <w:r w:rsidRPr="006D0A52">
              <w:rPr>
                <w:b/>
                <w:bCs/>
              </w:rPr>
              <w:t>FFY 2021 Data</w:t>
            </w:r>
          </w:p>
        </w:tc>
        <w:tc>
          <w:tcPr>
            <w:tcW w:w="673" w:type="pct"/>
            <w:shd w:val="clear" w:color="auto" w:fill="auto"/>
            <w:vAlign w:val="bottom"/>
          </w:tcPr>
          <w:p w14:paraId="3FC7FD1C" w14:textId="7EA4D921" w:rsidR="00B21923" w:rsidRPr="00781112" w:rsidRDefault="00B21923" w:rsidP="00B21923">
            <w:pPr>
              <w:jc w:val="center"/>
              <w:rPr>
                <w:rFonts w:cs="Arial"/>
                <w:b/>
                <w:color w:val="000000" w:themeColor="text1"/>
                <w:szCs w:val="16"/>
              </w:rPr>
            </w:pPr>
            <w:r w:rsidRPr="00781112">
              <w:rPr>
                <w:rFonts w:cs="Arial"/>
                <w:b/>
                <w:color w:val="000000" w:themeColor="text1"/>
                <w:szCs w:val="16"/>
              </w:rPr>
              <w:t>Status</w:t>
            </w:r>
          </w:p>
        </w:tc>
        <w:tc>
          <w:tcPr>
            <w:tcW w:w="652" w:type="pct"/>
            <w:shd w:val="clear" w:color="auto" w:fill="auto"/>
            <w:vAlign w:val="bottom"/>
          </w:tcPr>
          <w:p w14:paraId="7025F3A2" w14:textId="466A0744" w:rsidR="00B21923" w:rsidRPr="00781112" w:rsidRDefault="00B21923" w:rsidP="00B21923">
            <w:pPr>
              <w:jc w:val="center"/>
              <w:rPr>
                <w:rFonts w:cs="Arial"/>
                <w:b/>
                <w:color w:val="000000" w:themeColor="text1"/>
                <w:szCs w:val="16"/>
              </w:rPr>
            </w:pPr>
            <w:r w:rsidRPr="00781112">
              <w:rPr>
                <w:rFonts w:cs="Arial"/>
                <w:b/>
                <w:color w:val="000000" w:themeColor="text1"/>
                <w:szCs w:val="16"/>
              </w:rPr>
              <w:t>Slippage</w:t>
            </w:r>
          </w:p>
        </w:tc>
      </w:tr>
      <w:tr w:rsidR="005C29F8" w:rsidRPr="00781112" w14:paraId="104AFA36" w14:textId="7B00739A" w:rsidTr="00877012">
        <w:trPr>
          <w:trHeight w:val="361"/>
        </w:trPr>
        <w:tc>
          <w:tcPr>
            <w:tcW w:w="757" w:type="pct"/>
            <w:shd w:val="clear" w:color="auto" w:fill="auto"/>
            <w:vAlign w:val="center"/>
          </w:tcPr>
          <w:p w14:paraId="3DA400B1" w14:textId="063A879F" w:rsidR="00372DF8" w:rsidRPr="00781112" w:rsidRDefault="002B7490" w:rsidP="00A018D4">
            <w:pPr>
              <w:jc w:val="center"/>
              <w:rPr>
                <w:rFonts w:cs="Arial"/>
                <w:color w:val="000000" w:themeColor="text1"/>
                <w:szCs w:val="16"/>
              </w:rPr>
            </w:pPr>
            <w:r w:rsidRPr="00781112">
              <w:rPr>
                <w:rFonts w:cs="Arial"/>
                <w:color w:val="000000" w:themeColor="text1"/>
                <w:szCs w:val="16"/>
              </w:rPr>
              <w:t>1</w:t>
            </w:r>
          </w:p>
        </w:tc>
        <w:tc>
          <w:tcPr>
            <w:tcW w:w="753" w:type="pct"/>
            <w:shd w:val="clear" w:color="auto" w:fill="auto"/>
          </w:tcPr>
          <w:p w14:paraId="57BB67A2" w14:textId="2B997355" w:rsidR="00372DF8" w:rsidRPr="00781112" w:rsidRDefault="002B7490" w:rsidP="00A018D4">
            <w:pPr>
              <w:jc w:val="center"/>
              <w:rPr>
                <w:rFonts w:cs="Arial"/>
                <w:color w:val="000000" w:themeColor="text1"/>
                <w:szCs w:val="16"/>
              </w:rPr>
            </w:pPr>
            <w:r w:rsidRPr="00781112">
              <w:rPr>
                <w:rFonts w:cs="Arial"/>
                <w:color w:val="000000" w:themeColor="text1"/>
                <w:szCs w:val="16"/>
              </w:rPr>
              <w:t>3</w:t>
            </w:r>
          </w:p>
        </w:tc>
        <w:tc>
          <w:tcPr>
            <w:tcW w:w="589" w:type="pct"/>
            <w:shd w:val="clear" w:color="auto" w:fill="auto"/>
          </w:tcPr>
          <w:p w14:paraId="759C2AEB" w14:textId="7C5FF94E" w:rsidR="00372DF8" w:rsidRPr="00781112" w:rsidRDefault="002B7490" w:rsidP="00A018D4">
            <w:pPr>
              <w:jc w:val="center"/>
              <w:rPr>
                <w:rFonts w:cs="Arial"/>
                <w:color w:val="000000" w:themeColor="text1"/>
                <w:szCs w:val="16"/>
              </w:rPr>
            </w:pPr>
            <w:r w:rsidRPr="00781112">
              <w:rPr>
                <w:rFonts w:cs="Arial"/>
                <w:color w:val="000000" w:themeColor="text1"/>
                <w:szCs w:val="16"/>
              </w:rPr>
              <w:t>37.50%</w:t>
            </w:r>
          </w:p>
        </w:tc>
        <w:tc>
          <w:tcPr>
            <w:tcW w:w="884" w:type="pct"/>
            <w:shd w:val="clear" w:color="auto" w:fill="auto"/>
          </w:tcPr>
          <w:p w14:paraId="446CA14A" w14:textId="2AFBAFDB" w:rsidR="00372DF8" w:rsidRPr="00781112" w:rsidRDefault="00372DF8" w:rsidP="00A018D4">
            <w:pPr>
              <w:jc w:val="center"/>
              <w:rPr>
                <w:rFonts w:cs="Arial"/>
                <w:color w:val="000000" w:themeColor="text1"/>
                <w:szCs w:val="16"/>
              </w:rPr>
            </w:pPr>
          </w:p>
        </w:tc>
        <w:tc>
          <w:tcPr>
            <w:tcW w:w="692" w:type="pct"/>
            <w:shd w:val="clear" w:color="auto" w:fill="auto"/>
          </w:tcPr>
          <w:p w14:paraId="4B8389D1" w14:textId="31159250" w:rsidR="00372DF8" w:rsidRPr="00781112" w:rsidRDefault="002B7490" w:rsidP="00A018D4">
            <w:pPr>
              <w:jc w:val="center"/>
              <w:rPr>
                <w:rFonts w:cs="Arial"/>
                <w:color w:val="000000" w:themeColor="text1"/>
                <w:szCs w:val="16"/>
              </w:rPr>
            </w:pPr>
            <w:r w:rsidRPr="00781112">
              <w:rPr>
                <w:rFonts w:cs="Arial"/>
                <w:color w:val="000000" w:themeColor="text1"/>
                <w:szCs w:val="16"/>
              </w:rPr>
              <w:t>33.33%</w:t>
            </w:r>
          </w:p>
        </w:tc>
        <w:tc>
          <w:tcPr>
            <w:tcW w:w="673" w:type="pct"/>
            <w:shd w:val="clear" w:color="auto" w:fill="auto"/>
          </w:tcPr>
          <w:p w14:paraId="73DE10E2" w14:textId="0659DF1D" w:rsidR="00372DF8" w:rsidRPr="00781112" w:rsidRDefault="002B7490" w:rsidP="00A018D4">
            <w:pPr>
              <w:jc w:val="center"/>
              <w:rPr>
                <w:rFonts w:cs="Arial"/>
                <w:color w:val="000000" w:themeColor="text1"/>
                <w:szCs w:val="16"/>
              </w:rPr>
            </w:pPr>
            <w:r w:rsidRPr="00781112">
              <w:rPr>
                <w:rFonts w:cs="Arial"/>
                <w:color w:val="000000" w:themeColor="text1"/>
                <w:szCs w:val="16"/>
              </w:rPr>
              <w:t>N/A</w:t>
            </w:r>
          </w:p>
        </w:tc>
        <w:tc>
          <w:tcPr>
            <w:tcW w:w="652" w:type="pct"/>
            <w:shd w:val="clear" w:color="auto" w:fill="auto"/>
          </w:tcPr>
          <w:p w14:paraId="5B5FCE8F" w14:textId="2E877FC8" w:rsidR="00372DF8" w:rsidRPr="00781112" w:rsidRDefault="002B7490" w:rsidP="00A018D4">
            <w:pPr>
              <w:jc w:val="center"/>
              <w:rPr>
                <w:rFonts w:cs="Arial"/>
                <w:color w:val="000000" w:themeColor="text1"/>
                <w:szCs w:val="16"/>
              </w:rPr>
            </w:pPr>
            <w:r w:rsidRPr="00781112">
              <w:rPr>
                <w:rFonts w:cs="Arial"/>
                <w:color w:val="000000" w:themeColor="text1"/>
                <w:szCs w:val="16"/>
              </w:rPr>
              <w:t>N/A</w:t>
            </w:r>
          </w:p>
        </w:tc>
      </w:tr>
    </w:tbl>
    <w:p w14:paraId="41C1290A" w14:textId="0F368A1B" w:rsidR="00913A33" w:rsidRPr="00781112" w:rsidRDefault="00913A33" w:rsidP="00913A33">
      <w:pPr>
        <w:rPr>
          <w:rFonts w:cs="Arial"/>
          <w:b/>
          <w:color w:val="000000" w:themeColor="text1"/>
          <w:szCs w:val="16"/>
        </w:rPr>
      </w:pPr>
      <w:r w:rsidRPr="00781112">
        <w:rPr>
          <w:rFonts w:cs="Arial"/>
          <w:b/>
          <w:color w:val="000000" w:themeColor="text1"/>
          <w:szCs w:val="16"/>
        </w:rPr>
        <w:t>Provide additional information about this indicator (optional)</w:t>
      </w:r>
    </w:p>
    <w:p w14:paraId="225AF7B0" w14:textId="0953EFAC" w:rsidR="00293C7E" w:rsidRPr="00781112" w:rsidRDefault="002B7490" w:rsidP="007D435F">
      <w:pPr>
        <w:rPr>
          <w:rFonts w:cs="Arial"/>
          <w:color w:val="000000" w:themeColor="text1"/>
          <w:szCs w:val="16"/>
        </w:rPr>
      </w:pPr>
      <w:r w:rsidRPr="00781112">
        <w:rPr>
          <w:rFonts w:cs="Arial"/>
          <w:color w:val="000000" w:themeColor="text1"/>
          <w:szCs w:val="16"/>
        </w:rPr>
        <w:t>The USBE held fewer than 10 resolution sessions in FFY 2021. One of the three resolution sessions was successfully resolved through settlement agreements. Due to Utah's consistently low number of resolution sessions, targets are not required.</w:t>
      </w:r>
      <w:r w:rsidRPr="00781112">
        <w:rPr>
          <w:rFonts w:cs="Arial"/>
          <w:color w:val="000000" w:themeColor="text1"/>
          <w:szCs w:val="16"/>
        </w:rPr>
        <w:br/>
      </w:r>
      <w:r w:rsidRPr="00781112">
        <w:rPr>
          <w:rFonts w:cs="Arial"/>
          <w:color w:val="000000" w:themeColor="text1"/>
          <w:szCs w:val="16"/>
        </w:rPr>
        <w:br/>
        <w:t xml:space="preserve">During the 2021 APR Summit, a review of baselines for Indicator 15 was conducted to determine if baselines should remain or be updated. Consideration was given </w:t>
      </w:r>
      <w:proofErr w:type="gramStart"/>
      <w:r w:rsidRPr="00781112">
        <w:rPr>
          <w:rFonts w:cs="Arial"/>
          <w:color w:val="000000" w:themeColor="text1"/>
          <w:szCs w:val="16"/>
        </w:rPr>
        <w:t>for</w:t>
      </w:r>
      <w:proofErr w:type="gramEnd"/>
      <w:r w:rsidRPr="00781112">
        <w:rPr>
          <w:rFonts w:cs="Arial"/>
          <w:color w:val="000000" w:themeColor="text1"/>
          <w:szCs w:val="16"/>
        </w:rPr>
        <w:t xml:space="preserve"> the impacts of COVID-19. Stakeholders reviewed historical data and projections for where the State would be in 2025–2026 if all things stayed the same. Choosing a baseline from a year prior to COVID-19 reflects Utah trends in a typical school year and was determined to be appropriate.</w:t>
      </w:r>
    </w:p>
    <w:p w14:paraId="69486921" w14:textId="29EDB346" w:rsidR="00293C7E" w:rsidRPr="00781112" w:rsidRDefault="00DF2D3A" w:rsidP="00123D76">
      <w:pPr>
        <w:pStyle w:val="Heading2"/>
      </w:pPr>
      <w:r w:rsidRPr="00781112">
        <w:t>15</w:t>
      </w:r>
      <w:r w:rsidR="001D508D" w:rsidRPr="00781112">
        <w:t xml:space="preserve"> </w:t>
      </w:r>
      <w:r w:rsidRPr="00781112">
        <w:t xml:space="preserve">- </w:t>
      </w:r>
      <w:r w:rsidR="00293C7E" w:rsidRPr="00781112">
        <w:t>Prior FFY Required Actions</w:t>
      </w:r>
    </w:p>
    <w:p w14:paraId="19F5FEB1" w14:textId="2905DE18" w:rsidR="00293C7E" w:rsidRPr="00781112" w:rsidRDefault="002B7490" w:rsidP="00293C7E">
      <w:pPr>
        <w:rPr>
          <w:rFonts w:cs="Arial"/>
          <w:color w:val="000000" w:themeColor="text1"/>
          <w:szCs w:val="16"/>
        </w:rPr>
      </w:pPr>
      <w:r w:rsidRPr="00781112">
        <w:rPr>
          <w:rFonts w:cs="Arial"/>
          <w:color w:val="000000" w:themeColor="text1"/>
          <w:szCs w:val="16"/>
        </w:rPr>
        <w:t>None</w:t>
      </w:r>
    </w:p>
    <w:p w14:paraId="6506D351" w14:textId="1F034745" w:rsidR="00913A33" w:rsidRPr="00781112" w:rsidRDefault="00DF2D3A" w:rsidP="00123D76">
      <w:pPr>
        <w:pStyle w:val="Heading2"/>
      </w:pPr>
      <w:r w:rsidRPr="00781112">
        <w:t>15 - OSEP Response</w:t>
      </w:r>
    </w:p>
    <w:p w14:paraId="639FEA08" w14:textId="30C19155" w:rsidR="00293C7E" w:rsidRPr="00781112" w:rsidRDefault="002B7490" w:rsidP="001F692C">
      <w:pPr>
        <w:rPr>
          <w:rFonts w:cs="Arial"/>
          <w:color w:val="000000" w:themeColor="text1"/>
          <w:szCs w:val="16"/>
        </w:rPr>
      </w:pPr>
      <w:r w:rsidRPr="00781112">
        <w:rPr>
          <w:rFonts w:cs="Arial"/>
          <w:color w:val="000000" w:themeColor="text1"/>
          <w:szCs w:val="16"/>
        </w:rPr>
        <w:t>The State reported fewer than ten resolution sessions held in FFY 2021. The State is not required to provide targets until any fiscal year in which ten or more resolution sessions were held.</w:t>
      </w:r>
    </w:p>
    <w:p w14:paraId="7634025D" w14:textId="5BD1D671" w:rsidR="00913A33" w:rsidRPr="00781112" w:rsidRDefault="00DF2D3A" w:rsidP="00123D76">
      <w:pPr>
        <w:pStyle w:val="Heading2"/>
      </w:pPr>
      <w:r w:rsidRPr="00781112">
        <w:t>15 - Required Actions</w:t>
      </w:r>
    </w:p>
    <w:p w14:paraId="06C735B1" w14:textId="277EA689" w:rsidR="00293C7E" w:rsidRPr="00781112" w:rsidRDefault="00293C7E" w:rsidP="001F692C">
      <w:pPr>
        <w:rPr>
          <w:rFonts w:cs="Arial"/>
          <w:color w:val="000000" w:themeColor="text1"/>
          <w:szCs w:val="16"/>
        </w:rPr>
      </w:pPr>
    </w:p>
    <w:p w14:paraId="259DEDCC" w14:textId="77777777" w:rsidR="000C60E1" w:rsidRPr="00781112" w:rsidRDefault="000C60E1">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53B0D4FE" w14:textId="095B9B99" w:rsidR="007F0CEC" w:rsidRPr="00781112" w:rsidRDefault="007F0CEC" w:rsidP="000444E2">
      <w:pPr>
        <w:pStyle w:val="Heading1"/>
        <w:rPr>
          <w:color w:val="000000" w:themeColor="text1"/>
          <w:sz w:val="22"/>
        </w:rPr>
      </w:pPr>
      <w:r w:rsidRPr="00781112">
        <w:rPr>
          <w:color w:val="000000" w:themeColor="text1"/>
          <w:sz w:val="22"/>
        </w:rPr>
        <w:lastRenderedPageBreak/>
        <w:t>Indicator 16: Mediation</w:t>
      </w:r>
    </w:p>
    <w:p w14:paraId="589E185D" w14:textId="77777777" w:rsidR="00BF232E" w:rsidRPr="00781112" w:rsidRDefault="00BF232E" w:rsidP="00A018D4">
      <w:pPr>
        <w:rPr>
          <w:color w:val="000000" w:themeColor="text1"/>
          <w:szCs w:val="20"/>
        </w:rPr>
      </w:pPr>
      <w:bookmarkStart w:id="97" w:name="_Toc382731916"/>
      <w:bookmarkStart w:id="98" w:name="_Toc392159344"/>
      <w:r w:rsidRPr="00781112">
        <w:rPr>
          <w:b/>
          <w:color w:val="000000" w:themeColor="text1"/>
          <w:sz w:val="20"/>
          <w:szCs w:val="20"/>
        </w:rPr>
        <w:t>Instructions and Measurement</w:t>
      </w:r>
    </w:p>
    <w:p w14:paraId="41E7E4F9" w14:textId="500BC36F" w:rsidR="009B6586" w:rsidRPr="00781112" w:rsidRDefault="009B6586" w:rsidP="008E31C4">
      <w:pPr>
        <w:rPr>
          <w:rFonts w:cs="Arial"/>
          <w:color w:val="000000" w:themeColor="text1"/>
          <w:szCs w:val="16"/>
        </w:rPr>
      </w:pPr>
      <w:r w:rsidRPr="00781112">
        <w:rPr>
          <w:rFonts w:cs="Arial"/>
          <w:b/>
          <w:color w:val="000000" w:themeColor="text1"/>
          <w:szCs w:val="16"/>
        </w:rPr>
        <w:t>Monitoring Priority</w:t>
      </w:r>
      <w:r w:rsidRPr="00781112">
        <w:rPr>
          <w:rFonts w:cs="Arial"/>
          <w:color w:val="000000" w:themeColor="text1"/>
          <w:szCs w:val="16"/>
        </w:rPr>
        <w:t>: Effective General Supervision Part B / General Supervision</w:t>
      </w:r>
    </w:p>
    <w:p w14:paraId="573A26D5" w14:textId="77777777" w:rsidR="00692B95" w:rsidRPr="00781112" w:rsidRDefault="009B6586" w:rsidP="008E31C4">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xml:space="preserve"> Percent of mediations held that resulted in mediation agreements.</w:t>
      </w:r>
      <w:r w:rsidR="00131842" w:rsidRPr="00781112">
        <w:rPr>
          <w:rFonts w:cs="Arial"/>
          <w:color w:val="000000" w:themeColor="text1"/>
          <w:szCs w:val="16"/>
        </w:rPr>
        <w:t xml:space="preserve"> </w:t>
      </w:r>
    </w:p>
    <w:p w14:paraId="7847EFFB" w14:textId="03A11F4B" w:rsidR="009B6586" w:rsidRPr="00781112" w:rsidRDefault="009B6586" w:rsidP="008E31C4">
      <w:pPr>
        <w:rPr>
          <w:rFonts w:cs="Arial"/>
          <w:color w:val="000000" w:themeColor="text1"/>
          <w:szCs w:val="16"/>
        </w:rPr>
      </w:pPr>
      <w:r w:rsidRPr="00781112">
        <w:rPr>
          <w:rFonts w:cs="Arial"/>
          <w:color w:val="000000" w:themeColor="text1"/>
          <w:szCs w:val="16"/>
        </w:rPr>
        <w:t>(20 U.S.C. 1416(a)(3(B))</w:t>
      </w:r>
    </w:p>
    <w:p w14:paraId="0F859DBB" w14:textId="77777777" w:rsidR="00692B95" w:rsidRPr="00781112" w:rsidRDefault="00692B95" w:rsidP="004369B2">
      <w:pPr>
        <w:rPr>
          <w:color w:val="000000" w:themeColor="text1"/>
        </w:rPr>
      </w:pPr>
      <w:r w:rsidRPr="00781112">
        <w:rPr>
          <w:b/>
          <w:color w:val="000000" w:themeColor="text1"/>
        </w:rPr>
        <w:t>Data Source</w:t>
      </w:r>
    </w:p>
    <w:p w14:paraId="1400D43F" w14:textId="253D0B1A" w:rsidR="00692B95" w:rsidRPr="00781112" w:rsidRDefault="00692B95" w:rsidP="008E31C4">
      <w:pPr>
        <w:rPr>
          <w:rFonts w:cs="Arial"/>
          <w:color w:val="000000" w:themeColor="text1"/>
          <w:szCs w:val="16"/>
        </w:rPr>
      </w:pPr>
      <w:r w:rsidRPr="00781112">
        <w:rPr>
          <w:rFonts w:cs="Arial"/>
          <w:color w:val="000000" w:themeColor="text1"/>
          <w:szCs w:val="16"/>
        </w:rPr>
        <w:t>Data collected under section 618 of the IDEA (IDEA Part B Dispute Resolution Survey in the EDFacts Metadata and Process System (E</w:t>
      </w:r>
      <w:r w:rsidR="00E65E32" w:rsidRPr="00781112">
        <w:rPr>
          <w:rFonts w:cs="Arial"/>
          <w:i/>
          <w:color w:val="000000" w:themeColor="text1"/>
          <w:szCs w:val="16"/>
        </w:rPr>
        <w:t>MAPS</w:t>
      </w:r>
      <w:r w:rsidRPr="00781112">
        <w:rPr>
          <w:rFonts w:cs="Arial"/>
          <w:color w:val="000000" w:themeColor="text1"/>
          <w:szCs w:val="16"/>
        </w:rPr>
        <w:t>)).</w:t>
      </w:r>
    </w:p>
    <w:p w14:paraId="7EDB2909" w14:textId="77777777" w:rsidR="00692B95" w:rsidRPr="00781112" w:rsidRDefault="00692B95" w:rsidP="004369B2">
      <w:pPr>
        <w:rPr>
          <w:color w:val="000000" w:themeColor="text1"/>
        </w:rPr>
      </w:pPr>
      <w:r w:rsidRPr="00781112">
        <w:rPr>
          <w:b/>
          <w:color w:val="000000" w:themeColor="text1"/>
        </w:rPr>
        <w:t>Measurement</w:t>
      </w:r>
    </w:p>
    <w:p w14:paraId="38C2284B" w14:textId="1E75D304" w:rsidR="00692B95" w:rsidRPr="00781112" w:rsidRDefault="00692B95" w:rsidP="008E31C4">
      <w:pPr>
        <w:rPr>
          <w:rFonts w:cs="Arial"/>
          <w:color w:val="000000" w:themeColor="text1"/>
          <w:szCs w:val="16"/>
        </w:rPr>
      </w:pPr>
      <w:r w:rsidRPr="00781112">
        <w:rPr>
          <w:rFonts w:cs="Arial"/>
          <w:color w:val="000000" w:themeColor="text1"/>
          <w:szCs w:val="16"/>
        </w:rPr>
        <w:t>Percent = (2.1(a)(i) + 2.1(b)(i)) divided by 2.1) times 100.</w:t>
      </w:r>
    </w:p>
    <w:p w14:paraId="0B909FFD" w14:textId="77777777" w:rsidR="00692B95" w:rsidRPr="00781112" w:rsidRDefault="00692B95" w:rsidP="004369B2">
      <w:pPr>
        <w:rPr>
          <w:color w:val="000000" w:themeColor="text1"/>
        </w:rPr>
      </w:pPr>
      <w:r w:rsidRPr="00781112">
        <w:rPr>
          <w:b/>
          <w:color w:val="000000" w:themeColor="text1"/>
        </w:rPr>
        <w:t>Instructions</w:t>
      </w:r>
    </w:p>
    <w:p w14:paraId="46565F1D" w14:textId="77777777" w:rsidR="00692B95" w:rsidRPr="00781112" w:rsidRDefault="00692B95" w:rsidP="00286BDF">
      <w:pPr>
        <w:rPr>
          <w:rFonts w:cs="Arial"/>
          <w:i/>
          <w:iCs/>
          <w:color w:val="000000" w:themeColor="text1"/>
          <w:szCs w:val="16"/>
        </w:rPr>
      </w:pPr>
      <w:r w:rsidRPr="00781112">
        <w:rPr>
          <w:rFonts w:cs="Arial"/>
          <w:i/>
          <w:iCs/>
          <w:color w:val="000000" w:themeColor="text1"/>
          <w:szCs w:val="16"/>
        </w:rPr>
        <w:t>Sampling is not allowed.</w:t>
      </w:r>
    </w:p>
    <w:p w14:paraId="7A8BA9D5" w14:textId="77777777" w:rsidR="00692B95" w:rsidRPr="00781112" w:rsidRDefault="00692B95" w:rsidP="00286BDF">
      <w:pPr>
        <w:rPr>
          <w:rFonts w:cs="Arial"/>
          <w:color w:val="000000" w:themeColor="text1"/>
          <w:szCs w:val="16"/>
        </w:rPr>
      </w:pPr>
      <w:r w:rsidRPr="00781112">
        <w:rPr>
          <w:rFonts w:cs="Arial"/>
          <w:color w:val="000000" w:themeColor="text1"/>
          <w:szCs w:val="16"/>
        </w:rPr>
        <w:t>Describe the results of the calculations and compare the results to the target.</w:t>
      </w:r>
    </w:p>
    <w:p w14:paraId="5AFF4976" w14:textId="6DE2BA12" w:rsidR="00692B95" w:rsidRPr="00781112" w:rsidRDefault="00692B95" w:rsidP="00286BDF">
      <w:pPr>
        <w:rPr>
          <w:rFonts w:cs="Arial"/>
          <w:color w:val="000000" w:themeColor="text1"/>
          <w:szCs w:val="16"/>
        </w:rPr>
      </w:pPr>
      <w:r w:rsidRPr="00781112">
        <w:rPr>
          <w:rFonts w:cs="Arial"/>
          <w:color w:val="000000" w:themeColor="text1"/>
          <w:szCs w:val="16"/>
        </w:rPr>
        <w:t xml:space="preserve">States are not required to establish </w:t>
      </w:r>
      <w:proofErr w:type="gramStart"/>
      <w:r w:rsidRPr="00781112">
        <w:rPr>
          <w:rFonts w:cs="Arial"/>
          <w:color w:val="000000" w:themeColor="text1"/>
          <w:szCs w:val="16"/>
        </w:rPr>
        <w:t>baseline</w:t>
      </w:r>
      <w:proofErr w:type="gramEnd"/>
      <w:r w:rsidRPr="00781112">
        <w:rPr>
          <w:rFonts w:cs="Arial"/>
          <w:color w:val="000000" w:themeColor="text1"/>
          <w:szCs w:val="16"/>
        </w:rPr>
        <w:t xml:space="preserve"> or targets if the number of </w:t>
      </w:r>
      <w:r w:rsidR="00482C3B" w:rsidRPr="00781112">
        <w:rPr>
          <w:rFonts w:cs="Arial"/>
          <w:szCs w:val="16"/>
        </w:rPr>
        <w:t>mediations</w:t>
      </w:r>
      <w:r w:rsidRPr="00781112">
        <w:rPr>
          <w:rFonts w:cs="Arial"/>
          <w:color w:val="000000" w:themeColor="text1"/>
          <w:szCs w:val="16"/>
        </w:rPr>
        <w:t xml:space="preserve"> is less than 10. In a reporting period when the number of resolution </w:t>
      </w:r>
      <w:r w:rsidR="00DA0D8C" w:rsidRPr="00781112">
        <w:rPr>
          <w:rFonts w:cs="Arial"/>
          <w:szCs w:val="16"/>
        </w:rPr>
        <w:t xml:space="preserve">mediations reaches </w:t>
      </w:r>
      <w:r w:rsidRPr="00781112">
        <w:rPr>
          <w:rFonts w:cs="Arial"/>
          <w:color w:val="000000" w:themeColor="text1"/>
          <w:szCs w:val="16"/>
        </w:rPr>
        <w:t>10 or greater, develop baseline</w:t>
      </w:r>
      <w:r w:rsidR="00D14A1B" w:rsidRPr="00781112">
        <w:rPr>
          <w:rFonts w:cs="Arial"/>
          <w:color w:val="000000" w:themeColor="text1"/>
          <w:szCs w:val="16"/>
        </w:rPr>
        <w:t xml:space="preserve"> and</w:t>
      </w:r>
      <w:r w:rsidRPr="00781112">
        <w:rPr>
          <w:rFonts w:cs="Arial"/>
          <w:color w:val="000000" w:themeColor="text1"/>
          <w:szCs w:val="16"/>
        </w:rPr>
        <w:t xml:space="preserve"> targets and report on them in the corresponding SPP/APR.</w:t>
      </w:r>
    </w:p>
    <w:p w14:paraId="0EB22217" w14:textId="77777777" w:rsidR="00692B95" w:rsidRPr="00781112" w:rsidRDefault="00692B95" w:rsidP="00286BDF">
      <w:pPr>
        <w:rPr>
          <w:rFonts w:cs="Arial"/>
          <w:color w:val="000000" w:themeColor="text1"/>
          <w:szCs w:val="16"/>
        </w:rPr>
      </w:pPr>
      <w:r w:rsidRPr="00781112">
        <w:rPr>
          <w:rFonts w:cs="Arial"/>
          <w:color w:val="000000" w:themeColor="text1"/>
          <w:szCs w:val="16"/>
        </w:rPr>
        <w:t>States may express their targets in a range (e.g., 75-85%).</w:t>
      </w:r>
    </w:p>
    <w:p w14:paraId="62D2873F" w14:textId="77777777" w:rsidR="00692B95" w:rsidRPr="00781112" w:rsidRDefault="00692B95" w:rsidP="00286BDF">
      <w:pPr>
        <w:rPr>
          <w:rFonts w:cs="Arial"/>
          <w:color w:val="000000" w:themeColor="text1"/>
          <w:szCs w:val="16"/>
        </w:rPr>
      </w:pPr>
      <w:r w:rsidRPr="00781112">
        <w:rPr>
          <w:rFonts w:cs="Arial"/>
          <w:color w:val="000000" w:themeColor="text1"/>
          <w:szCs w:val="16"/>
        </w:rPr>
        <w:t>If the data reported in this indicator are not the same as the State’s data under IDEA section 618, explain.</w:t>
      </w:r>
    </w:p>
    <w:p w14:paraId="419B733F" w14:textId="44198020" w:rsidR="00692B95" w:rsidRPr="00781112" w:rsidRDefault="00692B95" w:rsidP="00286BDF">
      <w:pPr>
        <w:rPr>
          <w:rFonts w:cs="Arial"/>
          <w:color w:val="000000" w:themeColor="text1"/>
          <w:szCs w:val="16"/>
        </w:rPr>
      </w:pPr>
      <w:r w:rsidRPr="00781112">
        <w:rPr>
          <w:rFonts w:cs="Arial"/>
          <w:color w:val="000000" w:themeColor="text1"/>
          <w:szCs w:val="16"/>
        </w:rPr>
        <w:t>States are not required to report data at the LEA level.</w:t>
      </w:r>
    </w:p>
    <w:p w14:paraId="32179671" w14:textId="1C1C859E" w:rsidR="00B37C74" w:rsidRPr="00781112" w:rsidRDefault="001C46DC" w:rsidP="00123D76">
      <w:pPr>
        <w:pStyle w:val="Heading2"/>
      </w:pPr>
      <w:r w:rsidRPr="00781112">
        <w:t>16</w:t>
      </w:r>
      <w:r w:rsidR="001D508D" w:rsidRPr="00781112">
        <w:t xml:space="preserve"> </w:t>
      </w:r>
      <w:r w:rsidRPr="00781112">
        <w:t xml:space="preserve">- </w:t>
      </w:r>
      <w:r w:rsidR="00BF232E" w:rsidRPr="00781112">
        <w:t>Indicator Data</w:t>
      </w:r>
    </w:p>
    <w:p w14:paraId="6A39385A" w14:textId="49DFE75B" w:rsidR="00F31AD8" w:rsidRPr="00781112" w:rsidRDefault="007D219D" w:rsidP="00F31AD8">
      <w:pPr>
        <w:rPr>
          <w:rFonts w:cs="Arial"/>
          <w:b/>
          <w:color w:val="000000" w:themeColor="text1"/>
          <w:szCs w:val="16"/>
        </w:rPr>
      </w:pPr>
      <w:r w:rsidRPr="00781112">
        <w:rPr>
          <w:rFonts w:cs="Arial"/>
          <w:b/>
          <w:color w:val="000000" w:themeColor="text1"/>
          <w:szCs w:val="16"/>
        </w:rPr>
        <w:t>Select yes to use target ranges</w:t>
      </w:r>
    </w:p>
    <w:p w14:paraId="6CBE99A1" w14:textId="4EA49071" w:rsidR="00F31AD8" w:rsidRPr="00781112" w:rsidRDefault="00F31AD8" w:rsidP="004369B2">
      <w:pPr>
        <w:rPr>
          <w:color w:val="000000" w:themeColor="text1"/>
        </w:rPr>
      </w:pPr>
      <w:r w:rsidRPr="00781112">
        <w:rPr>
          <w:rFonts w:cs="Arial"/>
          <w:color w:val="000000" w:themeColor="text1"/>
          <w:szCs w:val="16"/>
        </w:rPr>
        <w:t>Target Range not used</w:t>
      </w:r>
    </w:p>
    <w:bookmarkEnd w:id="97"/>
    <w:bookmarkEnd w:id="98"/>
    <w:p w14:paraId="3951D0E9" w14:textId="77777777" w:rsidR="00DA3157" w:rsidRPr="00781112" w:rsidRDefault="00DA3157" w:rsidP="004369B2">
      <w:pPr>
        <w:rPr>
          <w:color w:val="000000" w:themeColor="text1"/>
        </w:rPr>
      </w:pPr>
    </w:p>
    <w:p w14:paraId="118840D3" w14:textId="0C4E77AD" w:rsidR="008E31C4" w:rsidRPr="00781112" w:rsidRDefault="008E31C4" w:rsidP="004369B2">
      <w:pPr>
        <w:rPr>
          <w:color w:val="000000" w:themeColor="text1"/>
        </w:rPr>
      </w:pPr>
      <w:r w:rsidRPr="00781112">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Caption w:val="B16PREPOP"/>
      </w:tblPr>
      <w:tblGrid>
        <w:gridCol w:w="2695"/>
        <w:gridCol w:w="2790"/>
        <w:gridCol w:w="3522"/>
        <w:gridCol w:w="1783"/>
      </w:tblGrid>
      <w:tr w:rsidR="005C29F8" w:rsidRPr="00781112" w14:paraId="61A5E3A0" w14:textId="77777777" w:rsidTr="0064117D">
        <w:trPr>
          <w:trHeight w:val="372"/>
          <w:tblHeader/>
        </w:trPr>
        <w:tc>
          <w:tcPr>
            <w:tcW w:w="1249" w:type="pct"/>
            <w:shd w:val="clear" w:color="auto" w:fill="auto"/>
          </w:tcPr>
          <w:p w14:paraId="332BA503" w14:textId="77777777" w:rsidR="008E31C4" w:rsidRPr="00781112" w:rsidRDefault="008E31C4" w:rsidP="008E31C4">
            <w:pPr>
              <w:spacing w:after="0"/>
              <w:jc w:val="center"/>
              <w:rPr>
                <w:rFonts w:cs="Arial"/>
                <w:b/>
                <w:color w:val="000000" w:themeColor="text1"/>
                <w:szCs w:val="16"/>
              </w:rPr>
            </w:pPr>
            <w:r w:rsidRPr="00781112">
              <w:rPr>
                <w:rFonts w:cs="Arial"/>
                <w:b/>
                <w:color w:val="000000" w:themeColor="text1"/>
                <w:szCs w:val="16"/>
              </w:rPr>
              <w:t>Source</w:t>
            </w:r>
          </w:p>
        </w:tc>
        <w:tc>
          <w:tcPr>
            <w:tcW w:w="1293" w:type="pct"/>
            <w:shd w:val="clear" w:color="auto" w:fill="auto"/>
          </w:tcPr>
          <w:p w14:paraId="2C662D12" w14:textId="77777777" w:rsidR="008E31C4" w:rsidRPr="00781112" w:rsidRDefault="008E31C4" w:rsidP="008E31C4">
            <w:pPr>
              <w:spacing w:after="0"/>
              <w:jc w:val="center"/>
              <w:rPr>
                <w:rFonts w:cs="Arial"/>
                <w:b/>
                <w:color w:val="000000" w:themeColor="text1"/>
                <w:szCs w:val="16"/>
              </w:rPr>
            </w:pPr>
            <w:r w:rsidRPr="00781112">
              <w:rPr>
                <w:rFonts w:cs="Arial"/>
                <w:b/>
                <w:color w:val="000000" w:themeColor="text1"/>
                <w:szCs w:val="16"/>
              </w:rPr>
              <w:t>Date</w:t>
            </w:r>
          </w:p>
        </w:tc>
        <w:tc>
          <w:tcPr>
            <w:tcW w:w="1632" w:type="pct"/>
            <w:shd w:val="clear" w:color="auto" w:fill="auto"/>
          </w:tcPr>
          <w:p w14:paraId="66DBE23B" w14:textId="77777777" w:rsidR="008E31C4" w:rsidRPr="00781112" w:rsidRDefault="008E31C4" w:rsidP="008E31C4">
            <w:pPr>
              <w:spacing w:after="0"/>
              <w:jc w:val="center"/>
              <w:rPr>
                <w:rFonts w:cs="Arial"/>
                <w:b/>
                <w:color w:val="000000" w:themeColor="text1"/>
                <w:szCs w:val="16"/>
              </w:rPr>
            </w:pPr>
            <w:r w:rsidRPr="00781112">
              <w:rPr>
                <w:rFonts w:cs="Arial"/>
                <w:b/>
                <w:color w:val="000000" w:themeColor="text1"/>
                <w:szCs w:val="16"/>
              </w:rPr>
              <w:t>Description</w:t>
            </w:r>
          </w:p>
        </w:tc>
        <w:tc>
          <w:tcPr>
            <w:tcW w:w="826" w:type="pct"/>
            <w:shd w:val="clear" w:color="auto" w:fill="auto"/>
          </w:tcPr>
          <w:p w14:paraId="1C82D158" w14:textId="77777777" w:rsidR="008E31C4" w:rsidRPr="00781112" w:rsidRDefault="008E31C4" w:rsidP="008E31C4">
            <w:pPr>
              <w:spacing w:after="0"/>
              <w:jc w:val="center"/>
              <w:rPr>
                <w:rFonts w:cs="Arial"/>
                <w:b/>
                <w:color w:val="000000" w:themeColor="text1"/>
                <w:szCs w:val="16"/>
              </w:rPr>
            </w:pPr>
            <w:r w:rsidRPr="00781112">
              <w:rPr>
                <w:rFonts w:cs="Arial"/>
                <w:b/>
                <w:color w:val="000000" w:themeColor="text1"/>
                <w:szCs w:val="16"/>
              </w:rPr>
              <w:t>Data</w:t>
            </w:r>
          </w:p>
        </w:tc>
      </w:tr>
      <w:tr w:rsidR="005C29F8" w:rsidRPr="00781112" w14:paraId="0EB08E99" w14:textId="77777777" w:rsidTr="0064117D">
        <w:trPr>
          <w:trHeight w:val="380"/>
        </w:trPr>
        <w:tc>
          <w:tcPr>
            <w:tcW w:w="1249" w:type="pct"/>
            <w:shd w:val="clear" w:color="auto" w:fill="auto"/>
          </w:tcPr>
          <w:p w14:paraId="341A55FB" w14:textId="389190B6" w:rsidR="001126C3" w:rsidRPr="00781112" w:rsidRDefault="002B7490" w:rsidP="001126C3">
            <w:pPr>
              <w:jc w:val="center"/>
              <w:rPr>
                <w:rFonts w:cs="Arial"/>
                <w:color w:val="000000" w:themeColor="text1"/>
                <w:szCs w:val="16"/>
              </w:rPr>
            </w:pPr>
            <w:r w:rsidRPr="00781112">
              <w:rPr>
                <w:rFonts w:cs="Arial"/>
                <w:color w:val="000000" w:themeColor="text1"/>
                <w:szCs w:val="16"/>
              </w:rPr>
              <w:t>SY 2021-22 EMAPS IDEA Part B Dispute Resolution Survey; Section B: Mediation Requests</w:t>
            </w:r>
          </w:p>
        </w:tc>
        <w:tc>
          <w:tcPr>
            <w:tcW w:w="1293" w:type="pct"/>
            <w:shd w:val="clear" w:color="auto" w:fill="auto"/>
          </w:tcPr>
          <w:p w14:paraId="71614464" w14:textId="4369755A" w:rsidR="001126C3" w:rsidRPr="00781112" w:rsidRDefault="008174C3" w:rsidP="001126C3">
            <w:pPr>
              <w:jc w:val="center"/>
              <w:rPr>
                <w:rFonts w:cs="Arial"/>
                <w:color w:val="000000" w:themeColor="text1"/>
                <w:szCs w:val="16"/>
              </w:rPr>
            </w:pPr>
            <w:r w:rsidRPr="00781112">
              <w:rPr>
                <w:rFonts w:cs="Arial"/>
                <w:color w:val="000000" w:themeColor="text1"/>
                <w:szCs w:val="16"/>
              </w:rPr>
              <w:t>11/02/2022</w:t>
            </w:r>
          </w:p>
        </w:tc>
        <w:tc>
          <w:tcPr>
            <w:tcW w:w="1632" w:type="pct"/>
            <w:shd w:val="clear" w:color="auto" w:fill="auto"/>
          </w:tcPr>
          <w:p w14:paraId="3B8991BC" w14:textId="35D24A7C" w:rsidR="001126C3" w:rsidRPr="00781112" w:rsidRDefault="001126C3" w:rsidP="001126C3">
            <w:pPr>
              <w:rPr>
                <w:rFonts w:cs="Arial"/>
                <w:color w:val="000000" w:themeColor="text1"/>
                <w:szCs w:val="16"/>
              </w:rPr>
            </w:pPr>
            <w:r w:rsidRPr="00781112">
              <w:rPr>
                <w:rFonts w:cs="Arial"/>
                <w:color w:val="000000" w:themeColor="text1"/>
                <w:szCs w:val="16"/>
              </w:rPr>
              <w:t>2.1 Mediations held</w:t>
            </w:r>
          </w:p>
        </w:tc>
        <w:tc>
          <w:tcPr>
            <w:tcW w:w="826" w:type="pct"/>
            <w:shd w:val="clear" w:color="auto" w:fill="auto"/>
          </w:tcPr>
          <w:p w14:paraId="27A8B83C" w14:textId="708549A5" w:rsidR="001126C3" w:rsidRPr="00781112" w:rsidRDefault="002B7490" w:rsidP="00A018D4">
            <w:pPr>
              <w:jc w:val="center"/>
              <w:rPr>
                <w:rFonts w:cs="Arial"/>
                <w:color w:val="000000" w:themeColor="text1"/>
                <w:szCs w:val="16"/>
              </w:rPr>
            </w:pPr>
            <w:r w:rsidRPr="00781112">
              <w:rPr>
                <w:rFonts w:cs="Arial"/>
                <w:color w:val="000000" w:themeColor="text1"/>
                <w:szCs w:val="16"/>
              </w:rPr>
              <w:t>11</w:t>
            </w:r>
          </w:p>
        </w:tc>
      </w:tr>
      <w:tr w:rsidR="005C29F8" w:rsidRPr="00781112" w14:paraId="438B012B" w14:textId="77777777" w:rsidTr="0064117D">
        <w:trPr>
          <w:trHeight w:val="380"/>
        </w:trPr>
        <w:tc>
          <w:tcPr>
            <w:tcW w:w="1249" w:type="pct"/>
            <w:shd w:val="clear" w:color="auto" w:fill="auto"/>
          </w:tcPr>
          <w:p w14:paraId="265B2AEC" w14:textId="3FC7D25D" w:rsidR="001126C3" w:rsidRPr="00781112" w:rsidRDefault="008174C3" w:rsidP="001126C3">
            <w:pPr>
              <w:jc w:val="center"/>
              <w:rPr>
                <w:rFonts w:cs="Arial"/>
                <w:color w:val="000000" w:themeColor="text1"/>
                <w:szCs w:val="16"/>
              </w:rPr>
            </w:pPr>
            <w:r w:rsidRPr="00781112">
              <w:rPr>
                <w:rFonts w:cs="Arial"/>
                <w:color w:val="000000" w:themeColor="text1"/>
                <w:szCs w:val="16"/>
              </w:rPr>
              <w:t>SY 2021-22 EMAPS IDEA Part B Dispute Resolution Survey; Section B: Mediation Requests</w:t>
            </w:r>
          </w:p>
        </w:tc>
        <w:tc>
          <w:tcPr>
            <w:tcW w:w="1293" w:type="pct"/>
            <w:shd w:val="clear" w:color="auto" w:fill="auto"/>
          </w:tcPr>
          <w:p w14:paraId="128A6113" w14:textId="6FDE1D5D" w:rsidR="001126C3" w:rsidRPr="00781112" w:rsidRDefault="008174C3" w:rsidP="001126C3">
            <w:pPr>
              <w:jc w:val="center"/>
              <w:rPr>
                <w:rFonts w:cs="Arial"/>
                <w:color w:val="000000" w:themeColor="text1"/>
                <w:szCs w:val="16"/>
              </w:rPr>
            </w:pPr>
            <w:r w:rsidRPr="00781112">
              <w:rPr>
                <w:rFonts w:cs="Arial"/>
                <w:color w:val="000000" w:themeColor="text1"/>
                <w:szCs w:val="16"/>
              </w:rPr>
              <w:t>11/02/2022</w:t>
            </w:r>
          </w:p>
        </w:tc>
        <w:tc>
          <w:tcPr>
            <w:tcW w:w="1632" w:type="pct"/>
            <w:shd w:val="clear" w:color="auto" w:fill="auto"/>
          </w:tcPr>
          <w:p w14:paraId="61BAD85D" w14:textId="300FEE8B" w:rsidR="001126C3" w:rsidRPr="00781112" w:rsidRDefault="001126C3" w:rsidP="001126C3">
            <w:pPr>
              <w:rPr>
                <w:rFonts w:cs="Arial"/>
                <w:color w:val="000000" w:themeColor="text1"/>
                <w:szCs w:val="16"/>
              </w:rPr>
            </w:pPr>
            <w:r w:rsidRPr="00781112">
              <w:rPr>
                <w:rFonts w:cs="Arial"/>
                <w:color w:val="000000" w:themeColor="text1"/>
                <w:szCs w:val="16"/>
              </w:rPr>
              <w:t>2.1.a.i Mediations agreements related to due process complaints</w:t>
            </w:r>
          </w:p>
        </w:tc>
        <w:tc>
          <w:tcPr>
            <w:tcW w:w="826" w:type="pct"/>
            <w:shd w:val="clear" w:color="auto" w:fill="auto"/>
          </w:tcPr>
          <w:p w14:paraId="580B460B" w14:textId="49FBB0F1" w:rsidR="001126C3" w:rsidRPr="00781112" w:rsidRDefault="002B7490" w:rsidP="00A018D4">
            <w:pPr>
              <w:jc w:val="center"/>
              <w:rPr>
                <w:rFonts w:cs="Arial"/>
                <w:color w:val="000000" w:themeColor="text1"/>
                <w:szCs w:val="16"/>
              </w:rPr>
            </w:pPr>
            <w:r w:rsidRPr="00781112">
              <w:rPr>
                <w:rFonts w:cs="Arial"/>
                <w:color w:val="000000" w:themeColor="text1"/>
                <w:szCs w:val="16"/>
              </w:rPr>
              <w:t>2</w:t>
            </w:r>
          </w:p>
        </w:tc>
      </w:tr>
      <w:tr w:rsidR="005C29F8" w:rsidRPr="00781112" w14:paraId="53310D0D" w14:textId="77777777" w:rsidTr="0064117D">
        <w:trPr>
          <w:trHeight w:val="380"/>
        </w:trPr>
        <w:tc>
          <w:tcPr>
            <w:tcW w:w="1249" w:type="pct"/>
            <w:shd w:val="clear" w:color="auto" w:fill="auto"/>
          </w:tcPr>
          <w:p w14:paraId="295563AC" w14:textId="371961FC" w:rsidR="001126C3" w:rsidRPr="00781112" w:rsidRDefault="008174C3" w:rsidP="001126C3">
            <w:pPr>
              <w:jc w:val="center"/>
              <w:rPr>
                <w:rFonts w:cs="Arial"/>
                <w:color w:val="000000" w:themeColor="text1"/>
                <w:szCs w:val="16"/>
              </w:rPr>
            </w:pPr>
            <w:r w:rsidRPr="00781112">
              <w:rPr>
                <w:rFonts w:cs="Arial"/>
                <w:color w:val="000000" w:themeColor="text1"/>
                <w:szCs w:val="16"/>
              </w:rPr>
              <w:t>SY 2021-22 EMAPS IDEA Part B Dispute Resolution Survey; Section B: Mediation Requests</w:t>
            </w:r>
          </w:p>
        </w:tc>
        <w:tc>
          <w:tcPr>
            <w:tcW w:w="1293" w:type="pct"/>
            <w:shd w:val="clear" w:color="auto" w:fill="auto"/>
          </w:tcPr>
          <w:p w14:paraId="4BDD8D48" w14:textId="63D0DB48" w:rsidR="001126C3" w:rsidRPr="00781112" w:rsidRDefault="008174C3" w:rsidP="001126C3">
            <w:pPr>
              <w:jc w:val="center"/>
              <w:rPr>
                <w:rFonts w:cs="Arial"/>
                <w:color w:val="000000" w:themeColor="text1"/>
                <w:szCs w:val="16"/>
              </w:rPr>
            </w:pPr>
            <w:r w:rsidRPr="00781112">
              <w:rPr>
                <w:rFonts w:cs="Arial"/>
                <w:color w:val="000000" w:themeColor="text1"/>
                <w:szCs w:val="16"/>
              </w:rPr>
              <w:t>11/02/2022</w:t>
            </w:r>
          </w:p>
        </w:tc>
        <w:tc>
          <w:tcPr>
            <w:tcW w:w="1632" w:type="pct"/>
            <w:shd w:val="clear" w:color="auto" w:fill="auto"/>
          </w:tcPr>
          <w:p w14:paraId="0D81EE28" w14:textId="0901AFA3" w:rsidR="001126C3" w:rsidRPr="00781112" w:rsidRDefault="001126C3" w:rsidP="001126C3">
            <w:pPr>
              <w:rPr>
                <w:rFonts w:cs="Arial"/>
                <w:color w:val="000000" w:themeColor="text1"/>
                <w:szCs w:val="16"/>
              </w:rPr>
            </w:pPr>
            <w:r w:rsidRPr="00781112">
              <w:rPr>
                <w:rFonts w:cs="Arial"/>
                <w:color w:val="000000" w:themeColor="text1"/>
                <w:szCs w:val="16"/>
              </w:rPr>
              <w:t>2.1.b.i Mediations agreements not related to due process complaints</w:t>
            </w:r>
          </w:p>
        </w:tc>
        <w:tc>
          <w:tcPr>
            <w:tcW w:w="826" w:type="pct"/>
            <w:shd w:val="clear" w:color="auto" w:fill="auto"/>
          </w:tcPr>
          <w:p w14:paraId="4C9A36B1" w14:textId="285B67BA" w:rsidR="001126C3" w:rsidRPr="00781112" w:rsidRDefault="002B7490" w:rsidP="00A018D4">
            <w:pPr>
              <w:jc w:val="center"/>
              <w:rPr>
                <w:rFonts w:cs="Arial"/>
                <w:color w:val="000000" w:themeColor="text1"/>
                <w:szCs w:val="16"/>
              </w:rPr>
            </w:pPr>
            <w:r w:rsidRPr="00781112">
              <w:rPr>
                <w:rFonts w:cs="Arial"/>
                <w:color w:val="000000" w:themeColor="text1"/>
                <w:szCs w:val="16"/>
              </w:rPr>
              <w:t>3</w:t>
            </w:r>
          </w:p>
        </w:tc>
      </w:tr>
    </w:tbl>
    <w:p w14:paraId="2C4CE14C" w14:textId="5AC27D72" w:rsidR="00E8514E" w:rsidRPr="00781112" w:rsidRDefault="007D219D">
      <w:pPr>
        <w:rPr>
          <w:b/>
          <w:color w:val="000000" w:themeColor="text1"/>
        </w:rPr>
      </w:pPr>
      <w:r w:rsidRPr="00781112">
        <w:rPr>
          <w:b/>
          <w:color w:val="000000" w:themeColor="text1"/>
        </w:rPr>
        <w:t>Select yes if the data reported in this indicator are not the same as the State’s data reported under section 618 of the IDEA.</w:t>
      </w:r>
    </w:p>
    <w:p w14:paraId="69D1C140" w14:textId="4BF355D3" w:rsidR="00E8514E" w:rsidRPr="00781112" w:rsidRDefault="00E8514E">
      <w:pPr>
        <w:rPr>
          <w:color w:val="000000" w:themeColor="text1"/>
        </w:rPr>
      </w:pPr>
      <w:r w:rsidRPr="00781112">
        <w:rPr>
          <w:color w:val="000000" w:themeColor="text1"/>
        </w:rPr>
        <w:t>NO</w:t>
      </w:r>
    </w:p>
    <w:p w14:paraId="1451EE58" w14:textId="77777777" w:rsidR="00945274" w:rsidRPr="00781112" w:rsidRDefault="00945274" w:rsidP="004369B2">
      <w:pPr>
        <w:rPr>
          <w:color w:val="000000" w:themeColor="text1"/>
        </w:rPr>
      </w:pPr>
    </w:p>
    <w:p w14:paraId="58C79350" w14:textId="310C06FF" w:rsidR="000A2C83" w:rsidRPr="00781112" w:rsidRDefault="000A2C83" w:rsidP="004369B2">
      <w:pPr>
        <w:rPr>
          <w:b/>
          <w:color w:val="000000" w:themeColor="text1"/>
        </w:rPr>
      </w:pPr>
      <w:r w:rsidRPr="00781112">
        <w:rPr>
          <w:b/>
          <w:color w:val="000000" w:themeColor="text1"/>
        </w:rPr>
        <w:t xml:space="preserve">Targets: Description of Stakeholder Input </w:t>
      </w:r>
    </w:p>
    <w:p w14:paraId="7B6B5101" w14:textId="2C5569CC" w:rsidR="000A2C83" w:rsidRPr="00781112" w:rsidRDefault="002B7490" w:rsidP="000A2C83">
      <w:pPr>
        <w:rPr>
          <w:rFonts w:cs="Arial"/>
          <w:color w:val="000000" w:themeColor="text1"/>
          <w:szCs w:val="16"/>
        </w:rPr>
      </w:pPr>
      <w:r w:rsidRPr="00781112">
        <w:rPr>
          <w:rFonts w:cs="Arial"/>
          <w:color w:val="000000" w:themeColor="text1"/>
          <w:szCs w:val="16"/>
        </w:rPr>
        <w:t>The USBE SES values stakeholder engagement and input and solicits ongoing feedback and review. Stakeholders consistently provide input through collaborative meetings, public comment, written communication, survey data, data analysis, and informal conversations. To share data and information and collect feedback on areas such as SPP/APR targets, the USBE SES employs meetings, newsletters, emails, surveys, and social media with stakeholder groups:</w:t>
      </w:r>
      <w:r w:rsidRPr="00781112">
        <w:rPr>
          <w:rFonts w:cs="Arial"/>
          <w:color w:val="000000" w:themeColor="text1"/>
          <w:szCs w:val="16"/>
        </w:rPr>
        <w:br/>
        <w:t>• LEA Special Education Directors</w:t>
      </w:r>
      <w:r w:rsidRPr="00781112">
        <w:rPr>
          <w:rFonts w:cs="Arial"/>
          <w:color w:val="000000" w:themeColor="text1"/>
          <w:szCs w:val="16"/>
        </w:rPr>
        <w:br/>
        <w:t>• Utah Special Education Advisory Panel (USEAP)</w:t>
      </w:r>
      <w:r w:rsidRPr="00781112">
        <w:rPr>
          <w:rFonts w:cs="Arial"/>
          <w:color w:val="000000" w:themeColor="text1"/>
          <w:szCs w:val="16"/>
        </w:rPr>
        <w:br/>
        <w:t>• USBE Committees</w:t>
      </w:r>
      <w:r w:rsidRPr="00781112">
        <w:rPr>
          <w:rFonts w:cs="Arial"/>
          <w:color w:val="000000" w:themeColor="text1"/>
          <w:szCs w:val="16"/>
        </w:rPr>
        <w:br/>
        <w:t>• Utah Legislative Committees</w:t>
      </w:r>
      <w:r w:rsidRPr="00781112">
        <w:rPr>
          <w:rFonts w:cs="Arial"/>
          <w:color w:val="000000" w:themeColor="text1"/>
          <w:szCs w:val="16"/>
        </w:rPr>
        <w:br/>
        <w:t>• Utah Parent Center (UPC)</w:t>
      </w:r>
      <w:r w:rsidRPr="00781112">
        <w:rPr>
          <w:rFonts w:cs="Arial"/>
          <w:color w:val="000000" w:themeColor="text1"/>
          <w:szCs w:val="16"/>
        </w:rPr>
        <w:br/>
        <w:t>• LEA Curriculum and Assessment Directors</w:t>
      </w:r>
      <w:r w:rsidRPr="00781112">
        <w:rPr>
          <w:rFonts w:cs="Arial"/>
          <w:color w:val="000000" w:themeColor="text1"/>
          <w:szCs w:val="16"/>
        </w:rPr>
        <w:br/>
        <w:t>• LEA Preschool Coordinators</w:t>
      </w:r>
      <w:r w:rsidRPr="00781112">
        <w:rPr>
          <w:rFonts w:cs="Arial"/>
          <w:color w:val="000000" w:themeColor="text1"/>
          <w:szCs w:val="16"/>
        </w:rPr>
        <w:br/>
        <w:t>• LEA Administrators</w:t>
      </w:r>
      <w:r w:rsidRPr="00781112">
        <w:rPr>
          <w:rFonts w:cs="Arial"/>
          <w:color w:val="000000" w:themeColor="text1"/>
          <w:szCs w:val="16"/>
        </w:rPr>
        <w:br/>
        <w:t>•Utah Institutes of Higher Education (IHEs)</w:t>
      </w:r>
      <w:r w:rsidRPr="00781112">
        <w:rPr>
          <w:rFonts w:cs="Arial"/>
          <w:color w:val="000000" w:themeColor="text1"/>
          <w:szCs w:val="16"/>
        </w:rPr>
        <w:br/>
        <w:t>• Baby Watch/Early Intervention (Utah’s Part C agency)</w:t>
      </w:r>
      <w:r w:rsidRPr="00781112">
        <w:rPr>
          <w:rFonts w:cs="Arial"/>
          <w:color w:val="000000" w:themeColor="text1"/>
          <w:szCs w:val="16"/>
        </w:rPr>
        <w:br/>
        <w:t>• Agencies and non-profit organizations that provide services to SWD</w:t>
      </w:r>
      <w:r w:rsidRPr="00781112">
        <w:rPr>
          <w:rFonts w:cs="Arial"/>
          <w:color w:val="000000" w:themeColor="text1"/>
          <w:szCs w:val="16"/>
        </w:rPr>
        <w:br/>
        <w:t>• Utah Educators</w:t>
      </w:r>
      <w:r w:rsidRPr="00781112">
        <w:rPr>
          <w:rFonts w:cs="Arial"/>
          <w:color w:val="000000" w:themeColor="text1"/>
          <w:szCs w:val="16"/>
        </w:rPr>
        <w:br/>
        <w:t>• Advocacy groups throughout the State</w:t>
      </w:r>
      <w:r w:rsidRPr="00781112">
        <w:rPr>
          <w:rFonts w:cs="Arial"/>
          <w:color w:val="000000" w:themeColor="text1"/>
          <w:szCs w:val="16"/>
        </w:rPr>
        <w:br/>
        <w:t>During FFY 2021, no changes were made to the SPP/APR targets. The USBE SES reviewed the progress of the implementation of the Theory of Action for the SSIP and SPP/APR data with USEAM, USEAP, and the Coordinating Council for People with Disabilities (CCPD) (which includes all state agencies that serve individuals with disabilities and all nonprofit organizations that receive any state funding and/or grants).</w:t>
      </w:r>
      <w:r w:rsidRPr="00781112">
        <w:rPr>
          <w:rFonts w:cs="Arial"/>
          <w:color w:val="000000" w:themeColor="text1"/>
          <w:szCs w:val="16"/>
        </w:rPr>
        <w:br/>
        <w:t>The APR summit was held virtually on July 30, 2021. Over 100 participants attended from the stakeholder groups and those with individual interests. Participants reviewed data and projections for the State in 2025–2026. Participants were provided with an overview of the advantages and disadvantages of predictive models as well as an overview of the mindset for target-setting. Participants were asked to select the end targets (2025–2026) for indicators. The USBE SES would then calculate intervening targets between FFY 2020 and FFY 2025 whereby there would be no increase in the target the first year, followed by small increases, then large increases near the end. This is to allow enough time for LEAs to implement initiatives and change practices to realistically meet targets along their way to the rigorous end targets. After this overview, participants determined challenging and achievable end targets. The USBE SES calculated intervening targets and shared these intervening targets with the participants and additional stakeholders to get final approval for all the targets.</w:t>
      </w:r>
      <w:r w:rsidRPr="00781112">
        <w:rPr>
          <w:rFonts w:cs="Arial"/>
          <w:color w:val="000000" w:themeColor="text1"/>
          <w:szCs w:val="16"/>
        </w:rPr>
        <w:br/>
      </w:r>
      <w:r w:rsidRPr="00781112">
        <w:rPr>
          <w:rFonts w:cs="Arial"/>
          <w:color w:val="000000" w:themeColor="text1"/>
          <w:szCs w:val="16"/>
        </w:rPr>
        <w:lastRenderedPageBreak/>
        <w:t>A survey was sent out and 101 individuals participated. Most participants identified as white females in suburban parts of Utah. American Indian/Native Alaskan, Hispanic/Latino, and individuals who identified as multiracial also participated. As a result of this additional feedback, the USBE SES revised Indicator 5 targets to maintain rigor and develop reasonable targets manageable by the LEAs. Targets for all indicators were developed after review of historical indicator and trend data, recommendations from the USBE statistician, the impact of COVID-19, APR summit and APR survey review. All targets were subsequently reviewed and adopted by USBE staff, USEAP, and LEAs. OSEP approved SPP/APR targets in the FFY 2020 SPP/APR.</w:t>
      </w:r>
      <w:r w:rsidRPr="00781112">
        <w:rPr>
          <w:rFonts w:cs="Arial"/>
          <w:color w:val="000000" w:themeColor="text1"/>
          <w:szCs w:val="16"/>
        </w:rPr>
        <w:br/>
        <w:t>During FFY 2021, the SPP/APR and SSIP were discussed regularly with LEA special education directors, USEAP, UPC, the state Parent Teacher Association (PTA), and other parent groups focused on inclusionary practices in Utah schools. Regular meetings are held with all these groups typically on a quarterly basis. Emails, phone calls, and in-person meetings provide for informal opportunities to gain insight and adjust.</w:t>
      </w:r>
      <w:r w:rsidRPr="00781112">
        <w:rPr>
          <w:rFonts w:cs="Arial"/>
          <w:color w:val="000000" w:themeColor="text1"/>
          <w:szCs w:val="16"/>
        </w:rPr>
        <w:br/>
        <w:t>The UPC works closely with USBE to increase the capacity of diverse groups of parents. Meetings at UPC are held in Spanish as the second highest language in the State. Refugee populations are connected through UPC staff assigned to specific LEAs with large populations of refugees.</w:t>
      </w:r>
      <w:r w:rsidRPr="00781112">
        <w:rPr>
          <w:rFonts w:cs="Arial"/>
          <w:color w:val="000000" w:themeColor="text1"/>
          <w:szCs w:val="16"/>
        </w:rPr>
        <w:br/>
        <w:t>The USBE family engagement specialist seeks to increase capacity through cross collaboration with other parent and family engagement programs provided in LEAs that we will continue to target.</w:t>
      </w:r>
      <w:r w:rsidRPr="00781112">
        <w:rPr>
          <w:rFonts w:cs="Arial"/>
          <w:color w:val="000000" w:themeColor="text1"/>
          <w:szCs w:val="16"/>
        </w:rPr>
        <w:br/>
        <w:t>INDICATOR 1</w:t>
      </w:r>
      <w:r w:rsidRPr="00781112">
        <w:rPr>
          <w:rFonts w:cs="Arial"/>
          <w:color w:val="000000" w:themeColor="text1"/>
          <w:szCs w:val="16"/>
        </w:rPr>
        <w:br/>
        <w:t>Data from 2018 was determined to be an appropriate baseline. With a baseline of 67.90%, targets will increase with consideration for COVID-19 impacts.</w:t>
      </w:r>
      <w:r w:rsidRPr="00781112">
        <w:rPr>
          <w:rFonts w:cs="Arial"/>
          <w:color w:val="000000" w:themeColor="text1"/>
          <w:szCs w:val="16"/>
        </w:rPr>
        <w:br/>
        <w:t>INDICATOR 2</w:t>
      </w:r>
      <w:r w:rsidRPr="00781112">
        <w:rPr>
          <w:rFonts w:cs="Arial"/>
          <w:color w:val="000000" w:themeColor="text1"/>
          <w:szCs w:val="16"/>
        </w:rPr>
        <w:br/>
        <w:t>Data from 2018 was determined to be an appropriate baseline. With a baseline of 25.81%, targets will decrease with consideration for COVID-19 impacts.</w:t>
      </w:r>
      <w:r w:rsidRPr="00781112">
        <w:rPr>
          <w:rFonts w:cs="Arial"/>
          <w:color w:val="000000" w:themeColor="text1"/>
          <w:szCs w:val="16"/>
        </w:rPr>
        <w:br/>
        <w:t>INDICATOR 3A</w:t>
      </w:r>
      <w:r w:rsidRPr="00781112">
        <w:rPr>
          <w:rFonts w:cs="Arial"/>
          <w:color w:val="000000" w:themeColor="text1"/>
          <w:szCs w:val="16"/>
        </w:rPr>
        <w:br/>
        <w:t>This target is set by OSEP. Stakeholders discussed ways to improve participation.</w:t>
      </w:r>
      <w:r w:rsidRPr="00781112">
        <w:rPr>
          <w:rFonts w:cs="Arial"/>
          <w:color w:val="000000" w:themeColor="text1"/>
          <w:szCs w:val="16"/>
        </w:rPr>
        <w:br/>
        <w:t>INDICATORS 3B, C, D</w:t>
      </w:r>
      <w:r w:rsidRPr="00781112">
        <w:rPr>
          <w:rFonts w:cs="Arial"/>
          <w:color w:val="000000" w:themeColor="text1"/>
          <w:szCs w:val="16"/>
        </w:rPr>
        <w:br/>
        <w:t>Participants looked at the average mean from the previous four years of data in conjunction with the linear trend and forecasting. This process allowed participants to analyze the best statistical guess of where Utah’s data would most likely be in six years while also seeing the forecasting of possible error over time for predicting far into the future.</w:t>
      </w:r>
      <w:r w:rsidRPr="00781112">
        <w:rPr>
          <w:rFonts w:cs="Arial"/>
          <w:color w:val="000000" w:themeColor="text1"/>
          <w:szCs w:val="16"/>
        </w:rPr>
        <w:br/>
        <w:t>INDICATOR 5</w:t>
      </w:r>
      <w:r w:rsidRPr="00781112">
        <w:rPr>
          <w:rFonts w:cs="Arial"/>
          <w:color w:val="000000" w:themeColor="text1"/>
          <w:szCs w:val="16"/>
        </w:rPr>
        <w:br/>
        <w:t>During FFY 2020, the Indicator 5 baseline was reset. In FFY 2021, all targets were met. A comprehensive approach was taken to provide informative learning sessions to support special education directors who are accountable for reviewing Indicator 5 outcome data. Recognizing the need to differentiate support, the USBE SES offered individual LEA data analysis and problem-solving sessions.</w:t>
      </w:r>
      <w:r w:rsidRPr="00781112">
        <w:rPr>
          <w:rFonts w:cs="Arial"/>
          <w:color w:val="000000" w:themeColor="text1"/>
          <w:szCs w:val="16"/>
        </w:rPr>
        <w:br/>
        <w:t>INDICATOR 6</w:t>
      </w:r>
      <w:r w:rsidRPr="00781112">
        <w:rPr>
          <w:rFonts w:cs="Arial"/>
          <w:color w:val="000000" w:themeColor="text1"/>
          <w:szCs w:val="16"/>
        </w:rPr>
        <w:br/>
        <w:t>Data from 2018 was determined to be an appropriate baseline. With baselines of (A) 46.86%, (B) 32.67%, (C) 0.25%, targets will gradually increase and decrease with consideration for COVID-19 impacts.</w:t>
      </w:r>
      <w:r w:rsidRPr="00781112">
        <w:rPr>
          <w:rFonts w:cs="Arial"/>
          <w:color w:val="000000" w:themeColor="text1"/>
          <w:szCs w:val="16"/>
        </w:rPr>
        <w:br/>
        <w:t>INDICATOR 7</w:t>
      </w:r>
      <w:r w:rsidRPr="00781112">
        <w:rPr>
          <w:rFonts w:cs="Arial"/>
          <w:color w:val="000000" w:themeColor="text1"/>
          <w:szCs w:val="16"/>
        </w:rPr>
        <w:br/>
        <w:t>Data from 2018 was determined to be an appropriate baseline. The USBE predicts outcomes for this indicator are still being largely impacted by COVID-19, and targets are currently set below the baseline. With baselines of (A1) 88.86%, (A2) 58.94%, (B1) 88.41%, (B2) 50.48%, (C1) 89.86%, (C2) 70.52%, targets will increase with consideration for COVID-19 impacts.</w:t>
      </w:r>
      <w:r w:rsidRPr="00781112">
        <w:rPr>
          <w:rFonts w:cs="Arial"/>
          <w:color w:val="000000" w:themeColor="text1"/>
          <w:szCs w:val="16"/>
        </w:rPr>
        <w:br/>
        <w:t>INDICATOR 8</w:t>
      </w:r>
      <w:r w:rsidRPr="00781112">
        <w:rPr>
          <w:rFonts w:cs="Arial"/>
          <w:color w:val="000000" w:themeColor="text1"/>
          <w:szCs w:val="16"/>
        </w:rPr>
        <w:br/>
        <w:t>Data from 2018 was determined to be an appropriate baseline. With a baseline of 78.38%, targets will gradually increase with consideration for COVID-19 impacts.</w:t>
      </w:r>
      <w:r w:rsidRPr="00781112">
        <w:rPr>
          <w:rFonts w:cs="Arial"/>
          <w:color w:val="000000" w:themeColor="text1"/>
          <w:szCs w:val="16"/>
        </w:rPr>
        <w:br/>
        <w:t>INDICATORS 4, 9, 10</w:t>
      </w:r>
      <w:r w:rsidRPr="00781112">
        <w:rPr>
          <w:rFonts w:cs="Arial"/>
          <w:color w:val="000000" w:themeColor="text1"/>
          <w:szCs w:val="16"/>
        </w:rPr>
        <w:br/>
        <w:t>During the APR Summit, stakeholders reviewed current data trends and ways to improve outcomes. Although targets cannot be changed, stakeholder input has been instrumental in meeting targets for these indicators. The calculations and data collection process for these indicators has been updated to improve outcomes for SWD. Stakeholder input has been utilized to determine processes, PL, and support provided to bridge the gap between current performance and targets.</w:t>
      </w:r>
      <w:r w:rsidRPr="00781112">
        <w:rPr>
          <w:rFonts w:cs="Arial"/>
          <w:color w:val="000000" w:themeColor="text1"/>
          <w:szCs w:val="16"/>
        </w:rPr>
        <w:br/>
        <w:t>INDICATORS 11, 12</w:t>
      </w:r>
      <w:r w:rsidRPr="00781112">
        <w:rPr>
          <w:rFonts w:cs="Arial"/>
          <w:color w:val="000000" w:themeColor="text1"/>
          <w:szCs w:val="16"/>
        </w:rPr>
        <w:br/>
        <w:t>During the APR Summit, stakeholders reviewed current data trends and ways to improve outcomes. Although targets cannot be changed, stakeholder input has been instrumental in meeting targets for these indicators. Input has been utilized to determine PL and support provided to bridge the gap between current performance and targets.</w:t>
      </w:r>
      <w:r w:rsidRPr="00781112">
        <w:rPr>
          <w:rFonts w:cs="Arial"/>
          <w:color w:val="000000" w:themeColor="text1"/>
          <w:szCs w:val="16"/>
        </w:rPr>
        <w:br/>
        <w:t>INDICATOR 13</w:t>
      </w:r>
      <w:r w:rsidRPr="00781112">
        <w:rPr>
          <w:rFonts w:cs="Arial"/>
          <w:color w:val="000000" w:themeColor="text1"/>
          <w:szCs w:val="16"/>
        </w:rPr>
        <w:br/>
        <w:t>The USBE SES recognizes this is an area requiring improvement. During the APR Summit, stakeholders reviewed current data trends and ways to improve outcomes. Although targets cannot be changed, stakeholder input has been instrumental in the progression toward meeting the target.</w:t>
      </w:r>
      <w:r w:rsidRPr="00781112">
        <w:rPr>
          <w:rFonts w:cs="Arial"/>
          <w:color w:val="000000" w:themeColor="text1"/>
          <w:szCs w:val="16"/>
        </w:rPr>
        <w:br/>
        <w:t>INDICATOR 14</w:t>
      </w:r>
      <w:r w:rsidRPr="00781112">
        <w:rPr>
          <w:rFonts w:cs="Arial"/>
          <w:color w:val="000000" w:themeColor="text1"/>
          <w:szCs w:val="16"/>
        </w:rPr>
        <w:br/>
        <w:t>Data from 2018 was determined to be an appropriate baseline. The USBE predicts outcomes for this indicator are still being largely impacted by COVID-19, and targets are currently set below the baseline. With baselines of (A) 19.62%, (B) 67.60%, (C) 84.37%, targets will increase with consideration for COVID-19 impacts.</w:t>
      </w:r>
      <w:r w:rsidRPr="00781112">
        <w:rPr>
          <w:rFonts w:cs="Arial"/>
          <w:color w:val="000000" w:themeColor="text1"/>
          <w:szCs w:val="16"/>
        </w:rPr>
        <w:br/>
        <w:t xml:space="preserve">INDICATOR 15 </w:t>
      </w:r>
      <w:r w:rsidRPr="00781112">
        <w:rPr>
          <w:rFonts w:cs="Arial"/>
          <w:color w:val="000000" w:themeColor="text1"/>
          <w:szCs w:val="16"/>
        </w:rPr>
        <w:br/>
        <w:t>The USBE continues to experience relatively low levels of due process hearing requests and resolution meetings and is not required to set a target.</w:t>
      </w:r>
      <w:r w:rsidRPr="00781112">
        <w:rPr>
          <w:rFonts w:cs="Arial"/>
          <w:color w:val="000000" w:themeColor="text1"/>
          <w:szCs w:val="16"/>
        </w:rPr>
        <w:br/>
        <w:t xml:space="preserve">INDICATOR 16 </w:t>
      </w:r>
      <w:r w:rsidRPr="00781112">
        <w:rPr>
          <w:rFonts w:cs="Arial"/>
          <w:color w:val="000000" w:themeColor="text1"/>
          <w:szCs w:val="16"/>
        </w:rPr>
        <w:br/>
        <w:t>The USBE continues to experience relatively low levels of dispute resolution requests, including mediation. Targets have been set based on the low level of mediation requests.</w:t>
      </w:r>
    </w:p>
    <w:p w14:paraId="5F0F979C" w14:textId="2A86F023" w:rsidR="000A2C83" w:rsidRPr="00781112" w:rsidRDefault="000A2C83" w:rsidP="000A2C83">
      <w:pPr>
        <w:rPr>
          <w:rFonts w:cs="Arial"/>
          <w:color w:val="000000" w:themeColor="text1"/>
          <w:szCs w:val="16"/>
        </w:rPr>
      </w:pPr>
    </w:p>
    <w:p w14:paraId="2C7ACE11" w14:textId="77777777" w:rsidR="00E8514E" w:rsidRPr="00781112" w:rsidRDefault="00E8514E" w:rsidP="000A2C83">
      <w:pPr>
        <w:rPr>
          <w:rFonts w:cs="Arial"/>
          <w:color w:val="000000" w:themeColor="text1"/>
          <w:szCs w:val="16"/>
        </w:rPr>
      </w:pPr>
    </w:p>
    <w:p w14:paraId="48B9C9FE" w14:textId="3C4BDA67" w:rsidR="008E31C4" w:rsidRPr="00781112" w:rsidRDefault="008E31C4"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6BASELINEDATA"/>
      </w:tblPr>
      <w:tblGrid>
        <w:gridCol w:w="1797"/>
        <w:gridCol w:w="1798"/>
      </w:tblGrid>
      <w:tr w:rsidR="00D75351" w:rsidRPr="00781112" w14:paraId="57AEABC0" w14:textId="77777777" w:rsidTr="00123D76">
        <w:trPr>
          <w:trHeight w:val="311"/>
          <w:tblHeader/>
        </w:trPr>
        <w:tc>
          <w:tcPr>
            <w:tcW w:w="1797" w:type="dxa"/>
          </w:tcPr>
          <w:p w14:paraId="38CE882B" w14:textId="77777777" w:rsidR="00D75351" w:rsidRPr="00781112" w:rsidRDefault="00D75351" w:rsidP="00123D76">
            <w:pPr>
              <w:jc w:val="center"/>
              <w:rPr>
                <w:b/>
                <w:color w:val="000000" w:themeColor="text1"/>
              </w:rPr>
            </w:pPr>
            <w:r w:rsidRPr="00781112">
              <w:rPr>
                <w:rFonts w:cs="Arial"/>
                <w:b/>
                <w:color w:val="000000" w:themeColor="text1"/>
                <w:szCs w:val="16"/>
              </w:rPr>
              <w:t>Baseline Year</w:t>
            </w:r>
          </w:p>
        </w:tc>
        <w:tc>
          <w:tcPr>
            <w:tcW w:w="1798" w:type="dxa"/>
          </w:tcPr>
          <w:p w14:paraId="664A9E7A" w14:textId="77777777" w:rsidR="00D75351" w:rsidRPr="00781112" w:rsidRDefault="00D75351" w:rsidP="00123D76">
            <w:pPr>
              <w:jc w:val="center"/>
              <w:rPr>
                <w:b/>
                <w:color w:val="000000" w:themeColor="text1"/>
              </w:rPr>
            </w:pPr>
            <w:r w:rsidRPr="00781112">
              <w:rPr>
                <w:b/>
                <w:color w:val="000000" w:themeColor="text1"/>
              </w:rPr>
              <w:t>Baseline Data</w:t>
            </w:r>
          </w:p>
        </w:tc>
      </w:tr>
      <w:tr w:rsidR="00D75351" w:rsidRPr="00781112" w14:paraId="2B59BCB7" w14:textId="77777777" w:rsidTr="00123D76">
        <w:trPr>
          <w:trHeight w:val="311"/>
        </w:trPr>
        <w:tc>
          <w:tcPr>
            <w:tcW w:w="1797" w:type="dxa"/>
            <w:vAlign w:val="center"/>
          </w:tcPr>
          <w:p w14:paraId="62FFC123" w14:textId="008A4386" w:rsidR="00D75351" w:rsidRPr="00781112" w:rsidRDefault="00D75351" w:rsidP="00123D76">
            <w:pPr>
              <w:jc w:val="center"/>
              <w:rPr>
                <w:bCs/>
                <w:color w:val="000000" w:themeColor="text1"/>
              </w:rPr>
            </w:pPr>
            <w:r w:rsidRPr="00781112">
              <w:rPr>
                <w:bCs/>
                <w:color w:val="000000" w:themeColor="text1"/>
              </w:rPr>
              <w:t>2018</w:t>
            </w:r>
          </w:p>
        </w:tc>
        <w:tc>
          <w:tcPr>
            <w:tcW w:w="1798" w:type="dxa"/>
            <w:vAlign w:val="center"/>
          </w:tcPr>
          <w:p w14:paraId="08A13422" w14:textId="52DBDA3E" w:rsidR="00D75351" w:rsidRPr="00781112" w:rsidRDefault="00D75351" w:rsidP="00123D76">
            <w:pPr>
              <w:jc w:val="center"/>
              <w:rPr>
                <w:bCs/>
                <w:color w:val="000000" w:themeColor="text1"/>
              </w:rPr>
            </w:pPr>
            <w:r w:rsidRPr="00781112">
              <w:rPr>
                <w:bCs/>
                <w:color w:val="000000" w:themeColor="text1"/>
              </w:rPr>
              <w:t>68.75%</w:t>
            </w:r>
          </w:p>
        </w:tc>
      </w:tr>
    </w:tbl>
    <w:p w14:paraId="450682C0" w14:textId="77777777" w:rsidR="00D75351" w:rsidRPr="00781112" w:rsidRDefault="00D75351"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6HISTDATA"/>
      </w:tblPr>
      <w:tblGrid>
        <w:gridCol w:w="1615"/>
        <w:gridCol w:w="1799"/>
        <w:gridCol w:w="1981"/>
        <w:gridCol w:w="1798"/>
        <w:gridCol w:w="1709"/>
        <w:gridCol w:w="1888"/>
      </w:tblGrid>
      <w:tr w:rsidR="005C29F8" w:rsidRPr="00781112" w14:paraId="3061AAFC" w14:textId="77777777" w:rsidTr="004B2960">
        <w:trPr>
          <w:trHeight w:val="350"/>
        </w:trPr>
        <w:tc>
          <w:tcPr>
            <w:tcW w:w="748" w:type="pct"/>
            <w:tcBorders>
              <w:bottom w:val="single" w:sz="4" w:space="0" w:color="auto"/>
            </w:tcBorders>
            <w:shd w:val="clear" w:color="auto" w:fill="auto"/>
          </w:tcPr>
          <w:p w14:paraId="6D321354" w14:textId="77777777" w:rsidR="008E31C4" w:rsidRPr="00781112" w:rsidRDefault="008E31C4"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351C61C5" w14:textId="1A27A18C" w:rsidR="008E31C4" w:rsidRPr="00781112" w:rsidRDefault="002B7490" w:rsidP="008E31C4">
            <w:pPr>
              <w:jc w:val="center"/>
              <w:rPr>
                <w:rFonts w:cs="Arial"/>
                <w:b/>
                <w:color w:val="000000" w:themeColor="text1"/>
                <w:szCs w:val="16"/>
              </w:rPr>
            </w:pPr>
            <w:r w:rsidRPr="00781112">
              <w:rPr>
                <w:rFonts w:cs="Arial"/>
                <w:b/>
                <w:color w:val="000000" w:themeColor="text1"/>
                <w:szCs w:val="16"/>
              </w:rPr>
              <w:t>2016</w:t>
            </w:r>
          </w:p>
        </w:tc>
        <w:tc>
          <w:tcPr>
            <w:tcW w:w="918" w:type="pct"/>
            <w:shd w:val="clear" w:color="auto" w:fill="auto"/>
          </w:tcPr>
          <w:p w14:paraId="1CDF9DE8" w14:textId="0FE9038E" w:rsidR="008E31C4" w:rsidRPr="00781112" w:rsidRDefault="002B7490" w:rsidP="008E31C4">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49B990DE" w14:textId="2B6E5021" w:rsidR="008E31C4" w:rsidRPr="00781112" w:rsidRDefault="002B7490" w:rsidP="008E31C4">
            <w:pPr>
              <w:jc w:val="center"/>
              <w:rPr>
                <w:rFonts w:cs="Arial"/>
                <w:b/>
                <w:color w:val="000000" w:themeColor="text1"/>
                <w:szCs w:val="16"/>
              </w:rPr>
            </w:pPr>
            <w:r w:rsidRPr="00781112">
              <w:rPr>
                <w:rFonts w:cs="Arial"/>
                <w:b/>
                <w:color w:val="000000" w:themeColor="text1"/>
                <w:szCs w:val="16"/>
              </w:rPr>
              <w:t>2018</w:t>
            </w:r>
          </w:p>
        </w:tc>
        <w:tc>
          <w:tcPr>
            <w:tcW w:w="792" w:type="pct"/>
            <w:shd w:val="clear" w:color="auto" w:fill="auto"/>
          </w:tcPr>
          <w:p w14:paraId="6EF76857" w14:textId="0F124C26" w:rsidR="008E31C4" w:rsidRPr="00781112" w:rsidRDefault="002B7490" w:rsidP="008E31C4">
            <w:pPr>
              <w:jc w:val="center"/>
              <w:rPr>
                <w:rFonts w:cs="Arial"/>
                <w:b/>
                <w:color w:val="000000" w:themeColor="text1"/>
                <w:szCs w:val="16"/>
              </w:rPr>
            </w:pPr>
            <w:r w:rsidRPr="00781112">
              <w:rPr>
                <w:rFonts w:cs="Arial"/>
                <w:b/>
                <w:color w:val="000000" w:themeColor="text1"/>
                <w:szCs w:val="16"/>
              </w:rPr>
              <w:t>2019</w:t>
            </w:r>
          </w:p>
        </w:tc>
        <w:tc>
          <w:tcPr>
            <w:tcW w:w="875" w:type="pct"/>
            <w:shd w:val="clear" w:color="auto" w:fill="auto"/>
          </w:tcPr>
          <w:p w14:paraId="246ACDB0" w14:textId="7F251A7E" w:rsidR="008E31C4" w:rsidRPr="00781112" w:rsidRDefault="002B7490" w:rsidP="008E31C4">
            <w:pPr>
              <w:jc w:val="center"/>
              <w:rPr>
                <w:rFonts w:cs="Arial"/>
                <w:b/>
                <w:color w:val="000000" w:themeColor="text1"/>
                <w:szCs w:val="16"/>
              </w:rPr>
            </w:pPr>
            <w:r w:rsidRPr="00781112">
              <w:rPr>
                <w:rFonts w:cs="Arial"/>
                <w:b/>
                <w:color w:val="000000" w:themeColor="text1"/>
                <w:szCs w:val="16"/>
              </w:rPr>
              <w:t>2020</w:t>
            </w:r>
          </w:p>
        </w:tc>
      </w:tr>
      <w:tr w:rsidR="005C29F8" w:rsidRPr="00781112" w14:paraId="2A876A9F" w14:textId="77777777" w:rsidTr="004B2960">
        <w:trPr>
          <w:trHeight w:val="357"/>
        </w:trPr>
        <w:tc>
          <w:tcPr>
            <w:tcW w:w="748" w:type="pct"/>
            <w:shd w:val="clear" w:color="auto" w:fill="auto"/>
          </w:tcPr>
          <w:p w14:paraId="2DE95B6B" w14:textId="04DB6250" w:rsidR="008E31C4" w:rsidRPr="00781112" w:rsidRDefault="008E31C4" w:rsidP="008E31C4">
            <w:pPr>
              <w:rPr>
                <w:rFonts w:cs="Arial"/>
                <w:color w:val="000000" w:themeColor="text1"/>
                <w:szCs w:val="16"/>
              </w:rPr>
            </w:pPr>
            <w:r w:rsidRPr="00781112">
              <w:rPr>
                <w:rFonts w:cs="Arial"/>
                <w:color w:val="000000" w:themeColor="text1"/>
                <w:szCs w:val="16"/>
              </w:rPr>
              <w:t>Target &gt;=</w:t>
            </w:r>
          </w:p>
        </w:tc>
        <w:tc>
          <w:tcPr>
            <w:tcW w:w="833" w:type="pct"/>
            <w:shd w:val="clear" w:color="auto" w:fill="auto"/>
          </w:tcPr>
          <w:p w14:paraId="6C64D17D" w14:textId="6F575CE5" w:rsidR="008E31C4" w:rsidRPr="00781112" w:rsidRDefault="002B7490">
            <w:pPr>
              <w:jc w:val="center"/>
              <w:rPr>
                <w:rFonts w:cs="Arial"/>
                <w:color w:val="000000" w:themeColor="text1"/>
                <w:szCs w:val="16"/>
              </w:rPr>
            </w:pPr>
            <w:r w:rsidRPr="00781112">
              <w:rPr>
                <w:rFonts w:cs="Arial"/>
                <w:color w:val="000000" w:themeColor="text1"/>
                <w:szCs w:val="16"/>
              </w:rPr>
              <w:t>90.00%</w:t>
            </w:r>
          </w:p>
        </w:tc>
        <w:tc>
          <w:tcPr>
            <w:tcW w:w="918" w:type="pct"/>
            <w:shd w:val="clear" w:color="auto" w:fill="auto"/>
          </w:tcPr>
          <w:p w14:paraId="72C59C65" w14:textId="44E721D8" w:rsidR="008E31C4" w:rsidRPr="00781112" w:rsidRDefault="002B7490">
            <w:pPr>
              <w:jc w:val="center"/>
              <w:rPr>
                <w:rFonts w:cs="Arial"/>
                <w:color w:val="000000" w:themeColor="text1"/>
                <w:szCs w:val="16"/>
              </w:rPr>
            </w:pPr>
            <w:r w:rsidRPr="00781112">
              <w:rPr>
                <w:rFonts w:cs="Arial"/>
                <w:color w:val="000000" w:themeColor="text1"/>
                <w:szCs w:val="16"/>
              </w:rPr>
              <w:t>90.00%</w:t>
            </w:r>
          </w:p>
        </w:tc>
        <w:tc>
          <w:tcPr>
            <w:tcW w:w="833" w:type="pct"/>
            <w:shd w:val="clear" w:color="auto" w:fill="auto"/>
            <w:vAlign w:val="center"/>
          </w:tcPr>
          <w:p w14:paraId="220DD5CA" w14:textId="720A36A7" w:rsidR="008E31C4" w:rsidRPr="00781112" w:rsidRDefault="002B7490">
            <w:pPr>
              <w:jc w:val="center"/>
              <w:rPr>
                <w:rFonts w:cs="Arial"/>
                <w:color w:val="000000" w:themeColor="text1"/>
                <w:szCs w:val="16"/>
              </w:rPr>
            </w:pPr>
            <w:r w:rsidRPr="00781112">
              <w:rPr>
                <w:rFonts w:cs="Arial"/>
                <w:color w:val="000000" w:themeColor="text1"/>
                <w:szCs w:val="16"/>
              </w:rPr>
              <w:t>90.00%</w:t>
            </w:r>
          </w:p>
        </w:tc>
        <w:tc>
          <w:tcPr>
            <w:tcW w:w="792" w:type="pct"/>
            <w:shd w:val="clear" w:color="auto" w:fill="auto"/>
            <w:vAlign w:val="center"/>
          </w:tcPr>
          <w:p w14:paraId="07CF6D0B" w14:textId="0CDFA70C" w:rsidR="008E31C4" w:rsidRPr="00781112" w:rsidRDefault="002B7490">
            <w:pPr>
              <w:jc w:val="center"/>
              <w:rPr>
                <w:rFonts w:cs="Arial"/>
                <w:color w:val="000000" w:themeColor="text1"/>
                <w:szCs w:val="16"/>
              </w:rPr>
            </w:pPr>
            <w:r w:rsidRPr="00781112">
              <w:rPr>
                <w:rFonts w:cs="Arial"/>
                <w:color w:val="000000" w:themeColor="text1"/>
                <w:szCs w:val="16"/>
              </w:rPr>
              <w:t>60.00%</w:t>
            </w:r>
          </w:p>
        </w:tc>
        <w:tc>
          <w:tcPr>
            <w:tcW w:w="875" w:type="pct"/>
            <w:shd w:val="clear" w:color="auto" w:fill="auto"/>
            <w:vAlign w:val="center"/>
          </w:tcPr>
          <w:p w14:paraId="3B96FD7D" w14:textId="7B182CEE" w:rsidR="008E31C4" w:rsidRPr="00781112" w:rsidRDefault="002B7490">
            <w:pPr>
              <w:jc w:val="center"/>
              <w:rPr>
                <w:rFonts w:cs="Arial"/>
                <w:color w:val="000000" w:themeColor="text1"/>
                <w:szCs w:val="16"/>
              </w:rPr>
            </w:pPr>
            <w:r w:rsidRPr="00781112">
              <w:rPr>
                <w:rFonts w:cs="Arial"/>
                <w:color w:val="000000" w:themeColor="text1"/>
                <w:szCs w:val="16"/>
              </w:rPr>
              <w:t>60.25%</w:t>
            </w:r>
          </w:p>
        </w:tc>
      </w:tr>
      <w:tr w:rsidR="005C29F8" w:rsidRPr="00781112" w14:paraId="34F84ECE" w14:textId="77777777" w:rsidTr="004B2960">
        <w:trPr>
          <w:trHeight w:val="85"/>
        </w:trPr>
        <w:tc>
          <w:tcPr>
            <w:tcW w:w="748" w:type="pct"/>
            <w:shd w:val="clear" w:color="auto" w:fill="auto"/>
          </w:tcPr>
          <w:p w14:paraId="281210CF" w14:textId="77777777" w:rsidR="008E31C4" w:rsidRPr="00781112" w:rsidRDefault="008E31C4" w:rsidP="008E31C4">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581B8DC5" w14:textId="4F71DCFC" w:rsidR="008E31C4" w:rsidRPr="00781112" w:rsidRDefault="002B7490">
            <w:pPr>
              <w:jc w:val="center"/>
              <w:rPr>
                <w:rFonts w:cs="Arial"/>
                <w:color w:val="000000" w:themeColor="text1"/>
                <w:szCs w:val="16"/>
              </w:rPr>
            </w:pPr>
            <w:r w:rsidRPr="00781112">
              <w:rPr>
                <w:rFonts w:cs="Arial"/>
                <w:color w:val="000000" w:themeColor="text1"/>
                <w:szCs w:val="16"/>
              </w:rPr>
              <w:t>100.00%</w:t>
            </w:r>
          </w:p>
        </w:tc>
        <w:tc>
          <w:tcPr>
            <w:tcW w:w="918" w:type="pct"/>
            <w:shd w:val="clear" w:color="auto" w:fill="auto"/>
          </w:tcPr>
          <w:p w14:paraId="341A9DBA" w14:textId="51769052" w:rsidR="008E31C4" w:rsidRPr="00781112" w:rsidRDefault="002B7490">
            <w:pPr>
              <w:jc w:val="center"/>
              <w:rPr>
                <w:rFonts w:cs="Arial"/>
                <w:color w:val="000000" w:themeColor="text1"/>
                <w:szCs w:val="16"/>
              </w:rPr>
            </w:pPr>
            <w:r w:rsidRPr="00781112">
              <w:rPr>
                <w:rFonts w:cs="Arial"/>
                <w:color w:val="000000" w:themeColor="text1"/>
                <w:szCs w:val="16"/>
              </w:rPr>
              <w:t>90.00%</w:t>
            </w:r>
          </w:p>
        </w:tc>
        <w:tc>
          <w:tcPr>
            <w:tcW w:w="833" w:type="pct"/>
            <w:tcBorders>
              <w:bottom w:val="single" w:sz="4" w:space="0" w:color="auto"/>
            </w:tcBorders>
            <w:shd w:val="clear" w:color="auto" w:fill="auto"/>
            <w:vAlign w:val="center"/>
          </w:tcPr>
          <w:p w14:paraId="7C21B645" w14:textId="348DEE4D" w:rsidR="008E31C4" w:rsidRPr="00781112" w:rsidRDefault="002B7490">
            <w:pPr>
              <w:jc w:val="center"/>
              <w:rPr>
                <w:rFonts w:cs="Arial"/>
                <w:color w:val="000000" w:themeColor="text1"/>
                <w:szCs w:val="16"/>
              </w:rPr>
            </w:pPr>
            <w:r w:rsidRPr="00781112">
              <w:rPr>
                <w:rFonts w:cs="Arial"/>
                <w:color w:val="000000" w:themeColor="text1"/>
                <w:szCs w:val="16"/>
              </w:rPr>
              <w:t>68.75%</w:t>
            </w:r>
          </w:p>
        </w:tc>
        <w:tc>
          <w:tcPr>
            <w:tcW w:w="792" w:type="pct"/>
            <w:tcBorders>
              <w:bottom w:val="single" w:sz="4" w:space="0" w:color="auto"/>
            </w:tcBorders>
            <w:shd w:val="clear" w:color="auto" w:fill="auto"/>
            <w:vAlign w:val="center"/>
          </w:tcPr>
          <w:p w14:paraId="345A5CC5" w14:textId="67CE713B" w:rsidR="008E31C4" w:rsidRPr="00781112" w:rsidRDefault="002B7490">
            <w:pPr>
              <w:jc w:val="center"/>
              <w:rPr>
                <w:rFonts w:cs="Arial"/>
                <w:color w:val="000000" w:themeColor="text1"/>
                <w:szCs w:val="16"/>
              </w:rPr>
            </w:pPr>
            <w:r w:rsidRPr="00781112">
              <w:rPr>
                <w:rFonts w:cs="Arial"/>
                <w:color w:val="000000" w:themeColor="text1"/>
                <w:szCs w:val="16"/>
              </w:rPr>
              <w:t>62.50%</w:t>
            </w:r>
          </w:p>
        </w:tc>
        <w:tc>
          <w:tcPr>
            <w:tcW w:w="875" w:type="pct"/>
            <w:tcBorders>
              <w:bottom w:val="single" w:sz="4" w:space="0" w:color="auto"/>
            </w:tcBorders>
            <w:shd w:val="clear" w:color="auto" w:fill="auto"/>
            <w:vAlign w:val="center"/>
          </w:tcPr>
          <w:p w14:paraId="09A5B408" w14:textId="4B0EB3D1" w:rsidR="008E31C4" w:rsidRPr="00781112" w:rsidRDefault="002B7490">
            <w:pPr>
              <w:jc w:val="center"/>
              <w:rPr>
                <w:rFonts w:cs="Arial"/>
                <w:color w:val="000000" w:themeColor="text1"/>
                <w:szCs w:val="16"/>
              </w:rPr>
            </w:pPr>
            <w:r w:rsidRPr="00781112">
              <w:rPr>
                <w:rFonts w:cs="Arial"/>
                <w:color w:val="000000" w:themeColor="text1"/>
                <w:szCs w:val="16"/>
              </w:rPr>
              <w:t>84.62%</w:t>
            </w:r>
          </w:p>
        </w:tc>
      </w:tr>
    </w:tbl>
    <w:p w14:paraId="2B5B5701" w14:textId="2BB5836C" w:rsidR="00DA3157" w:rsidRPr="00781112" w:rsidRDefault="00DA3157">
      <w:pPr>
        <w:rPr>
          <w:color w:val="000000" w:themeColor="text1"/>
        </w:rPr>
      </w:pPr>
    </w:p>
    <w:p w14:paraId="58704584" w14:textId="77777777" w:rsidR="007123A2" w:rsidRDefault="007123A2" w:rsidP="004369B2">
      <w:pPr>
        <w:rPr>
          <w:b/>
          <w:color w:val="000000" w:themeColor="text1"/>
        </w:rPr>
      </w:pPr>
    </w:p>
    <w:p w14:paraId="0F09B55F" w14:textId="671980D4" w:rsidR="008E31C4" w:rsidRPr="00781112" w:rsidRDefault="008E31C4" w:rsidP="004369B2">
      <w:pPr>
        <w:rPr>
          <w:color w:val="000000" w:themeColor="text1"/>
        </w:rPr>
      </w:pPr>
      <w:r w:rsidRPr="00781112">
        <w:rPr>
          <w:b/>
          <w:color w:val="000000" w:themeColor="text1"/>
        </w:rPr>
        <w:lastRenderedPageBreak/>
        <w:t>Targets</w:t>
      </w:r>
    </w:p>
    <w:tbl>
      <w:tblPr>
        <w:tblW w:w="42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6TARGETSOPT1"/>
      </w:tblPr>
      <w:tblGrid>
        <w:gridCol w:w="773"/>
        <w:gridCol w:w="1684"/>
        <w:gridCol w:w="1683"/>
        <w:gridCol w:w="1683"/>
        <w:gridCol w:w="1683"/>
        <w:gridCol w:w="1683"/>
      </w:tblGrid>
      <w:tr w:rsidR="006D0A52" w:rsidRPr="00781112" w14:paraId="7D6724D3" w14:textId="3FE2AE32" w:rsidTr="006D0A52">
        <w:trPr>
          <w:trHeight w:val="161"/>
        </w:trPr>
        <w:tc>
          <w:tcPr>
            <w:tcW w:w="420" w:type="pct"/>
            <w:tcBorders>
              <w:bottom w:val="single" w:sz="4" w:space="0" w:color="auto"/>
            </w:tcBorders>
            <w:shd w:val="clear" w:color="auto" w:fill="auto"/>
          </w:tcPr>
          <w:p w14:paraId="027FBB7B" w14:textId="77777777" w:rsidR="006D0A52" w:rsidRPr="00781112" w:rsidRDefault="006D0A52" w:rsidP="00C91F30">
            <w:pPr>
              <w:jc w:val="center"/>
              <w:rPr>
                <w:b/>
                <w:color w:val="000000" w:themeColor="text1"/>
              </w:rPr>
            </w:pPr>
            <w:r w:rsidRPr="00781112">
              <w:rPr>
                <w:b/>
                <w:color w:val="000000" w:themeColor="text1"/>
              </w:rPr>
              <w:t>FFY</w:t>
            </w:r>
          </w:p>
        </w:tc>
        <w:tc>
          <w:tcPr>
            <w:tcW w:w="916" w:type="pct"/>
            <w:shd w:val="clear" w:color="auto" w:fill="auto"/>
          </w:tcPr>
          <w:p w14:paraId="79481979" w14:textId="1C95D22E" w:rsidR="006D0A52" w:rsidRPr="00781112" w:rsidRDefault="006D0A52" w:rsidP="00C91F30">
            <w:pPr>
              <w:jc w:val="center"/>
              <w:rPr>
                <w:b/>
                <w:color w:val="000000" w:themeColor="text1"/>
              </w:rPr>
            </w:pPr>
            <w:r w:rsidRPr="00781112">
              <w:rPr>
                <w:b/>
                <w:color w:val="000000" w:themeColor="text1"/>
              </w:rPr>
              <w:t>2021</w:t>
            </w:r>
          </w:p>
        </w:tc>
        <w:tc>
          <w:tcPr>
            <w:tcW w:w="916" w:type="pct"/>
          </w:tcPr>
          <w:p w14:paraId="7641993D" w14:textId="318DCACC" w:rsidR="006D0A52" w:rsidRPr="00781112" w:rsidRDefault="006D0A52" w:rsidP="00C91F30">
            <w:pPr>
              <w:jc w:val="center"/>
              <w:rPr>
                <w:b/>
                <w:color w:val="000000" w:themeColor="text1"/>
              </w:rPr>
            </w:pPr>
            <w:r w:rsidRPr="00781112">
              <w:rPr>
                <w:rFonts w:cs="Arial"/>
                <w:b/>
                <w:color w:val="000000" w:themeColor="text1"/>
                <w:szCs w:val="16"/>
              </w:rPr>
              <w:t>2022</w:t>
            </w:r>
          </w:p>
        </w:tc>
        <w:tc>
          <w:tcPr>
            <w:tcW w:w="916" w:type="pct"/>
          </w:tcPr>
          <w:p w14:paraId="4DA0BAA3" w14:textId="27A9B6F2" w:rsidR="006D0A52" w:rsidRPr="00781112" w:rsidRDefault="006D0A52" w:rsidP="00C91F30">
            <w:pPr>
              <w:jc w:val="center"/>
              <w:rPr>
                <w:b/>
                <w:color w:val="000000" w:themeColor="text1"/>
              </w:rPr>
            </w:pPr>
            <w:r w:rsidRPr="00781112">
              <w:rPr>
                <w:rFonts w:cs="Arial"/>
                <w:b/>
                <w:color w:val="000000" w:themeColor="text1"/>
                <w:szCs w:val="16"/>
              </w:rPr>
              <w:t>2023</w:t>
            </w:r>
          </w:p>
        </w:tc>
        <w:tc>
          <w:tcPr>
            <w:tcW w:w="916" w:type="pct"/>
          </w:tcPr>
          <w:p w14:paraId="2A24D443" w14:textId="34DC3CA7" w:rsidR="006D0A52" w:rsidRPr="00781112" w:rsidRDefault="006D0A52" w:rsidP="00C91F30">
            <w:pPr>
              <w:jc w:val="center"/>
              <w:rPr>
                <w:b/>
                <w:color w:val="000000" w:themeColor="text1"/>
              </w:rPr>
            </w:pPr>
            <w:r w:rsidRPr="00781112">
              <w:rPr>
                <w:rFonts w:cs="Arial"/>
                <w:b/>
                <w:color w:val="000000" w:themeColor="text1"/>
                <w:szCs w:val="16"/>
              </w:rPr>
              <w:t>2024</w:t>
            </w:r>
          </w:p>
        </w:tc>
        <w:tc>
          <w:tcPr>
            <w:tcW w:w="916" w:type="pct"/>
          </w:tcPr>
          <w:p w14:paraId="61EFC808" w14:textId="000FAB3D" w:rsidR="006D0A52" w:rsidRPr="00781112" w:rsidRDefault="006D0A52" w:rsidP="00C91F30">
            <w:pPr>
              <w:jc w:val="center"/>
              <w:rPr>
                <w:b/>
                <w:color w:val="000000" w:themeColor="text1"/>
              </w:rPr>
            </w:pPr>
            <w:r w:rsidRPr="00781112">
              <w:rPr>
                <w:rFonts w:cs="Arial"/>
                <w:b/>
                <w:color w:val="000000" w:themeColor="text1"/>
                <w:szCs w:val="16"/>
              </w:rPr>
              <w:t>2025</w:t>
            </w:r>
          </w:p>
        </w:tc>
      </w:tr>
      <w:tr w:rsidR="006D0A52" w:rsidRPr="00781112" w14:paraId="3CA53C0F" w14:textId="2DEE5BE6" w:rsidTr="006D0A52">
        <w:trPr>
          <w:trHeight w:val="60"/>
        </w:trPr>
        <w:tc>
          <w:tcPr>
            <w:tcW w:w="420" w:type="pct"/>
            <w:shd w:val="clear" w:color="auto" w:fill="auto"/>
          </w:tcPr>
          <w:p w14:paraId="78FC9CAC" w14:textId="6980A1CA" w:rsidR="006D0A52" w:rsidRPr="00781112" w:rsidRDefault="006D0A52" w:rsidP="00C91F30">
            <w:pPr>
              <w:jc w:val="center"/>
              <w:rPr>
                <w:rFonts w:cs="Arial"/>
                <w:color w:val="000000" w:themeColor="text1"/>
                <w:szCs w:val="16"/>
              </w:rPr>
            </w:pPr>
            <w:r w:rsidRPr="00781112">
              <w:rPr>
                <w:rFonts w:cs="Arial"/>
                <w:color w:val="000000" w:themeColor="text1"/>
                <w:szCs w:val="16"/>
              </w:rPr>
              <w:t>Target &gt;=</w:t>
            </w:r>
          </w:p>
        </w:tc>
        <w:tc>
          <w:tcPr>
            <w:tcW w:w="916" w:type="pct"/>
            <w:shd w:val="clear" w:color="auto" w:fill="auto"/>
            <w:vAlign w:val="center"/>
          </w:tcPr>
          <w:p w14:paraId="0E137397" w14:textId="06CBC1FD" w:rsidR="006D0A52" w:rsidRPr="00781112" w:rsidRDefault="006D0A52" w:rsidP="00C91F30">
            <w:pPr>
              <w:jc w:val="center"/>
              <w:rPr>
                <w:rFonts w:cs="Arial"/>
                <w:color w:val="000000" w:themeColor="text1"/>
                <w:szCs w:val="16"/>
              </w:rPr>
            </w:pPr>
            <w:r w:rsidRPr="00781112">
              <w:rPr>
                <w:rFonts w:cs="Arial"/>
                <w:color w:val="000000" w:themeColor="text1"/>
                <w:szCs w:val="16"/>
              </w:rPr>
              <w:t>60.50%</w:t>
            </w:r>
          </w:p>
        </w:tc>
        <w:tc>
          <w:tcPr>
            <w:tcW w:w="916" w:type="pct"/>
          </w:tcPr>
          <w:p w14:paraId="2C484D83" w14:textId="77BCE060" w:rsidR="006D0A52" w:rsidRPr="00781112" w:rsidRDefault="006D0A52" w:rsidP="00C91F30">
            <w:pPr>
              <w:jc w:val="center"/>
              <w:rPr>
                <w:rFonts w:cs="Arial"/>
                <w:color w:val="000000" w:themeColor="text1"/>
                <w:szCs w:val="16"/>
              </w:rPr>
            </w:pPr>
            <w:r w:rsidRPr="00781112">
              <w:rPr>
                <w:color w:val="000000" w:themeColor="text1"/>
                <w:szCs w:val="16"/>
              </w:rPr>
              <w:t>60.75%</w:t>
            </w:r>
          </w:p>
        </w:tc>
        <w:tc>
          <w:tcPr>
            <w:tcW w:w="916" w:type="pct"/>
          </w:tcPr>
          <w:p w14:paraId="6CD274F3" w14:textId="076582AE" w:rsidR="006D0A52" w:rsidRPr="00781112" w:rsidRDefault="006D0A52" w:rsidP="00C91F30">
            <w:pPr>
              <w:jc w:val="center"/>
              <w:rPr>
                <w:rFonts w:cs="Arial"/>
                <w:color w:val="000000" w:themeColor="text1"/>
                <w:szCs w:val="16"/>
              </w:rPr>
            </w:pPr>
            <w:r w:rsidRPr="00781112">
              <w:rPr>
                <w:color w:val="000000" w:themeColor="text1"/>
                <w:szCs w:val="16"/>
              </w:rPr>
              <w:t>61.00%</w:t>
            </w:r>
          </w:p>
        </w:tc>
        <w:tc>
          <w:tcPr>
            <w:tcW w:w="916" w:type="pct"/>
          </w:tcPr>
          <w:p w14:paraId="60DD90BA" w14:textId="5816204A" w:rsidR="006D0A52" w:rsidRPr="00781112" w:rsidRDefault="006D0A52" w:rsidP="00C91F30">
            <w:pPr>
              <w:jc w:val="center"/>
              <w:rPr>
                <w:rFonts w:cs="Arial"/>
                <w:color w:val="000000" w:themeColor="text1"/>
                <w:szCs w:val="16"/>
              </w:rPr>
            </w:pPr>
            <w:r w:rsidRPr="00781112">
              <w:rPr>
                <w:color w:val="000000" w:themeColor="text1"/>
                <w:szCs w:val="16"/>
              </w:rPr>
              <w:t>61.25%</w:t>
            </w:r>
          </w:p>
        </w:tc>
        <w:tc>
          <w:tcPr>
            <w:tcW w:w="916" w:type="pct"/>
          </w:tcPr>
          <w:p w14:paraId="2F06128D" w14:textId="63E3880D" w:rsidR="006D0A52" w:rsidRPr="00781112" w:rsidRDefault="006D0A52" w:rsidP="00C91F30">
            <w:pPr>
              <w:jc w:val="center"/>
              <w:rPr>
                <w:rFonts w:cs="Arial"/>
                <w:color w:val="000000" w:themeColor="text1"/>
                <w:szCs w:val="16"/>
              </w:rPr>
            </w:pPr>
            <w:r w:rsidRPr="00781112">
              <w:rPr>
                <w:color w:val="000000" w:themeColor="text1"/>
                <w:szCs w:val="16"/>
              </w:rPr>
              <w:t>61.50%</w:t>
            </w:r>
          </w:p>
        </w:tc>
      </w:tr>
    </w:tbl>
    <w:p w14:paraId="3BC65958" w14:textId="77777777" w:rsidR="00DA3157" w:rsidRPr="00781112" w:rsidRDefault="00DA3157" w:rsidP="004369B2">
      <w:pPr>
        <w:rPr>
          <w:color w:val="000000" w:themeColor="text1"/>
        </w:rPr>
      </w:pPr>
    </w:p>
    <w:p w14:paraId="29FDEA16" w14:textId="333AA980" w:rsidR="008E31C4" w:rsidRPr="00781112" w:rsidRDefault="0047313F">
      <w:pPr>
        <w:rPr>
          <w:b/>
          <w:color w:val="000000" w:themeColor="text1"/>
        </w:rPr>
      </w:pPr>
      <w:r>
        <w:rPr>
          <w:b/>
          <w:color w:val="000000" w:themeColor="text1"/>
        </w:rPr>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6CFFYAPRDATA1OPT1"/>
      </w:tblPr>
      <w:tblGrid>
        <w:gridCol w:w="1438"/>
        <w:gridCol w:w="1437"/>
        <w:gridCol w:w="1405"/>
        <w:gridCol w:w="1107"/>
        <w:gridCol w:w="1640"/>
        <w:gridCol w:w="1290"/>
        <w:gridCol w:w="1256"/>
        <w:gridCol w:w="1217"/>
      </w:tblGrid>
      <w:tr w:rsidR="00B21923" w:rsidRPr="00781112" w14:paraId="30B18EC1" w14:textId="77777777" w:rsidTr="0033429D">
        <w:trPr>
          <w:trHeight w:val="354"/>
          <w:tblHeader/>
        </w:trPr>
        <w:tc>
          <w:tcPr>
            <w:tcW w:w="666" w:type="pct"/>
            <w:shd w:val="clear" w:color="auto" w:fill="auto"/>
          </w:tcPr>
          <w:p w14:paraId="2285C16D" w14:textId="593BA89E" w:rsidR="00B21923" w:rsidRPr="00781112" w:rsidRDefault="00B21923" w:rsidP="00B21923">
            <w:pPr>
              <w:jc w:val="center"/>
              <w:rPr>
                <w:rFonts w:cs="Arial"/>
                <w:b/>
                <w:color w:val="000000" w:themeColor="text1"/>
                <w:szCs w:val="16"/>
              </w:rPr>
            </w:pPr>
            <w:r w:rsidRPr="00781112">
              <w:rPr>
                <w:rFonts w:cs="Arial"/>
                <w:b/>
                <w:color w:val="000000" w:themeColor="text1"/>
                <w:szCs w:val="16"/>
              </w:rPr>
              <w:t>2.1.a.i Mediation agreements related to due process complaints</w:t>
            </w:r>
          </w:p>
        </w:tc>
        <w:tc>
          <w:tcPr>
            <w:tcW w:w="666" w:type="pct"/>
            <w:shd w:val="clear" w:color="auto" w:fill="auto"/>
            <w:vAlign w:val="bottom"/>
          </w:tcPr>
          <w:p w14:paraId="0D0A1148" w14:textId="5AB9157D" w:rsidR="00B21923" w:rsidRPr="00781112" w:rsidRDefault="00B21923" w:rsidP="00B21923">
            <w:pPr>
              <w:jc w:val="center"/>
              <w:rPr>
                <w:rFonts w:cs="Arial"/>
                <w:b/>
                <w:color w:val="000000" w:themeColor="text1"/>
                <w:szCs w:val="16"/>
              </w:rPr>
            </w:pPr>
            <w:r w:rsidRPr="00781112">
              <w:rPr>
                <w:rFonts w:cs="Arial"/>
                <w:b/>
                <w:color w:val="000000" w:themeColor="text1"/>
                <w:szCs w:val="16"/>
              </w:rPr>
              <w:t>2.1.b.i Mediation agreements not related to due process complaints</w:t>
            </w:r>
          </w:p>
        </w:tc>
        <w:tc>
          <w:tcPr>
            <w:tcW w:w="651" w:type="pct"/>
            <w:shd w:val="clear" w:color="auto" w:fill="auto"/>
            <w:vAlign w:val="bottom"/>
          </w:tcPr>
          <w:p w14:paraId="5645AEFA" w14:textId="3277104A" w:rsidR="00B21923" w:rsidRPr="00781112" w:rsidRDefault="00B21923" w:rsidP="00B21923">
            <w:pPr>
              <w:jc w:val="center"/>
              <w:rPr>
                <w:rFonts w:cs="Arial"/>
                <w:b/>
                <w:color w:val="000000" w:themeColor="text1"/>
                <w:szCs w:val="16"/>
              </w:rPr>
            </w:pPr>
            <w:r w:rsidRPr="00781112">
              <w:rPr>
                <w:rFonts w:cs="Arial"/>
                <w:b/>
                <w:color w:val="000000" w:themeColor="text1"/>
                <w:szCs w:val="16"/>
              </w:rPr>
              <w:t>2.1 Number of mediations held</w:t>
            </w:r>
          </w:p>
        </w:tc>
        <w:tc>
          <w:tcPr>
            <w:tcW w:w="513" w:type="pct"/>
            <w:shd w:val="clear" w:color="auto" w:fill="auto"/>
            <w:vAlign w:val="bottom"/>
          </w:tcPr>
          <w:p w14:paraId="4A569306" w14:textId="6C8561F3" w:rsidR="00B21923" w:rsidRPr="006D0A52" w:rsidRDefault="00B21923" w:rsidP="00B21923">
            <w:pPr>
              <w:jc w:val="center"/>
              <w:rPr>
                <w:rFonts w:cs="Arial"/>
                <w:b/>
                <w:bCs/>
                <w:color w:val="000000" w:themeColor="text1"/>
                <w:szCs w:val="16"/>
              </w:rPr>
            </w:pPr>
            <w:r w:rsidRPr="006D0A52">
              <w:rPr>
                <w:b/>
                <w:bCs/>
              </w:rPr>
              <w:t>FFY 2020 Data</w:t>
            </w:r>
          </w:p>
        </w:tc>
        <w:tc>
          <w:tcPr>
            <w:tcW w:w="760" w:type="pct"/>
            <w:shd w:val="clear" w:color="auto" w:fill="auto"/>
            <w:vAlign w:val="bottom"/>
          </w:tcPr>
          <w:p w14:paraId="76531DBA" w14:textId="540B87EF" w:rsidR="00B21923" w:rsidRPr="006D0A52" w:rsidRDefault="00B21923" w:rsidP="00B21923">
            <w:pPr>
              <w:jc w:val="center"/>
              <w:rPr>
                <w:rFonts w:cs="Arial"/>
                <w:b/>
                <w:bCs/>
                <w:color w:val="000000" w:themeColor="text1"/>
                <w:szCs w:val="16"/>
              </w:rPr>
            </w:pPr>
            <w:r w:rsidRPr="006D0A52">
              <w:rPr>
                <w:b/>
                <w:bCs/>
              </w:rPr>
              <w:t>FFY 2021 Target</w:t>
            </w:r>
          </w:p>
        </w:tc>
        <w:tc>
          <w:tcPr>
            <w:tcW w:w="598" w:type="pct"/>
            <w:shd w:val="clear" w:color="auto" w:fill="auto"/>
            <w:vAlign w:val="bottom"/>
          </w:tcPr>
          <w:p w14:paraId="6DA84C86" w14:textId="596AC1F3" w:rsidR="00B21923" w:rsidRPr="006D0A52" w:rsidRDefault="00B21923" w:rsidP="00B21923">
            <w:pPr>
              <w:jc w:val="center"/>
              <w:rPr>
                <w:rFonts w:cs="Arial"/>
                <w:b/>
                <w:bCs/>
                <w:color w:val="000000" w:themeColor="text1"/>
                <w:szCs w:val="16"/>
              </w:rPr>
            </w:pPr>
            <w:r w:rsidRPr="006D0A52">
              <w:rPr>
                <w:b/>
                <w:bCs/>
              </w:rPr>
              <w:t>FFY 2021 Data</w:t>
            </w:r>
          </w:p>
        </w:tc>
        <w:tc>
          <w:tcPr>
            <w:tcW w:w="582" w:type="pct"/>
            <w:shd w:val="clear" w:color="auto" w:fill="auto"/>
            <w:vAlign w:val="bottom"/>
          </w:tcPr>
          <w:p w14:paraId="6C8C9681" w14:textId="77777777" w:rsidR="00B21923" w:rsidRPr="00781112" w:rsidRDefault="00B21923" w:rsidP="00B21923">
            <w:pPr>
              <w:jc w:val="center"/>
              <w:rPr>
                <w:rFonts w:cs="Arial"/>
                <w:b/>
                <w:color w:val="000000" w:themeColor="text1"/>
                <w:szCs w:val="16"/>
              </w:rPr>
            </w:pPr>
            <w:r w:rsidRPr="00781112">
              <w:rPr>
                <w:rFonts w:cs="Arial"/>
                <w:b/>
                <w:color w:val="000000" w:themeColor="text1"/>
                <w:szCs w:val="16"/>
              </w:rPr>
              <w:t>Status</w:t>
            </w:r>
          </w:p>
        </w:tc>
        <w:tc>
          <w:tcPr>
            <w:tcW w:w="564" w:type="pct"/>
            <w:shd w:val="clear" w:color="auto" w:fill="auto"/>
            <w:vAlign w:val="bottom"/>
          </w:tcPr>
          <w:p w14:paraId="6876CD5E" w14:textId="77777777" w:rsidR="00B21923" w:rsidRPr="00781112" w:rsidRDefault="00B21923" w:rsidP="00B21923">
            <w:pPr>
              <w:jc w:val="center"/>
              <w:rPr>
                <w:rFonts w:cs="Arial"/>
                <w:b/>
                <w:color w:val="000000" w:themeColor="text1"/>
                <w:szCs w:val="16"/>
              </w:rPr>
            </w:pPr>
            <w:r w:rsidRPr="00781112">
              <w:rPr>
                <w:rFonts w:cs="Arial"/>
                <w:b/>
                <w:color w:val="000000" w:themeColor="text1"/>
                <w:szCs w:val="16"/>
              </w:rPr>
              <w:t>Slippage</w:t>
            </w:r>
          </w:p>
        </w:tc>
      </w:tr>
      <w:tr w:rsidR="005C29F8" w:rsidRPr="00781112" w14:paraId="580CADA4" w14:textId="77777777" w:rsidTr="00326814">
        <w:trPr>
          <w:trHeight w:val="361"/>
        </w:trPr>
        <w:tc>
          <w:tcPr>
            <w:tcW w:w="666" w:type="pct"/>
            <w:shd w:val="clear" w:color="auto" w:fill="auto"/>
          </w:tcPr>
          <w:p w14:paraId="229DBD16" w14:textId="3985AF14" w:rsidR="00ED71A6" w:rsidRPr="00781112" w:rsidRDefault="002B7490" w:rsidP="004369B2">
            <w:pPr>
              <w:jc w:val="center"/>
              <w:rPr>
                <w:rFonts w:cs="Arial"/>
                <w:color w:val="000000" w:themeColor="text1"/>
                <w:szCs w:val="16"/>
              </w:rPr>
            </w:pPr>
            <w:r w:rsidRPr="00781112">
              <w:rPr>
                <w:rFonts w:cs="Arial"/>
                <w:color w:val="000000" w:themeColor="text1"/>
                <w:szCs w:val="16"/>
              </w:rPr>
              <w:t>2</w:t>
            </w:r>
          </w:p>
        </w:tc>
        <w:tc>
          <w:tcPr>
            <w:tcW w:w="666" w:type="pct"/>
            <w:shd w:val="clear" w:color="auto" w:fill="auto"/>
          </w:tcPr>
          <w:p w14:paraId="26BE4267" w14:textId="64153881" w:rsidR="00ED71A6" w:rsidRPr="00781112" w:rsidRDefault="002B7490" w:rsidP="004369B2">
            <w:pPr>
              <w:jc w:val="center"/>
              <w:rPr>
                <w:rFonts w:cs="Arial"/>
                <w:color w:val="000000" w:themeColor="text1"/>
                <w:szCs w:val="16"/>
              </w:rPr>
            </w:pPr>
            <w:r w:rsidRPr="00781112">
              <w:rPr>
                <w:rFonts w:cs="Arial"/>
                <w:color w:val="000000" w:themeColor="text1"/>
                <w:szCs w:val="16"/>
              </w:rPr>
              <w:t>3</w:t>
            </w:r>
          </w:p>
        </w:tc>
        <w:tc>
          <w:tcPr>
            <w:tcW w:w="651" w:type="pct"/>
            <w:shd w:val="clear" w:color="auto" w:fill="auto"/>
            <w:vAlign w:val="center"/>
          </w:tcPr>
          <w:p w14:paraId="6C063D69" w14:textId="6595E94B" w:rsidR="00ED71A6" w:rsidRPr="00781112" w:rsidRDefault="002B7490" w:rsidP="004369B2">
            <w:pPr>
              <w:jc w:val="center"/>
              <w:rPr>
                <w:rFonts w:cs="Arial"/>
                <w:color w:val="000000" w:themeColor="text1"/>
                <w:szCs w:val="16"/>
              </w:rPr>
            </w:pPr>
            <w:r w:rsidRPr="00781112">
              <w:rPr>
                <w:rFonts w:cs="Arial"/>
                <w:color w:val="000000" w:themeColor="text1"/>
                <w:szCs w:val="16"/>
              </w:rPr>
              <w:t>11</w:t>
            </w:r>
          </w:p>
        </w:tc>
        <w:tc>
          <w:tcPr>
            <w:tcW w:w="513" w:type="pct"/>
            <w:shd w:val="clear" w:color="auto" w:fill="auto"/>
          </w:tcPr>
          <w:p w14:paraId="466ED6BC" w14:textId="5349E9C8" w:rsidR="00ED71A6" w:rsidRPr="00781112" w:rsidRDefault="002B7490" w:rsidP="004369B2">
            <w:pPr>
              <w:jc w:val="center"/>
              <w:rPr>
                <w:rFonts w:cs="Arial"/>
                <w:color w:val="000000" w:themeColor="text1"/>
                <w:szCs w:val="16"/>
              </w:rPr>
            </w:pPr>
            <w:r w:rsidRPr="00781112">
              <w:rPr>
                <w:rFonts w:cs="Arial"/>
                <w:color w:val="000000" w:themeColor="text1"/>
                <w:szCs w:val="16"/>
              </w:rPr>
              <w:t>84.62%</w:t>
            </w:r>
          </w:p>
        </w:tc>
        <w:tc>
          <w:tcPr>
            <w:tcW w:w="760" w:type="pct"/>
            <w:shd w:val="clear" w:color="auto" w:fill="auto"/>
          </w:tcPr>
          <w:p w14:paraId="2530D239" w14:textId="21181E1F" w:rsidR="00ED71A6" w:rsidRPr="00781112" w:rsidRDefault="002B7490" w:rsidP="004369B2">
            <w:pPr>
              <w:jc w:val="center"/>
              <w:rPr>
                <w:rFonts w:cs="Arial"/>
                <w:color w:val="000000" w:themeColor="text1"/>
                <w:szCs w:val="16"/>
              </w:rPr>
            </w:pPr>
            <w:r w:rsidRPr="00781112">
              <w:rPr>
                <w:rFonts w:cs="Arial"/>
                <w:color w:val="000000" w:themeColor="text1"/>
                <w:szCs w:val="16"/>
              </w:rPr>
              <w:t>60.50%</w:t>
            </w:r>
          </w:p>
        </w:tc>
        <w:tc>
          <w:tcPr>
            <w:tcW w:w="598" w:type="pct"/>
            <w:shd w:val="clear" w:color="auto" w:fill="auto"/>
          </w:tcPr>
          <w:p w14:paraId="5CFDAC12" w14:textId="030BF46B" w:rsidR="00ED71A6" w:rsidRPr="00781112" w:rsidRDefault="002B7490" w:rsidP="004369B2">
            <w:pPr>
              <w:jc w:val="center"/>
              <w:rPr>
                <w:rFonts w:cs="Arial"/>
                <w:color w:val="000000" w:themeColor="text1"/>
                <w:szCs w:val="16"/>
              </w:rPr>
            </w:pPr>
            <w:r w:rsidRPr="00781112">
              <w:rPr>
                <w:rFonts w:cs="Arial"/>
                <w:color w:val="000000" w:themeColor="text1"/>
                <w:szCs w:val="16"/>
              </w:rPr>
              <w:t>45.45%</w:t>
            </w:r>
          </w:p>
        </w:tc>
        <w:tc>
          <w:tcPr>
            <w:tcW w:w="582" w:type="pct"/>
            <w:shd w:val="clear" w:color="auto" w:fill="auto"/>
          </w:tcPr>
          <w:p w14:paraId="0ABF26CD" w14:textId="7C384528" w:rsidR="00ED71A6" w:rsidRPr="00781112" w:rsidRDefault="002B7490" w:rsidP="004369B2">
            <w:pPr>
              <w:jc w:val="center"/>
              <w:rPr>
                <w:rFonts w:cs="Arial"/>
                <w:color w:val="000000" w:themeColor="text1"/>
                <w:szCs w:val="16"/>
              </w:rPr>
            </w:pPr>
            <w:r w:rsidRPr="00781112">
              <w:rPr>
                <w:rFonts w:cs="Arial"/>
                <w:color w:val="000000" w:themeColor="text1"/>
                <w:szCs w:val="16"/>
              </w:rPr>
              <w:t>Did not meet target</w:t>
            </w:r>
          </w:p>
        </w:tc>
        <w:tc>
          <w:tcPr>
            <w:tcW w:w="564" w:type="pct"/>
            <w:shd w:val="clear" w:color="auto" w:fill="auto"/>
          </w:tcPr>
          <w:p w14:paraId="62404E67" w14:textId="522FE20B" w:rsidR="00ED71A6" w:rsidRPr="00781112" w:rsidRDefault="002B7490" w:rsidP="004369B2">
            <w:pPr>
              <w:jc w:val="center"/>
              <w:rPr>
                <w:rFonts w:cs="Arial"/>
                <w:color w:val="000000" w:themeColor="text1"/>
                <w:szCs w:val="16"/>
              </w:rPr>
            </w:pPr>
            <w:r w:rsidRPr="00781112">
              <w:rPr>
                <w:rFonts w:cs="Arial"/>
                <w:color w:val="000000" w:themeColor="text1"/>
                <w:szCs w:val="16"/>
              </w:rPr>
              <w:t>Slippage</w:t>
            </w:r>
          </w:p>
        </w:tc>
      </w:tr>
    </w:tbl>
    <w:p w14:paraId="03422290" w14:textId="77777777" w:rsidR="00BB79DA" w:rsidRPr="00781112" w:rsidRDefault="00BB79DA">
      <w:pPr>
        <w:rPr>
          <w:color w:val="000000" w:themeColor="text1"/>
        </w:rPr>
      </w:pPr>
    </w:p>
    <w:p w14:paraId="24CDA891" w14:textId="493C5E97" w:rsidR="0059249C" w:rsidRPr="00781112" w:rsidRDefault="00293C7E" w:rsidP="0059249C">
      <w:pPr>
        <w:rPr>
          <w:rFonts w:cs="Arial"/>
          <w:b/>
          <w:i/>
          <w:color w:val="000000" w:themeColor="text1"/>
          <w:szCs w:val="16"/>
        </w:rPr>
      </w:pPr>
      <w:r w:rsidRPr="00781112">
        <w:rPr>
          <w:rFonts w:cs="Arial"/>
          <w:b/>
          <w:color w:val="000000" w:themeColor="text1"/>
          <w:szCs w:val="16"/>
        </w:rPr>
        <w:t>Provide reasons for slippage, if applicable</w:t>
      </w:r>
    </w:p>
    <w:p w14:paraId="79351ACD" w14:textId="4DA6F153" w:rsidR="00293C7E" w:rsidRPr="00781112" w:rsidRDefault="002B7490" w:rsidP="007D435F">
      <w:pPr>
        <w:rPr>
          <w:rFonts w:cs="Arial"/>
          <w:color w:val="000000" w:themeColor="text1"/>
          <w:szCs w:val="16"/>
        </w:rPr>
      </w:pPr>
      <w:r w:rsidRPr="00781112">
        <w:rPr>
          <w:rFonts w:cs="Arial"/>
          <w:color w:val="000000" w:themeColor="text1"/>
          <w:szCs w:val="16"/>
        </w:rPr>
        <w:t>The USBE continues to experience very low mediation rates. During FFY 2021, the USBE added a box to its State complaint and due process complaint forms where parents or adult students could elect to request mediation without a separate request. Despite this, the USBE experienced a reduction in the number of overall mediation requests (a total of 18) and mediation sessions (a total of 11) from FFY 2020. When there are so few mediations, one or two unsuccessful mediations can completely prevent the USBE from meeting its target. That is what occurred here.</w:t>
      </w:r>
    </w:p>
    <w:p w14:paraId="7653BA1E" w14:textId="77777777" w:rsidR="00913A33" w:rsidRPr="00781112" w:rsidRDefault="00913A33" w:rsidP="00913A33">
      <w:pPr>
        <w:rPr>
          <w:rFonts w:cs="Arial"/>
          <w:b/>
          <w:color w:val="000000" w:themeColor="text1"/>
          <w:szCs w:val="16"/>
        </w:rPr>
      </w:pPr>
      <w:r w:rsidRPr="00781112">
        <w:rPr>
          <w:rFonts w:cs="Arial"/>
          <w:b/>
          <w:color w:val="000000" w:themeColor="text1"/>
          <w:szCs w:val="16"/>
        </w:rPr>
        <w:t>Provide additional information about this indicator (optional)</w:t>
      </w:r>
    </w:p>
    <w:p w14:paraId="609BD927" w14:textId="47FAE461" w:rsidR="00293C7E" w:rsidRPr="00781112" w:rsidRDefault="002B7490" w:rsidP="007D435F">
      <w:pPr>
        <w:rPr>
          <w:rFonts w:cs="Arial"/>
          <w:color w:val="000000" w:themeColor="text1"/>
          <w:szCs w:val="16"/>
        </w:rPr>
      </w:pPr>
      <w:r w:rsidRPr="00781112">
        <w:rPr>
          <w:rFonts w:cs="Arial"/>
          <w:color w:val="000000" w:themeColor="text1"/>
          <w:szCs w:val="16"/>
        </w:rPr>
        <w:t xml:space="preserve">During the 2021 APR Summit, a review of baselines for Indicator 16 was conducted to determine if baselines should remain or be updated to correlate with changing targets. Consideration was given </w:t>
      </w:r>
      <w:proofErr w:type="gramStart"/>
      <w:r w:rsidRPr="00781112">
        <w:rPr>
          <w:rFonts w:cs="Arial"/>
          <w:color w:val="000000" w:themeColor="text1"/>
          <w:szCs w:val="16"/>
        </w:rPr>
        <w:t>for</w:t>
      </w:r>
      <w:proofErr w:type="gramEnd"/>
      <w:r w:rsidRPr="00781112">
        <w:rPr>
          <w:rFonts w:cs="Arial"/>
          <w:color w:val="000000" w:themeColor="text1"/>
          <w:szCs w:val="16"/>
        </w:rPr>
        <w:t xml:space="preserve"> the impacts of COVID-19. Stakeholders reviewed historical data and projections for where the State would be in 2025–206 if all things stayed the same. Choosing a baseline from a year prior to COVID-19 reflects Utah trends in a typical school year and was determined to be appropriate.</w:t>
      </w:r>
      <w:r w:rsidRPr="00781112">
        <w:rPr>
          <w:rFonts w:cs="Arial"/>
          <w:color w:val="000000" w:themeColor="text1"/>
          <w:szCs w:val="16"/>
        </w:rPr>
        <w:br/>
      </w:r>
      <w:r w:rsidRPr="00781112">
        <w:rPr>
          <w:rFonts w:cs="Arial"/>
          <w:color w:val="000000" w:themeColor="text1"/>
          <w:szCs w:val="16"/>
        </w:rPr>
        <w:br/>
        <w:t xml:space="preserve">Utah has a very low mediation rate, averaging fewer than 10 mediation sessions per year over the past five years. In 2018, Utah had the second lowest total dispute resolution by </w:t>
      </w:r>
      <w:proofErr w:type="gramStart"/>
      <w:r w:rsidRPr="00781112">
        <w:rPr>
          <w:rFonts w:cs="Arial"/>
          <w:color w:val="000000" w:themeColor="text1"/>
          <w:szCs w:val="16"/>
        </w:rPr>
        <w:t>State</w:t>
      </w:r>
      <w:proofErr w:type="gramEnd"/>
      <w:r w:rsidRPr="00781112">
        <w:rPr>
          <w:rFonts w:cs="Arial"/>
          <w:color w:val="000000" w:themeColor="text1"/>
          <w:szCs w:val="16"/>
        </w:rPr>
        <w:t xml:space="preserve"> per 10,000 children. The USBE surveyed Indicator 16 targets and data for all 50 states and outlying territories. The USBE reviewed the 10 states with the lowest total dispute resolution by State per 10,000 children. A review of this data in conjunction with the USBE’s mediation figures </w:t>
      </w:r>
      <w:proofErr w:type="gramStart"/>
      <w:r w:rsidRPr="00781112">
        <w:rPr>
          <w:rFonts w:cs="Arial"/>
          <w:color w:val="000000" w:themeColor="text1"/>
          <w:szCs w:val="16"/>
        </w:rPr>
        <w:t>support</w:t>
      </w:r>
      <w:proofErr w:type="gramEnd"/>
      <w:r w:rsidRPr="00781112">
        <w:rPr>
          <w:rFonts w:cs="Arial"/>
          <w:color w:val="000000" w:themeColor="text1"/>
          <w:szCs w:val="16"/>
        </w:rPr>
        <w:t xml:space="preserve"> the baseline data from 2018. Where factors are in the USBE’s control (e.g., the retention and training of skilled, knowledgeable mediators, timely responses to requests for mediation, establishing communication among the parties, etc.), the USBE meets the high standards that it sets for itself. However, while the USBE strives to have every mediation result in a mediation agreement, there are many factors in any given mediation session that are outside of the USBE’s control.</w:t>
      </w:r>
      <w:r w:rsidRPr="00781112">
        <w:rPr>
          <w:rFonts w:cs="Arial"/>
          <w:color w:val="000000" w:themeColor="text1"/>
          <w:szCs w:val="16"/>
        </w:rPr>
        <w:br/>
      </w:r>
      <w:r w:rsidRPr="00781112">
        <w:rPr>
          <w:rFonts w:cs="Arial"/>
          <w:color w:val="000000" w:themeColor="text1"/>
          <w:szCs w:val="16"/>
        </w:rPr>
        <w:br/>
        <w:t>Based off previous years’ data, the COVID-19 pandemic does not appear to have had an impact on the number of mediation requests, the number of mediation requests related to due process hearing complaints (or not related to due process hearing complaints), the number of mediations held, or the number of mediation agreements.</w:t>
      </w:r>
    </w:p>
    <w:p w14:paraId="01544738" w14:textId="0D3ECCB4" w:rsidR="00293C7E" w:rsidRPr="00781112" w:rsidRDefault="001C46DC" w:rsidP="00123D76">
      <w:pPr>
        <w:pStyle w:val="Heading2"/>
      </w:pPr>
      <w:r w:rsidRPr="00781112">
        <w:t>16</w:t>
      </w:r>
      <w:r w:rsidR="001D508D" w:rsidRPr="00781112">
        <w:t xml:space="preserve"> </w:t>
      </w:r>
      <w:r w:rsidRPr="00781112">
        <w:t xml:space="preserve">- </w:t>
      </w:r>
      <w:r w:rsidR="00293C7E" w:rsidRPr="00781112">
        <w:t>Prior FFY Required Actions</w:t>
      </w:r>
    </w:p>
    <w:p w14:paraId="7049B053" w14:textId="64040937" w:rsidR="009F69E7" w:rsidRPr="00781112" w:rsidRDefault="002B7490" w:rsidP="00293C7E">
      <w:pPr>
        <w:rPr>
          <w:rFonts w:cs="Arial"/>
          <w:color w:val="000000" w:themeColor="text1"/>
          <w:szCs w:val="16"/>
        </w:rPr>
      </w:pPr>
      <w:r w:rsidRPr="00781112">
        <w:rPr>
          <w:rFonts w:cs="Arial"/>
          <w:color w:val="000000" w:themeColor="text1"/>
          <w:szCs w:val="16"/>
        </w:rPr>
        <w:t>None</w:t>
      </w:r>
    </w:p>
    <w:p w14:paraId="169C5129" w14:textId="3D3FC1C0" w:rsidR="00913A33" w:rsidRPr="00781112" w:rsidRDefault="001C46DC" w:rsidP="00123D76">
      <w:pPr>
        <w:pStyle w:val="Heading2"/>
      </w:pPr>
      <w:r w:rsidRPr="00781112">
        <w:t>16 - OSEP Response</w:t>
      </w:r>
    </w:p>
    <w:p w14:paraId="5F7A0890" w14:textId="4F76A7D5" w:rsidR="00293C7E" w:rsidRPr="00781112" w:rsidRDefault="00293C7E" w:rsidP="001F692C">
      <w:pPr>
        <w:rPr>
          <w:rFonts w:cs="Arial"/>
          <w:color w:val="000000" w:themeColor="text1"/>
          <w:szCs w:val="16"/>
        </w:rPr>
      </w:pPr>
    </w:p>
    <w:p w14:paraId="55A8CDDB" w14:textId="51F8AA9B" w:rsidR="00913A33" w:rsidRPr="00781112" w:rsidRDefault="001C46DC" w:rsidP="00123D76">
      <w:pPr>
        <w:pStyle w:val="Heading2"/>
      </w:pPr>
      <w:r w:rsidRPr="00781112">
        <w:t>16 - Required Actions</w:t>
      </w:r>
    </w:p>
    <w:p w14:paraId="72813E4E" w14:textId="532E1944" w:rsidR="00293C7E" w:rsidRPr="00781112" w:rsidRDefault="00293C7E" w:rsidP="001F692C">
      <w:pPr>
        <w:rPr>
          <w:rFonts w:cs="Arial"/>
          <w:color w:val="000000" w:themeColor="text1"/>
          <w:szCs w:val="16"/>
        </w:rPr>
      </w:pPr>
    </w:p>
    <w:p w14:paraId="79966887" w14:textId="11440645" w:rsidR="00755AF7" w:rsidRPr="00781112" w:rsidRDefault="00755AF7">
      <w:pPr>
        <w:spacing w:before="0" w:after="200" w:line="276" w:lineRule="auto"/>
        <w:rPr>
          <w:rFonts w:cs="Arial"/>
          <w:color w:val="000000" w:themeColor="text1"/>
          <w:szCs w:val="16"/>
        </w:rPr>
      </w:pPr>
    </w:p>
    <w:p w14:paraId="40F6AE64" w14:textId="77777777" w:rsidR="00AE1972" w:rsidRPr="00781112" w:rsidRDefault="00AE1972">
      <w:pPr>
        <w:spacing w:before="0" w:after="200" w:line="276" w:lineRule="auto"/>
        <w:rPr>
          <w:color w:val="000000" w:themeColor="text1"/>
        </w:rPr>
      </w:pPr>
      <w:r w:rsidRPr="00781112">
        <w:rPr>
          <w:color w:val="000000" w:themeColor="text1"/>
        </w:rPr>
        <w:br w:type="page"/>
      </w:r>
    </w:p>
    <w:p w14:paraId="528D0D37" w14:textId="5C401108" w:rsidR="00AE1972" w:rsidRPr="00781112" w:rsidRDefault="00AE1972" w:rsidP="00AE1972">
      <w:pPr>
        <w:pStyle w:val="Heading1"/>
        <w:rPr>
          <w:color w:val="000000" w:themeColor="text1"/>
        </w:rPr>
      </w:pPr>
      <w:r w:rsidRPr="00781112">
        <w:rPr>
          <w:color w:val="000000" w:themeColor="text1"/>
        </w:rPr>
        <w:lastRenderedPageBreak/>
        <w:t>Indicator 17: State Systemic Improvement Plan</w:t>
      </w:r>
    </w:p>
    <w:p w14:paraId="0840DD7C" w14:textId="77777777" w:rsidR="00AE1972" w:rsidRPr="00781112" w:rsidRDefault="00AE1972" w:rsidP="00AE1972">
      <w:pPr>
        <w:rPr>
          <w:color w:val="000000" w:themeColor="text1"/>
          <w:szCs w:val="20"/>
        </w:rPr>
      </w:pPr>
      <w:r w:rsidRPr="00781112">
        <w:rPr>
          <w:b/>
          <w:color w:val="000000" w:themeColor="text1"/>
          <w:sz w:val="20"/>
          <w:szCs w:val="20"/>
        </w:rPr>
        <w:t>Instructions and Measurement</w:t>
      </w:r>
    </w:p>
    <w:p w14:paraId="3B7DA41B" w14:textId="77777777" w:rsidR="00AE1972" w:rsidRPr="00781112" w:rsidRDefault="00AE1972" w:rsidP="00AE1972">
      <w:pPr>
        <w:rPr>
          <w:color w:val="000000" w:themeColor="text1"/>
          <w:szCs w:val="16"/>
        </w:rPr>
      </w:pPr>
      <w:r w:rsidRPr="00781112">
        <w:rPr>
          <w:b/>
          <w:color w:val="000000" w:themeColor="text1"/>
          <w:szCs w:val="16"/>
        </w:rPr>
        <w:t xml:space="preserve">Monitoring Priority: </w:t>
      </w:r>
      <w:r w:rsidRPr="00781112">
        <w:rPr>
          <w:color w:val="000000" w:themeColor="text1"/>
          <w:szCs w:val="16"/>
        </w:rPr>
        <w:t xml:space="preserve">General Supervision </w:t>
      </w:r>
    </w:p>
    <w:p w14:paraId="5E0D7347" w14:textId="77777777" w:rsidR="00AE1972" w:rsidRPr="00781112" w:rsidRDefault="00AE1972" w:rsidP="00AE1972">
      <w:pPr>
        <w:rPr>
          <w:b/>
          <w:color w:val="000000" w:themeColor="text1"/>
          <w:szCs w:val="16"/>
        </w:rPr>
      </w:pPr>
      <w:r w:rsidRPr="00781112">
        <w:rPr>
          <w:color w:val="000000" w:themeColor="text1"/>
          <w:szCs w:val="16"/>
        </w:rPr>
        <w:t>The State’s SPP/APR includes a State Systemic Improvement Plan (SSIP) that meets the requirements set forth for this indicator.</w:t>
      </w:r>
    </w:p>
    <w:p w14:paraId="450C51F8" w14:textId="77777777" w:rsidR="00AE1972" w:rsidRPr="00781112" w:rsidRDefault="00AE1972" w:rsidP="00AE1972">
      <w:pPr>
        <w:rPr>
          <w:b/>
          <w:color w:val="000000" w:themeColor="text1"/>
        </w:rPr>
      </w:pPr>
      <w:r w:rsidRPr="00781112">
        <w:rPr>
          <w:b/>
          <w:color w:val="000000" w:themeColor="text1"/>
        </w:rPr>
        <w:t>Measurement</w:t>
      </w:r>
    </w:p>
    <w:p w14:paraId="04B17582" w14:textId="6FB0482A" w:rsidR="00AE1972" w:rsidRPr="00781112" w:rsidRDefault="00AE1972" w:rsidP="00AE1972">
      <w:r w:rsidRPr="00781112">
        <w:t xml:space="preserve">The State’s SPP/APR includes an SSIP that is a comprehensive, ambitious, yet achievable multi-year plan for improving results </w:t>
      </w:r>
      <w:r w:rsidR="00002E37" w:rsidRPr="00651E83">
        <w:rPr>
          <w:rFonts w:cs="Arial"/>
          <w:szCs w:val="16"/>
        </w:rPr>
        <w:t xml:space="preserve">for </w:t>
      </w:r>
      <w:r w:rsidR="006B5750">
        <w:rPr>
          <w:rFonts w:cs="Arial"/>
          <w:szCs w:val="16"/>
        </w:rPr>
        <w:t>children</w:t>
      </w:r>
      <w:r w:rsidR="006B5750" w:rsidRPr="00651E83">
        <w:rPr>
          <w:rFonts w:cs="Arial"/>
          <w:szCs w:val="16"/>
        </w:rPr>
        <w:t xml:space="preserve"> </w:t>
      </w:r>
      <w:r w:rsidR="00002E37" w:rsidRPr="00651E83">
        <w:rPr>
          <w:rFonts w:cs="Arial"/>
          <w:szCs w:val="16"/>
        </w:rPr>
        <w:t>with disabilities</w:t>
      </w:r>
      <w:r w:rsidRPr="00781112">
        <w:t>. The SSIP includes each of the components described below.</w:t>
      </w:r>
    </w:p>
    <w:p w14:paraId="26F5AA9C" w14:textId="77777777" w:rsidR="00AE1972" w:rsidRPr="00781112" w:rsidRDefault="00AE1972" w:rsidP="00AE1972">
      <w:pPr>
        <w:rPr>
          <w:b/>
          <w:color w:val="000000" w:themeColor="text1"/>
        </w:rPr>
      </w:pPr>
      <w:r w:rsidRPr="00781112">
        <w:rPr>
          <w:b/>
          <w:color w:val="000000" w:themeColor="text1"/>
        </w:rPr>
        <w:t>Instructions</w:t>
      </w:r>
    </w:p>
    <w:p w14:paraId="399EE6DB" w14:textId="1CFF166B" w:rsidR="00AE1972" w:rsidRPr="00781112" w:rsidRDefault="00AE1972" w:rsidP="00AE1972">
      <w:r w:rsidRPr="00781112">
        <w:rPr>
          <w:b/>
          <w:iCs/>
          <w:u w:val="single"/>
        </w:rPr>
        <w:t>Baseline Data</w:t>
      </w:r>
      <w:r w:rsidRPr="00781112">
        <w:rPr>
          <w:b/>
          <w:i/>
        </w:rPr>
        <w:t>:</w:t>
      </w:r>
      <w:r w:rsidRPr="00781112">
        <w:t xml:space="preserve"> The State must provide baseline data that must be expressed as a </w:t>
      </w:r>
      <w:proofErr w:type="gramStart"/>
      <w:r w:rsidRPr="00781112">
        <w:t>percentage</w:t>
      </w:r>
      <w:proofErr w:type="gramEnd"/>
      <w:r w:rsidRPr="00781112">
        <w:t xml:space="preserve"> and which is aligned with the State-identified Measurable Result(s) for </w:t>
      </w:r>
      <w:r w:rsidR="00B00A11" w:rsidRPr="00781112">
        <w:rPr>
          <w:rFonts w:cs="Arial"/>
          <w:szCs w:val="16"/>
        </w:rPr>
        <w:t>Children with Disabilities.</w:t>
      </w:r>
    </w:p>
    <w:p w14:paraId="200B44A4" w14:textId="1EC5E359" w:rsidR="00AE1972" w:rsidRPr="00781112" w:rsidRDefault="00AE1972" w:rsidP="00AE1972">
      <w:r w:rsidRPr="00781112">
        <w:rPr>
          <w:b/>
          <w:iCs/>
          <w:u w:val="single"/>
        </w:rPr>
        <w:t>Targets</w:t>
      </w:r>
      <w:r w:rsidRPr="00781112">
        <w:rPr>
          <w:b/>
          <w:i/>
        </w:rPr>
        <w:t>:</w:t>
      </w:r>
      <w:r w:rsidRPr="00781112">
        <w:t xml:space="preserve"> </w:t>
      </w:r>
      <w:r w:rsidR="00E101A7" w:rsidRPr="00781112">
        <w:rPr>
          <w:rFonts w:cs="Arial"/>
          <w:szCs w:val="16"/>
        </w:rPr>
        <w:t xml:space="preserve">In its </w:t>
      </w:r>
      <w:r w:rsidR="0047313F">
        <w:rPr>
          <w:rFonts w:cs="Arial"/>
          <w:szCs w:val="16"/>
        </w:rPr>
        <w:t xml:space="preserve">FFY 2021 SPP/APR, due </w:t>
      </w:r>
      <w:r w:rsidR="00AD1B29">
        <w:rPr>
          <w:rFonts w:cs="Arial"/>
          <w:szCs w:val="16"/>
        </w:rPr>
        <w:t>February 1, 2023</w:t>
      </w:r>
      <w:r w:rsidR="00E101A7" w:rsidRPr="00781112">
        <w:rPr>
          <w:rFonts w:cs="Arial"/>
          <w:szCs w:val="16"/>
        </w:rPr>
        <w:t xml:space="preserve">, the State must provide measurable and rigorous targets (expressed as percentages) for each of the six years from FFY </w:t>
      </w:r>
      <w:r w:rsidR="00B21923" w:rsidRPr="00781112">
        <w:rPr>
          <w:rFonts w:cs="Arial"/>
          <w:szCs w:val="16"/>
        </w:rPr>
        <w:t>202</w:t>
      </w:r>
      <w:r w:rsidR="00B21923">
        <w:rPr>
          <w:rFonts w:cs="Arial"/>
          <w:szCs w:val="16"/>
        </w:rPr>
        <w:t>1</w:t>
      </w:r>
      <w:r w:rsidR="00B21923" w:rsidRPr="00781112">
        <w:rPr>
          <w:rFonts w:cs="Arial"/>
          <w:szCs w:val="16"/>
        </w:rPr>
        <w:t xml:space="preserve"> </w:t>
      </w:r>
      <w:r w:rsidR="00E101A7" w:rsidRPr="00781112">
        <w:rPr>
          <w:rFonts w:cs="Arial"/>
          <w:szCs w:val="16"/>
        </w:rPr>
        <w:t>through FFY 2025. The State’s FFY 2025 target must demonstrate improvement over the State’s</w:t>
      </w:r>
      <w:r w:rsidR="00635660" w:rsidRPr="00635660">
        <w:rPr>
          <w:rFonts w:cs="Arial"/>
          <w:szCs w:val="16"/>
        </w:rPr>
        <w:t xml:space="preserve"> </w:t>
      </w:r>
      <w:r w:rsidR="00635660">
        <w:rPr>
          <w:rFonts w:cs="Arial"/>
          <w:szCs w:val="16"/>
        </w:rPr>
        <w:t>b</w:t>
      </w:r>
      <w:r w:rsidR="00E101A7" w:rsidRPr="00781112">
        <w:rPr>
          <w:rFonts w:cs="Arial"/>
          <w:szCs w:val="16"/>
        </w:rPr>
        <w:t>aseline data.</w:t>
      </w:r>
      <w:r w:rsidR="00404B50">
        <w:rPr>
          <w:rFonts w:cs="Arial"/>
          <w:szCs w:val="16"/>
        </w:rPr>
        <w:t xml:space="preserve"> </w:t>
      </w:r>
    </w:p>
    <w:p w14:paraId="6B54FC53" w14:textId="00B83E5E" w:rsidR="00AE1972" w:rsidRPr="00781112" w:rsidRDefault="00AE1972" w:rsidP="00AE1972">
      <w:r w:rsidRPr="00781112">
        <w:rPr>
          <w:b/>
          <w:iCs/>
          <w:u w:val="single"/>
        </w:rPr>
        <w:t>Updated Data:</w:t>
      </w:r>
      <w:r w:rsidRPr="00781112">
        <w:t xml:space="preserve"> </w:t>
      </w:r>
      <w:r w:rsidR="00B00A11" w:rsidRPr="00781112">
        <w:rPr>
          <w:rFonts w:cs="Arial"/>
          <w:szCs w:val="16"/>
        </w:rPr>
        <w:t xml:space="preserve">In its FFYs </w:t>
      </w:r>
      <w:r w:rsidR="00B21923" w:rsidRPr="00781112">
        <w:rPr>
          <w:rFonts w:cs="Arial"/>
          <w:szCs w:val="16"/>
        </w:rPr>
        <w:t>202</w:t>
      </w:r>
      <w:r w:rsidR="00B21923">
        <w:rPr>
          <w:rFonts w:cs="Arial"/>
          <w:szCs w:val="16"/>
        </w:rPr>
        <w:t>1</w:t>
      </w:r>
      <w:r w:rsidR="00B21923" w:rsidRPr="00781112">
        <w:rPr>
          <w:rFonts w:cs="Arial"/>
          <w:szCs w:val="16"/>
        </w:rPr>
        <w:t xml:space="preserve"> </w:t>
      </w:r>
      <w:r w:rsidR="00B00A11" w:rsidRPr="00781112">
        <w:rPr>
          <w:rFonts w:cs="Arial"/>
          <w:szCs w:val="16"/>
        </w:rPr>
        <w:t xml:space="preserve">through FFY 2025 SPPs/APRs, due </w:t>
      </w:r>
      <w:r w:rsidR="00AD1B29">
        <w:rPr>
          <w:rFonts w:cs="Arial"/>
          <w:szCs w:val="16"/>
        </w:rPr>
        <w:t>February 1, 2023</w:t>
      </w:r>
      <w:r w:rsidR="00B00A11" w:rsidRPr="00781112">
        <w:rPr>
          <w:rFonts w:cs="Arial"/>
          <w:szCs w:val="16"/>
        </w:rPr>
        <w:t>, the State must provide updated data for that specific FFY (expressed as percentages</w:t>
      </w:r>
      <w:proofErr w:type="gramStart"/>
      <w:r w:rsidR="00B00A11" w:rsidRPr="00781112">
        <w:rPr>
          <w:rFonts w:cs="Arial"/>
          <w:szCs w:val="16"/>
        </w:rPr>
        <w:t>)</w:t>
      </w:r>
      <w:proofErr w:type="gramEnd"/>
      <w:r w:rsidR="00B00A11" w:rsidRPr="00781112">
        <w:rPr>
          <w:rFonts w:cs="Arial"/>
          <w:szCs w:val="16"/>
        </w:rPr>
        <w:t xml:space="preserve"> and that data must be aligned with the State-identified Measurable Result(s) for Children with Disabilities. In its FFYs </w:t>
      </w:r>
      <w:r w:rsidR="00B21923" w:rsidRPr="00781112">
        <w:rPr>
          <w:rFonts w:cs="Arial"/>
          <w:szCs w:val="16"/>
        </w:rPr>
        <w:t>202</w:t>
      </w:r>
      <w:r w:rsidR="00B21923">
        <w:rPr>
          <w:rFonts w:cs="Arial"/>
          <w:szCs w:val="16"/>
        </w:rPr>
        <w:t>1</w:t>
      </w:r>
      <w:r w:rsidR="00B21923" w:rsidRPr="00781112">
        <w:rPr>
          <w:rFonts w:cs="Arial"/>
          <w:szCs w:val="16"/>
        </w:rPr>
        <w:t xml:space="preserve"> </w:t>
      </w:r>
      <w:r w:rsidR="00B00A11" w:rsidRPr="00781112">
        <w:rPr>
          <w:rFonts w:cs="Arial"/>
          <w:szCs w:val="16"/>
        </w:rPr>
        <w:t>through FFY 2025 SPPs/APRs, the State must report on whether it met its target.</w:t>
      </w:r>
    </w:p>
    <w:p w14:paraId="3660F78F" w14:textId="77777777" w:rsidR="00AE1972" w:rsidRPr="00781112" w:rsidRDefault="00AE1972" w:rsidP="00AE1972">
      <w:pPr>
        <w:pStyle w:val="Subhed"/>
      </w:pPr>
      <w:r w:rsidRPr="00781112">
        <w:t>Overview of the Three Phases of the SSIP</w:t>
      </w:r>
    </w:p>
    <w:p w14:paraId="41060915" w14:textId="1038334F" w:rsidR="00AE1972" w:rsidRPr="00781112" w:rsidRDefault="00B00A11" w:rsidP="00AE1972">
      <w:pPr>
        <w:rPr>
          <w:rFonts w:cs="Arial"/>
          <w:szCs w:val="16"/>
        </w:rPr>
      </w:pPr>
      <w:r w:rsidRPr="00781112">
        <w:rPr>
          <w:rFonts w:cs="Arial"/>
          <w:szCs w:val="16"/>
        </w:rPr>
        <w:t>It is of the utmost importance to improve results for children with disabilities by improving educational services, including special education and related services. Stakeholders, including parents of children with disabilities, local educational agencies, the State Advisory Panel, and others, are critical participants in improving results for children with disabilities and should be included in developing, implementing, evaluating, and revising the SSIP and included in establishing the State’s targets under Indicator 17. The SSIP should include information about stakeholder involvement in all three phases.</w:t>
      </w:r>
    </w:p>
    <w:p w14:paraId="1F974632" w14:textId="656B04EE" w:rsidR="00AE1972" w:rsidRPr="00781112" w:rsidRDefault="00AE1972" w:rsidP="00AE1972">
      <w:pPr>
        <w:pStyle w:val="Subhed"/>
        <w:rPr>
          <w:b w:val="0"/>
        </w:rPr>
      </w:pPr>
      <w:r w:rsidRPr="00781112">
        <w:rPr>
          <w:i/>
        </w:rPr>
        <w:t>Phase I: Analysis:</w:t>
      </w:r>
      <w:r w:rsidRPr="00781112">
        <w:rPr>
          <w:b w:val="0"/>
        </w:rPr>
        <w:t xml:space="preserve"> </w:t>
      </w:r>
    </w:p>
    <w:p w14:paraId="096C9E4B" w14:textId="77777777" w:rsidR="00AE1972" w:rsidRPr="00781112" w:rsidRDefault="00AE1972" w:rsidP="00AE1972">
      <w:pPr>
        <w:ind w:left="360"/>
      </w:pPr>
      <w:r w:rsidRPr="00781112">
        <w:t xml:space="preserve">- Data </w:t>
      </w:r>
      <w:proofErr w:type="gramStart"/>
      <w:r w:rsidRPr="00781112">
        <w:t>Analysis;</w:t>
      </w:r>
      <w:proofErr w:type="gramEnd"/>
    </w:p>
    <w:p w14:paraId="27016A94" w14:textId="77777777" w:rsidR="00AE1972" w:rsidRPr="00781112" w:rsidRDefault="00AE1972" w:rsidP="00AE1972">
      <w:pPr>
        <w:ind w:left="360"/>
      </w:pPr>
      <w:r w:rsidRPr="00781112">
        <w:t xml:space="preserve">- Analysis of State Infrastructure to Support Improvement and Build </w:t>
      </w:r>
      <w:proofErr w:type="gramStart"/>
      <w:r w:rsidRPr="00781112">
        <w:t>Capacity;</w:t>
      </w:r>
      <w:proofErr w:type="gramEnd"/>
    </w:p>
    <w:p w14:paraId="7C62869B" w14:textId="77122CAD" w:rsidR="00AE1972" w:rsidRPr="00781112" w:rsidRDefault="00AE1972" w:rsidP="00AE1972">
      <w:pPr>
        <w:ind w:left="360"/>
      </w:pPr>
      <w:r w:rsidRPr="00781112">
        <w:t xml:space="preserve">- State-identified Measurable Result(s) for </w:t>
      </w:r>
      <w:r w:rsidR="00B00A11" w:rsidRPr="00781112">
        <w:rPr>
          <w:rFonts w:cs="Arial"/>
          <w:szCs w:val="16"/>
        </w:rPr>
        <w:t xml:space="preserve">Children with </w:t>
      </w:r>
      <w:proofErr w:type="gramStart"/>
      <w:r w:rsidR="00B00A11" w:rsidRPr="00781112">
        <w:rPr>
          <w:rFonts w:cs="Arial"/>
          <w:szCs w:val="16"/>
        </w:rPr>
        <w:t>Disabilities</w:t>
      </w:r>
      <w:r w:rsidRPr="00781112">
        <w:t>;</w:t>
      </w:r>
      <w:proofErr w:type="gramEnd"/>
    </w:p>
    <w:p w14:paraId="6AD2D627" w14:textId="77777777" w:rsidR="00AE1972" w:rsidRPr="00781112" w:rsidRDefault="00AE1972" w:rsidP="00AE1972">
      <w:pPr>
        <w:ind w:left="360"/>
      </w:pPr>
      <w:r w:rsidRPr="00781112">
        <w:t>- Selection of Coherent Improvement Strategies; and</w:t>
      </w:r>
    </w:p>
    <w:p w14:paraId="356E7B19" w14:textId="77777777" w:rsidR="00AE1972" w:rsidRPr="00781112" w:rsidRDefault="00AE1972" w:rsidP="00AE1972">
      <w:pPr>
        <w:ind w:left="360"/>
      </w:pPr>
      <w:r w:rsidRPr="00781112">
        <w:t>- Theory of Action.</w:t>
      </w:r>
    </w:p>
    <w:p w14:paraId="6A753B55" w14:textId="47758674" w:rsidR="00AE1972" w:rsidRPr="00781112" w:rsidRDefault="00AE1972" w:rsidP="00AE1972">
      <w:pPr>
        <w:pStyle w:val="Subhed"/>
        <w:rPr>
          <w:b w:val="0"/>
        </w:rPr>
      </w:pPr>
      <w:r w:rsidRPr="00781112">
        <w:rPr>
          <w:i/>
        </w:rPr>
        <w:t>Phase II: Plan</w:t>
      </w:r>
      <w:r w:rsidRPr="00781112">
        <w:rPr>
          <w:b w:val="0"/>
        </w:rPr>
        <w:t xml:space="preserve"> (which, </w:t>
      </w:r>
      <w:r w:rsidR="00D14A1B" w:rsidRPr="00781112">
        <w:rPr>
          <w:b w:val="0"/>
        </w:rPr>
        <w:t xml:space="preserve">is </w:t>
      </w:r>
      <w:r w:rsidRPr="00781112">
        <w:rPr>
          <w:b w:val="0"/>
        </w:rPr>
        <w:t>in addition to the Phase I content (including any updates) outlined above:</w:t>
      </w:r>
    </w:p>
    <w:p w14:paraId="0A22BE99" w14:textId="77777777" w:rsidR="006B5750" w:rsidRDefault="00756B33" w:rsidP="008877E3">
      <w:pPr>
        <w:ind w:left="360"/>
      </w:pPr>
      <w:r w:rsidRPr="00781112">
        <w:t xml:space="preserve">- </w:t>
      </w:r>
      <w:r w:rsidR="00AE1972" w:rsidRPr="00781112">
        <w:t xml:space="preserve">Infrastructure </w:t>
      </w:r>
      <w:proofErr w:type="gramStart"/>
      <w:r w:rsidR="00AE1972" w:rsidRPr="00781112">
        <w:t>Development;</w:t>
      </w:r>
      <w:proofErr w:type="gramEnd"/>
    </w:p>
    <w:p w14:paraId="66997D61" w14:textId="59DC7764" w:rsidR="006B5750" w:rsidRDefault="006B5750" w:rsidP="008877E3">
      <w:pPr>
        <w:ind w:left="360"/>
      </w:pPr>
      <w:r>
        <w:t>- Support for local educational agency (LEA)</w:t>
      </w:r>
      <w:r w:rsidDel="006B5750">
        <w:t xml:space="preserve"> </w:t>
      </w:r>
      <w:r>
        <w:t>Implementation of Evidence-Based Practices; and</w:t>
      </w:r>
      <w:r w:rsidRPr="00781112">
        <w:t xml:space="preserve"> </w:t>
      </w:r>
    </w:p>
    <w:p w14:paraId="38176125" w14:textId="4276E770" w:rsidR="00AE1972" w:rsidRPr="00781112" w:rsidRDefault="00756B33" w:rsidP="008877E3">
      <w:pPr>
        <w:ind w:left="360"/>
      </w:pPr>
      <w:r w:rsidRPr="00781112">
        <w:t xml:space="preserve">- </w:t>
      </w:r>
      <w:r w:rsidR="00AE1972" w:rsidRPr="00781112">
        <w:t>Evaluation.</w:t>
      </w:r>
    </w:p>
    <w:p w14:paraId="73F6A460" w14:textId="05523F5F" w:rsidR="00AE1972" w:rsidRPr="00781112" w:rsidRDefault="00AE1972" w:rsidP="00AE1972">
      <w:pPr>
        <w:pStyle w:val="Subhed"/>
        <w:rPr>
          <w:b w:val="0"/>
        </w:rPr>
      </w:pPr>
      <w:r w:rsidRPr="00781112">
        <w:rPr>
          <w:i/>
        </w:rPr>
        <w:t>Phase III: Implementation and Evaluation</w:t>
      </w:r>
      <w:r w:rsidRPr="00781112">
        <w:rPr>
          <w:b w:val="0"/>
        </w:rPr>
        <w:t xml:space="preserve"> (which, </w:t>
      </w:r>
      <w:r w:rsidR="00D14A1B" w:rsidRPr="00781112">
        <w:rPr>
          <w:b w:val="0"/>
        </w:rPr>
        <w:t xml:space="preserve">is </w:t>
      </w:r>
      <w:r w:rsidRPr="00781112">
        <w:rPr>
          <w:b w:val="0"/>
        </w:rPr>
        <w:t>in addition to the Phase I and Phase II content (including any updates) outlined above:</w:t>
      </w:r>
    </w:p>
    <w:p w14:paraId="580CF235" w14:textId="77777777" w:rsidR="00AE1972" w:rsidRPr="00781112" w:rsidRDefault="00AE1972" w:rsidP="00AE1972">
      <w:pPr>
        <w:ind w:left="360"/>
      </w:pPr>
      <w:r w:rsidRPr="00781112">
        <w:t>- Results of Ongoing Evaluation and Revisions to the SSIP.</w:t>
      </w:r>
    </w:p>
    <w:p w14:paraId="03B4B47F" w14:textId="77777777" w:rsidR="00AE1972" w:rsidRPr="00781112" w:rsidRDefault="00AE1972" w:rsidP="00AE1972">
      <w:pPr>
        <w:rPr>
          <w:b/>
        </w:rPr>
      </w:pPr>
      <w:r w:rsidRPr="00781112">
        <w:rPr>
          <w:b/>
        </w:rPr>
        <w:t>Specific Content of Each Phase of the SSIP</w:t>
      </w:r>
    </w:p>
    <w:p w14:paraId="467D2C6D" w14:textId="3F55CFEA" w:rsidR="00AE1972" w:rsidRPr="00781112" w:rsidRDefault="00AE1972" w:rsidP="00AE1972">
      <w:r w:rsidRPr="00781112">
        <w:t>Refer to FFY 2013-2015 Measurement Table for detailed requirements of Phase I and Phase II SSIP submissions.</w:t>
      </w:r>
    </w:p>
    <w:p w14:paraId="4B1E2598" w14:textId="77777777" w:rsidR="00AE1972" w:rsidRPr="00781112" w:rsidRDefault="00AE1972" w:rsidP="00AE1972">
      <w:r w:rsidRPr="00781112">
        <w:t>Phase III should only include information from Phase I or Phase II if changes or revisions are being made by the State and/or if information previously required in Phase I or Phase II was not reported.</w:t>
      </w:r>
    </w:p>
    <w:p w14:paraId="5E950372" w14:textId="77777777" w:rsidR="00AE1972" w:rsidRPr="00781112" w:rsidRDefault="00AE1972" w:rsidP="00AE1972">
      <w:pPr>
        <w:rPr>
          <w:b/>
          <w:i/>
        </w:rPr>
      </w:pPr>
      <w:r w:rsidRPr="00781112">
        <w:rPr>
          <w:b/>
          <w:i/>
        </w:rPr>
        <w:t>Phase III: Implementation and Evaluation</w:t>
      </w:r>
    </w:p>
    <w:p w14:paraId="2ACE13F7" w14:textId="77777777" w:rsidR="00496EF6" w:rsidRPr="00781112" w:rsidRDefault="00496EF6" w:rsidP="00496EF6">
      <w:pPr>
        <w:rPr>
          <w:rFonts w:cs="Arial"/>
          <w:szCs w:val="16"/>
        </w:rPr>
      </w:pPr>
      <w:r w:rsidRPr="00781112">
        <w:rPr>
          <w:rFonts w:cs="Arial"/>
          <w:szCs w:val="16"/>
        </w:rPr>
        <w:t>In Phase III, the State must, consistent with its evaluation plan described in Phase II, assess and report on its progress implementing the SSIP. This includes: (A) data and analysis on the extent to which the State has made progress toward and/or met the State-established short-term and long-term outcomes or objectives for implementation of the SSIP and its progress toward achieving the State-identified Measurable Result(s) for Children with Disabilities (SiMR); (B) the rationale for any revisions that were made, or that the State intends to make, to the SSIP as the result of implementation, analysis, and evaluation; and (C) a description of the meaningful stakeholder engagement. If the State intends to continue implementing the SSIP without modifications, the State must describe how the data from the evaluation support this decision.</w:t>
      </w:r>
    </w:p>
    <w:p w14:paraId="6BC324F8" w14:textId="77777777" w:rsidR="00AE1972" w:rsidRPr="00781112" w:rsidRDefault="00AE1972" w:rsidP="00AE1972">
      <w:pPr>
        <w:tabs>
          <w:tab w:val="left" w:pos="270"/>
          <w:tab w:val="left" w:pos="630"/>
        </w:tabs>
      </w:pPr>
      <w:r w:rsidRPr="00781112">
        <w:t xml:space="preserve">A. </w:t>
      </w:r>
      <w:r w:rsidRPr="00781112">
        <w:tab/>
        <w:t>Data Analysis</w:t>
      </w:r>
    </w:p>
    <w:p w14:paraId="7509FEFA" w14:textId="148D91BE" w:rsidR="000063AC" w:rsidRPr="00781112" w:rsidRDefault="000063AC" w:rsidP="000063AC">
      <w:pPr>
        <w:rPr>
          <w:rFonts w:cs="Arial"/>
          <w:szCs w:val="16"/>
        </w:rPr>
      </w:pPr>
      <w:r w:rsidRPr="00781112">
        <w:rPr>
          <w:rFonts w:cs="Arial"/>
          <w:szCs w:val="16"/>
        </w:rPr>
        <w:t>As required in the Instructions for the Indicator/Measurement, in its FFYs 2021 through 2025 SPP/APR, the State must report data for that specific FFY (expressed as actual numbers and percentages) that are aligned with the SiMR. The State must report on whether the State met its target. In addition, the State may report on any additional data (e.g., progress monitoring data) that were collected and analyzed that would suggest progress toward the SiMR. States using a subset of the population from the indicator (e.g., a sample, cohort model) should describe how data are collected and analyzed for the SiMR if that was not described in Phase I or Phase II of the SSIP.</w:t>
      </w:r>
    </w:p>
    <w:p w14:paraId="77280910" w14:textId="77777777" w:rsidR="00AE1972" w:rsidRPr="00781112" w:rsidRDefault="00AE1972" w:rsidP="00AE1972">
      <w:pPr>
        <w:tabs>
          <w:tab w:val="left" w:pos="360"/>
        </w:tabs>
      </w:pPr>
      <w:r w:rsidRPr="00781112">
        <w:t xml:space="preserve">B. </w:t>
      </w:r>
      <w:r w:rsidRPr="00781112">
        <w:tab/>
        <w:t>Phase III Implementation, Analysis and Evaluation</w:t>
      </w:r>
    </w:p>
    <w:p w14:paraId="55F09A01" w14:textId="161CEC9C" w:rsidR="00AE1972" w:rsidRPr="00781112" w:rsidRDefault="00AE1972" w:rsidP="00AE1972">
      <w:r w:rsidRPr="00781112">
        <w:t xml:space="preserve">The State must provide a narrative or graphic representation, e.g., a logic model, of the principal activities, measures and outcomes that were implemented since the State’s last SSIP submission (i.e., </w:t>
      </w:r>
      <w:r w:rsidR="00F302A0" w:rsidRPr="00781112">
        <w:t>Feb</w:t>
      </w:r>
      <w:r w:rsidRPr="00781112">
        <w:t xml:space="preserve"> </w:t>
      </w:r>
      <w:r w:rsidR="00B21923" w:rsidRPr="00781112">
        <w:t>202</w:t>
      </w:r>
      <w:r w:rsidR="00B21923">
        <w:t>2</w:t>
      </w:r>
      <w:r w:rsidRPr="00781112">
        <w:t>). The evaluation should align with the theory of action described in Phase I and the evaluation plan described in Phase II. The State must describe any changes to the activities, strategies, or timelines described in Phase II and include a rationale or justification for the changes. If the State intends to continue implementing the SSIP without modifications, the State must describe how the data from the evaluation support this decision.</w:t>
      </w:r>
    </w:p>
    <w:p w14:paraId="0A51077C" w14:textId="1DB24C7F" w:rsidR="00AE1972" w:rsidRPr="00781112" w:rsidRDefault="00AE1972" w:rsidP="00AE1972">
      <w:r w:rsidRPr="00781112">
        <w:t xml:space="preserve">The State must summarize the infrastructure improvement strategies that were implemented, and the short-term outcomes achieved, including the measures or rationale used by the State and stakeholders to assess and communicate achievement. Relate short-term outcomes to one or more areas of a systems framework (e.g., governance, data, finance, accountability/monitoring, quality standards, professional development and/or technical assistance) and explain how these strategies support system change and are necessary for: (a) achievement of the SiMR; (b) sustainability of systems improvement efforts; and/or (c) scale-up. The State must describe the next steps for each infrastructure improvement strategy and the anticipated outcomes to be attained during the next fiscal year (e.g., </w:t>
      </w:r>
      <w:r w:rsidR="00B21923">
        <w:rPr>
          <w:rFonts w:cs="Arial"/>
          <w:szCs w:val="16"/>
        </w:rPr>
        <w:t>for the FFY 2021 APR, report on anticipated outcomes to be obtained during FFY 2022, i.e., July 1, 2022-June 30, 2023for the FFY 2021 APR, report on anticipated outcomes to be obtained during FFY 2022, i.e., July 1, 2022-June 30, 2023</w:t>
      </w:r>
      <w:r w:rsidR="00B21923" w:rsidRPr="00651E83">
        <w:rPr>
          <w:rFonts w:cs="Arial"/>
          <w:szCs w:val="16"/>
        </w:rPr>
        <w:t>).</w:t>
      </w:r>
      <w:r w:rsidRPr="00781112">
        <w:t>).</w:t>
      </w:r>
    </w:p>
    <w:p w14:paraId="6198E1D5" w14:textId="77777777" w:rsidR="00AE1972" w:rsidRPr="00781112" w:rsidRDefault="00AE1972" w:rsidP="00AE1972">
      <w:r w:rsidRPr="00781112">
        <w:t xml:space="preserve">The State must summarize the specific evidence-based practices that were implemented and the strategies or activities that supported their selection and ensured their use with fidelity. Describe how the evidence-based practices, and activities or strategies that support their use, are intended to impact the SiMR by changing program/district policies, procedures, and/or practices, teacher/provider practices (i.e., behaviors), parent/caregiver outcomes, </w:t>
      </w:r>
      <w:r w:rsidRPr="00781112">
        <w:lastRenderedPageBreak/>
        <w:t>and/or child outcomes. Describe any additional data (i.e., progress monitoring data) that was collected to support the on-going use of the evidence-based practices and inform decision-making for the next year of SSIP implementation.</w:t>
      </w:r>
    </w:p>
    <w:p w14:paraId="411C94A7" w14:textId="77777777" w:rsidR="00AE1972" w:rsidRPr="00781112" w:rsidRDefault="00AE1972" w:rsidP="00AE1972">
      <w:pPr>
        <w:tabs>
          <w:tab w:val="left" w:pos="270"/>
        </w:tabs>
      </w:pPr>
      <w:r w:rsidRPr="00781112">
        <w:t xml:space="preserve">C. </w:t>
      </w:r>
      <w:r w:rsidRPr="00781112">
        <w:tab/>
        <w:t>Stakeholder Engagement</w:t>
      </w:r>
    </w:p>
    <w:p w14:paraId="007F9035" w14:textId="77777777" w:rsidR="00AE1972" w:rsidRPr="00781112" w:rsidRDefault="00AE1972" w:rsidP="00AE1972">
      <w:r w:rsidRPr="00781112">
        <w:t>The State must describe the specific strategies implemented to engage stakeholders in key improvement efforts and how the State addressed concerns, if any, raised by stakeholders through its engagement activities.</w:t>
      </w:r>
    </w:p>
    <w:p w14:paraId="38CBE3F2" w14:textId="77777777" w:rsidR="00AE1972" w:rsidRPr="00781112" w:rsidRDefault="00AE1972" w:rsidP="00AE1972">
      <w:r w:rsidRPr="00781112">
        <w:t>Additional Implementation Activities</w:t>
      </w:r>
    </w:p>
    <w:p w14:paraId="00F49894" w14:textId="5C2D5ECE" w:rsidR="00AE1972" w:rsidRPr="00781112" w:rsidRDefault="00AE1972" w:rsidP="00AE1972">
      <w:r w:rsidRPr="00781112">
        <w:t xml:space="preserve">The State should identify any activities not already described that it intends to implement in the next fiscal year (e.g., </w:t>
      </w:r>
      <w:r w:rsidR="00B21923">
        <w:rPr>
          <w:rFonts w:cs="Arial"/>
          <w:szCs w:val="16"/>
        </w:rPr>
        <w:t>for the FFY 2021 APR, report on activities it intends to implement in FFY 2022, i.e., July 1, 2022-June 30, 2023for the FFY 2021 APR, report on activities it intends to implement in FFY 2022, i.e., July 1, 2022-June 30, 2023</w:t>
      </w:r>
      <w:r w:rsidR="00B21923" w:rsidRPr="00651E83">
        <w:rPr>
          <w:rFonts w:cs="Arial"/>
          <w:szCs w:val="16"/>
        </w:rPr>
        <w:t>)</w:t>
      </w:r>
      <w:r w:rsidRPr="00781112">
        <w:t>) including a timeline, anticipated data collection and measures, and expected outcomes that are related to the SiMR. The State should describe any newly identified barriers and include steps to address these barriers.</w:t>
      </w:r>
    </w:p>
    <w:p w14:paraId="428E26A7" w14:textId="6193C9E6" w:rsidR="00AE1972" w:rsidRPr="00781112" w:rsidRDefault="00AE1972" w:rsidP="00AE1972">
      <w:pPr>
        <w:pStyle w:val="Heading2"/>
      </w:pPr>
      <w:r w:rsidRPr="00781112">
        <w:t>1</w:t>
      </w:r>
      <w:r w:rsidR="00B90835" w:rsidRPr="00781112">
        <w:t>7</w:t>
      </w:r>
      <w:r w:rsidRPr="00781112">
        <w:t xml:space="preserve"> - Indicator Data</w:t>
      </w:r>
    </w:p>
    <w:p w14:paraId="626DBA0C" w14:textId="77777777" w:rsidR="00AE1972" w:rsidRPr="00781112" w:rsidRDefault="00AE1972" w:rsidP="00AE1972">
      <w:pPr>
        <w:rPr>
          <w:b/>
          <w:bCs/>
        </w:rPr>
      </w:pPr>
      <w:r w:rsidRPr="00781112">
        <w:rPr>
          <w:b/>
          <w:bCs/>
        </w:rPr>
        <w:t>Section A: Data Analysis</w:t>
      </w:r>
    </w:p>
    <w:p w14:paraId="26873A73" w14:textId="77777777" w:rsidR="00AE1972" w:rsidRPr="00781112" w:rsidRDefault="00AE1972" w:rsidP="00AE1972">
      <w:pPr>
        <w:rPr>
          <w:b/>
          <w:bCs/>
        </w:rPr>
      </w:pPr>
      <w:r w:rsidRPr="00781112">
        <w:rPr>
          <w:b/>
          <w:bCs/>
        </w:rPr>
        <w:t>What is the State-identified Measurable Result (SiMR)?</w:t>
      </w:r>
    </w:p>
    <w:p w14:paraId="2CDA0A52" w14:textId="1253220E" w:rsidR="00AE1972" w:rsidRPr="00781112" w:rsidRDefault="00AE1972" w:rsidP="00AE1972">
      <w:pPr>
        <w:rPr>
          <w:color w:val="000000" w:themeColor="text1"/>
        </w:rPr>
      </w:pPr>
      <w:r w:rsidRPr="00781112">
        <w:rPr>
          <w:color w:val="000000" w:themeColor="text1"/>
        </w:rPr>
        <w:t>Utah will reduce the percentage of students ages 19–22 (super seniors) exiting a post-high program who report being unengaged or under-engaged on the Indicator 14 survey by 20 percentage points over a five-year period (from 45.65% in FFY 2020 to 25.65% by FFY 2025).</w:t>
      </w:r>
    </w:p>
    <w:p w14:paraId="43CABCA3" w14:textId="77777777" w:rsidR="00AE1972" w:rsidRPr="00781112" w:rsidRDefault="00AE1972" w:rsidP="00AE1972">
      <w:pPr>
        <w:rPr>
          <w:b/>
          <w:bCs/>
        </w:rPr>
      </w:pPr>
      <w:bookmarkStart w:id="99" w:name="_Hlk85195358"/>
      <w:r w:rsidRPr="00781112">
        <w:rPr>
          <w:b/>
          <w:bCs/>
        </w:rPr>
        <w:t>Has the SiMR changed since the last SSIP submission? (yes/no)</w:t>
      </w:r>
    </w:p>
    <w:p w14:paraId="53B392AE" w14:textId="5D60E4A2" w:rsidR="00AE1972" w:rsidRDefault="00AE1972" w:rsidP="00AE1972">
      <w:r w:rsidRPr="00781112">
        <w:t>YES</w:t>
      </w:r>
    </w:p>
    <w:p w14:paraId="6537B8C1" w14:textId="77777777" w:rsidR="00935B96" w:rsidRPr="00781112" w:rsidRDefault="00935B96" w:rsidP="00935B96">
      <w:pPr>
        <w:rPr>
          <w:b/>
          <w:bCs/>
        </w:rPr>
      </w:pPr>
      <w:r w:rsidRPr="00781112">
        <w:rPr>
          <w:b/>
          <w:bCs/>
        </w:rPr>
        <w:t>Provide a description of the system analysis activities conducted to support changing the SiMR.</w:t>
      </w:r>
    </w:p>
    <w:p w14:paraId="25B7B555" w14:textId="1E8CFFD8" w:rsidR="00935B96" w:rsidRPr="00781112" w:rsidRDefault="00935B96" w:rsidP="00935B96">
      <w:r w:rsidRPr="00781112">
        <w:t>In the Fall of 2019, the Utah Coordinating Council for People with Disabilities (CCPD), made up of agency director-level personnel, identified a need to improve postsecondary transition outcomes for youth with disabilities in Utah. The CCPD formally voted to begin collaborative efforts to this end. The USBE volunteered to facilitate the collaborative work and developed the Utah Statewide Collaborative on Improving Postsecondary Transition Outcomes for Individuals with Disabilities (STC).</w:t>
      </w:r>
      <w:r w:rsidRPr="00781112">
        <w:br/>
        <w:t>The STC is a working partnership of all the state agencies and many other organizations that serve transition-age (14–22) youth across the state of Utah. The STC includes agencies and organizations that are disability-specific and agencies who serve the general population of transition-age youth (including youth with disabilities) to ensure the state infrastructure analysis thoroughly articulates the needs and resources of transition-age youth with disabilities.</w:t>
      </w:r>
      <w:r w:rsidRPr="00781112">
        <w:br/>
        <w:t>The STC met monthly for one year to explore the current infrastructure and outcomes data of postsecondary transition in the state. Stakeholders took turns presenting the service and support activities they provide and the data about the outcomes of those activities for transition-age youth. The STC then identified gaps and overlaps. The STC developed a shared systems-change vision and common language, which includes a shared five-year goal/target. The STC has also developed a theory of action and implementation activities to achieve the SiMR. The work of the STC will better define and support secondary transition to improve access to needed services and therefore improve student postsecondary outcomes in employment, postsecondary education, and independent living.</w:t>
      </w:r>
      <w:r w:rsidRPr="00781112">
        <w:br/>
        <w:t>The results of the STC’s collaborative work will be reported to state and federal policy makers for the five-year period of FFY 2021 to FFY 2025 through the USBE State Systemic Improvement Plan (SSIP) SiMR.</w:t>
      </w:r>
      <w:r w:rsidRPr="00781112">
        <w:br/>
        <w:t>The 2021 Indicator 14 data surveying exiters who had not previously exited with their cohorts (super seniors) from the 2020 school year showed that 45.65% of students ages 19–22 (super seniors) respondents did not meet the criteria for inclusion in Indicator 14 (a, b, or c) meaning they were unengaged or under-engaged. This data was based on a survey response rate of 47.50% which represents 333 out of 701 super senior students.</w:t>
      </w:r>
    </w:p>
    <w:p w14:paraId="13B442F7" w14:textId="77777777" w:rsidR="00935B96" w:rsidRPr="00781112" w:rsidRDefault="00935B96" w:rsidP="00935B96">
      <w:r w:rsidRPr="00781112">
        <w:rPr>
          <w:b/>
          <w:bCs/>
        </w:rPr>
        <w:t>Please list the data source(s) used to support the change of the SiMR</w:t>
      </w:r>
      <w:r w:rsidRPr="00781112">
        <w:t>.</w:t>
      </w:r>
    </w:p>
    <w:p w14:paraId="0579C358" w14:textId="0204AE78" w:rsidR="00935B96" w:rsidRPr="00781112" w:rsidRDefault="00935B96" w:rsidP="00935B96">
      <w:r w:rsidRPr="00781112">
        <w:t>In addition to six years of implementation of our middle school mathematics achievement improvement SiMR, which did have a positive impact on outcomes, the CCPD reviewed five years of Indicator 14 data to support the change of the SiMR.</w:t>
      </w:r>
      <w:r w:rsidRPr="00781112">
        <w:br/>
        <w:t>The 2021 Indicator 14 data surveying exiters who had not previously exited with their cohorts (super seniors) from the 2020 school year showed that 45.65% of students ages 19–22 (super senior) respondents did not meet the criteria for inclusion in Indicator 14 (a, b, or c) meaning they were unengaged or under-engaged. This data was based on a survey response rate of 47.50% which represents 316 out of 701 super senior students.</w:t>
      </w:r>
    </w:p>
    <w:p w14:paraId="2B47B0A1" w14:textId="77777777" w:rsidR="00935B96" w:rsidRPr="00781112" w:rsidRDefault="00935B96" w:rsidP="00935B96">
      <w:pPr>
        <w:rPr>
          <w:rFonts w:cs="Arial"/>
          <w:b/>
          <w:bCs/>
        </w:rPr>
      </w:pPr>
      <w:r w:rsidRPr="00781112">
        <w:rPr>
          <w:rFonts w:cs="Arial"/>
          <w:b/>
          <w:bCs/>
        </w:rPr>
        <w:t>Provide a description of how the State analyzed data to reach the decision to change the SiMR.</w:t>
      </w:r>
    </w:p>
    <w:p w14:paraId="784FEA06" w14:textId="5DE1C5C4" w:rsidR="00935B96" w:rsidRPr="00781112" w:rsidRDefault="00935B96" w:rsidP="00935B96">
      <w:r w:rsidRPr="00781112">
        <w:t>The Utah Statewide Collaborative on Improving Postsecondary Transition Outcomes for Individuals with Disabilities (STC) is a working partnership of state agencies and other organizations that serve transition-age (14-22) youth across the state of Utah. The STC includes agencies and organizations that are disability-specific and agencies who serve the general population of transition-age youth (including youth with disabilities) to ensure the state infrastructure analysis thoroughly articulated the needs and resources of transition-age youth with disabilities.</w:t>
      </w:r>
      <w:r w:rsidRPr="00781112">
        <w:br/>
        <w:t xml:space="preserve">The STC met monthly for one year to explore the current infrastructure and outcomes data of postsecondary transition in the state. Stakeholders took turns presenting the service and support activities they provide and the data about the outcomes of those activities for transition-age youth. The STC then identified gaps and overlaps. The STC developed a shared systems-change vision and common language, which includes a shared five-year goal/target that is the SiMR. The STC has also developed a theory of action and then implementation activities </w:t>
      </w:r>
      <w:proofErr w:type="gramStart"/>
      <w:r w:rsidRPr="00781112">
        <w:t>in order to</w:t>
      </w:r>
      <w:proofErr w:type="gramEnd"/>
      <w:r w:rsidRPr="00781112">
        <w:t xml:space="preserve"> achieve the SiMR. The work of the STC will better define and support secondary transition to improve access to needed services and therefore improve student postsecondary outcomes in employment, postsecondary education, and independent living.</w:t>
      </w:r>
    </w:p>
    <w:p w14:paraId="2CD1EAB5" w14:textId="77777777" w:rsidR="00935B96" w:rsidRPr="00781112" w:rsidRDefault="00935B96" w:rsidP="00935B96">
      <w:pPr>
        <w:rPr>
          <w:b/>
          <w:bCs/>
        </w:rPr>
      </w:pPr>
      <w:r w:rsidRPr="00781112">
        <w:rPr>
          <w:b/>
          <w:bCs/>
        </w:rPr>
        <w:t xml:space="preserve">Please describe the role of stakeholders in the decision to change the SiMR. </w:t>
      </w:r>
    </w:p>
    <w:p w14:paraId="0C25E56B" w14:textId="0FC7CF8B" w:rsidR="00935B96" w:rsidRDefault="00935B96" w:rsidP="00935B96">
      <w:r w:rsidRPr="00781112">
        <w:t xml:space="preserve">In the Fall of 2019, the Utah-Coordinating Council for People with Disabilities (CCPD), made up of agency director-level personnel, identified a need to improve postsecondary transition outcomes for youth with disabilities in Utah. The CCPD formally voted to begin collaborative efforts to this end. The USBE volunteered to facilitate </w:t>
      </w:r>
      <w:proofErr w:type="gramStart"/>
      <w:r w:rsidRPr="00781112">
        <w:t>the collaborative</w:t>
      </w:r>
      <w:proofErr w:type="gramEnd"/>
      <w:r w:rsidRPr="00781112">
        <w:t xml:space="preserve"> work and developed the STC. The results of the STC’s collaborative work will be reported to state and federal policy makers for the five-year period of FFY 2021 to FFY 2025 through the USBE State Systemic Improvement Plan (SSIP) SiMR. The STC represents all stakeholders of students with disabilities in the state, and once a SiMR and annual targets were proposed, they were reviewed with each set of stakeholders for feedback (UPC, USEAM, PTA, state agencies, and nonprofit organizations) who were ALL excited about the updated focus on postsecondary transition for Utah’s SSIP and agree with the SiMR as proposed by the STC.</w:t>
      </w:r>
    </w:p>
    <w:bookmarkEnd w:id="99"/>
    <w:p w14:paraId="1B1A90F5" w14:textId="77777777" w:rsidR="00935B96" w:rsidRPr="00781112" w:rsidRDefault="00935B96" w:rsidP="00AE1972"/>
    <w:p w14:paraId="4DB5CA5B" w14:textId="77777777" w:rsidR="00AE1972" w:rsidRPr="00781112" w:rsidRDefault="00AE1972" w:rsidP="00AE1972">
      <w:pPr>
        <w:rPr>
          <w:b/>
          <w:bCs/>
        </w:rPr>
      </w:pPr>
      <w:r w:rsidRPr="00781112">
        <w:rPr>
          <w:b/>
          <w:bCs/>
        </w:rPr>
        <w:t>Is the State using a subset of the population from the indicator (</w:t>
      </w:r>
      <w:r w:rsidRPr="00781112">
        <w:rPr>
          <w:b/>
          <w:bCs/>
          <w:i/>
          <w:iCs/>
        </w:rPr>
        <w:t>e.g.</w:t>
      </w:r>
      <w:r w:rsidRPr="00781112">
        <w:rPr>
          <w:b/>
          <w:bCs/>
        </w:rPr>
        <w:t>, a sample, cohort model)? (yes/no)</w:t>
      </w:r>
    </w:p>
    <w:p w14:paraId="5220F24E" w14:textId="45A17085" w:rsidR="00AE1972" w:rsidRDefault="00AE1972" w:rsidP="00AE1972">
      <w:r w:rsidRPr="00781112">
        <w:rPr>
          <w:color w:val="000000" w:themeColor="text1"/>
        </w:rPr>
        <w:t>YES</w:t>
      </w:r>
    </w:p>
    <w:p w14:paraId="54FC6DBB" w14:textId="3D1C5D57" w:rsidR="00AE1972" w:rsidRPr="00781112" w:rsidRDefault="00ED5509" w:rsidP="00AE1972">
      <w:pPr>
        <w:rPr>
          <w:b/>
          <w:bCs/>
        </w:rPr>
      </w:pPr>
      <w:r w:rsidRPr="00781112">
        <w:rPr>
          <w:b/>
          <w:bCs/>
        </w:rPr>
        <w:t>Provide a description of the subset of the population from the indicator.</w:t>
      </w:r>
    </w:p>
    <w:p w14:paraId="730A7F24" w14:textId="5026F767" w:rsidR="00AE1972" w:rsidRDefault="00AE1972" w:rsidP="00AE1972">
      <w:pPr>
        <w:rPr>
          <w:color w:val="000000" w:themeColor="text1"/>
        </w:rPr>
      </w:pPr>
      <w:r w:rsidRPr="00781112">
        <w:rPr>
          <w:color w:val="000000" w:themeColor="text1"/>
        </w:rPr>
        <w:t xml:space="preserve">The subset consists of respondents to the Indicator 14 Post School Outcomes (PSO) survey who were enrolled as “super seniors” at the time they exited school. Super seniors are defined as students who did not exit with their four-year graduation cohort (i.e., the students with whom they entered in 9th grade and with whom they were expected to graduate/exit in four years). Instead, they took 1-3 years longer to exit. Generally, these students were </w:t>
      </w:r>
      <w:r w:rsidRPr="00781112">
        <w:rPr>
          <w:color w:val="000000" w:themeColor="text1"/>
        </w:rPr>
        <w:lastRenderedPageBreak/>
        <w:t xml:space="preserve">between the ages of 19 and 22 at the time that they exited school. </w:t>
      </w:r>
      <w:r w:rsidRPr="00781112">
        <w:rPr>
          <w:color w:val="000000" w:themeColor="text1"/>
        </w:rPr>
        <w:br/>
        <w:t>The denominator for Indicator 17 includes all super seniors who responded to the PSO survey. The numerator is the count of super seniors who reported being unengaged or under-engaged on the PSO survey.</w:t>
      </w:r>
    </w:p>
    <w:p w14:paraId="74BC6A9B" w14:textId="77777777" w:rsidR="00AE1972" w:rsidRPr="00781112" w:rsidRDefault="00AE1972" w:rsidP="00AE1972">
      <w:pPr>
        <w:rPr>
          <w:b/>
          <w:bCs/>
        </w:rPr>
      </w:pPr>
    </w:p>
    <w:p w14:paraId="7B52B71D" w14:textId="77777777" w:rsidR="00AE1972" w:rsidRPr="00781112" w:rsidRDefault="00AE1972" w:rsidP="00AE1972">
      <w:pPr>
        <w:rPr>
          <w:b/>
          <w:bCs/>
        </w:rPr>
      </w:pPr>
      <w:r w:rsidRPr="00781112">
        <w:rPr>
          <w:b/>
          <w:bCs/>
        </w:rPr>
        <w:t>Is the State’s theory of action new or revised since the previous submission? (yes/no)</w:t>
      </w:r>
    </w:p>
    <w:p w14:paraId="2F47C8A6" w14:textId="34E2E007" w:rsidR="00AE1972" w:rsidRDefault="00AE1972" w:rsidP="00AE1972">
      <w:r w:rsidRPr="00781112">
        <w:t>YES</w:t>
      </w:r>
    </w:p>
    <w:p w14:paraId="6FE95E8B" w14:textId="10B1F5F5" w:rsidR="00AE1972" w:rsidRPr="00781112" w:rsidRDefault="00CE0E64" w:rsidP="00AE1972">
      <w:pPr>
        <w:rPr>
          <w:b/>
          <w:bCs/>
        </w:rPr>
      </w:pPr>
      <w:r w:rsidRPr="00781112">
        <w:rPr>
          <w:b/>
          <w:bCs/>
        </w:rPr>
        <w:t>Please provide a description of the changes and updates to the theory of action.</w:t>
      </w:r>
    </w:p>
    <w:p w14:paraId="66DCFD52" w14:textId="0B240731" w:rsidR="00AE1972" w:rsidRDefault="00AE1972" w:rsidP="00AE1972">
      <w:r w:rsidRPr="00781112">
        <w:t>A new theory of action was developed to identify broad improvement strategies needed to achieve the new SiMR.</w:t>
      </w:r>
      <w:r w:rsidRPr="00781112">
        <w:br/>
        <w:t>FFY 2021 SPP/APR Data</w:t>
      </w:r>
      <w:r w:rsidRPr="00781112">
        <w:br/>
        <w:t>Number of Indicator 14 Survey Respondents ages 19-22 “super seniors” Reporting Under-engaged or Disengaged</w:t>
      </w:r>
      <w:r w:rsidRPr="00781112">
        <w:br/>
        <w:t>Total Number of Indicator 14 Survey Respondents ages 19-22 “super seniors”</w:t>
      </w:r>
    </w:p>
    <w:p w14:paraId="233336CC" w14:textId="56400261" w:rsidR="00A202E9" w:rsidRPr="00781112" w:rsidRDefault="00A202E9" w:rsidP="00A202E9">
      <w:pPr>
        <w:rPr>
          <w:rFonts w:cs="Arial"/>
          <w:b/>
          <w:bCs/>
          <w:szCs w:val="16"/>
        </w:rPr>
      </w:pPr>
      <w:r w:rsidRPr="00781112">
        <w:rPr>
          <w:rFonts w:cs="Arial"/>
          <w:b/>
          <w:bCs/>
          <w:szCs w:val="16"/>
        </w:rPr>
        <w:t>Please provide a link to the current theory of action.</w:t>
      </w:r>
    </w:p>
    <w:p w14:paraId="7EC9F4F7" w14:textId="0C6CDBBD" w:rsidR="00A202E9" w:rsidRDefault="00A202E9" w:rsidP="00A202E9">
      <w:r w:rsidRPr="00781112">
        <w:t>https://www.schools.utah.gov/file/9df61f62-dc01-4eb7-8e12-ca9fe8fe5579</w:t>
      </w:r>
    </w:p>
    <w:p w14:paraId="4736A5D8" w14:textId="1685348D" w:rsidR="00CF0910" w:rsidRDefault="00CF0910" w:rsidP="00A202E9"/>
    <w:p w14:paraId="0F3DB9FA" w14:textId="77777777" w:rsidR="00CF0910" w:rsidRPr="00781112" w:rsidRDefault="00CF0910" w:rsidP="00A202E9"/>
    <w:p w14:paraId="46EF1253" w14:textId="77777777" w:rsidR="00AE1972" w:rsidRPr="00781112" w:rsidRDefault="00AE1972" w:rsidP="00AE1972">
      <w:pPr>
        <w:rPr>
          <w:b/>
          <w:bCs/>
        </w:rPr>
      </w:pPr>
    </w:p>
    <w:p w14:paraId="5C9EC454" w14:textId="77777777" w:rsidR="00AE1972" w:rsidRPr="007E6407" w:rsidRDefault="00AE1972" w:rsidP="007E6407">
      <w:pPr>
        <w:rPr>
          <w:b/>
          <w:bCs/>
        </w:rPr>
      </w:pPr>
      <w:r w:rsidRPr="007E6407">
        <w:rPr>
          <w:b/>
          <w:bCs/>
        </w:rPr>
        <w:t>Progress toward the SiMR</w:t>
      </w:r>
    </w:p>
    <w:p w14:paraId="51DEC3F9" w14:textId="77777777" w:rsidR="00AE1972" w:rsidRPr="00781112" w:rsidRDefault="00AE1972" w:rsidP="00AE1972">
      <w:pPr>
        <w:rPr>
          <w:rFonts w:cs="Arial"/>
          <w:b/>
          <w:bCs/>
        </w:rPr>
      </w:pPr>
      <w:r w:rsidRPr="00781112">
        <w:rPr>
          <w:rFonts w:cs="Arial"/>
          <w:b/>
          <w:bCs/>
        </w:rPr>
        <w:t>Please provide the data for the specific FFY listed below (expressed as actual number and percentages)</w:t>
      </w:r>
      <w:r w:rsidRPr="00781112">
        <w:rPr>
          <w:rFonts w:cs="Arial"/>
          <w:b/>
          <w:bCs/>
          <w:i/>
          <w:iCs/>
        </w:rPr>
        <w:t xml:space="preserve">. </w:t>
      </w:r>
    </w:p>
    <w:p w14:paraId="6A111227" w14:textId="77777777" w:rsidR="00AE1972" w:rsidRPr="00781112" w:rsidRDefault="00AE1972" w:rsidP="00AE1972">
      <w:pPr>
        <w:rPr>
          <w:b/>
          <w:bCs/>
        </w:rPr>
      </w:pPr>
      <w:r w:rsidRPr="00781112">
        <w:rPr>
          <w:b/>
          <w:bCs/>
        </w:rPr>
        <w:t>Select yes if the State uses two targets for measurement. (yes/no)</w:t>
      </w:r>
    </w:p>
    <w:p w14:paraId="2BF2552F" w14:textId="1ABFEEE3" w:rsidR="00AE1972" w:rsidRDefault="00AE1972" w:rsidP="00AE1972">
      <w:r w:rsidRPr="00781112">
        <w:t>NO</w:t>
      </w:r>
    </w:p>
    <w:p w14:paraId="1782B857" w14:textId="77777777" w:rsidR="00AE1972" w:rsidRPr="00781112" w:rsidRDefault="00AE1972" w:rsidP="00AE1972"/>
    <w:p w14:paraId="0CE6ADBC" w14:textId="77777777" w:rsidR="00AE1972" w:rsidRPr="00781112" w:rsidRDefault="00AE1972" w:rsidP="00AE1972">
      <w:pPr>
        <w:rPr>
          <w:rFonts w:cs="Arial"/>
          <w:b/>
          <w:color w:val="000000" w:themeColor="text1"/>
          <w:szCs w:val="16"/>
        </w:rPr>
      </w:pPr>
      <w:r w:rsidRPr="00781112">
        <w:rPr>
          <w:rFonts w:cs="Arial"/>
          <w:b/>
          <w:color w:val="000000" w:themeColor="text1"/>
          <w:szCs w:val="16"/>
        </w:rPr>
        <w:t>Historical Data</w:t>
      </w:r>
    </w:p>
    <w:tbl>
      <w:tblPr>
        <w:tblW w:w="17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7BASELINEDATA"/>
      </w:tblPr>
      <w:tblGrid>
        <w:gridCol w:w="2811"/>
        <w:gridCol w:w="875"/>
      </w:tblGrid>
      <w:tr w:rsidR="00AE1972" w:rsidRPr="00781112" w14:paraId="1864403F" w14:textId="77777777" w:rsidTr="00597BC3">
        <w:trPr>
          <w:trHeight w:val="350"/>
          <w:tblHeader/>
        </w:trPr>
        <w:tc>
          <w:tcPr>
            <w:tcW w:w="4389" w:type="pct"/>
            <w:tcBorders>
              <w:bottom w:val="single" w:sz="4" w:space="0" w:color="auto"/>
            </w:tcBorders>
            <w:shd w:val="clear" w:color="auto" w:fill="auto"/>
            <w:vAlign w:val="center"/>
          </w:tcPr>
          <w:p w14:paraId="0F193165" w14:textId="77777777" w:rsidR="00AE1972" w:rsidRPr="00781112" w:rsidRDefault="00AE1972" w:rsidP="00FE5C1F">
            <w:pPr>
              <w:jc w:val="center"/>
              <w:rPr>
                <w:b/>
                <w:bCs/>
                <w:color w:val="000000" w:themeColor="text1"/>
              </w:rPr>
            </w:pPr>
            <w:r w:rsidRPr="00781112">
              <w:rPr>
                <w:b/>
                <w:bCs/>
                <w:color w:val="000000" w:themeColor="text1"/>
              </w:rPr>
              <w:t>Baseline Year</w:t>
            </w:r>
          </w:p>
        </w:tc>
        <w:tc>
          <w:tcPr>
            <w:tcW w:w="611" w:type="pct"/>
            <w:shd w:val="clear" w:color="auto" w:fill="auto"/>
            <w:vAlign w:val="center"/>
          </w:tcPr>
          <w:p w14:paraId="54889FB8" w14:textId="77777777" w:rsidR="00AE1972" w:rsidRPr="00781112" w:rsidRDefault="00AE1972" w:rsidP="00FE5C1F">
            <w:pPr>
              <w:jc w:val="center"/>
              <w:rPr>
                <w:b/>
                <w:bCs/>
                <w:color w:val="000000" w:themeColor="text1"/>
              </w:rPr>
            </w:pPr>
            <w:r w:rsidRPr="00781112">
              <w:rPr>
                <w:b/>
                <w:bCs/>
                <w:color w:val="000000" w:themeColor="text1"/>
              </w:rPr>
              <w:t>Baseline Data</w:t>
            </w:r>
          </w:p>
        </w:tc>
      </w:tr>
      <w:tr w:rsidR="00AE1972" w:rsidRPr="00781112" w14:paraId="6F811ED4" w14:textId="77777777" w:rsidTr="00597BC3">
        <w:trPr>
          <w:trHeight w:val="350"/>
        </w:trPr>
        <w:tc>
          <w:tcPr>
            <w:tcW w:w="4389" w:type="pct"/>
            <w:tcBorders>
              <w:bottom w:val="single" w:sz="4" w:space="0" w:color="auto"/>
            </w:tcBorders>
            <w:shd w:val="clear" w:color="auto" w:fill="auto"/>
          </w:tcPr>
          <w:p w14:paraId="590161AA" w14:textId="53B72043" w:rsidR="00AE1972" w:rsidRPr="00781112" w:rsidRDefault="00AE1972" w:rsidP="00FE5C1F">
            <w:pPr>
              <w:jc w:val="center"/>
              <w:rPr>
                <w:b/>
                <w:color w:val="000000" w:themeColor="text1"/>
              </w:rPr>
            </w:pPr>
            <w:r w:rsidRPr="00781112">
              <w:rPr>
                <w:color w:val="000000" w:themeColor="text1"/>
              </w:rPr>
              <w:t>2020</w:t>
            </w:r>
          </w:p>
        </w:tc>
        <w:tc>
          <w:tcPr>
            <w:tcW w:w="611" w:type="pct"/>
            <w:shd w:val="clear" w:color="auto" w:fill="auto"/>
            <w:vAlign w:val="center"/>
          </w:tcPr>
          <w:p w14:paraId="250C9A1D" w14:textId="277095B1" w:rsidR="00AE1972" w:rsidRPr="00781112" w:rsidRDefault="00AE1972" w:rsidP="00FE5C1F">
            <w:pPr>
              <w:jc w:val="center"/>
              <w:rPr>
                <w:color w:val="000000" w:themeColor="text1"/>
              </w:rPr>
            </w:pPr>
            <w:r w:rsidRPr="00781112">
              <w:rPr>
                <w:color w:val="000000" w:themeColor="text1"/>
              </w:rPr>
              <w:t>45.65%</w:t>
            </w:r>
          </w:p>
        </w:tc>
      </w:tr>
    </w:tbl>
    <w:p w14:paraId="4788921E" w14:textId="77777777" w:rsidR="00AE1972" w:rsidRPr="00781112" w:rsidRDefault="00AE1972" w:rsidP="00AE1972">
      <w:pPr>
        <w:rPr>
          <w:rFonts w:cs="Arial"/>
          <w:b/>
          <w:color w:val="000000" w:themeColor="text1"/>
          <w:szCs w:val="16"/>
        </w:rPr>
      </w:pPr>
    </w:p>
    <w:p w14:paraId="5D5A6057" w14:textId="77777777" w:rsidR="00AE1972" w:rsidRPr="00781112" w:rsidRDefault="00AE1972" w:rsidP="00AE1972">
      <w:pPr>
        <w:rPr>
          <w:color w:val="000000" w:themeColor="text1"/>
        </w:rPr>
      </w:pPr>
      <w:r w:rsidRPr="00781112">
        <w:rPr>
          <w:b/>
          <w:color w:val="000000" w:themeColor="text1"/>
        </w:rPr>
        <w:t>Targets</w:t>
      </w:r>
    </w:p>
    <w:tbl>
      <w:tblPr>
        <w:tblW w:w="42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7TARGETS"/>
      </w:tblPr>
      <w:tblGrid>
        <w:gridCol w:w="806"/>
        <w:gridCol w:w="1664"/>
        <w:gridCol w:w="1665"/>
        <w:gridCol w:w="1665"/>
        <w:gridCol w:w="1665"/>
        <w:gridCol w:w="1661"/>
      </w:tblGrid>
      <w:tr w:rsidR="004158DD" w:rsidRPr="00781112" w14:paraId="6151B608" w14:textId="77777777" w:rsidTr="00451D7E">
        <w:trPr>
          <w:trHeight w:val="360"/>
        </w:trPr>
        <w:tc>
          <w:tcPr>
            <w:tcW w:w="442" w:type="pct"/>
            <w:tcBorders>
              <w:bottom w:val="single" w:sz="4" w:space="0" w:color="auto"/>
            </w:tcBorders>
            <w:shd w:val="clear" w:color="auto" w:fill="auto"/>
          </w:tcPr>
          <w:p w14:paraId="6F2EC278" w14:textId="77777777" w:rsidR="004158DD" w:rsidRPr="00781112" w:rsidRDefault="004158DD" w:rsidP="00FE5C1F">
            <w:pPr>
              <w:jc w:val="center"/>
              <w:rPr>
                <w:b/>
                <w:color w:val="000000" w:themeColor="text1"/>
              </w:rPr>
            </w:pPr>
            <w:r w:rsidRPr="00781112">
              <w:rPr>
                <w:b/>
                <w:color w:val="000000" w:themeColor="text1"/>
              </w:rPr>
              <w:t>FFY</w:t>
            </w:r>
          </w:p>
        </w:tc>
        <w:tc>
          <w:tcPr>
            <w:tcW w:w="912" w:type="pct"/>
            <w:shd w:val="clear" w:color="auto" w:fill="auto"/>
            <w:vAlign w:val="center"/>
          </w:tcPr>
          <w:p w14:paraId="6FE75FC4" w14:textId="77777777" w:rsidR="004158DD" w:rsidRPr="00781112" w:rsidRDefault="004158DD" w:rsidP="00FE5C1F">
            <w:pPr>
              <w:jc w:val="center"/>
              <w:rPr>
                <w:b/>
                <w:color w:val="000000" w:themeColor="text1"/>
              </w:rPr>
            </w:pPr>
            <w:r w:rsidRPr="00781112">
              <w:rPr>
                <w:b/>
                <w:color w:val="000000" w:themeColor="text1"/>
              </w:rPr>
              <w:t>2021</w:t>
            </w:r>
          </w:p>
        </w:tc>
        <w:tc>
          <w:tcPr>
            <w:tcW w:w="912" w:type="pct"/>
          </w:tcPr>
          <w:p w14:paraId="1A51CAE1" w14:textId="77777777" w:rsidR="004158DD" w:rsidRPr="00781112" w:rsidRDefault="004158DD" w:rsidP="00FE5C1F">
            <w:pPr>
              <w:jc w:val="center"/>
              <w:rPr>
                <w:b/>
                <w:color w:val="000000" w:themeColor="text1"/>
              </w:rPr>
            </w:pPr>
            <w:r w:rsidRPr="00781112">
              <w:rPr>
                <w:rFonts w:cs="Arial"/>
                <w:b/>
                <w:color w:val="000000" w:themeColor="text1"/>
                <w:szCs w:val="16"/>
              </w:rPr>
              <w:t>2022</w:t>
            </w:r>
          </w:p>
        </w:tc>
        <w:tc>
          <w:tcPr>
            <w:tcW w:w="912" w:type="pct"/>
          </w:tcPr>
          <w:p w14:paraId="4EE0EA23" w14:textId="77777777" w:rsidR="004158DD" w:rsidRPr="00781112" w:rsidRDefault="004158DD" w:rsidP="00FE5C1F">
            <w:pPr>
              <w:jc w:val="center"/>
              <w:rPr>
                <w:b/>
                <w:color w:val="000000" w:themeColor="text1"/>
              </w:rPr>
            </w:pPr>
            <w:r w:rsidRPr="00781112">
              <w:rPr>
                <w:rFonts w:cs="Arial"/>
                <w:b/>
                <w:color w:val="000000" w:themeColor="text1"/>
                <w:szCs w:val="16"/>
              </w:rPr>
              <w:t>2023</w:t>
            </w:r>
          </w:p>
        </w:tc>
        <w:tc>
          <w:tcPr>
            <w:tcW w:w="912" w:type="pct"/>
          </w:tcPr>
          <w:p w14:paraId="258316BC" w14:textId="77777777" w:rsidR="004158DD" w:rsidRPr="00781112" w:rsidRDefault="004158DD" w:rsidP="00FE5C1F">
            <w:pPr>
              <w:jc w:val="center"/>
              <w:rPr>
                <w:b/>
                <w:color w:val="000000" w:themeColor="text1"/>
              </w:rPr>
            </w:pPr>
            <w:r w:rsidRPr="00781112">
              <w:rPr>
                <w:rFonts w:cs="Arial"/>
                <w:b/>
                <w:color w:val="000000" w:themeColor="text1"/>
                <w:szCs w:val="16"/>
              </w:rPr>
              <w:t>2024</w:t>
            </w:r>
          </w:p>
        </w:tc>
        <w:tc>
          <w:tcPr>
            <w:tcW w:w="912" w:type="pct"/>
          </w:tcPr>
          <w:p w14:paraId="310BF1DB" w14:textId="77777777" w:rsidR="004158DD" w:rsidRPr="00781112" w:rsidRDefault="004158DD" w:rsidP="00FE5C1F">
            <w:pPr>
              <w:jc w:val="center"/>
              <w:rPr>
                <w:b/>
                <w:color w:val="000000" w:themeColor="text1"/>
              </w:rPr>
            </w:pPr>
            <w:r w:rsidRPr="00781112">
              <w:rPr>
                <w:rFonts w:cs="Arial"/>
                <w:b/>
                <w:color w:val="000000" w:themeColor="text1"/>
                <w:szCs w:val="16"/>
              </w:rPr>
              <w:t>2025</w:t>
            </w:r>
          </w:p>
        </w:tc>
      </w:tr>
      <w:tr w:rsidR="004158DD" w:rsidRPr="00781112" w14:paraId="7F5560B1" w14:textId="77777777" w:rsidTr="00451D7E">
        <w:trPr>
          <w:trHeight w:val="367"/>
        </w:trPr>
        <w:tc>
          <w:tcPr>
            <w:tcW w:w="442" w:type="pct"/>
            <w:shd w:val="clear" w:color="auto" w:fill="auto"/>
          </w:tcPr>
          <w:p w14:paraId="16C136D0" w14:textId="77777777" w:rsidR="004158DD" w:rsidRPr="00781112" w:rsidRDefault="004158DD" w:rsidP="00FE5C1F">
            <w:pPr>
              <w:rPr>
                <w:rFonts w:cs="Arial"/>
                <w:color w:val="000000" w:themeColor="text1"/>
                <w:szCs w:val="16"/>
              </w:rPr>
            </w:pPr>
            <w:r w:rsidRPr="00781112">
              <w:rPr>
                <w:rFonts w:cs="Arial"/>
                <w:color w:val="000000" w:themeColor="text1"/>
                <w:szCs w:val="16"/>
              </w:rPr>
              <w:t>Target&gt;=</w:t>
            </w:r>
          </w:p>
        </w:tc>
        <w:tc>
          <w:tcPr>
            <w:tcW w:w="912" w:type="pct"/>
            <w:shd w:val="clear" w:color="auto" w:fill="auto"/>
            <w:vAlign w:val="center"/>
          </w:tcPr>
          <w:p w14:paraId="0D607E3E" w14:textId="0FE0E0F2" w:rsidR="004158DD" w:rsidRPr="00781112" w:rsidRDefault="004158DD" w:rsidP="00FE5C1F">
            <w:pPr>
              <w:jc w:val="center"/>
              <w:rPr>
                <w:color w:val="000000" w:themeColor="text1"/>
              </w:rPr>
            </w:pPr>
            <w:r w:rsidRPr="00781112">
              <w:rPr>
                <w:color w:val="000000" w:themeColor="text1"/>
              </w:rPr>
              <w:t>45.65%</w:t>
            </w:r>
          </w:p>
        </w:tc>
        <w:tc>
          <w:tcPr>
            <w:tcW w:w="912" w:type="pct"/>
          </w:tcPr>
          <w:p w14:paraId="49D7B83C" w14:textId="5D2EEC9F" w:rsidR="004158DD" w:rsidRPr="00781112" w:rsidRDefault="004158DD" w:rsidP="00FE5C1F">
            <w:pPr>
              <w:jc w:val="center"/>
              <w:rPr>
                <w:color w:val="000000" w:themeColor="text1"/>
              </w:rPr>
            </w:pPr>
            <w:r w:rsidRPr="00781112">
              <w:rPr>
                <w:rFonts w:cs="Arial"/>
                <w:color w:val="000000" w:themeColor="text1"/>
                <w:szCs w:val="16"/>
              </w:rPr>
              <w:t>43.15%</w:t>
            </w:r>
          </w:p>
        </w:tc>
        <w:tc>
          <w:tcPr>
            <w:tcW w:w="912" w:type="pct"/>
          </w:tcPr>
          <w:p w14:paraId="73C3B9F9" w14:textId="4B324AE0" w:rsidR="004158DD" w:rsidRPr="00781112" w:rsidRDefault="004158DD" w:rsidP="00FE5C1F">
            <w:pPr>
              <w:jc w:val="center"/>
              <w:rPr>
                <w:color w:val="000000" w:themeColor="text1"/>
              </w:rPr>
            </w:pPr>
            <w:r w:rsidRPr="00781112">
              <w:rPr>
                <w:rFonts w:cs="Arial"/>
                <w:color w:val="000000" w:themeColor="text1"/>
                <w:szCs w:val="16"/>
              </w:rPr>
              <w:t>40.65%</w:t>
            </w:r>
          </w:p>
        </w:tc>
        <w:tc>
          <w:tcPr>
            <w:tcW w:w="912" w:type="pct"/>
          </w:tcPr>
          <w:p w14:paraId="36C2800A" w14:textId="411CFB34" w:rsidR="004158DD" w:rsidRPr="00781112" w:rsidRDefault="004158DD" w:rsidP="00FE5C1F">
            <w:pPr>
              <w:jc w:val="center"/>
              <w:rPr>
                <w:color w:val="000000" w:themeColor="text1"/>
              </w:rPr>
            </w:pPr>
            <w:r w:rsidRPr="00781112">
              <w:rPr>
                <w:rFonts w:cs="Arial"/>
                <w:color w:val="000000" w:themeColor="text1"/>
                <w:szCs w:val="16"/>
              </w:rPr>
              <w:t>35.65%</w:t>
            </w:r>
          </w:p>
        </w:tc>
        <w:tc>
          <w:tcPr>
            <w:tcW w:w="912" w:type="pct"/>
          </w:tcPr>
          <w:p w14:paraId="5EB6DFC4" w14:textId="4B024AC3" w:rsidR="004158DD" w:rsidRPr="00781112" w:rsidRDefault="004158DD" w:rsidP="00FE5C1F">
            <w:pPr>
              <w:jc w:val="center"/>
              <w:rPr>
                <w:color w:val="000000" w:themeColor="text1"/>
              </w:rPr>
            </w:pPr>
            <w:r w:rsidRPr="00781112">
              <w:rPr>
                <w:rFonts w:cs="Arial"/>
                <w:color w:val="000000" w:themeColor="text1"/>
                <w:szCs w:val="16"/>
              </w:rPr>
              <w:t>25.65%</w:t>
            </w:r>
          </w:p>
        </w:tc>
      </w:tr>
    </w:tbl>
    <w:p w14:paraId="096B5400" w14:textId="77777777" w:rsidR="00AE1972" w:rsidRPr="00781112" w:rsidRDefault="00AE1972" w:rsidP="00AE1972">
      <w:pPr>
        <w:pStyle w:val="Italic"/>
        <w:rPr>
          <w:rFonts w:cs="Arial"/>
          <w:i w:val="0"/>
          <w:color w:val="000000" w:themeColor="text1"/>
          <w:szCs w:val="16"/>
        </w:rPr>
      </w:pPr>
    </w:p>
    <w:p w14:paraId="7582347A" w14:textId="648DE41D" w:rsidR="00AE1972" w:rsidRPr="00781112" w:rsidRDefault="0047313F" w:rsidP="00AE1972">
      <w:pPr>
        <w:rPr>
          <w:b/>
          <w:color w:val="000000" w:themeColor="text1"/>
        </w:rPr>
      </w:pPr>
      <w:r>
        <w:rPr>
          <w:b/>
          <w:color w:val="000000" w:themeColor="text1"/>
        </w:rPr>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7FFYAPRDATA"/>
      </w:tblPr>
      <w:tblGrid>
        <w:gridCol w:w="2515"/>
        <w:gridCol w:w="1890"/>
        <w:gridCol w:w="1439"/>
        <w:gridCol w:w="1351"/>
        <w:gridCol w:w="1260"/>
        <w:gridCol w:w="1260"/>
        <w:gridCol w:w="1075"/>
      </w:tblGrid>
      <w:tr w:rsidR="00B21923" w:rsidRPr="00781112" w14:paraId="6ACE308B" w14:textId="77777777" w:rsidTr="004B2960">
        <w:trPr>
          <w:trHeight w:val="354"/>
        </w:trPr>
        <w:tc>
          <w:tcPr>
            <w:tcW w:w="1165" w:type="pct"/>
            <w:shd w:val="clear" w:color="auto" w:fill="auto"/>
            <w:vAlign w:val="bottom"/>
          </w:tcPr>
          <w:p w14:paraId="1F241A2B" w14:textId="43C3BBEC" w:rsidR="00B21923" w:rsidRPr="00781112" w:rsidRDefault="00B21923" w:rsidP="00B21923">
            <w:pPr>
              <w:jc w:val="center"/>
              <w:rPr>
                <w:b/>
                <w:bCs/>
                <w:color w:val="000000" w:themeColor="text1"/>
                <w:szCs w:val="16"/>
              </w:rPr>
            </w:pPr>
            <w:r w:rsidRPr="00781112">
              <w:rPr>
                <w:b/>
                <w:bCs/>
                <w:color w:val="000000" w:themeColor="text1"/>
                <w:szCs w:val="16"/>
              </w:rPr>
              <w:t>Number of Indicator 14 Survey Use Respondents Ages 19–22, "super seniors," Reporting Under-engaged or Disengaged</w:t>
            </w:r>
          </w:p>
        </w:tc>
        <w:tc>
          <w:tcPr>
            <w:tcW w:w="876" w:type="pct"/>
            <w:shd w:val="clear" w:color="auto" w:fill="auto"/>
            <w:vAlign w:val="bottom"/>
          </w:tcPr>
          <w:p w14:paraId="470CA230" w14:textId="5C37C1F9" w:rsidR="00B21923" w:rsidRPr="00781112" w:rsidRDefault="00B21923" w:rsidP="00B21923">
            <w:pPr>
              <w:jc w:val="center"/>
              <w:rPr>
                <w:b/>
                <w:bCs/>
                <w:color w:val="000000" w:themeColor="text1"/>
                <w:szCs w:val="16"/>
              </w:rPr>
            </w:pPr>
            <w:r w:rsidRPr="00781112">
              <w:rPr>
                <w:b/>
                <w:bCs/>
                <w:color w:val="000000" w:themeColor="text1"/>
                <w:szCs w:val="16"/>
              </w:rPr>
              <w:t>Total Number of Indicator 14 Survey Respondents ages 19–22, "super seniors"</w:t>
            </w:r>
          </w:p>
        </w:tc>
        <w:tc>
          <w:tcPr>
            <w:tcW w:w="667" w:type="pct"/>
            <w:shd w:val="clear" w:color="auto" w:fill="auto"/>
            <w:vAlign w:val="bottom"/>
          </w:tcPr>
          <w:p w14:paraId="4AB6D89D" w14:textId="32751A3B" w:rsidR="00B21923" w:rsidRPr="00781112" w:rsidRDefault="00B21923" w:rsidP="00B21923">
            <w:pPr>
              <w:jc w:val="center"/>
              <w:rPr>
                <w:b/>
                <w:color w:val="000000" w:themeColor="text1"/>
                <w:szCs w:val="16"/>
              </w:rPr>
            </w:pPr>
            <w:r>
              <w:t>FFY 2020</w:t>
            </w:r>
            <w:r w:rsidRPr="00C318B5">
              <w:t xml:space="preserve"> Data</w:t>
            </w:r>
          </w:p>
        </w:tc>
        <w:tc>
          <w:tcPr>
            <w:tcW w:w="626" w:type="pct"/>
            <w:shd w:val="clear" w:color="auto" w:fill="auto"/>
            <w:vAlign w:val="bottom"/>
          </w:tcPr>
          <w:p w14:paraId="63A0DC52" w14:textId="517C2046" w:rsidR="00B21923" w:rsidRPr="00781112" w:rsidRDefault="00B21923" w:rsidP="00B21923">
            <w:pPr>
              <w:jc w:val="center"/>
              <w:rPr>
                <w:b/>
                <w:color w:val="000000" w:themeColor="text1"/>
                <w:szCs w:val="16"/>
              </w:rPr>
            </w:pPr>
            <w:r>
              <w:t>FFY 2021</w:t>
            </w:r>
            <w:r w:rsidRPr="00C318B5">
              <w:t xml:space="preserve"> Target</w:t>
            </w:r>
          </w:p>
        </w:tc>
        <w:tc>
          <w:tcPr>
            <w:tcW w:w="584" w:type="pct"/>
            <w:shd w:val="clear" w:color="auto" w:fill="auto"/>
            <w:vAlign w:val="bottom"/>
          </w:tcPr>
          <w:p w14:paraId="2D311519" w14:textId="21EF0B47" w:rsidR="00B21923" w:rsidRPr="00781112" w:rsidRDefault="00B21923" w:rsidP="00B21923">
            <w:pPr>
              <w:jc w:val="center"/>
              <w:rPr>
                <w:b/>
                <w:color w:val="000000" w:themeColor="text1"/>
                <w:szCs w:val="16"/>
              </w:rPr>
            </w:pPr>
            <w:r>
              <w:t>FFY 2021</w:t>
            </w:r>
            <w:r w:rsidRPr="00C318B5">
              <w:t xml:space="preserve"> Data</w:t>
            </w:r>
          </w:p>
        </w:tc>
        <w:tc>
          <w:tcPr>
            <w:tcW w:w="584" w:type="pct"/>
            <w:shd w:val="clear" w:color="auto" w:fill="auto"/>
            <w:vAlign w:val="bottom"/>
          </w:tcPr>
          <w:p w14:paraId="4F033BB8" w14:textId="77777777" w:rsidR="00B21923" w:rsidRPr="00781112" w:rsidRDefault="00B21923" w:rsidP="00B21923">
            <w:pPr>
              <w:jc w:val="center"/>
              <w:rPr>
                <w:b/>
                <w:color w:val="000000" w:themeColor="text1"/>
                <w:szCs w:val="16"/>
              </w:rPr>
            </w:pPr>
            <w:r w:rsidRPr="00781112">
              <w:rPr>
                <w:b/>
                <w:color w:val="000000" w:themeColor="text1"/>
                <w:szCs w:val="16"/>
              </w:rPr>
              <w:t>Status</w:t>
            </w:r>
          </w:p>
        </w:tc>
        <w:tc>
          <w:tcPr>
            <w:tcW w:w="498" w:type="pct"/>
            <w:shd w:val="clear" w:color="auto" w:fill="auto"/>
            <w:vAlign w:val="bottom"/>
          </w:tcPr>
          <w:p w14:paraId="4A16E14D" w14:textId="77777777" w:rsidR="00B21923" w:rsidRPr="00781112" w:rsidRDefault="00B21923" w:rsidP="00B21923">
            <w:pPr>
              <w:jc w:val="center"/>
              <w:rPr>
                <w:b/>
                <w:color w:val="000000" w:themeColor="text1"/>
                <w:szCs w:val="16"/>
              </w:rPr>
            </w:pPr>
            <w:r w:rsidRPr="00781112">
              <w:rPr>
                <w:b/>
                <w:color w:val="000000" w:themeColor="text1"/>
                <w:szCs w:val="16"/>
              </w:rPr>
              <w:t>Slippage</w:t>
            </w:r>
          </w:p>
        </w:tc>
      </w:tr>
      <w:tr w:rsidR="00AE1972" w:rsidRPr="00781112" w14:paraId="0CC3AF11" w14:textId="77777777" w:rsidTr="004B2960">
        <w:trPr>
          <w:trHeight w:val="287"/>
        </w:trPr>
        <w:tc>
          <w:tcPr>
            <w:tcW w:w="1165" w:type="pct"/>
            <w:shd w:val="clear" w:color="auto" w:fill="auto"/>
            <w:vAlign w:val="center"/>
          </w:tcPr>
          <w:p w14:paraId="03294214" w14:textId="00B9AA4D" w:rsidR="00AE1972" w:rsidRPr="00781112" w:rsidRDefault="00AE1972" w:rsidP="00FE5C1F">
            <w:pPr>
              <w:jc w:val="center"/>
              <w:rPr>
                <w:color w:val="000000" w:themeColor="text1"/>
                <w:szCs w:val="16"/>
              </w:rPr>
            </w:pPr>
            <w:r w:rsidRPr="00781112">
              <w:rPr>
                <w:color w:val="000000" w:themeColor="text1"/>
                <w:szCs w:val="16"/>
              </w:rPr>
              <w:t>154</w:t>
            </w:r>
          </w:p>
        </w:tc>
        <w:tc>
          <w:tcPr>
            <w:tcW w:w="876" w:type="pct"/>
            <w:shd w:val="clear" w:color="auto" w:fill="auto"/>
            <w:vAlign w:val="center"/>
          </w:tcPr>
          <w:p w14:paraId="60D8BD39" w14:textId="04B0428F" w:rsidR="00AE1972" w:rsidRPr="00781112" w:rsidRDefault="00AE1972" w:rsidP="00FE5C1F">
            <w:pPr>
              <w:jc w:val="center"/>
              <w:rPr>
                <w:color w:val="000000" w:themeColor="text1"/>
                <w:szCs w:val="16"/>
              </w:rPr>
            </w:pPr>
            <w:r w:rsidRPr="00781112">
              <w:rPr>
                <w:color w:val="000000" w:themeColor="text1"/>
                <w:szCs w:val="16"/>
              </w:rPr>
              <w:t>316</w:t>
            </w:r>
          </w:p>
        </w:tc>
        <w:tc>
          <w:tcPr>
            <w:tcW w:w="667" w:type="pct"/>
            <w:shd w:val="clear" w:color="auto" w:fill="auto"/>
          </w:tcPr>
          <w:p w14:paraId="75E02A3E" w14:textId="1669E08C" w:rsidR="00AE1972" w:rsidRPr="00781112" w:rsidRDefault="00AE1972" w:rsidP="00FE5C1F">
            <w:pPr>
              <w:jc w:val="center"/>
              <w:rPr>
                <w:color w:val="000000" w:themeColor="text1"/>
                <w:szCs w:val="16"/>
              </w:rPr>
            </w:pPr>
            <w:r w:rsidRPr="00781112">
              <w:rPr>
                <w:rFonts w:cs="Arial"/>
                <w:color w:val="000000" w:themeColor="text1"/>
                <w:szCs w:val="16"/>
              </w:rPr>
              <w:t>8.89%</w:t>
            </w:r>
          </w:p>
        </w:tc>
        <w:tc>
          <w:tcPr>
            <w:tcW w:w="626" w:type="pct"/>
            <w:shd w:val="clear" w:color="auto" w:fill="auto"/>
          </w:tcPr>
          <w:p w14:paraId="33C18B01" w14:textId="595A4E89" w:rsidR="00AE1972" w:rsidRPr="00781112" w:rsidRDefault="00AE1972" w:rsidP="00FE5C1F">
            <w:pPr>
              <w:jc w:val="center"/>
              <w:rPr>
                <w:color w:val="000000" w:themeColor="text1"/>
                <w:szCs w:val="16"/>
              </w:rPr>
            </w:pPr>
            <w:r w:rsidRPr="00781112">
              <w:rPr>
                <w:color w:val="000000" w:themeColor="text1"/>
                <w:szCs w:val="16"/>
              </w:rPr>
              <w:t>45.65%</w:t>
            </w:r>
          </w:p>
        </w:tc>
        <w:tc>
          <w:tcPr>
            <w:tcW w:w="584" w:type="pct"/>
            <w:shd w:val="clear" w:color="auto" w:fill="auto"/>
          </w:tcPr>
          <w:p w14:paraId="22FE7038" w14:textId="7027AD57" w:rsidR="00AE1972" w:rsidRPr="00781112" w:rsidRDefault="00AE1972" w:rsidP="00FE5C1F">
            <w:pPr>
              <w:jc w:val="center"/>
              <w:rPr>
                <w:color w:val="000000" w:themeColor="text1"/>
                <w:szCs w:val="16"/>
              </w:rPr>
            </w:pPr>
            <w:r w:rsidRPr="00781112">
              <w:rPr>
                <w:rFonts w:cs="Arial"/>
                <w:color w:val="000000" w:themeColor="text1"/>
                <w:szCs w:val="16"/>
              </w:rPr>
              <w:t>48.73%</w:t>
            </w:r>
          </w:p>
        </w:tc>
        <w:tc>
          <w:tcPr>
            <w:tcW w:w="584" w:type="pct"/>
            <w:shd w:val="clear" w:color="auto" w:fill="auto"/>
          </w:tcPr>
          <w:p w14:paraId="1623D96E" w14:textId="3DCB7177" w:rsidR="00AE1972" w:rsidRPr="00781112" w:rsidRDefault="00AE1972" w:rsidP="00FE5C1F">
            <w:pPr>
              <w:jc w:val="center"/>
              <w:rPr>
                <w:color w:val="000000" w:themeColor="text1"/>
              </w:rPr>
            </w:pPr>
            <w:r w:rsidRPr="00781112">
              <w:rPr>
                <w:color w:val="000000" w:themeColor="text1"/>
              </w:rPr>
              <w:t>Met target</w:t>
            </w:r>
          </w:p>
        </w:tc>
        <w:tc>
          <w:tcPr>
            <w:tcW w:w="498" w:type="pct"/>
            <w:shd w:val="clear" w:color="auto" w:fill="auto"/>
          </w:tcPr>
          <w:p w14:paraId="78591691" w14:textId="070A8ABA" w:rsidR="00AE1972" w:rsidRPr="00781112" w:rsidRDefault="00AE1972" w:rsidP="00FE5C1F">
            <w:pPr>
              <w:jc w:val="center"/>
              <w:rPr>
                <w:color w:val="000000" w:themeColor="text1"/>
              </w:rPr>
            </w:pPr>
            <w:r w:rsidRPr="00781112">
              <w:rPr>
                <w:color w:val="000000" w:themeColor="text1"/>
              </w:rPr>
              <w:t>N/A</w:t>
            </w:r>
          </w:p>
        </w:tc>
      </w:tr>
    </w:tbl>
    <w:p w14:paraId="66E5C45A" w14:textId="77777777" w:rsidR="00AE1972" w:rsidRPr="00781112" w:rsidRDefault="00AE1972" w:rsidP="00AE1972"/>
    <w:p w14:paraId="30EFC313" w14:textId="4284CBF2" w:rsidR="005D6EB4" w:rsidRPr="00781112" w:rsidRDefault="004F3929" w:rsidP="005D6EB4">
      <w:pPr>
        <w:rPr>
          <w:b/>
          <w:bCs/>
        </w:rPr>
      </w:pPr>
      <w:r>
        <w:rPr>
          <w:b/>
          <w:bCs/>
        </w:rPr>
        <w:t>Provide the data source for the FFY 2021 data.</w:t>
      </w:r>
    </w:p>
    <w:p w14:paraId="791B79B4" w14:textId="2C5B8D5E" w:rsidR="005D6EB4" w:rsidRPr="00781112" w:rsidRDefault="005D6EB4" w:rsidP="005D6EB4">
      <w:pPr>
        <w:rPr>
          <w:color w:val="000000" w:themeColor="text1"/>
        </w:rPr>
      </w:pPr>
      <w:r w:rsidRPr="00781112">
        <w:rPr>
          <w:color w:val="000000" w:themeColor="text1"/>
        </w:rPr>
        <w:t>The data was gathered from the Indicator 14 Post School Outcomes Survey.</w:t>
      </w:r>
    </w:p>
    <w:p w14:paraId="17AAB1A6" w14:textId="2D1007DB" w:rsidR="00AE1972" w:rsidRPr="00781112" w:rsidRDefault="00AE1972" w:rsidP="00AE1972">
      <w:r w:rsidRPr="00781112">
        <w:rPr>
          <w:b/>
          <w:bCs/>
        </w:rPr>
        <w:t xml:space="preserve">Please describe how data </w:t>
      </w:r>
      <w:proofErr w:type="gramStart"/>
      <w:r w:rsidRPr="00781112">
        <w:rPr>
          <w:b/>
          <w:bCs/>
        </w:rPr>
        <w:t>are</w:t>
      </w:r>
      <w:proofErr w:type="gramEnd"/>
      <w:r w:rsidRPr="00781112">
        <w:rPr>
          <w:b/>
          <w:bCs/>
        </w:rPr>
        <w:t xml:space="preserve"> collected and analyzed for the SiMR</w:t>
      </w:r>
      <w:r w:rsidRPr="00781112">
        <w:t>.</w:t>
      </w:r>
    </w:p>
    <w:p w14:paraId="0A6DF7F0" w14:textId="29C12277" w:rsidR="00AE1972" w:rsidRPr="00781112" w:rsidRDefault="00AE1972" w:rsidP="00AE1972">
      <w:pPr>
        <w:rPr>
          <w:color w:val="000000" w:themeColor="text1"/>
        </w:rPr>
      </w:pPr>
      <w:r w:rsidRPr="00781112">
        <w:rPr>
          <w:color w:val="000000" w:themeColor="text1"/>
        </w:rPr>
        <w:t>The data is collected for Indicator 14. A subset of students ages 19–22 is pulled out and this data is analyzed for the SiMR.</w:t>
      </w:r>
    </w:p>
    <w:p w14:paraId="37CD625E" w14:textId="77777777" w:rsidR="00AE1972" w:rsidRPr="00781112" w:rsidRDefault="00AE1972" w:rsidP="00AE1972"/>
    <w:p w14:paraId="5D43821E" w14:textId="77777777" w:rsidR="00AE1972" w:rsidRPr="00781112" w:rsidRDefault="00AE1972" w:rsidP="00AE1972">
      <w:pPr>
        <w:rPr>
          <w:rFonts w:cs="Arial"/>
          <w:b/>
          <w:bCs/>
        </w:rPr>
      </w:pPr>
      <w:r w:rsidRPr="00781112">
        <w:rPr>
          <w:rFonts w:cs="Arial"/>
          <w:b/>
          <w:bCs/>
        </w:rPr>
        <w:t xml:space="preserve">Optional: Has the State collected additional data </w:t>
      </w:r>
      <w:r w:rsidRPr="00781112">
        <w:rPr>
          <w:rFonts w:cs="Arial"/>
          <w:b/>
          <w:bCs/>
          <w:i/>
          <w:iCs/>
        </w:rPr>
        <w:t>(i.e., benchmark, CQI, survey)</w:t>
      </w:r>
      <w:r w:rsidRPr="00781112">
        <w:rPr>
          <w:rFonts w:cs="Arial"/>
          <w:b/>
          <w:bCs/>
        </w:rPr>
        <w:t xml:space="preserve"> that demonstrates progress toward the SiMR?</w:t>
      </w:r>
      <w:r w:rsidRPr="00781112">
        <w:rPr>
          <w:b/>
          <w:bCs/>
        </w:rPr>
        <w:t xml:space="preserve"> (yes/no)</w:t>
      </w:r>
      <w:r w:rsidRPr="00781112">
        <w:rPr>
          <w:rFonts w:cs="Arial"/>
          <w:b/>
          <w:bCs/>
        </w:rPr>
        <w:t xml:space="preserve">  </w:t>
      </w:r>
    </w:p>
    <w:p w14:paraId="01E3AE2A" w14:textId="671ECC26" w:rsidR="00AE1972" w:rsidRDefault="00AE1972" w:rsidP="00AE1972">
      <w:pPr>
        <w:rPr>
          <w:color w:val="000000" w:themeColor="text1"/>
        </w:rPr>
      </w:pPr>
      <w:r w:rsidRPr="00781112">
        <w:rPr>
          <w:color w:val="000000" w:themeColor="text1"/>
        </w:rPr>
        <w:t>NO</w:t>
      </w:r>
    </w:p>
    <w:p w14:paraId="2F248282" w14:textId="77777777" w:rsidR="00AE1972" w:rsidRPr="00781112" w:rsidRDefault="00AE1972" w:rsidP="00AE1972">
      <w:pPr>
        <w:rPr>
          <w:b/>
          <w:bCs/>
        </w:rPr>
      </w:pPr>
    </w:p>
    <w:p w14:paraId="26AF875A" w14:textId="77777777" w:rsidR="00AE1972" w:rsidRPr="00781112" w:rsidRDefault="00AE1972" w:rsidP="00AE1972">
      <w:pPr>
        <w:spacing w:after="0"/>
        <w:rPr>
          <w:rFonts w:cs="Arial"/>
          <w:b/>
          <w:bCs/>
        </w:rPr>
      </w:pPr>
      <w:r w:rsidRPr="00781112">
        <w:rPr>
          <w:rFonts w:cs="Arial"/>
          <w:b/>
          <w:bCs/>
        </w:rPr>
        <w:t xml:space="preserve">Did the State identify any general data quality concerns, unrelated to COVID-19, that affected progress toward the SiMR during the reporting period? </w:t>
      </w:r>
      <w:r w:rsidRPr="00781112">
        <w:rPr>
          <w:b/>
          <w:bCs/>
        </w:rPr>
        <w:t>(yes/no)</w:t>
      </w:r>
    </w:p>
    <w:p w14:paraId="36E83E2B" w14:textId="1C140CC0" w:rsidR="00AE1972" w:rsidRDefault="00AE1972" w:rsidP="00AE1972">
      <w:pPr>
        <w:spacing w:after="0"/>
        <w:rPr>
          <w:color w:val="000000" w:themeColor="text1"/>
        </w:rPr>
      </w:pPr>
      <w:r w:rsidRPr="00781112">
        <w:rPr>
          <w:color w:val="000000" w:themeColor="text1"/>
        </w:rPr>
        <w:t>NO</w:t>
      </w:r>
    </w:p>
    <w:p w14:paraId="30214B92" w14:textId="77777777" w:rsidR="00AE1972" w:rsidRPr="00781112" w:rsidRDefault="00AE1972" w:rsidP="00AE1972">
      <w:pPr>
        <w:rPr>
          <w:b/>
          <w:bCs/>
        </w:rPr>
      </w:pPr>
    </w:p>
    <w:p w14:paraId="085CF862" w14:textId="77777777" w:rsidR="00AE1972" w:rsidRPr="00781112" w:rsidRDefault="00AE1972" w:rsidP="00AE1972">
      <w:pPr>
        <w:rPr>
          <w:b/>
          <w:bCs/>
        </w:rPr>
      </w:pPr>
      <w:r w:rsidRPr="00781112">
        <w:rPr>
          <w:b/>
          <w:bCs/>
        </w:rPr>
        <w:t>Did the State identify any data quality concerns directly related to the COVID-19 pandemic during the reporting period? (yes/no)</w:t>
      </w:r>
    </w:p>
    <w:p w14:paraId="71B180FE" w14:textId="5A61759D" w:rsidR="00AE1972" w:rsidRDefault="00AE1972" w:rsidP="00AE1972">
      <w:pPr>
        <w:rPr>
          <w:color w:val="000000" w:themeColor="text1"/>
        </w:rPr>
      </w:pPr>
      <w:r w:rsidRPr="00781112">
        <w:rPr>
          <w:color w:val="000000" w:themeColor="text1"/>
        </w:rPr>
        <w:t>NO</w:t>
      </w:r>
    </w:p>
    <w:p w14:paraId="1CD7E2E2" w14:textId="77777777" w:rsidR="00AE1972" w:rsidRPr="00781112" w:rsidRDefault="00AE1972" w:rsidP="00AE1972">
      <w:pPr>
        <w:rPr>
          <w:b/>
          <w:bCs/>
        </w:rPr>
      </w:pPr>
    </w:p>
    <w:p w14:paraId="2127B612" w14:textId="77777777" w:rsidR="00AE1972" w:rsidRPr="00074B33" w:rsidRDefault="00AE1972" w:rsidP="00074B33">
      <w:pPr>
        <w:rPr>
          <w:b/>
          <w:bCs/>
        </w:rPr>
      </w:pPr>
      <w:r w:rsidRPr="00074B33">
        <w:rPr>
          <w:b/>
          <w:bCs/>
        </w:rPr>
        <w:t>Section B: Implementation, Analysis and Evaluation</w:t>
      </w:r>
    </w:p>
    <w:p w14:paraId="08E78A8E" w14:textId="77777777" w:rsidR="00E84BDF" w:rsidRPr="00E84BDF" w:rsidRDefault="00E84BDF" w:rsidP="00E84BDF">
      <w:pPr>
        <w:rPr>
          <w:rFonts w:cs="Arial"/>
          <w:b/>
          <w:bCs/>
        </w:rPr>
      </w:pPr>
      <w:r w:rsidRPr="00E84BDF">
        <w:rPr>
          <w:rFonts w:cs="Arial"/>
          <w:b/>
          <w:bCs/>
        </w:rPr>
        <w:t>Please provide a link to the State’s current evaluation plan.</w:t>
      </w:r>
    </w:p>
    <w:p w14:paraId="0A6517E8" w14:textId="77777777" w:rsidR="00E84BDF" w:rsidRDefault="00E84BDF" w:rsidP="00E84BDF">
      <w:pPr>
        <w:rPr>
          <w:color w:val="000000" w:themeColor="text1"/>
        </w:rPr>
      </w:pPr>
      <w:r w:rsidRPr="00781112">
        <w:rPr>
          <w:color w:val="000000" w:themeColor="text1"/>
        </w:rPr>
        <w:t>https://www.schools.utah.gov/file/0a6063ee-6c11-41b1-97f8-2859857a8a5c</w:t>
      </w:r>
    </w:p>
    <w:p w14:paraId="1EF6E568" w14:textId="77777777" w:rsidR="007123A2" w:rsidRDefault="007123A2" w:rsidP="00E84BDF">
      <w:pPr>
        <w:rPr>
          <w:color w:val="000000" w:themeColor="text1"/>
        </w:rPr>
      </w:pPr>
    </w:p>
    <w:p w14:paraId="0B808C56" w14:textId="786EB067" w:rsidR="00AE1972" w:rsidRPr="00781112" w:rsidRDefault="00E84BDF" w:rsidP="00AE1972">
      <w:pPr>
        <w:rPr>
          <w:rFonts w:cs="Arial"/>
          <w:b/>
          <w:bCs/>
        </w:rPr>
      </w:pPr>
      <w:r w:rsidRPr="00E84BDF">
        <w:rPr>
          <w:rFonts w:cs="Arial"/>
          <w:b/>
          <w:bCs/>
        </w:rPr>
        <w:lastRenderedPageBreak/>
        <w:t xml:space="preserve">Is the State’s evaluation plan new or revised since the previous submission? </w:t>
      </w:r>
      <w:r w:rsidR="00AE1972" w:rsidRPr="00781112">
        <w:rPr>
          <w:b/>
          <w:bCs/>
        </w:rPr>
        <w:t>(yes/no)</w:t>
      </w:r>
    </w:p>
    <w:p w14:paraId="5D9470C5" w14:textId="1F552EB5" w:rsidR="00AE1972" w:rsidRDefault="00AE1972" w:rsidP="00AE1972">
      <w:pPr>
        <w:rPr>
          <w:color w:val="000000" w:themeColor="text1"/>
        </w:rPr>
      </w:pPr>
      <w:r w:rsidRPr="00781112">
        <w:rPr>
          <w:color w:val="000000" w:themeColor="text1"/>
        </w:rPr>
        <w:t>YES</w:t>
      </w:r>
    </w:p>
    <w:p w14:paraId="23351010" w14:textId="4110A7DC" w:rsidR="00A7143A" w:rsidRDefault="00A7143A" w:rsidP="00A7143A">
      <w:pPr>
        <w:rPr>
          <w:rFonts w:cs="Arial"/>
          <w:b/>
          <w:bCs/>
        </w:rPr>
      </w:pPr>
      <w:r w:rsidRPr="00A7143A">
        <w:rPr>
          <w:rFonts w:cs="Arial"/>
          <w:b/>
          <w:bCs/>
        </w:rPr>
        <w:t>If yes, provide a description of the changes and updates to the evaluation plan.</w:t>
      </w:r>
    </w:p>
    <w:p w14:paraId="52FD489D" w14:textId="77777777" w:rsidR="00E84BDF" w:rsidRDefault="00E84BDF" w:rsidP="00E84BDF">
      <w:pPr>
        <w:rPr>
          <w:color w:val="000000" w:themeColor="text1"/>
        </w:rPr>
      </w:pPr>
      <w:r w:rsidRPr="00781112">
        <w:rPr>
          <w:color w:val="000000" w:themeColor="text1"/>
        </w:rPr>
        <w:t xml:space="preserve">Utah’s evaluation plan for the SSIP has two major parts. The first is the SiMR target calculation, which is calculated from a subset of the Indicator 14 Post School Outcomes Survey. </w:t>
      </w:r>
      <w:r w:rsidRPr="00781112">
        <w:rPr>
          <w:color w:val="000000" w:themeColor="text1"/>
        </w:rPr>
        <w:br/>
      </w:r>
      <w:r w:rsidRPr="00781112">
        <w:rPr>
          <w:color w:val="000000" w:themeColor="text1"/>
        </w:rPr>
        <w:br/>
        <w:t xml:space="preserve">The second part is the evaluation of the components within each of the three broad improvement strategies identified in the Theory of Action including comprehensive </w:t>
      </w:r>
      <w:proofErr w:type="gramStart"/>
      <w:r w:rsidRPr="00781112">
        <w:rPr>
          <w:color w:val="000000" w:themeColor="text1"/>
        </w:rPr>
        <w:t>supports</w:t>
      </w:r>
      <w:proofErr w:type="gramEnd"/>
      <w:r w:rsidRPr="00781112">
        <w:rPr>
          <w:color w:val="000000" w:themeColor="text1"/>
        </w:rPr>
        <w:t xml:space="preserve"> for youth and families, smooth flow of services, and coordination of services. This first year, evaluating outcomes of the improvement strategies involved gathering baseline data on all target activities and outputs identified in the logic model and reviewing activities and progress with stakeholders (see Section C). Most of Utah’s data is related to outputs, as opposed to outcomes, and the fact that all stakeholders actively contributed to choosing output targets supports Utah’s decision to continue implementing these strategies.</w:t>
      </w:r>
    </w:p>
    <w:p w14:paraId="5D0F0ACE" w14:textId="3C2EB3BA" w:rsidR="00E84BDF" w:rsidRPr="00781112" w:rsidRDefault="00E84BDF" w:rsidP="00E84BDF">
      <w:pPr>
        <w:rPr>
          <w:rFonts w:cs="Arial"/>
          <w:b/>
          <w:bCs/>
        </w:rPr>
      </w:pPr>
      <w:r>
        <w:rPr>
          <w:rFonts w:cs="Arial"/>
          <w:b/>
          <w:bCs/>
        </w:rPr>
        <w:t>If yes, describe a rationale or justification for the changes to the SSIP evaluation plan.</w:t>
      </w:r>
    </w:p>
    <w:p w14:paraId="251E6325" w14:textId="77777777" w:rsidR="00E84BDF" w:rsidRPr="00781112" w:rsidRDefault="00E84BDF" w:rsidP="00E84BDF">
      <w:pPr>
        <w:rPr>
          <w:b/>
          <w:bCs/>
        </w:rPr>
      </w:pPr>
      <w:r w:rsidRPr="00781112">
        <w:rPr>
          <w:color w:val="000000" w:themeColor="text1"/>
        </w:rPr>
        <w:t>Utah’s evaluation plan was updated this year (FFY 2021) to reflect the new SiMR reported in the 2022 SSIP submission.</w:t>
      </w:r>
    </w:p>
    <w:p w14:paraId="19DFF8CC" w14:textId="77777777" w:rsidR="00AE1972" w:rsidRPr="00781112" w:rsidRDefault="00AE1972" w:rsidP="00AE1972">
      <w:pPr>
        <w:rPr>
          <w:rFonts w:cs="Arial"/>
          <w:b/>
          <w:bCs/>
        </w:rPr>
      </w:pPr>
    </w:p>
    <w:p w14:paraId="405861A2" w14:textId="55A85451" w:rsidR="00AE1972" w:rsidRPr="00781112" w:rsidRDefault="00AB11F1" w:rsidP="00AE1972">
      <w:pPr>
        <w:rPr>
          <w:rFonts w:cs="Arial"/>
          <w:b/>
          <w:bCs/>
        </w:rPr>
      </w:pPr>
      <w:r w:rsidRPr="00AB11F1">
        <w:rPr>
          <w:rFonts w:cs="Arial"/>
          <w:b/>
          <w:bCs/>
        </w:rPr>
        <w:t>Provide a summary of each infrastructure improvement strategy implemented in the reporting period:</w:t>
      </w:r>
    </w:p>
    <w:p w14:paraId="19A64E2F" w14:textId="09FED9B3" w:rsidR="00AE1972" w:rsidRPr="00781112" w:rsidRDefault="00AE1972" w:rsidP="00AE1972">
      <w:pPr>
        <w:rPr>
          <w:b/>
          <w:bCs/>
        </w:rPr>
      </w:pPr>
      <w:r w:rsidRPr="00781112">
        <w:rPr>
          <w:color w:val="000000" w:themeColor="text1"/>
        </w:rPr>
        <w:t xml:space="preserve">Utah’s SSIP Theory of Action began with the identification of common concerns and vision for improvement among the postsecondary transition stakeholders that make up the Statewide Postsecondary Transition Collaborative (STC) to Improve Post School Outcomes for Individuals with Disabilities. Those concerns were transformed into three broad improvement strategies including comprehensive </w:t>
      </w:r>
      <w:proofErr w:type="gramStart"/>
      <w:r w:rsidRPr="00781112">
        <w:rPr>
          <w:color w:val="000000" w:themeColor="text1"/>
        </w:rPr>
        <w:t>supports</w:t>
      </w:r>
      <w:proofErr w:type="gramEnd"/>
      <w:r w:rsidRPr="00781112">
        <w:rPr>
          <w:color w:val="000000" w:themeColor="text1"/>
        </w:rPr>
        <w:t xml:space="preserve"> for youth and families, smooth flow of services, and coordination of services. The Theory of Action then demonstrated how each broad improvement strategy leveraged the strengths of the USBE and its STC partner initiatives and priorities to build statewide capacity for improvement, while at the same time decreasing the impact of infrastructure gaps. All three broad improvement strategies were implemented during the reporting period. To summarize what is required to implement each strategy, common components or considerations of each strategy were turned into improvement activities. These are listed below.</w:t>
      </w:r>
      <w:r w:rsidRPr="00781112">
        <w:rPr>
          <w:color w:val="000000" w:themeColor="text1"/>
        </w:rPr>
        <w:br/>
        <w:t xml:space="preserve">STRATEGY I - COMPREHENSIVE SUPPORTS FOR YOUTH AND FAMILIES (EQUITABLE ACCESS TO SUPPORTS AND RESOURCES FOR TRANSITION-AGE YOUTH AND THEIR FAMILIES - THE “WHO”) </w:t>
      </w:r>
      <w:r w:rsidRPr="00781112">
        <w:rPr>
          <w:color w:val="000000" w:themeColor="text1"/>
        </w:rPr>
        <w:br/>
        <w:t>a. Professional learning for educators</w:t>
      </w:r>
      <w:r w:rsidRPr="00781112">
        <w:rPr>
          <w:color w:val="000000" w:themeColor="text1"/>
        </w:rPr>
        <w:br/>
        <w:t>• Improve LEA attendance and participation in the annual Postsecondary Transition Institute for educators. This Institute is designed for teams to return year after year to set and complete annual goals to build capacity within their LEA to engage in quality postsecondary transition planning for SWD as mandated in IDEA</w:t>
      </w:r>
      <w:r w:rsidRPr="00781112">
        <w:rPr>
          <w:color w:val="000000" w:themeColor="text1"/>
        </w:rPr>
        <w:br/>
        <w:t>b. Education and opportunities for youth and families (sharing information and improving skills)</w:t>
      </w:r>
      <w:r w:rsidRPr="00781112">
        <w:rPr>
          <w:color w:val="000000" w:themeColor="text1"/>
        </w:rPr>
        <w:br/>
        <w:t>• Improve attendance and participation in Transition University for youth with disabilities and their families through the Utah Parent Center</w:t>
      </w:r>
      <w:r w:rsidRPr="00781112">
        <w:rPr>
          <w:color w:val="000000" w:themeColor="text1"/>
        </w:rPr>
        <w:br/>
        <w:t>• Improve enrollment in Pre-Employment Transition Services (Pre-ETS) for SWD through vocational rehabilitation</w:t>
      </w:r>
      <w:r w:rsidRPr="00781112">
        <w:rPr>
          <w:color w:val="000000" w:themeColor="text1"/>
        </w:rPr>
        <w:br/>
        <w:t>• Improve utilization of the Transition Elevated planning app among SWD as they participate in the development of their own IEP postsecondary transition plans</w:t>
      </w:r>
      <w:r w:rsidRPr="00781112">
        <w:rPr>
          <w:color w:val="000000" w:themeColor="text1"/>
        </w:rPr>
        <w:br/>
        <w:t>c. Improved access to supports and services for underserved populations</w:t>
      </w:r>
      <w:r w:rsidRPr="00781112">
        <w:rPr>
          <w:color w:val="000000" w:themeColor="text1"/>
        </w:rPr>
        <w:br/>
        <w:t>• Improve access to and enrollment in CTE pathways for SWD</w:t>
      </w:r>
      <w:r w:rsidRPr="00781112">
        <w:rPr>
          <w:color w:val="000000" w:themeColor="text1"/>
        </w:rPr>
        <w:br/>
        <w:t>• Improve LEA knowledge and utilization of the Career Development Credential for SWD</w:t>
      </w:r>
      <w:r w:rsidRPr="00781112">
        <w:rPr>
          <w:color w:val="000000" w:themeColor="text1"/>
        </w:rPr>
        <w:br/>
        <w:t>STRATEGY II - SMOOTH FLOW OF SERVICES FOR TRANSITION-AGE YOUTH (DESCRIBE THE IDEAL SET OF TRANSITION SERVICES AND EXPERIENCES - THE “WHAT”)</w:t>
      </w:r>
      <w:r w:rsidRPr="00781112">
        <w:rPr>
          <w:color w:val="000000" w:themeColor="text1"/>
        </w:rPr>
        <w:br/>
        <w:t>a. Improve our data match across agencies from 80% to 100%</w:t>
      </w:r>
      <w:r w:rsidRPr="00781112">
        <w:rPr>
          <w:color w:val="000000" w:themeColor="text1"/>
        </w:rPr>
        <w:br/>
        <w:t>• Student-level data sharing agreements in place between the USBE, Department of Workforce Services (DWS), and Department of Health and Human Services (DHHS)</w:t>
      </w:r>
      <w:r w:rsidRPr="00781112">
        <w:rPr>
          <w:color w:val="000000" w:themeColor="text1"/>
        </w:rPr>
        <w:br/>
        <w:t>• Establish a baseline for student-level data match across agencies</w:t>
      </w:r>
      <w:r w:rsidRPr="00781112">
        <w:rPr>
          <w:color w:val="000000" w:themeColor="text1"/>
        </w:rPr>
        <w:br/>
        <w:t>b. Tracking services and engagement over time by student</w:t>
      </w:r>
      <w:r w:rsidRPr="00781112">
        <w:rPr>
          <w:color w:val="000000" w:themeColor="text1"/>
        </w:rPr>
        <w:br/>
        <w:t>• Map services received for a representative sample of 2020 exiters (2021 survey respondents)</w:t>
      </w:r>
      <w:r w:rsidRPr="00781112">
        <w:rPr>
          <w:color w:val="000000" w:themeColor="text1"/>
        </w:rPr>
        <w:br/>
        <w:t>c. Create a Portrait of Postsecondary Transition for SWD based on students in our sample who are engaged in the community after school (Indicator 14C)</w:t>
      </w:r>
      <w:r w:rsidRPr="00781112">
        <w:rPr>
          <w:color w:val="000000" w:themeColor="text1"/>
        </w:rPr>
        <w:br/>
        <w:t>• Create a flow of services timeline for students, families, and educators</w:t>
      </w:r>
      <w:r w:rsidRPr="00781112">
        <w:rPr>
          <w:color w:val="000000" w:themeColor="text1"/>
        </w:rPr>
        <w:br/>
        <w:t>• Compile student success examples to share with students, families, and educators</w:t>
      </w:r>
      <w:r w:rsidRPr="00781112">
        <w:rPr>
          <w:color w:val="000000" w:themeColor="text1"/>
        </w:rPr>
        <w:br/>
        <w:t>STRATEGY III - COORDINATION OF SERVICES FOR TRANSITION-AGE YOUTH IN UTAH (SYSTEMIC INTENTIONAL COORDINATION, STREAMLINED REFERRAL PROCESSES, ACTIVE COLLABORATION, EDUCATING YOUTH AND FAMILIES — THE ‘HOW’)</w:t>
      </w:r>
      <w:r w:rsidRPr="00781112">
        <w:rPr>
          <w:color w:val="000000" w:themeColor="text1"/>
        </w:rPr>
        <w:br/>
        <w:t>a. Continue and scale up the work of the STC</w:t>
      </w:r>
      <w:r w:rsidRPr="00781112">
        <w:rPr>
          <w:color w:val="000000" w:themeColor="text1"/>
        </w:rPr>
        <w:br/>
        <w:t>b. Create a systematic referral process to use for referrals across agencies</w:t>
      </w:r>
      <w:r w:rsidRPr="00781112">
        <w:rPr>
          <w:color w:val="000000" w:themeColor="text1"/>
        </w:rPr>
        <w:br/>
        <w:t>• Create a standardized referral form with release of information for use between agencies</w:t>
      </w:r>
      <w:r w:rsidRPr="00781112">
        <w:rPr>
          <w:color w:val="000000" w:themeColor="text1"/>
        </w:rPr>
        <w:br/>
        <w:t>• Create a repository with each agency’s information to which postsecondary transition stakeholders can refer students and families</w:t>
      </w:r>
      <w:r w:rsidRPr="00781112">
        <w:rPr>
          <w:color w:val="000000" w:themeColor="text1"/>
        </w:rPr>
        <w:br/>
        <w:t>c. Improve data sharing system to improve communication and coordination in co-serving youth across agencies</w:t>
      </w:r>
      <w:r w:rsidRPr="00781112">
        <w:rPr>
          <w:color w:val="000000" w:themeColor="text1"/>
        </w:rPr>
        <w:br/>
        <w:t>• Create an addendum for agency progress reporting forms to track information sharing between agencies</w:t>
      </w:r>
      <w:r w:rsidRPr="00781112">
        <w:rPr>
          <w:color w:val="000000" w:themeColor="text1"/>
        </w:rPr>
        <w:br/>
        <w:t>• Establish a baseline for the number of LEAs and outside agencies sharing progress data for students being co-served</w:t>
      </w:r>
      <w:r w:rsidRPr="00781112">
        <w:rPr>
          <w:color w:val="000000" w:themeColor="text1"/>
        </w:rPr>
        <w:br/>
        <w:t>d. Create a common language to communicate with families about postsecondary transition without jargon specific to different agencies</w:t>
      </w:r>
      <w:r w:rsidRPr="00781112">
        <w:rPr>
          <w:color w:val="000000" w:themeColor="text1"/>
        </w:rPr>
        <w:br/>
        <w:t>• Create a universal document with a common vision of postsecondary transition and a glossary of terms</w:t>
      </w:r>
      <w:r w:rsidRPr="00781112">
        <w:rPr>
          <w:color w:val="000000" w:themeColor="text1"/>
        </w:rPr>
        <w:br/>
        <w:t>• Build a website to house the vision and resources for postsecondary transition in Utah</w:t>
      </w:r>
    </w:p>
    <w:p w14:paraId="1C121BBF" w14:textId="77777777" w:rsidR="00AE1972" w:rsidRPr="00781112" w:rsidRDefault="00AE1972" w:rsidP="00AE1972">
      <w:pPr>
        <w:rPr>
          <w:rFonts w:cs="Arial"/>
          <w:b/>
          <w:bCs/>
        </w:rPr>
      </w:pPr>
    </w:p>
    <w:p w14:paraId="2116126D" w14:textId="03C97716" w:rsidR="00AB11F1" w:rsidRPr="00781112" w:rsidRDefault="00AB11F1" w:rsidP="00AE1972">
      <w:pPr>
        <w:rPr>
          <w:rFonts w:cs="Arial"/>
          <w:b/>
          <w:bCs/>
        </w:rPr>
      </w:pPr>
      <w:r w:rsidRPr="00AB11F1">
        <w:rPr>
          <w:rFonts w:cs="Arial"/>
          <w:b/>
          <w:bCs/>
        </w:rPr>
        <w:t>Describe the short-term or intermediate outcomes achieved for each infrastructure improvement strategy during the reporting period including the measures or rationale used by the State and stakeholders to assess and communicate achievement. Please relate short-term outcomes to one or more areas of a systems framework (e.g., governance, data, finance, accountability/monitoring, quality standards, professional development and/or technical assistance) and explain how these strategies support system change and are necessary for: (a) achievement of the SiMR; (b) sustainability of systems improvement efforts; and/or (c) scale-up.</w:t>
      </w:r>
    </w:p>
    <w:p w14:paraId="29CD7E16" w14:textId="62EA3FF0" w:rsidR="00AE1972" w:rsidRPr="00781112" w:rsidRDefault="00AE1972" w:rsidP="00AE1972">
      <w:pPr>
        <w:rPr>
          <w:b/>
          <w:bCs/>
        </w:rPr>
      </w:pPr>
      <w:r w:rsidRPr="00781112">
        <w:rPr>
          <w:color w:val="000000" w:themeColor="text1"/>
        </w:rPr>
        <w:t xml:space="preserve">Utah’s SSIP describes the state system of postsecondary transition service providers and its efforts to build capacity to assist LEAs to improve outcomes for SWD and evaluate the impact of Utah’s improvement efforts. These improvement efforts align with the IDEA and Every Student Succeeds Act (ESSA). The success of the SSIP requires systematic improvement across the USBE, LEAs, and community partner agencies to leverage existing strengths while simultaneously closing system gaps. These stakeholders need to make the following systems changes to impact the SiMR: </w:t>
      </w:r>
      <w:r w:rsidRPr="00781112">
        <w:rPr>
          <w:color w:val="000000" w:themeColor="text1"/>
        </w:rPr>
        <w:br/>
        <w:t>1. Align and leverage current postsecondary transition improvement initiatives across stakeholders</w:t>
      </w:r>
      <w:r w:rsidRPr="00781112">
        <w:rPr>
          <w:color w:val="000000" w:themeColor="text1"/>
        </w:rPr>
        <w:br/>
        <w:t>2. Increase utilization of evidence-based practices (EBPs)</w:t>
      </w:r>
      <w:r w:rsidRPr="00781112">
        <w:rPr>
          <w:color w:val="000000" w:themeColor="text1"/>
        </w:rPr>
        <w:br/>
        <w:t>3. Improve infrastructure and coordination for delivering effective PL and TA</w:t>
      </w:r>
      <w:r w:rsidRPr="00781112">
        <w:rPr>
          <w:color w:val="000000" w:themeColor="text1"/>
        </w:rPr>
        <w:br/>
        <w:t>4. Increase meaningful collaboration of state and local stakeholders around SSIP efforts</w:t>
      </w:r>
      <w:r w:rsidRPr="00781112">
        <w:rPr>
          <w:color w:val="000000" w:themeColor="text1"/>
        </w:rPr>
        <w:br/>
      </w:r>
      <w:r w:rsidRPr="00781112">
        <w:rPr>
          <w:color w:val="000000" w:themeColor="text1"/>
        </w:rPr>
        <w:lastRenderedPageBreak/>
        <w:t>5. Increase capacity to effectively utilize national TA resources</w:t>
      </w:r>
      <w:r w:rsidRPr="00781112">
        <w:rPr>
          <w:color w:val="000000" w:themeColor="text1"/>
        </w:rPr>
        <w:br/>
        <w:t>6. Increase capacity at the local level to implement systems that support effective implementation of postsecondary transition planning</w:t>
      </w:r>
      <w:r w:rsidRPr="00781112">
        <w:rPr>
          <w:color w:val="000000" w:themeColor="text1"/>
        </w:rPr>
        <w:br/>
        <w:t xml:space="preserve">These combined efforts will lead to improved postsecondary transition planning for SWD, which in turn will improve state results in graduation, dropout, and post school outcomes in employment and higher education as SWD will have the skills and preparation they need to achieve post school success. To achieve the identified </w:t>
      </w:r>
      <w:proofErr w:type="gramStart"/>
      <w:r w:rsidRPr="00781112">
        <w:rPr>
          <w:color w:val="000000" w:themeColor="text1"/>
        </w:rPr>
        <w:t>systems</w:t>
      </w:r>
      <w:proofErr w:type="gramEnd"/>
      <w:r w:rsidRPr="00781112">
        <w:rPr>
          <w:color w:val="000000" w:themeColor="text1"/>
        </w:rPr>
        <w:t xml:space="preserve"> change, the USBE implemented the following activities (with their related outputs and/or outcomes) for each improvement strategy. Descriptions of each activity are provided in the summary of EBPs.</w:t>
      </w:r>
      <w:r w:rsidRPr="00781112">
        <w:rPr>
          <w:color w:val="000000" w:themeColor="text1"/>
        </w:rPr>
        <w:br/>
        <w:t>COMPREHENSIVE SUPPORTS FOR YOUTH AND FAMILIES</w:t>
      </w:r>
      <w:r w:rsidRPr="00781112">
        <w:rPr>
          <w:color w:val="000000" w:themeColor="text1"/>
        </w:rPr>
        <w:br/>
        <w:t>1) The Postsecondary Transition Institute (PTI) hosted 207 participants from 32 LEA teams in June 2022. Plans from 22 LEA teams were submitted to the USBE Postsecondary Transition Team (UPTT) for review. The Supports for Youth and Families Workgroup (SYFW; a subcommittee of the STC) analyzed team attendance for the past seven years. During that time, 86 different teams have attended. While the number of teams attending each year has remained relatively stable around 45 teams (except for during the COVID-19 years), only 14 teams attended consistently over at least six of the seven years.</w:t>
      </w:r>
      <w:r w:rsidRPr="00781112">
        <w:rPr>
          <w:color w:val="000000" w:themeColor="text1"/>
        </w:rPr>
        <w:br/>
        <w:t>2) The SYFW analyzed previous years’ feedback from the PTI to look for patterns that might inform why teams are not attending and areas for improvement to better meet the needs of professionals who are attending. Themes were identified and shared with the PTI planning team for use in planning for 2023.</w:t>
      </w:r>
      <w:r w:rsidRPr="00781112">
        <w:rPr>
          <w:color w:val="000000" w:themeColor="text1"/>
        </w:rPr>
        <w:br/>
        <w:t xml:space="preserve">3) Baseline Transition University attendance: 23 youth with disabilities and 265 family members were trained using the Transition University curriculum between August 1, 2021, and July 31, 2022. </w:t>
      </w:r>
      <w:r w:rsidRPr="00781112">
        <w:rPr>
          <w:color w:val="000000" w:themeColor="text1"/>
        </w:rPr>
        <w:br/>
        <w:t xml:space="preserve">4) Baseline Pre-ETS enrollment data: 27,406 transition-age youth were served in special education and 9,163 students had 504 plans in place in the 2021 school year, making 36,569 students potentially eligible for Pre-ETS services. However, from August 15, 2021, to August 14, 2022, only 2,913 students accessed Pre-ETS services (~8% of those potentially eligible). This is only an estimate because the number of potentially eligible students was only the number of students with a current IEP or 504 Plan, </w:t>
      </w:r>
      <w:proofErr w:type="gramStart"/>
      <w:r w:rsidRPr="00781112">
        <w:rPr>
          <w:color w:val="000000" w:themeColor="text1"/>
        </w:rPr>
        <w:t>whereas,</w:t>
      </w:r>
      <w:proofErr w:type="gramEnd"/>
      <w:r w:rsidRPr="00781112">
        <w:rPr>
          <w:color w:val="000000" w:themeColor="text1"/>
        </w:rPr>
        <w:t xml:space="preserve"> the number of students served in Pre-ETS also includes students with a medical diagnosis but no IEP or 504. Those students who qualify for Pre-ETS without an IEP or 504 could not reliably be excluded from the Pre-ETS data due to data collection processes. The percentage of potentially eligible students receiving Pre-ETS services is likely slightly lower than 8%, but this is the best comparison available with current data collection practices.</w:t>
      </w:r>
      <w:r w:rsidRPr="00781112">
        <w:rPr>
          <w:color w:val="000000" w:themeColor="text1"/>
        </w:rPr>
        <w:br/>
        <w:t>5) Baseline Transition Elevated App utilization: 1,503 students used the app in the 2021 school year.</w:t>
      </w:r>
      <w:r w:rsidRPr="00781112">
        <w:rPr>
          <w:color w:val="000000" w:themeColor="text1"/>
        </w:rPr>
        <w:br/>
        <w:t>6) Baseline patterns of CTE participation for SWD: The UPTT analyzed four years of CTE enrollment data from the 2018 through 2021 school years. Means were established for CTE pathway completers (3.0 credits completed) and CTE pathway concentrators (1.5 credits completed) for general education students and SWD. On average, SWD were less likely to concentrate in a CTE pathway than general education students by 3.26 percentage points and SWD were less likely to complete a CTE pathway than general education students by 3.10 percentage points. This disparity represents a slight underrepresentation of SWD in CTE pathways in Utah overall. At the LEA level, seven LEAs (5 districts and 2 charter schools) were identified for consistent representation of SWD in CTE pathways over the four years examined, and twelve (6 districts and 6 charter schools) were identified for consistent underrepresentation of SWD in CTE pathways. The remaining LEAs showed mixed results resulting in average levels of representation.</w:t>
      </w:r>
      <w:r w:rsidRPr="00781112">
        <w:rPr>
          <w:color w:val="000000" w:themeColor="text1"/>
        </w:rPr>
        <w:br/>
        <w:t>7) A survey of educator knowledge regarding the Career Development Credential for SWD showed most educators across disciplines have little to no knowledge of this educational opportunity, contributing to the low number of SWD earning this credential.</w:t>
      </w:r>
      <w:r w:rsidRPr="00781112">
        <w:rPr>
          <w:color w:val="000000" w:themeColor="text1"/>
        </w:rPr>
        <w:br/>
        <w:t>SMOOTH FLOW OF SERVICES</w:t>
      </w:r>
      <w:r w:rsidRPr="00781112">
        <w:rPr>
          <w:color w:val="000000" w:themeColor="text1"/>
        </w:rPr>
        <w:br/>
        <w:t>1) Review of current data sharing agreements and memoranda of understanding (MOUs) between the USBE and other state agencies determined a new data sharing agreement was needed between USBE, DHHS, and DWS to support improved collaboration between agencies in co-serving SWD. A draft outline for the new agreement was produced by the Flow of Services Workgroup (a subcommittee of the STC). The draft outline includes a purpose statement for the agreement and lists the student-level data elements for each agency proposed to be included in the new agreement.</w:t>
      </w:r>
      <w:r w:rsidRPr="00781112">
        <w:rPr>
          <w:color w:val="000000" w:themeColor="text1"/>
        </w:rPr>
        <w:br/>
        <w:t>2) Respondents to the 2021 Indicator 14 survey within the SiMR target age range were identified as possible interviewees to examine service patterns over time for those who reported being engaged in meaningful post school activities and for those who reported being under-engaged or unengaged in meaningful post school activities.</w:t>
      </w:r>
      <w:r w:rsidRPr="00781112">
        <w:rPr>
          <w:color w:val="000000" w:themeColor="text1"/>
        </w:rPr>
        <w:br/>
        <w:t>3) Resources for existing timelines from other states and national TA centers were reviewed in preparation for developing the Portrait of Postsecondary Transition for SWD.</w:t>
      </w:r>
      <w:r w:rsidRPr="00781112">
        <w:rPr>
          <w:color w:val="000000" w:themeColor="text1"/>
        </w:rPr>
        <w:br/>
        <w:t>COORDINATION OF SERVICES</w:t>
      </w:r>
      <w:r w:rsidRPr="00781112">
        <w:rPr>
          <w:color w:val="000000" w:themeColor="text1"/>
        </w:rPr>
        <w:br/>
        <w:t>1) The Coordination of Services Workgroup (CSW; a subcommittee of the STC) drafted a universal referral form for all agencies in the STC to use when referring students to services from other providers. The form was reviewed by all agencies to ensure it contained information universally collected by agencies upon referral. The purpose of creating a system-wide referral form was to simplify the process for SWD, their families, and service providers. This is the first step in coming together as a statewide system of postsecondary transition stakeholders.</w:t>
      </w:r>
      <w:r w:rsidRPr="00781112">
        <w:rPr>
          <w:color w:val="000000" w:themeColor="text1"/>
        </w:rPr>
        <w:br/>
        <w:t>2) The development of a one-stop postsecondary transition website for Utah has begun. The structure of the website has been designed and content development is beginning. The CSW is acting as the stakeholder group to ensure content represents the statewide system of postsecondary transition rather than one or two individual agencies. As part of this effort, the CSW drafted and is refining the vision statement for postsecondary transition for the State of Utah and the purpose statement for the website.</w:t>
      </w:r>
      <w:r w:rsidRPr="00781112">
        <w:rPr>
          <w:color w:val="000000" w:themeColor="text1"/>
        </w:rPr>
        <w:br/>
        <w:t>These strategies support systems change as more stakeholders will understand the tenets of postsecondary transition and barriers to services are addressed through deliberate collaboration. These outcomes will lead to the achievement of the SiMR and support efforts to scale-up and create a sustainable long-term improvement effort. Based on discussions with Utah’s stakeholders, the improvement activities currently being implemented are appropriate to impact the SiMR and to improve postsecondary outcomes for SWD as educators, students, and families receive training and support in postsecondary transition planning and services and service providers work together to create a unified system of postsecondary transition in Utah.</w:t>
      </w:r>
    </w:p>
    <w:p w14:paraId="4B6ADDE5" w14:textId="77777777" w:rsidR="00AE1972" w:rsidRPr="00781112" w:rsidRDefault="00AE1972" w:rsidP="00AE1972">
      <w:pPr>
        <w:rPr>
          <w:rFonts w:cs="Arial"/>
          <w:b/>
          <w:bCs/>
        </w:rPr>
      </w:pPr>
    </w:p>
    <w:p w14:paraId="5DCF741B" w14:textId="77777777" w:rsidR="00AE1972" w:rsidRPr="00781112" w:rsidRDefault="00AE1972" w:rsidP="00AE1972">
      <w:pPr>
        <w:rPr>
          <w:rFonts w:cs="Arial"/>
          <w:b/>
          <w:bCs/>
        </w:rPr>
      </w:pPr>
      <w:r w:rsidRPr="00781112">
        <w:rPr>
          <w:rFonts w:cs="Arial"/>
          <w:b/>
          <w:bCs/>
        </w:rPr>
        <w:t xml:space="preserve">Did the State implement any </w:t>
      </w:r>
      <w:r w:rsidRPr="00781112">
        <w:rPr>
          <w:rFonts w:cs="Arial"/>
          <w:b/>
          <w:bCs/>
          <w:u w:val="single"/>
        </w:rPr>
        <w:t>new</w:t>
      </w:r>
      <w:r w:rsidRPr="00781112">
        <w:rPr>
          <w:rFonts w:cs="Arial"/>
          <w:b/>
          <w:bCs/>
        </w:rPr>
        <w:t xml:space="preserve"> (newly identified) infrastructure improvement strategies during the reporting period?</w:t>
      </w:r>
      <w:r w:rsidRPr="00781112">
        <w:rPr>
          <w:b/>
          <w:bCs/>
        </w:rPr>
        <w:t xml:space="preserve"> (yes/no)</w:t>
      </w:r>
    </w:p>
    <w:p w14:paraId="7AA60872" w14:textId="7A06C54C" w:rsidR="00AE1972" w:rsidRDefault="00AE1972" w:rsidP="00AE1972">
      <w:pPr>
        <w:rPr>
          <w:color w:val="000000" w:themeColor="text1"/>
        </w:rPr>
      </w:pPr>
      <w:r w:rsidRPr="00781112">
        <w:rPr>
          <w:color w:val="000000" w:themeColor="text1"/>
        </w:rPr>
        <w:t>NO</w:t>
      </w:r>
    </w:p>
    <w:p w14:paraId="7A07D856" w14:textId="77777777" w:rsidR="00AE1972" w:rsidRPr="00781112" w:rsidRDefault="00AE1972" w:rsidP="00AE1972">
      <w:pPr>
        <w:rPr>
          <w:rFonts w:cs="Arial"/>
          <w:b/>
          <w:bCs/>
        </w:rPr>
      </w:pPr>
      <w:r w:rsidRPr="00781112">
        <w:rPr>
          <w:rFonts w:cs="Arial"/>
          <w:b/>
          <w:bCs/>
        </w:rPr>
        <w:t xml:space="preserve">Provide a summary of the next steps for each infrastructure improvement strategy and the anticipated outcomes to be attained during the next reporting period. </w:t>
      </w:r>
    </w:p>
    <w:p w14:paraId="1A03571A" w14:textId="0DF7AD96" w:rsidR="00AE1972" w:rsidRPr="00781112" w:rsidRDefault="00AE1972" w:rsidP="00AE1972">
      <w:pPr>
        <w:rPr>
          <w:b/>
          <w:bCs/>
        </w:rPr>
      </w:pPr>
      <w:r w:rsidRPr="00781112">
        <w:rPr>
          <w:color w:val="000000" w:themeColor="text1"/>
        </w:rPr>
        <w:t>The STC will continue to work collaboratively to implement the activities as described above. The next steps for each broad improvement strategy are described below.</w:t>
      </w:r>
      <w:r w:rsidRPr="00781112">
        <w:rPr>
          <w:color w:val="000000" w:themeColor="text1"/>
        </w:rPr>
        <w:br/>
      </w:r>
      <w:r w:rsidRPr="00781112">
        <w:rPr>
          <w:color w:val="000000" w:themeColor="text1"/>
        </w:rPr>
        <w:br/>
        <w:t>COMPREHENSIVE SUPPORTS FOR YOUTH AND FAMILIES</w:t>
      </w:r>
      <w:r w:rsidRPr="00781112">
        <w:rPr>
          <w:color w:val="000000" w:themeColor="text1"/>
        </w:rPr>
        <w:br/>
        <w:t>1) Incorporate the previous PTI feedback analysis into future institute planning to improve the content to better meet educators' professional learning needs.</w:t>
      </w:r>
      <w:r w:rsidRPr="00781112">
        <w:rPr>
          <w:color w:val="000000" w:themeColor="text1"/>
        </w:rPr>
        <w:br/>
        <w:t>2) Expand the advertising of the PTI through new STC channels, targeted social media, and target specific LEAs based on results-driven accountability outcomes related to postsecondary transition indicators.</w:t>
      </w:r>
      <w:r w:rsidRPr="00781112">
        <w:rPr>
          <w:color w:val="000000" w:themeColor="text1"/>
        </w:rPr>
        <w:br/>
        <w:t>3) Draft and distribute a letter from the STC as a unified collaborative to families endorsing the three educational opportunities for youth and families outlined above.</w:t>
      </w:r>
      <w:r w:rsidRPr="00781112">
        <w:rPr>
          <w:color w:val="000000" w:themeColor="text1"/>
        </w:rPr>
        <w:br/>
        <w:t>4) Create a statewide, unified definition of postsecondary transition and glossary of terms from relevant stakeholder agencies to improve communication between and understanding of current resources in the state.</w:t>
      </w:r>
      <w:r w:rsidRPr="00781112">
        <w:rPr>
          <w:color w:val="000000" w:themeColor="text1"/>
        </w:rPr>
        <w:br/>
        <w:t>5) Host focus groups with educators to identify barriers and solutions to CTE access for SWD.</w:t>
      </w:r>
      <w:r w:rsidRPr="00781112">
        <w:rPr>
          <w:color w:val="000000" w:themeColor="text1"/>
        </w:rPr>
        <w:br/>
      </w:r>
      <w:r w:rsidRPr="00781112">
        <w:rPr>
          <w:color w:val="000000" w:themeColor="text1"/>
        </w:rPr>
        <w:lastRenderedPageBreak/>
        <w:t>6) Create a system to track the number of SWD in the state earning the Career Development Credential.</w:t>
      </w:r>
      <w:r w:rsidRPr="00781112">
        <w:rPr>
          <w:color w:val="000000" w:themeColor="text1"/>
        </w:rPr>
        <w:br/>
      </w:r>
      <w:r w:rsidRPr="00781112">
        <w:rPr>
          <w:color w:val="000000" w:themeColor="text1"/>
        </w:rPr>
        <w:br/>
        <w:t>SMOOTH FLOW OF SERVICES</w:t>
      </w:r>
      <w:r w:rsidRPr="00781112">
        <w:rPr>
          <w:color w:val="000000" w:themeColor="text1"/>
        </w:rPr>
        <w:br/>
        <w:t xml:space="preserve">1) A complete MOU drafted between the USBE, DWS, and DHHS. </w:t>
      </w:r>
      <w:r w:rsidRPr="00781112">
        <w:rPr>
          <w:color w:val="000000" w:themeColor="text1"/>
        </w:rPr>
        <w:br/>
        <w:t>2) Analyze Indicator 14 Post School Outcomes Survey qualitative data for the question, “What positive experiences did you have during high school that helped you achieve your postsecondary goals?” for the last five survey years. Look for themes and patterns to inform the development of the Portrait of Postsecondary Transition for SWD.</w:t>
      </w:r>
      <w:r w:rsidRPr="00781112">
        <w:rPr>
          <w:color w:val="000000" w:themeColor="text1"/>
        </w:rPr>
        <w:br/>
        <w:t>3) Contract with the Utah Education Policy Center to complete student interviews from our FFY 2021 survey respondent sample to inform the development of the Portrait of Postsecondary Transition for SWD.</w:t>
      </w:r>
      <w:r w:rsidRPr="00781112">
        <w:rPr>
          <w:color w:val="000000" w:themeColor="text1"/>
        </w:rPr>
        <w:br/>
      </w:r>
      <w:r w:rsidRPr="00781112">
        <w:rPr>
          <w:color w:val="000000" w:themeColor="text1"/>
        </w:rPr>
        <w:br/>
        <w:t>COORDINATION OF SERVICES</w:t>
      </w:r>
      <w:r w:rsidRPr="00781112">
        <w:rPr>
          <w:color w:val="000000" w:themeColor="text1"/>
        </w:rPr>
        <w:br/>
        <w:t>1) Finalize the repository for agency information to make referrals to services more accurate and efficient.</w:t>
      </w:r>
      <w:r w:rsidRPr="00781112">
        <w:rPr>
          <w:color w:val="000000" w:themeColor="text1"/>
        </w:rPr>
        <w:br/>
        <w:t>2) Implement the universal referral form with participating agencies.</w:t>
      </w:r>
      <w:r w:rsidRPr="00781112">
        <w:rPr>
          <w:color w:val="000000" w:themeColor="text1"/>
        </w:rPr>
        <w:br/>
        <w:t>3) Create a universal addendum to agency reporting for progress data sharing between agencies as they co-serve SWD.</w:t>
      </w:r>
      <w:r w:rsidRPr="00781112">
        <w:rPr>
          <w:color w:val="000000" w:themeColor="text1"/>
        </w:rPr>
        <w:br/>
        <w:t>4) Complete Utah’s postsecondary transition website development.</w:t>
      </w:r>
      <w:r w:rsidRPr="00781112">
        <w:rPr>
          <w:color w:val="000000" w:themeColor="text1"/>
        </w:rPr>
        <w:br/>
      </w:r>
      <w:r w:rsidRPr="00781112">
        <w:rPr>
          <w:color w:val="000000" w:themeColor="text1"/>
        </w:rPr>
        <w:br/>
        <w:t xml:space="preserve">The anticipated outcomes in the next reporting period for these strategies are (a) increasing the number of educators and the variety of professionals participating in the PTI in LEA teams; (b) increase the number of youth with disabilities and their families participating in Transition University, Pre-ETS, and utilizing the Transition Elevated planning app; (c) improve the quality of data sharing agreements between agencies that serve postsecondary transition-age youth; and (d) continue to collaboratively (across agencies and organizations) develop defined expectations for postsecondary transition experiences for SWD in Utah. By achieving these outcomes, Utah will continue to build a statewide system of </w:t>
      </w:r>
      <w:proofErr w:type="gramStart"/>
      <w:r w:rsidRPr="00781112">
        <w:rPr>
          <w:color w:val="000000" w:themeColor="text1"/>
        </w:rPr>
        <w:t>supports</w:t>
      </w:r>
      <w:proofErr w:type="gramEnd"/>
      <w:r w:rsidRPr="00781112">
        <w:rPr>
          <w:color w:val="000000" w:themeColor="text1"/>
        </w:rPr>
        <w:t xml:space="preserve"> for postsecondary transition and decrease the amount of work being done in silos. This collaborative system will help SWD who remain in special education services after their senior year (ages 19–22) access and utilize services more effectively which will lead to improved levels of engagement after these students exit school.</w:t>
      </w:r>
    </w:p>
    <w:p w14:paraId="0D313DAA" w14:textId="77777777" w:rsidR="00AE1972" w:rsidRPr="00781112" w:rsidRDefault="00AE1972" w:rsidP="00AE1972">
      <w:pPr>
        <w:rPr>
          <w:rFonts w:cs="Arial"/>
          <w:b/>
          <w:bCs/>
        </w:rPr>
      </w:pPr>
    </w:p>
    <w:p w14:paraId="35176598" w14:textId="77777777" w:rsidR="00AE1972" w:rsidRPr="00781112" w:rsidRDefault="00AE1972" w:rsidP="00AE1972">
      <w:pPr>
        <w:rPr>
          <w:rFonts w:cs="Arial"/>
          <w:b/>
          <w:bCs/>
        </w:rPr>
      </w:pPr>
      <w:r w:rsidRPr="00781112">
        <w:rPr>
          <w:rFonts w:cs="Arial"/>
          <w:b/>
          <w:bCs/>
        </w:rPr>
        <w:t>List the selected evidence-based practices implement in the reporting period:</w:t>
      </w:r>
    </w:p>
    <w:p w14:paraId="5DA152F5" w14:textId="71CAFB34" w:rsidR="00AE1972" w:rsidRPr="00781112" w:rsidRDefault="00AE1972" w:rsidP="00AE1972">
      <w:pPr>
        <w:rPr>
          <w:b/>
          <w:bCs/>
        </w:rPr>
      </w:pPr>
      <w:r w:rsidRPr="00781112">
        <w:rPr>
          <w:color w:val="000000" w:themeColor="text1"/>
        </w:rPr>
        <w:t xml:space="preserve">Utah’s SSIP has selected the following EBPs using the Predictors of Post-school success research as they relate to our infrastructure improvement strategies: </w:t>
      </w:r>
      <w:r w:rsidRPr="00781112">
        <w:rPr>
          <w:color w:val="000000" w:themeColor="text1"/>
        </w:rPr>
        <w:br/>
        <w:t xml:space="preserve">• Interagency collaboration </w:t>
      </w:r>
      <w:r w:rsidRPr="00781112">
        <w:rPr>
          <w:color w:val="000000" w:themeColor="text1"/>
        </w:rPr>
        <w:br/>
        <w:t xml:space="preserve">• CTE pathway concentration or completion </w:t>
      </w:r>
      <w:r w:rsidRPr="00781112">
        <w:rPr>
          <w:color w:val="000000" w:themeColor="text1"/>
        </w:rPr>
        <w:br/>
        <w:t>• Parent training to teach knowledge of transition services</w:t>
      </w:r>
      <w:r w:rsidRPr="00781112">
        <w:rPr>
          <w:color w:val="000000" w:themeColor="text1"/>
        </w:rPr>
        <w:br/>
        <w:t xml:space="preserve">• Self-determination/Self-advocacy </w:t>
      </w:r>
      <w:r w:rsidRPr="00781112">
        <w:rPr>
          <w:color w:val="000000" w:themeColor="text1"/>
        </w:rPr>
        <w:br/>
        <w:t xml:space="preserve">• Student support </w:t>
      </w:r>
    </w:p>
    <w:p w14:paraId="10F85993" w14:textId="77777777" w:rsidR="00AE1972" w:rsidRPr="00781112" w:rsidRDefault="00AE1972" w:rsidP="00AE1972">
      <w:pPr>
        <w:rPr>
          <w:rFonts w:cs="Arial"/>
          <w:b/>
          <w:bCs/>
        </w:rPr>
      </w:pPr>
    </w:p>
    <w:p w14:paraId="22910457" w14:textId="77777777" w:rsidR="00AE1972" w:rsidRPr="00781112" w:rsidRDefault="00AE1972" w:rsidP="00AE1972">
      <w:pPr>
        <w:rPr>
          <w:rFonts w:cs="Arial"/>
          <w:b/>
          <w:bCs/>
        </w:rPr>
      </w:pPr>
      <w:r w:rsidRPr="00781112">
        <w:rPr>
          <w:rFonts w:cs="Arial"/>
          <w:b/>
          <w:bCs/>
        </w:rPr>
        <w:t xml:space="preserve">Provide a summary of each evidence-based </w:t>
      </w:r>
      <w:proofErr w:type="gramStart"/>
      <w:r w:rsidRPr="00781112">
        <w:rPr>
          <w:rFonts w:cs="Arial"/>
          <w:b/>
          <w:bCs/>
        </w:rPr>
        <w:t>practices</w:t>
      </w:r>
      <w:proofErr w:type="gramEnd"/>
      <w:r w:rsidRPr="00781112">
        <w:rPr>
          <w:rFonts w:cs="Arial"/>
          <w:b/>
          <w:bCs/>
        </w:rPr>
        <w:t>.</w:t>
      </w:r>
    </w:p>
    <w:p w14:paraId="30605054" w14:textId="1313DE13" w:rsidR="00AE1972" w:rsidRPr="009369B1" w:rsidRDefault="00AE1972" w:rsidP="00AE1972">
      <w:pPr>
        <w:rPr>
          <w:b/>
          <w:bCs/>
          <w:lang w:val="fr-FR"/>
        </w:rPr>
      </w:pPr>
      <w:r w:rsidRPr="00781112">
        <w:rPr>
          <w:color w:val="000000" w:themeColor="text1"/>
        </w:rPr>
        <w:t xml:space="preserve">INTERAGENCY COLLABORATION </w:t>
      </w:r>
      <w:r w:rsidRPr="00781112">
        <w:rPr>
          <w:color w:val="000000" w:themeColor="text1"/>
        </w:rPr>
        <w:br/>
        <w:t>Interagency collaboration is a clear, purposeful, and carefully designed process in which education professionals establish partnerships with personnel from multiple agencies (e.g., VR, DSPD, Providers, CTE) with the common goal of achieving positive and measurable postsecondary outcomes of SWD. Interagency collaboration is a means to (a) coordinate services and supports at the student level, (b) identify and address gaps in services within the local community, (c) share and leverage resources to reduce costs, and (d) promote efficient service delivery for all SWD. Interagency teams should lead with the philosophy, disposition, and mindset that all individuals with disabilities can work. (Citation: USBE Interagency Collaboration Tool https://padlet.com/transitionteams/collaborationteams)</w:t>
      </w:r>
      <w:r w:rsidRPr="00781112">
        <w:rPr>
          <w:color w:val="000000" w:themeColor="text1"/>
        </w:rPr>
        <w:br/>
      </w:r>
      <w:r w:rsidRPr="00781112">
        <w:rPr>
          <w:color w:val="000000" w:themeColor="text1"/>
        </w:rPr>
        <w:br/>
        <w:t>CTE PATHWAY CONCENTRATION OR COMPLETION</w:t>
      </w:r>
      <w:r w:rsidRPr="00781112">
        <w:rPr>
          <w:color w:val="000000" w:themeColor="text1"/>
        </w:rPr>
        <w:br/>
        <w:t>CTE is a sequence of courses that prepares students for a specific job or career at various levels from trade or craft positions to technical, business, or professional careers (Citation: https://www.ocali.org/up_doc/Evidence-Based-Predictors-for-Post-school-Success-2018.pdf ). Career Pathways show students a direct connection between doing well in high school and being able to transition smoothly to postsecondary opportunities when they graduate. Students who focus on a Career Pathway acquire the skills necessary for entry into well-paid careers with high potential for rapid financial growth, increased levels of responsibility, and a high degree of personal satisfaction. (Citation: https://www.schools.utah.gov/cte/about)</w:t>
      </w:r>
      <w:r w:rsidRPr="00781112">
        <w:rPr>
          <w:color w:val="000000" w:themeColor="text1"/>
        </w:rPr>
        <w:br/>
      </w:r>
      <w:r w:rsidRPr="00781112">
        <w:rPr>
          <w:color w:val="000000" w:themeColor="text1"/>
        </w:rPr>
        <w:br/>
        <w:t>PARENT TRAINING TO TEACH KNOWLEDGE OF TRANSITION SERVICES</w:t>
      </w:r>
      <w:r w:rsidRPr="00781112">
        <w:rPr>
          <w:color w:val="000000" w:themeColor="text1"/>
        </w:rPr>
        <w:br/>
        <w:t>Parents/families/guardians of youth with disabilities are active and knowledgeable participants in all aspects of transition planning (e.g., decision-making, providing support, attending meetings, and advocating for their child) through learning/training opportunities, experiences, and support in postsecondary transition services. To maximize the power of parent involvement in the postsecondary transition process, it is critical for parents to have opportunities to increase their knowledge in this area. Youth with disabilities whose parents expect them to secure employment, attend college, and/or be able to support themselves are more likely to be found employed and accessing further education as young adults. (Citations: https://www.ocali.org/up_doc/Evidence-Based-Predictors-for-Post-school-Success-2018.pdf , http://project10.info/Documents/FINAL_Post_School_Predictor_Product_6.13.19C.pdf , https://utahparentcenter.org/)</w:t>
      </w:r>
      <w:r w:rsidRPr="00781112">
        <w:rPr>
          <w:color w:val="000000" w:themeColor="text1"/>
        </w:rPr>
        <w:br/>
      </w:r>
      <w:r w:rsidRPr="00781112">
        <w:rPr>
          <w:color w:val="000000" w:themeColor="text1"/>
        </w:rPr>
        <w:br/>
        <w:t>SELF-DETERMINATION / SELF-ADVOCACY</w:t>
      </w:r>
      <w:r w:rsidRPr="00781112">
        <w:rPr>
          <w:color w:val="000000" w:themeColor="text1"/>
        </w:rPr>
        <w:br/>
        <w:t>Self-Determination/Self-Advocacy encompasses skills critical to a meaningful adult life. Instruction and experiences in self-determination (the ability to make choices, solve problems, set goals, and accept consequences of one’s actions) and self-advocacy (the ability to speak up for oneself and communicate what is important) leads to positive post school outcomes for youth with disabilities. (Citation: https://www.ocali.org/up_doc/Evidence-Based-Predictors-for-Post-school-Success-2018.pdf)</w:t>
      </w:r>
      <w:r w:rsidRPr="00781112">
        <w:rPr>
          <w:color w:val="000000" w:themeColor="text1"/>
        </w:rPr>
        <w:br/>
      </w:r>
      <w:r w:rsidRPr="00781112">
        <w:rPr>
          <w:color w:val="000000" w:themeColor="text1"/>
        </w:rPr>
        <w:br/>
        <w:t>STUDENT SUPPORT</w:t>
      </w:r>
      <w:r w:rsidRPr="00781112">
        <w:rPr>
          <w:color w:val="000000" w:themeColor="text1"/>
        </w:rPr>
        <w:br/>
        <w:t xml:space="preserve">Student support is the network of people (e.g., family, friends, educators, and adult service providers) who provide services and resources in multiple settings and environments to prepare students to transition from student life to adult life. This network of people who provide student support should keep in mind the student’s postsecondary goals and be aware of the student’s strengths, preferences, interests, and needs. The collaboration strengthens the impact of support to the student by broadening the circle of people to include those with firsthand experience in providing adult based services. Making linkages with the service system that will take over responsibility for ongoing support creates conditions for the youth to move successfully into adult living and working. Student support includes both formal and informal networks. Youth success is enhanced by a network regardless of whether it is formal or informal. These networks promote individualized planning and services to prepare students for adult life. </w:t>
      </w:r>
      <w:r w:rsidRPr="009369B1">
        <w:rPr>
          <w:color w:val="000000" w:themeColor="text1"/>
          <w:lang w:val="fr-FR"/>
        </w:rPr>
        <w:t>(Citations: https://www.ocali.org/up_doc/Evidence-Based-Predictors-for-Post-school-Success-2018.pdf, http://project10.info/Documents/FINAL_Post_School_Predictor_Product_6.13.19C.pdf)</w:t>
      </w:r>
    </w:p>
    <w:p w14:paraId="79F66E5E" w14:textId="77777777" w:rsidR="00AE1972" w:rsidRPr="009369B1" w:rsidRDefault="00AE1972" w:rsidP="00AE1972">
      <w:pPr>
        <w:rPr>
          <w:rFonts w:cs="Arial"/>
          <w:b/>
          <w:bCs/>
          <w:lang w:val="fr-FR"/>
        </w:rPr>
      </w:pPr>
      <w:r w:rsidRPr="009369B1">
        <w:rPr>
          <w:rFonts w:cs="Arial"/>
          <w:b/>
          <w:bCs/>
          <w:lang w:val="fr-FR"/>
        </w:rPr>
        <w:t xml:space="preserve"> </w:t>
      </w:r>
    </w:p>
    <w:p w14:paraId="7DF513C4" w14:textId="5FBB7389" w:rsidR="00AE1972" w:rsidRPr="00781112" w:rsidRDefault="00AE1972" w:rsidP="00AE1972">
      <w:pPr>
        <w:rPr>
          <w:rFonts w:cs="Arial"/>
          <w:b/>
          <w:bCs/>
        </w:rPr>
      </w:pPr>
      <w:bookmarkStart w:id="100" w:name="_Hlk88409387"/>
      <w:r w:rsidRPr="00781112">
        <w:rPr>
          <w:rFonts w:cs="Arial"/>
          <w:b/>
          <w:bCs/>
        </w:rPr>
        <w:lastRenderedPageBreak/>
        <w:t>Provide a summary of how each evidence-based practice and activities or strategies that support its use, is intended to impact the SiMR by changing program/district policies, procedures, and/or practices, teacher/provider practices (</w:t>
      </w:r>
      <w:proofErr w:type="gramStart"/>
      <w:r w:rsidRPr="00781112">
        <w:rPr>
          <w:rFonts w:cs="Arial"/>
          <w:b/>
          <w:bCs/>
        </w:rPr>
        <w:t>e.g.</w:t>
      </w:r>
      <w:proofErr w:type="gramEnd"/>
      <w:r w:rsidRPr="00781112">
        <w:rPr>
          <w:rFonts w:cs="Arial"/>
          <w:b/>
          <w:bCs/>
        </w:rPr>
        <w:t xml:space="preserve"> behaviors), parent/caregiver outcomes, and/or child /outcomes. </w:t>
      </w:r>
    </w:p>
    <w:bookmarkEnd w:id="100"/>
    <w:p w14:paraId="3E043DB7" w14:textId="7C3B2CD4" w:rsidR="00AE1972" w:rsidRPr="00781112" w:rsidRDefault="00AE1972" w:rsidP="00AE1972">
      <w:pPr>
        <w:rPr>
          <w:b/>
          <w:bCs/>
        </w:rPr>
      </w:pPr>
      <w:r w:rsidRPr="00781112">
        <w:rPr>
          <w:color w:val="000000" w:themeColor="text1"/>
        </w:rPr>
        <w:t>INTERAGENCY COLLABORATION</w:t>
      </w:r>
      <w:r w:rsidRPr="00781112">
        <w:rPr>
          <w:color w:val="000000" w:themeColor="text1"/>
        </w:rPr>
        <w:br/>
        <w:t>The development of the STC is a targeted effort to improve interagency collaboration for postsecondary transition in Utah. The activities of the STC (i.e., student level data sharing agreements between agencies, a systematic referral process, development of a common language regarding postsecondary transition, and the creation of the Portrait of Postsecondary Transition for SWD) are designed to bring stakeholders together in a unified system of supports for SWD. This improved collaborative system will support more robust service delivery to SWD as they prepare to transition into young adulthood after exiting the education system. Effective interagency collaboration has been shown to be a positive predictor of post school outcomes in the areas of education and employment (Mazzotti, 2020).</w:t>
      </w:r>
      <w:r w:rsidRPr="00781112">
        <w:rPr>
          <w:color w:val="000000" w:themeColor="text1"/>
        </w:rPr>
        <w:br/>
      </w:r>
      <w:r w:rsidRPr="00781112">
        <w:rPr>
          <w:color w:val="000000" w:themeColor="text1"/>
        </w:rPr>
        <w:br/>
        <w:t>CTE PATHWAY CONCENTRATION OR COMPLETION</w:t>
      </w:r>
      <w:r w:rsidRPr="00781112">
        <w:rPr>
          <w:color w:val="000000" w:themeColor="text1"/>
        </w:rPr>
        <w:br/>
        <w:t xml:space="preserve">Concentration in and completion of CTE pathways have been shown to lead to better post school outcomes for SWD in both education and employment (Lee et. al., 2014; Mazzotti et. Al., 2020). By improving access to CTE pathways for our SWD, we are offering opportunities, instruction, and </w:t>
      </w:r>
      <w:proofErr w:type="gramStart"/>
      <w:r w:rsidRPr="00781112">
        <w:rPr>
          <w:color w:val="000000" w:themeColor="text1"/>
        </w:rPr>
        <w:t>supports</w:t>
      </w:r>
      <w:proofErr w:type="gramEnd"/>
      <w:r w:rsidRPr="00781112">
        <w:rPr>
          <w:color w:val="000000" w:themeColor="text1"/>
        </w:rPr>
        <w:t xml:space="preserve"> that will lead to better engagement in meaningful activity after high school. One avenue in which SWD can benefit from CTE pathway participation is earning the Career Development Credential (CDC). The CDC is a career-focused work experience that is intended to be earned while a student is working toward a regular high school diploma or the alternate diploma. The purpose of the CDC is to provide SWD internships and/or paid work </w:t>
      </w:r>
      <w:proofErr w:type="gramStart"/>
      <w:r w:rsidRPr="00781112">
        <w:rPr>
          <w:color w:val="000000" w:themeColor="text1"/>
        </w:rPr>
        <w:t>experiences</w:t>
      </w:r>
      <w:proofErr w:type="gramEnd"/>
      <w:r w:rsidRPr="00781112">
        <w:rPr>
          <w:color w:val="000000" w:themeColor="text1"/>
        </w:rPr>
        <w:t xml:space="preserve"> aligned with a CTE concentration. Paid work experiences while in high school are another evidence-based predictor of post school success and, as such, support the achievement of the SiMR.</w:t>
      </w:r>
      <w:r w:rsidRPr="00781112">
        <w:rPr>
          <w:color w:val="000000" w:themeColor="text1"/>
        </w:rPr>
        <w:br/>
      </w:r>
      <w:r w:rsidRPr="00781112">
        <w:rPr>
          <w:color w:val="000000" w:themeColor="text1"/>
        </w:rPr>
        <w:br/>
        <w:t>PARENT TRAINING TO TEACH KNOWLEDGE OF TRANSITION SERVICES</w:t>
      </w:r>
      <w:r w:rsidRPr="00781112">
        <w:rPr>
          <w:color w:val="000000" w:themeColor="text1"/>
        </w:rPr>
        <w:br/>
        <w:t>Utah’s Parent Training and Information Center, the Utah Parent Center, has developed a parent and youth workshop series called Transition University. Transition University was developed in 2020 in partnership with various postsecondary transition stakeholders in the state. The training is comprised of six topics titled 1) Citizenship &amp; Advocacy, 2) Education, Employment, &amp; Daily Life Skills, 3) Self-Determination &amp; Person-Centered Planning, 4) Safety &amp; Security, 5) Social and Spirituality, and 6) Healthy Living. The training is available throughout the state through live virtual sessions and includes a workbook developed for youth ages 14 and older and a comprehensive transition guidebook for families. This parent-to-parent model of support educates both youth with disabilities and their families in the power of holding high expectations that are realistic and supports effective postsecondary transition planning for SWD. Comprehensive student-driven and family-supported postsecondary transition planning has been shown to improve post school outcomes for SWD. For this reason, the EBP of parent training to teach knowledge of transition services as embodied in Transition University was chosen as one of Utah’s activities to support the achievement of the SiMR.</w:t>
      </w:r>
      <w:r w:rsidRPr="00781112">
        <w:rPr>
          <w:color w:val="000000" w:themeColor="text1"/>
        </w:rPr>
        <w:br/>
      </w:r>
      <w:r w:rsidRPr="00781112">
        <w:rPr>
          <w:color w:val="000000" w:themeColor="text1"/>
        </w:rPr>
        <w:br/>
        <w:t>SELF-DETERMINATION/SELF-ADVOCACY</w:t>
      </w:r>
      <w:r w:rsidRPr="00781112">
        <w:rPr>
          <w:color w:val="000000" w:themeColor="text1"/>
        </w:rPr>
        <w:br/>
        <w:t>To increase student self-determination, self-advocacy, student-driven IEP planning, and family involvement in postsecondary transition planning, the USBE SES developed the Transition Elevated App in 2020 for youth and families to enhance preparation for the postsecondary transition planning IEP process. The App allows students and families to have input in the postsecondary transition IEP process and includes links to outside agencies, tips for a successful postsecondary transition IEP meeting, and considers the student’s strengths, preferences, interests, and needs. When the student has completed the questions in the App, a draft postsecondary transition plan is generated for the student and family to share at the postsecondary transition IEP meeting. Increasing the utilization of this App will encourage student self-advocacy in postsecondary transition IEP development. When students are involved in their postsecondary transition planning, they are more motivated to engage in the opportunities, instruction, services, and supports outlined in the postsecondary transition plan which leads to better post school outcomes.</w:t>
      </w:r>
      <w:r w:rsidRPr="00781112">
        <w:rPr>
          <w:color w:val="000000" w:themeColor="text1"/>
        </w:rPr>
        <w:br/>
        <w:t>The Utah Parent Center through the Transition University workshops has emphasized student voice and choice through its workbook activities that include instruction and tools for person-centered planning, self-advocacy, disability awareness, soft skills, independent living skills, IEP participation, disability laws, and supported decision making. These workshops improve student knowledge and skills in the postsecondary transition process which, in turn, leads to better post school outcomes.</w:t>
      </w:r>
      <w:r w:rsidRPr="00781112">
        <w:rPr>
          <w:color w:val="000000" w:themeColor="text1"/>
        </w:rPr>
        <w:br/>
      </w:r>
      <w:r w:rsidRPr="00781112">
        <w:rPr>
          <w:color w:val="000000" w:themeColor="text1"/>
        </w:rPr>
        <w:br/>
        <w:t>STUDENT SUPPORT</w:t>
      </w:r>
      <w:r w:rsidRPr="00781112">
        <w:rPr>
          <w:color w:val="000000" w:themeColor="text1"/>
        </w:rPr>
        <w:br/>
        <w:t>SWD are supported in developing, refining, and/or working towards achieving their postsecondary goals after high school that are individualized based on their strengths, interests, preferences, and needs. These services are initiated and supported by the adults identified by the IEP team. The services occur through instruction, coaching, and/or providing opportunities for practice and experiences. Examples of targeted support services intended to impact a change or increase in teacher/provider practices that will improve student outcomes include:</w:t>
      </w:r>
      <w:r w:rsidRPr="00781112">
        <w:rPr>
          <w:color w:val="000000" w:themeColor="text1"/>
        </w:rPr>
        <w:br/>
        <w:t>• School counselors support SWD for the purpose of planning for the students' futures and ensuring their engagement in school activities which address course planning, graduation, and postsecondary education and employment (I.e., college week, scholarship opportunities, ACT, concurrent enrollment, etc.).</w:t>
      </w:r>
      <w:r w:rsidRPr="00781112">
        <w:rPr>
          <w:color w:val="000000" w:themeColor="text1"/>
        </w:rPr>
        <w:br/>
        <w:t>• Pre-ETS services: LEAs collaborate with Pre-ETS providers to offer SWD the opportunities and experiences to explore and plan for successful future employment through targeted training in job exploration, work-based learning experiences, counseling on postsecondary employment and education, workplace readiness, and instruction in self-advocacy.</w:t>
      </w:r>
      <w:r w:rsidRPr="00781112">
        <w:rPr>
          <w:color w:val="000000" w:themeColor="text1"/>
        </w:rPr>
        <w:br/>
        <w:t>• Targeted postsecondary transition services provided in the areas of self-determination/self-advocacy, community-based instruction, work-based learning, the use of assistive technology.</w:t>
      </w:r>
    </w:p>
    <w:p w14:paraId="43C06488" w14:textId="77777777" w:rsidR="00AE1972" w:rsidRPr="00781112" w:rsidRDefault="00AE1972" w:rsidP="00AE1972">
      <w:pPr>
        <w:rPr>
          <w:rFonts w:cs="Arial"/>
          <w:b/>
          <w:bCs/>
        </w:rPr>
      </w:pPr>
      <w:r w:rsidRPr="00781112">
        <w:rPr>
          <w:rFonts w:cs="Arial"/>
          <w:b/>
          <w:bCs/>
        </w:rPr>
        <w:t xml:space="preserve"> </w:t>
      </w:r>
    </w:p>
    <w:p w14:paraId="46DD8115" w14:textId="77777777" w:rsidR="00AE1972" w:rsidRPr="00781112" w:rsidRDefault="00AE1972" w:rsidP="00AE1972">
      <w:pPr>
        <w:rPr>
          <w:rFonts w:cs="Arial"/>
          <w:b/>
          <w:bCs/>
        </w:rPr>
      </w:pPr>
      <w:r w:rsidRPr="00781112">
        <w:rPr>
          <w:rFonts w:cs="Arial"/>
          <w:b/>
          <w:bCs/>
        </w:rPr>
        <w:t xml:space="preserve">Describe the data collected to monitor fidelity of implementation and to assess practice change. </w:t>
      </w:r>
    </w:p>
    <w:p w14:paraId="3AADEE00" w14:textId="0533CE7C" w:rsidR="00AE1972" w:rsidRPr="00781112" w:rsidRDefault="00AE1972" w:rsidP="00AE1972">
      <w:pPr>
        <w:rPr>
          <w:b/>
          <w:bCs/>
        </w:rPr>
      </w:pPr>
      <w:r w:rsidRPr="00781112">
        <w:rPr>
          <w:color w:val="000000" w:themeColor="text1"/>
        </w:rPr>
        <w:t xml:space="preserve">This is the first year of implementation and we have collected data to establish our baselines for all specified improvement strategies. This year did not include </w:t>
      </w:r>
      <w:proofErr w:type="gramStart"/>
      <w:r w:rsidRPr="00781112">
        <w:rPr>
          <w:color w:val="000000" w:themeColor="text1"/>
        </w:rPr>
        <w:t>assessment</w:t>
      </w:r>
      <w:proofErr w:type="gramEnd"/>
      <w:r w:rsidRPr="00781112">
        <w:rPr>
          <w:color w:val="000000" w:themeColor="text1"/>
        </w:rPr>
        <w:t xml:space="preserve"> of practice change for this reason.</w:t>
      </w:r>
    </w:p>
    <w:p w14:paraId="3D905B01" w14:textId="77777777" w:rsidR="00AE1972" w:rsidRPr="00781112" w:rsidRDefault="00AE1972" w:rsidP="00AE1972">
      <w:pPr>
        <w:rPr>
          <w:rFonts w:cs="Arial"/>
          <w:b/>
          <w:bCs/>
        </w:rPr>
      </w:pPr>
    </w:p>
    <w:p w14:paraId="7A09B895" w14:textId="1AAA50A4" w:rsidR="00AE1972" w:rsidRPr="00781112" w:rsidRDefault="00C87801" w:rsidP="00AE1972">
      <w:pPr>
        <w:rPr>
          <w:rFonts w:cs="Arial"/>
          <w:b/>
          <w:bCs/>
        </w:rPr>
      </w:pPr>
      <w:r w:rsidRPr="00C87801">
        <w:rPr>
          <w:rFonts w:cs="Arial"/>
          <w:b/>
          <w:bCs/>
        </w:rPr>
        <w:t>Describe any additional data (</w:t>
      </w:r>
      <w:proofErr w:type="gramStart"/>
      <w:r w:rsidRPr="00C87801">
        <w:rPr>
          <w:rFonts w:cs="Arial"/>
          <w:b/>
          <w:bCs/>
        </w:rPr>
        <w:t>e.g.</w:t>
      </w:r>
      <w:proofErr w:type="gramEnd"/>
      <w:r w:rsidRPr="00C87801">
        <w:rPr>
          <w:rFonts w:cs="Arial"/>
          <w:b/>
          <w:bCs/>
        </w:rPr>
        <w:t xml:space="preserve"> progress monitoring) that was collected that supports the decision to continue the ongoing use of each evidence-based practice.</w:t>
      </w:r>
    </w:p>
    <w:p w14:paraId="61FB2284" w14:textId="795DBC6E" w:rsidR="00AE1972" w:rsidRDefault="00AE1972" w:rsidP="00AE1972">
      <w:pPr>
        <w:rPr>
          <w:color w:val="000000" w:themeColor="text1"/>
        </w:rPr>
      </w:pPr>
      <w:r w:rsidRPr="00781112">
        <w:rPr>
          <w:color w:val="000000" w:themeColor="text1"/>
        </w:rPr>
        <w:t>No additional data was collected this year.</w:t>
      </w:r>
    </w:p>
    <w:p w14:paraId="1C12C4CB" w14:textId="17146AE7" w:rsidR="00C87801" w:rsidRDefault="00C87801" w:rsidP="00AE1972">
      <w:pPr>
        <w:rPr>
          <w:color w:val="000000" w:themeColor="text1"/>
        </w:rPr>
      </w:pPr>
    </w:p>
    <w:p w14:paraId="00E7E41D" w14:textId="77777777" w:rsidR="00C87801" w:rsidRPr="00C87801" w:rsidRDefault="00C87801" w:rsidP="00C87801">
      <w:pPr>
        <w:rPr>
          <w:b/>
          <w:bCs/>
          <w:color w:val="000000" w:themeColor="text1"/>
        </w:rPr>
      </w:pPr>
      <w:r w:rsidRPr="00730C62">
        <w:rPr>
          <w:b/>
          <w:bCs/>
          <w:color w:val="000000" w:themeColor="text1"/>
        </w:rPr>
        <w:t xml:space="preserve">Provide a summary of the next steps for each evidence-based </w:t>
      </w:r>
      <w:proofErr w:type="gramStart"/>
      <w:r w:rsidRPr="00730C62">
        <w:rPr>
          <w:b/>
          <w:bCs/>
          <w:color w:val="000000" w:themeColor="text1"/>
        </w:rPr>
        <w:t>practices</w:t>
      </w:r>
      <w:proofErr w:type="gramEnd"/>
      <w:r w:rsidRPr="00730C62">
        <w:rPr>
          <w:b/>
          <w:bCs/>
          <w:color w:val="000000" w:themeColor="text1"/>
        </w:rPr>
        <w:t xml:space="preserve"> and the anticipated outcomes to be attained during the next reporting period. </w:t>
      </w:r>
    </w:p>
    <w:p w14:paraId="3EDD1FBC" w14:textId="4546113E" w:rsidR="00C87801" w:rsidRDefault="00C87801" w:rsidP="00C87801">
      <w:pPr>
        <w:rPr>
          <w:color w:val="000000" w:themeColor="text1"/>
        </w:rPr>
      </w:pPr>
      <w:r w:rsidRPr="00781112">
        <w:rPr>
          <w:color w:val="000000" w:themeColor="text1"/>
        </w:rPr>
        <w:t>INTERAGENCY COLLABORATION</w:t>
      </w:r>
      <w:r w:rsidRPr="00781112">
        <w:rPr>
          <w:color w:val="000000" w:themeColor="text1"/>
        </w:rPr>
        <w:br/>
        <w:t xml:space="preserve">Utah will continue to scale up the work of the STC by completing a draft of the MOUs between state agencies that will improve our ability to work together to serve SWD. This process will define what referrals and progress report data sharing will look like among agency partners. Utah will implement the universal referral form created during this reporting period among all stakeholder agencies. Utah will develop a one-stop Postsecondary Transition Website for use among all stakeholder groups (i.e., youth, parents, families, educators, and community service providers) that centralizes </w:t>
      </w:r>
      <w:r w:rsidRPr="00781112">
        <w:rPr>
          <w:color w:val="000000" w:themeColor="text1"/>
        </w:rPr>
        <w:lastRenderedPageBreak/>
        <w:t>resource access and establishes a common language for postsecondary transition that all stakeholders can understand.</w:t>
      </w:r>
      <w:r w:rsidRPr="00781112">
        <w:rPr>
          <w:color w:val="000000" w:themeColor="text1"/>
        </w:rPr>
        <w:br/>
      </w:r>
      <w:r w:rsidRPr="00781112">
        <w:rPr>
          <w:color w:val="000000" w:themeColor="text1"/>
        </w:rPr>
        <w:br/>
        <w:t>CTE PATHWAY CONCENTRATION OR COMPLETION</w:t>
      </w:r>
      <w:r w:rsidRPr="00781112">
        <w:rPr>
          <w:color w:val="000000" w:themeColor="text1"/>
        </w:rPr>
        <w:br/>
        <w:t>Utah will conduct focus groups with educators in LEAs who have equal or better representation of SWD in CTE pathways and educators in LEAs who have very low representation of SWD in CTE pathways to identify patterns that might lead to improved utilization of this EBP for SWD in our state. Utah will also explore and implement ways to improve educator knowledge of the CDC for SWD.</w:t>
      </w:r>
      <w:r w:rsidRPr="00781112">
        <w:rPr>
          <w:color w:val="000000" w:themeColor="text1"/>
        </w:rPr>
        <w:br/>
      </w:r>
      <w:r w:rsidRPr="00781112">
        <w:rPr>
          <w:color w:val="000000" w:themeColor="text1"/>
        </w:rPr>
        <w:br/>
        <w:t>PARENT TRAINING TO TEACH KNOWLEDGE OF TRANSITION SERVICES</w:t>
      </w:r>
      <w:r w:rsidRPr="00781112">
        <w:rPr>
          <w:color w:val="000000" w:themeColor="text1"/>
        </w:rPr>
        <w:br/>
        <w:t>Utah will develop and implement new marketing materials for families sponsored by the full group of STC stakeholders. The materials will explain and support the highlighted educational opportunities (i.e., Transition University, the Transition Elevated Planning App, and Pre-ETS services). Information will be disseminated using the STC network to increase the number and diversity of families who have access to these opportunities. Information will also be shared with educators through monthly newsletters so they can share with students and families as appropriate.</w:t>
      </w:r>
      <w:r w:rsidRPr="00781112">
        <w:rPr>
          <w:color w:val="000000" w:themeColor="text1"/>
        </w:rPr>
        <w:br/>
      </w:r>
      <w:r w:rsidRPr="00781112">
        <w:rPr>
          <w:color w:val="000000" w:themeColor="text1"/>
        </w:rPr>
        <w:br/>
        <w:t>SELF-DETERMINATION/SELF-ADVOCACY</w:t>
      </w:r>
      <w:r w:rsidRPr="00781112">
        <w:rPr>
          <w:color w:val="000000" w:themeColor="text1"/>
        </w:rPr>
        <w:br/>
        <w:t>Through the outreach described previously, students, families, and educators will receive information on resources to support SWD in becoming self-advocates. Utah anticipates an increase in utilization of the Transition Elevated Planning App and Transition University. This will lead to an increase in SWD actively participating in postsecondary transition planning for their own IEPs.</w:t>
      </w:r>
      <w:r w:rsidRPr="00781112">
        <w:rPr>
          <w:color w:val="000000" w:themeColor="text1"/>
        </w:rPr>
        <w:br/>
      </w:r>
      <w:r w:rsidRPr="00781112">
        <w:rPr>
          <w:color w:val="000000" w:themeColor="text1"/>
        </w:rPr>
        <w:br/>
        <w:t>STUDENT SUPPORT</w:t>
      </w:r>
      <w:r w:rsidRPr="00781112">
        <w:rPr>
          <w:color w:val="000000" w:themeColor="text1"/>
        </w:rPr>
        <w:br/>
        <w:t>Utah will interview students who have recently exited from the school system to identify patterns of services that led to those students being meaningfully engaged in education and employment activities after leaving school. Utah will use the results of these interviews to begin development of a Portrait of Postsecondary Transition emphasizing best practices and a timeline of services for successful outcomes in Utah.</w:t>
      </w:r>
    </w:p>
    <w:p w14:paraId="0555DA84" w14:textId="3045F812" w:rsidR="00C87801" w:rsidRDefault="00C87801" w:rsidP="00AE1972">
      <w:pPr>
        <w:rPr>
          <w:color w:val="000000" w:themeColor="text1"/>
        </w:rPr>
      </w:pPr>
    </w:p>
    <w:p w14:paraId="6D882D9B" w14:textId="77777777" w:rsidR="00987BD2" w:rsidRDefault="00987BD2" w:rsidP="00987BD2">
      <w:pPr>
        <w:rPr>
          <w:b/>
          <w:bCs/>
        </w:rPr>
      </w:pPr>
      <w:r w:rsidRPr="00730C62">
        <w:rPr>
          <w:b/>
          <w:bCs/>
        </w:rPr>
        <w:t>Does the State intend to continue implementing the SSIP without modifications? (yes/no)</w:t>
      </w:r>
    </w:p>
    <w:p w14:paraId="1C4A7F35" w14:textId="77777777" w:rsidR="00987BD2" w:rsidRDefault="00987BD2" w:rsidP="00987BD2">
      <w:r w:rsidRPr="00781112">
        <w:t>YES</w:t>
      </w:r>
    </w:p>
    <w:p w14:paraId="37EC807A" w14:textId="77777777" w:rsidR="00987BD2" w:rsidRPr="00730C62" w:rsidRDefault="00987BD2" w:rsidP="00987BD2">
      <w:pPr>
        <w:rPr>
          <w:b/>
          <w:bCs/>
        </w:rPr>
      </w:pPr>
      <w:r w:rsidRPr="00730C62">
        <w:rPr>
          <w:b/>
          <w:bCs/>
          <w:szCs w:val="16"/>
        </w:rPr>
        <w:t xml:space="preserve">If yes, describe how evaluation data </w:t>
      </w:r>
      <w:proofErr w:type="gramStart"/>
      <w:r w:rsidRPr="00730C62">
        <w:rPr>
          <w:b/>
          <w:bCs/>
          <w:szCs w:val="16"/>
        </w:rPr>
        <w:t>support</w:t>
      </w:r>
      <w:proofErr w:type="gramEnd"/>
      <w:r w:rsidRPr="00730C62">
        <w:rPr>
          <w:b/>
          <w:bCs/>
          <w:szCs w:val="16"/>
        </w:rPr>
        <w:t xml:space="preserve"> the decision to implement without any modifications to the SSIP.</w:t>
      </w:r>
    </w:p>
    <w:p w14:paraId="0709A4EF" w14:textId="77777777" w:rsidR="00987BD2" w:rsidRDefault="00987BD2" w:rsidP="00987BD2">
      <w:r w:rsidRPr="00781112">
        <w:t>Utah experienced an increase in the dropout rate for students with disabilities (SWD) in FFY2021 and a decrease in the FFY2021 graduation rate due to the impacts of COVID-19. Many students were deficient in credits and therefore were not able to graduate with their cohort, thus impacting their post school outcomes. Based on our 2022 post school outcomes survey data, many former students identified the following barriers to achieving their post school goals: mental health issues, physical/disability-related health issues, lack of employment support, COVID-19-related issues (i.e., COVID-19 related mental health issues, less access to the community, slower and more complicated processes), and lack of support from adult services (lack of providers, turnover in Vocational Rehabilitation (VR) offices, dissatisfaction with VR services/poor experience, long wait times, long Division of Services for People with Disabilities (DSPD) waitlist time). As COVID-19 is the primary factor in lack of post school outcomes achievement, the current SSIP implementation plan is still appropriate and should lead to meaning results in future reporting periods.</w:t>
      </w:r>
      <w:r w:rsidRPr="00781112">
        <w:br/>
      </w:r>
      <w:r w:rsidRPr="00781112">
        <w:br/>
        <w:t>Due to this year’s broad improvement strategy implementation data being baseline data, we currently do not have strategy evaluation data with which to consider modifications to the SSIP. The next reporting period will focus on collecting strategy evaluation data to assess the results of our efforts to improve this indicator.</w:t>
      </w:r>
    </w:p>
    <w:p w14:paraId="074AA68E" w14:textId="77777777" w:rsidR="00987BD2" w:rsidRPr="00781112" w:rsidRDefault="00987BD2" w:rsidP="00AE1972">
      <w:pPr>
        <w:rPr>
          <w:color w:val="000000" w:themeColor="text1"/>
        </w:rPr>
      </w:pPr>
    </w:p>
    <w:p w14:paraId="4216CFE7" w14:textId="77777777" w:rsidR="00C2635F" w:rsidRPr="00781112" w:rsidRDefault="00C2635F" w:rsidP="00AE1972">
      <w:pPr>
        <w:rPr>
          <w:b/>
          <w:bCs/>
        </w:rPr>
      </w:pPr>
    </w:p>
    <w:p w14:paraId="7350AAE8" w14:textId="77777777" w:rsidR="00C2635F" w:rsidRPr="00781112" w:rsidRDefault="00AE1972" w:rsidP="00AE1972">
      <w:pPr>
        <w:rPr>
          <w:rFonts w:cs="Arial"/>
          <w:b/>
          <w:bCs/>
        </w:rPr>
      </w:pPr>
      <w:r w:rsidRPr="00781112">
        <w:rPr>
          <w:rFonts w:cs="Arial"/>
          <w:b/>
          <w:bCs/>
        </w:rPr>
        <w:t>Section C: Stakeholder Engagement</w:t>
      </w:r>
    </w:p>
    <w:p w14:paraId="7EBFA7EE" w14:textId="77777777" w:rsidR="00C2635F" w:rsidRPr="00781112" w:rsidRDefault="00C2635F" w:rsidP="00C2635F">
      <w:pPr>
        <w:pStyle w:val="Bold"/>
        <w:rPr>
          <w:color w:val="000000" w:themeColor="text1"/>
        </w:rPr>
      </w:pPr>
      <w:r w:rsidRPr="00781112">
        <w:rPr>
          <w:color w:val="000000" w:themeColor="text1"/>
        </w:rPr>
        <w:t>Description of Stakeholder Input</w:t>
      </w:r>
    </w:p>
    <w:p w14:paraId="513CA7D9" w14:textId="77777777" w:rsidR="00C2635F" w:rsidRPr="00781112" w:rsidRDefault="00C2635F" w:rsidP="00C2635F">
      <w:pPr>
        <w:rPr>
          <w:color w:val="000000" w:themeColor="text1"/>
        </w:rPr>
      </w:pPr>
      <w:r w:rsidRPr="00781112">
        <w:rPr>
          <w:color w:val="000000" w:themeColor="text1"/>
        </w:rPr>
        <w:t>The USBE SES values stakeholder engagement and input and solicits ongoing feedback and review. Stakeholders consistently provide input through collaborative meetings, public comment, written communication, survey data, data analysis, and informal conversations. To share data and information and collect feedback on areas such as SPP/APR targets, the USBE SES employs meetings, newsletters, emails, surveys, and social media with stakeholder groups:</w:t>
      </w:r>
      <w:r w:rsidRPr="00781112">
        <w:rPr>
          <w:color w:val="000000" w:themeColor="text1"/>
        </w:rPr>
        <w:br/>
        <w:t>• LEA Special Education Directors</w:t>
      </w:r>
      <w:r w:rsidRPr="00781112">
        <w:rPr>
          <w:color w:val="000000" w:themeColor="text1"/>
        </w:rPr>
        <w:br/>
        <w:t>• Utah Special Education Advisory Panel (USEAP)</w:t>
      </w:r>
      <w:r w:rsidRPr="00781112">
        <w:rPr>
          <w:color w:val="000000" w:themeColor="text1"/>
        </w:rPr>
        <w:br/>
        <w:t>• USBE Committees</w:t>
      </w:r>
      <w:r w:rsidRPr="00781112">
        <w:rPr>
          <w:color w:val="000000" w:themeColor="text1"/>
        </w:rPr>
        <w:br/>
        <w:t>• Utah Legislative Committees</w:t>
      </w:r>
      <w:r w:rsidRPr="00781112">
        <w:rPr>
          <w:color w:val="000000" w:themeColor="text1"/>
        </w:rPr>
        <w:br/>
        <w:t>• Utah Parent Center (UPC)</w:t>
      </w:r>
      <w:r w:rsidRPr="00781112">
        <w:rPr>
          <w:color w:val="000000" w:themeColor="text1"/>
        </w:rPr>
        <w:br/>
        <w:t>• LEA Curriculum and Assessment Directors</w:t>
      </w:r>
      <w:r w:rsidRPr="00781112">
        <w:rPr>
          <w:color w:val="000000" w:themeColor="text1"/>
        </w:rPr>
        <w:br/>
        <w:t>• LEA Preschool Coordinators</w:t>
      </w:r>
      <w:r w:rsidRPr="00781112">
        <w:rPr>
          <w:color w:val="000000" w:themeColor="text1"/>
        </w:rPr>
        <w:br/>
        <w:t>• LEA Administrators</w:t>
      </w:r>
      <w:r w:rsidRPr="00781112">
        <w:rPr>
          <w:color w:val="000000" w:themeColor="text1"/>
        </w:rPr>
        <w:br/>
        <w:t>•Utah Institutes of Higher Education (IHEs)</w:t>
      </w:r>
      <w:r w:rsidRPr="00781112">
        <w:rPr>
          <w:color w:val="000000" w:themeColor="text1"/>
        </w:rPr>
        <w:br/>
        <w:t>• Baby Watch/Early Intervention (Utah’s Part C agency)</w:t>
      </w:r>
      <w:r w:rsidRPr="00781112">
        <w:rPr>
          <w:color w:val="000000" w:themeColor="text1"/>
        </w:rPr>
        <w:br/>
        <w:t>• Agencies and non-profit organizations that provide services to SWD</w:t>
      </w:r>
      <w:r w:rsidRPr="00781112">
        <w:rPr>
          <w:color w:val="000000" w:themeColor="text1"/>
        </w:rPr>
        <w:br/>
        <w:t>• Utah Educators</w:t>
      </w:r>
      <w:r w:rsidRPr="00781112">
        <w:rPr>
          <w:color w:val="000000" w:themeColor="text1"/>
        </w:rPr>
        <w:br/>
        <w:t>• Advocacy groups throughout the State</w:t>
      </w:r>
      <w:r w:rsidRPr="00781112">
        <w:rPr>
          <w:color w:val="000000" w:themeColor="text1"/>
        </w:rPr>
        <w:br/>
        <w:t>During FFY 2021, no changes were made to the SPP/APR targets. The USBE SES reviewed the progress of the implementation of the Theory of Action for the SSIP and SPP/APR data with USEAM, USEAP, and the Coordinating Council for People with Disabilities (CCPD) (which includes all state agencies that serve individuals with disabilities and all nonprofit organizations that receive any state funding and/or grants).</w:t>
      </w:r>
      <w:r w:rsidRPr="00781112">
        <w:rPr>
          <w:color w:val="000000" w:themeColor="text1"/>
        </w:rPr>
        <w:br/>
        <w:t>The APR summit was held virtually on July 30, 2021. Over 100 participants attended from the stakeholder groups and those with individual interests. Participants reviewed data and projections for the State in 2025–2026. Participants were provided with an overview of the advantages and disadvantages of predictive models as well as an overview of the mindset for target-setting. Participants were asked to select the end targets (2025–2026) for indicators. The USBE SES would then calculate intervening targets between FFY 2020 and FFY 2025 whereby there would be no increase in the target the first year, followed by small increases, then large increases near the end. This is to allow enough time for LEAs to implement initiatives and change practices to realistically meet targets along their way to the rigorous end targets. After this overview, participants determined challenging and achievable end targets. The USBE SES calculated intervening targets and shared these intervening targets with the participants and additional stakeholders to get final approval for all the targets.</w:t>
      </w:r>
      <w:r w:rsidRPr="00781112">
        <w:rPr>
          <w:color w:val="000000" w:themeColor="text1"/>
        </w:rPr>
        <w:br/>
        <w:t xml:space="preserve">A survey was sent out and 101 individuals participated. Most participants identified as white females in suburban parts of Utah. American Indian/Native Alaskan, Hispanic/Latino, and individuals who identified as multiracial also participated. As a result of this additional feedback, the USBE SES revised Indicator 5 targets to maintain rigor and develop reasonable targets manageable by the LEAs. Targets for all indicators were developed after review of historical indicator and trend data, recommendations from the USBE statistician, the impact of COVID-19, APR summit and APR survey review. All </w:t>
      </w:r>
      <w:r w:rsidRPr="00781112">
        <w:rPr>
          <w:color w:val="000000" w:themeColor="text1"/>
        </w:rPr>
        <w:lastRenderedPageBreak/>
        <w:t>targets were subsequently reviewed and adopted by USBE staff, USEAP, and LEAs. OSEP approved SPP/APR targets in the FFY 2020 SPP/APR.</w:t>
      </w:r>
      <w:r w:rsidRPr="00781112">
        <w:rPr>
          <w:color w:val="000000" w:themeColor="text1"/>
        </w:rPr>
        <w:br/>
        <w:t>During FFY 2021, the SPP/APR and SSIP were discussed regularly with LEA special education directors, USEAP, UPC, the state Parent Teacher Association (PTA), and other parent groups focused on inclusionary practices in Utah schools. Regular meetings are held with all these groups typically on a quarterly basis. Emails, phone calls, and in-person meetings provide for informal opportunities to gain insight and adjust.</w:t>
      </w:r>
      <w:r w:rsidRPr="00781112">
        <w:rPr>
          <w:color w:val="000000" w:themeColor="text1"/>
        </w:rPr>
        <w:br/>
        <w:t>The UPC works closely with USBE to increase the capacity of diverse groups of parents. Meetings at UPC are held in Spanish as the second highest language in the State. Refugee populations are connected through UPC staff assigned to specific LEAs with large populations of refugees.</w:t>
      </w:r>
      <w:r w:rsidRPr="00781112">
        <w:rPr>
          <w:color w:val="000000" w:themeColor="text1"/>
        </w:rPr>
        <w:br/>
        <w:t>The USBE family engagement specialist seeks to increase capacity through cross collaboration with other parent and family engagement programs provided in LEAs that we will continue to target.</w:t>
      </w:r>
      <w:r w:rsidRPr="00781112">
        <w:rPr>
          <w:color w:val="000000" w:themeColor="text1"/>
        </w:rPr>
        <w:br/>
        <w:t>INDICATOR 1</w:t>
      </w:r>
      <w:r w:rsidRPr="00781112">
        <w:rPr>
          <w:color w:val="000000" w:themeColor="text1"/>
        </w:rPr>
        <w:br/>
        <w:t>Data from 2018 was determined to be an appropriate baseline. With a baseline of 67.90%, targets will increase with consideration for COVID-19 impacts.</w:t>
      </w:r>
      <w:r w:rsidRPr="00781112">
        <w:rPr>
          <w:color w:val="000000" w:themeColor="text1"/>
        </w:rPr>
        <w:br/>
        <w:t>INDICATOR 2</w:t>
      </w:r>
      <w:r w:rsidRPr="00781112">
        <w:rPr>
          <w:color w:val="000000" w:themeColor="text1"/>
        </w:rPr>
        <w:br/>
        <w:t>Data from 2018 was determined to be an appropriate baseline. With a baseline of 25.81%, targets will decrease with consideration for COVID-19 impacts.</w:t>
      </w:r>
      <w:r w:rsidRPr="00781112">
        <w:rPr>
          <w:color w:val="000000" w:themeColor="text1"/>
        </w:rPr>
        <w:br/>
        <w:t>INDICATOR 3A</w:t>
      </w:r>
      <w:r w:rsidRPr="00781112">
        <w:rPr>
          <w:color w:val="000000" w:themeColor="text1"/>
        </w:rPr>
        <w:br/>
        <w:t>This target is set by OSEP. Stakeholders discussed ways to improve participation.</w:t>
      </w:r>
      <w:r w:rsidRPr="00781112">
        <w:rPr>
          <w:color w:val="000000" w:themeColor="text1"/>
        </w:rPr>
        <w:br/>
        <w:t>INDICATORS 3B, C, D</w:t>
      </w:r>
      <w:r w:rsidRPr="00781112">
        <w:rPr>
          <w:color w:val="000000" w:themeColor="text1"/>
        </w:rPr>
        <w:br/>
        <w:t>Participants looked at the average mean from the previous four years of data in conjunction with the linear trend and forecasting. This process allowed participants to analyze the best statistical guess of where Utah’s data would most likely be in six years while also seeing the forecasting of possible error over time for predicting far into the future.</w:t>
      </w:r>
      <w:r w:rsidRPr="00781112">
        <w:rPr>
          <w:color w:val="000000" w:themeColor="text1"/>
        </w:rPr>
        <w:br/>
        <w:t>INDICATOR 5</w:t>
      </w:r>
      <w:r w:rsidRPr="00781112">
        <w:rPr>
          <w:color w:val="000000" w:themeColor="text1"/>
        </w:rPr>
        <w:br/>
        <w:t>During FFY 2020, the Indicator 5 baseline was reset. In FFY 2021, all targets were met. A comprehensive approach was taken to provide informative learning sessions to support special education directors who are accountable for reviewing Indicator 5 outcome data. Recognizing the need to differentiate support, the USBE SES offered individual LEA data analysis and problem-solving sessions.</w:t>
      </w:r>
      <w:r w:rsidRPr="00781112">
        <w:rPr>
          <w:color w:val="000000" w:themeColor="text1"/>
        </w:rPr>
        <w:br/>
        <w:t>INDICATOR 6</w:t>
      </w:r>
      <w:r w:rsidRPr="00781112">
        <w:rPr>
          <w:color w:val="000000" w:themeColor="text1"/>
        </w:rPr>
        <w:br/>
        <w:t>Data from 2018 was determined to be an appropriate baseline. With baselines of (A) 46.86%, (B) 32.67%, (C) 0.25%, targets will gradually increase and decrease with consideration for COVID-19 impacts.</w:t>
      </w:r>
      <w:r w:rsidRPr="00781112">
        <w:rPr>
          <w:color w:val="000000" w:themeColor="text1"/>
        </w:rPr>
        <w:br/>
        <w:t>INDICATOR 7</w:t>
      </w:r>
      <w:r w:rsidRPr="00781112">
        <w:rPr>
          <w:color w:val="000000" w:themeColor="text1"/>
        </w:rPr>
        <w:br/>
        <w:t>Data from 2018 was determined to be an appropriate baseline. The USBE predicts outcomes for this indicator are still being largely impacted by COVID-19, and targets are currently set below the baseline. With baselines of (A1) 88.86%, (A2) 58.94%, (B1) 88.41%, (B2) 50.48%, (C1) 89.86%, (C2) 70.52%, targets will increase with consideration for COVID-19 impacts.</w:t>
      </w:r>
      <w:r w:rsidRPr="00781112">
        <w:rPr>
          <w:color w:val="000000" w:themeColor="text1"/>
        </w:rPr>
        <w:br/>
        <w:t>INDICATOR 8</w:t>
      </w:r>
      <w:r w:rsidRPr="00781112">
        <w:rPr>
          <w:color w:val="000000" w:themeColor="text1"/>
        </w:rPr>
        <w:br/>
        <w:t>Data from 2018 was determined to be an appropriate baseline. With a baseline of 78.38%, targets will gradually increase with consideration for COVID-19 impacts.</w:t>
      </w:r>
      <w:r w:rsidRPr="00781112">
        <w:rPr>
          <w:color w:val="000000" w:themeColor="text1"/>
        </w:rPr>
        <w:br/>
        <w:t>INDICATORS 4, 9, 10</w:t>
      </w:r>
      <w:r w:rsidRPr="00781112">
        <w:rPr>
          <w:color w:val="000000" w:themeColor="text1"/>
        </w:rPr>
        <w:br/>
        <w:t>During the APR Summit, stakeholders reviewed current data trends and ways to improve outcomes. Although targets cannot be changed, stakeholder input has been instrumental in meeting targets for these indicators. The calculations and data collection process for these indicators has been updated to improve outcomes for SWD. Stakeholder input has been utilized to determine processes, PL, and support provided to bridge the gap between current performance and targets.</w:t>
      </w:r>
      <w:r w:rsidRPr="00781112">
        <w:rPr>
          <w:color w:val="000000" w:themeColor="text1"/>
        </w:rPr>
        <w:br/>
        <w:t>INDICATORS 11, 12</w:t>
      </w:r>
      <w:r w:rsidRPr="00781112">
        <w:rPr>
          <w:color w:val="000000" w:themeColor="text1"/>
        </w:rPr>
        <w:br/>
        <w:t>During the APR Summit, stakeholders reviewed current data trends and ways to improve outcomes. Although targets cannot be changed, stakeholder input has been instrumental in meeting targets for these indicators. Input has been utilized to determine PL and support provided to bridge the gap between current performance and targets.</w:t>
      </w:r>
      <w:r w:rsidRPr="00781112">
        <w:rPr>
          <w:color w:val="000000" w:themeColor="text1"/>
        </w:rPr>
        <w:br/>
        <w:t>INDICATOR 13</w:t>
      </w:r>
      <w:r w:rsidRPr="00781112">
        <w:rPr>
          <w:color w:val="000000" w:themeColor="text1"/>
        </w:rPr>
        <w:br/>
        <w:t>The USBE SES recognizes this is an area requiring improvement. During the APR Summit, stakeholders reviewed current data trends and ways to improve outcomes. Although targets cannot be changed, stakeholder input has been instrumental in the progression toward meeting the target.</w:t>
      </w:r>
      <w:r w:rsidRPr="00781112">
        <w:rPr>
          <w:color w:val="000000" w:themeColor="text1"/>
        </w:rPr>
        <w:br/>
        <w:t>INDICATOR 14</w:t>
      </w:r>
      <w:r w:rsidRPr="00781112">
        <w:rPr>
          <w:color w:val="000000" w:themeColor="text1"/>
        </w:rPr>
        <w:br/>
        <w:t>Data from 2018 was determined to be an appropriate baseline. The USBE predicts outcomes for this indicator are still being largely impacted by COVID-19, and targets are currently set below the baseline. With baselines of (A) 19.62%, (B) 67.60%, (C) 84.37%, targets will increase with consideration for COVID-19 impacts.</w:t>
      </w:r>
      <w:r w:rsidRPr="00781112">
        <w:rPr>
          <w:color w:val="000000" w:themeColor="text1"/>
        </w:rPr>
        <w:br/>
        <w:t xml:space="preserve">INDICATOR 15 </w:t>
      </w:r>
      <w:r w:rsidRPr="00781112">
        <w:rPr>
          <w:color w:val="000000" w:themeColor="text1"/>
        </w:rPr>
        <w:br/>
        <w:t>The USBE continues to experience relatively low levels of due process hearing requests and resolution meetings and is not required to set a target.</w:t>
      </w:r>
      <w:r w:rsidRPr="00781112">
        <w:rPr>
          <w:color w:val="000000" w:themeColor="text1"/>
        </w:rPr>
        <w:br/>
        <w:t xml:space="preserve">INDICATOR 16 </w:t>
      </w:r>
      <w:r w:rsidRPr="00781112">
        <w:rPr>
          <w:color w:val="000000" w:themeColor="text1"/>
        </w:rPr>
        <w:br/>
        <w:t>The USBE continues to experience relatively low levels of dispute resolution requests, including mediation. Targets have been set based on the low level of mediation requests.</w:t>
      </w:r>
    </w:p>
    <w:p w14:paraId="613D691C" w14:textId="77777777" w:rsidR="00C2635F" w:rsidRPr="00781112" w:rsidRDefault="00C2635F" w:rsidP="00C2635F">
      <w:pPr>
        <w:pStyle w:val="Bold"/>
        <w:rPr>
          <w:b w:val="0"/>
          <w:color w:val="000000" w:themeColor="text1"/>
        </w:rPr>
      </w:pPr>
    </w:p>
    <w:p w14:paraId="0227ECF0" w14:textId="4A877DBA" w:rsidR="00AE1972" w:rsidRPr="00781112" w:rsidRDefault="00AE1972" w:rsidP="00AE1972">
      <w:pPr>
        <w:rPr>
          <w:rFonts w:cs="Arial"/>
          <w:b/>
          <w:bCs/>
        </w:rPr>
      </w:pPr>
      <w:r w:rsidRPr="00781112">
        <w:rPr>
          <w:rFonts w:cs="Arial"/>
          <w:b/>
          <w:bCs/>
        </w:rPr>
        <w:t xml:space="preserve"> Describe the specific strategies implemented to engage stakeholders in key improvement efforts. </w:t>
      </w:r>
    </w:p>
    <w:p w14:paraId="50B976D9" w14:textId="4AEF384A" w:rsidR="00AE1972" w:rsidRPr="00781112" w:rsidRDefault="00AE1972" w:rsidP="00AE1972">
      <w:pPr>
        <w:rPr>
          <w:b/>
          <w:bCs/>
        </w:rPr>
      </w:pPr>
      <w:r w:rsidRPr="00781112">
        <w:rPr>
          <w:color w:val="000000" w:themeColor="text1"/>
        </w:rPr>
        <w:t xml:space="preserve">The USBE values stakeholder engagement and input and solicits ongoing feedback and review. Stakeholders consistently provide input through collaborative meetings, public comment, written communication, survey data, data analysis, and informal conversations. As described in the previous submission, the Coordinating Council of People with Disabilities (CCPD) spent more than a year collaboratively determining that improving postsecondary outcomes for youth with disabilities is a vital need in Utah. This led to Utah’s change of SiMR focus and creation of the STC to address the CCPD priorities. As a result, an unprecedented number of state agency staff and staff in nonprofit and postsecondary transition-oriented service organizations around the state have collaborated in the work of implementing Utah’s Theory of Action and Logic Model through participation in the STC. The collaborating agencies participating in the STC are:  </w:t>
      </w:r>
      <w:r w:rsidRPr="00781112">
        <w:rPr>
          <w:color w:val="000000" w:themeColor="text1"/>
        </w:rPr>
        <w:br/>
        <w:t xml:space="preserve">• USBE: Special Education, Adult Education, Youth in Care and Neglected and Delinquent Youth, Career and Technical Education </w:t>
      </w:r>
      <w:r w:rsidRPr="00781112">
        <w:rPr>
          <w:color w:val="000000" w:themeColor="text1"/>
        </w:rPr>
        <w:br/>
        <w:t xml:space="preserve">• Utah Parent Center </w:t>
      </w:r>
      <w:r w:rsidRPr="00781112">
        <w:rPr>
          <w:color w:val="000000" w:themeColor="text1"/>
        </w:rPr>
        <w:br/>
        <w:t xml:space="preserve">• Utah Statewide Independent Living Council </w:t>
      </w:r>
      <w:r w:rsidRPr="00781112">
        <w:rPr>
          <w:color w:val="000000" w:themeColor="text1"/>
        </w:rPr>
        <w:br/>
        <w:t xml:space="preserve">• Utah Registry of Autism and Developmental Disabilities </w:t>
      </w:r>
      <w:r w:rsidRPr="00781112">
        <w:rPr>
          <w:color w:val="000000" w:themeColor="text1"/>
        </w:rPr>
        <w:br/>
        <w:t xml:space="preserve">• Utah Parent Teacher </w:t>
      </w:r>
      <w:proofErr w:type="spellStart"/>
      <w:r w:rsidRPr="00781112">
        <w:rPr>
          <w:color w:val="000000" w:themeColor="text1"/>
        </w:rPr>
        <w:t>Assocation</w:t>
      </w:r>
      <w:proofErr w:type="spellEnd"/>
      <w:r w:rsidRPr="00781112">
        <w:rPr>
          <w:color w:val="000000" w:themeColor="text1"/>
        </w:rPr>
        <w:t xml:space="preserve"> </w:t>
      </w:r>
      <w:r w:rsidRPr="00781112">
        <w:rPr>
          <w:color w:val="000000" w:themeColor="text1"/>
        </w:rPr>
        <w:br/>
        <w:t xml:space="preserve">• Department of Workforce Services: Office of Rehabilitative Services, Career and Education Program (WIOA Youth Program) </w:t>
      </w:r>
      <w:r w:rsidRPr="00781112">
        <w:rPr>
          <w:color w:val="000000" w:themeColor="text1"/>
        </w:rPr>
        <w:br/>
        <w:t xml:space="preserve">• Department of Health and Human Services: High-fidelity Wraparound System of Care, Division of Child and Family Services, Juvenile Justice and Youth Services, Stabilization and Mobile Response, Office of Substance Abuse and Mental Health, Division of Services for People with Disabilities, Children with Special Health Care Needs, Division of Family Health, Medicaid </w:t>
      </w:r>
      <w:r w:rsidRPr="00781112">
        <w:rPr>
          <w:color w:val="000000" w:themeColor="text1"/>
        </w:rPr>
        <w:br/>
        <w:t>• Intermountain Health Care</w:t>
      </w:r>
      <w:r w:rsidRPr="00781112">
        <w:rPr>
          <w:color w:val="000000" w:themeColor="text1"/>
        </w:rPr>
        <w:br/>
        <w:t>• Utah Schools for the Deaf and the Blind</w:t>
      </w:r>
      <w:r w:rsidRPr="00781112">
        <w:rPr>
          <w:color w:val="000000" w:themeColor="text1"/>
        </w:rPr>
        <w:br/>
        <w:t>• Utah System of Higher Education</w:t>
      </w:r>
      <w:r w:rsidRPr="00781112">
        <w:rPr>
          <w:color w:val="000000" w:themeColor="text1"/>
        </w:rPr>
        <w:br/>
      </w:r>
      <w:r w:rsidRPr="00781112">
        <w:rPr>
          <w:color w:val="000000" w:themeColor="text1"/>
        </w:rPr>
        <w:lastRenderedPageBreak/>
        <w:t>• Governor’s Committee on Employment for People with Disabilities</w:t>
      </w:r>
      <w:r w:rsidRPr="00781112">
        <w:rPr>
          <w:color w:val="000000" w:themeColor="text1"/>
        </w:rPr>
        <w:br/>
        <w:t>• Utah State University Institute for Disability Research, Policy, and Practice</w:t>
      </w:r>
      <w:r w:rsidRPr="00781112">
        <w:rPr>
          <w:color w:val="000000" w:themeColor="text1"/>
        </w:rPr>
        <w:br/>
      </w:r>
      <w:r w:rsidRPr="00781112">
        <w:rPr>
          <w:color w:val="000000" w:themeColor="text1"/>
        </w:rPr>
        <w:br/>
        <w:t>This year, the STC was broken down into three subcommittees – each addressing one of the broad improvement strategies outlined in the Logic Model. These subcommittees have broad representation from the agencies listed above and meet monthly to work through the action plan for each output related to their assigned section. The full STC meets quarterly to review the action plans of the subcommittees and approve proposed actions. Utah's stakeholders were engaged in every stage of the SSIP implementation through participation in the STC.</w:t>
      </w:r>
    </w:p>
    <w:p w14:paraId="0E7119BD" w14:textId="77777777" w:rsidR="00AE1972" w:rsidRPr="00781112" w:rsidRDefault="00AE1972" w:rsidP="00AE1972">
      <w:pPr>
        <w:rPr>
          <w:rFonts w:cs="Arial"/>
          <w:b/>
          <w:bCs/>
        </w:rPr>
      </w:pPr>
      <w:r w:rsidRPr="00781112">
        <w:rPr>
          <w:rFonts w:cs="Arial"/>
          <w:b/>
          <w:bCs/>
        </w:rPr>
        <w:t>Were there any concerns expressed by stakeholders during engagement activities?</w:t>
      </w:r>
      <w:r w:rsidRPr="00781112">
        <w:rPr>
          <w:b/>
          <w:bCs/>
        </w:rPr>
        <w:t xml:space="preserve"> (yes/no)</w:t>
      </w:r>
    </w:p>
    <w:p w14:paraId="23F53104" w14:textId="7B375F38" w:rsidR="00AE1972" w:rsidRDefault="00AE1972" w:rsidP="00AE1972">
      <w:pPr>
        <w:rPr>
          <w:color w:val="000000" w:themeColor="text1"/>
        </w:rPr>
      </w:pPr>
      <w:r w:rsidRPr="00781112">
        <w:rPr>
          <w:color w:val="000000" w:themeColor="text1"/>
        </w:rPr>
        <w:t>NO</w:t>
      </w:r>
    </w:p>
    <w:p w14:paraId="4C0E967E" w14:textId="77777777" w:rsidR="00AE1972" w:rsidRPr="00781112" w:rsidRDefault="00AE1972" w:rsidP="00AE1972">
      <w:pPr>
        <w:rPr>
          <w:rFonts w:cs="Arial"/>
          <w:b/>
          <w:bCs/>
        </w:rPr>
      </w:pPr>
    </w:p>
    <w:p w14:paraId="66B03304" w14:textId="77777777" w:rsidR="00AE1972" w:rsidRPr="00781112" w:rsidRDefault="00AE1972" w:rsidP="00AE1972">
      <w:pPr>
        <w:rPr>
          <w:rFonts w:cstheme="minorHAnsi"/>
          <w:b/>
          <w:bCs/>
        </w:rPr>
      </w:pPr>
      <w:r w:rsidRPr="00781112">
        <w:rPr>
          <w:rFonts w:cstheme="minorHAnsi"/>
          <w:b/>
          <w:bCs/>
        </w:rPr>
        <w:t>Additional Implementation Activities</w:t>
      </w:r>
    </w:p>
    <w:p w14:paraId="10A21917" w14:textId="46068090" w:rsidR="00AE1972" w:rsidRPr="00781112" w:rsidRDefault="00AE1972" w:rsidP="00AE1972">
      <w:pPr>
        <w:rPr>
          <w:b/>
          <w:bCs/>
        </w:rPr>
      </w:pPr>
      <w:r w:rsidRPr="00781112">
        <w:rPr>
          <w:b/>
          <w:bCs/>
        </w:rPr>
        <w:t>List any activities not already described that the State intends to implement in the next fiscal year that are related to the SiMR.</w:t>
      </w:r>
    </w:p>
    <w:p w14:paraId="35A94BC4" w14:textId="6D7D4D2A" w:rsidR="00AE1972" w:rsidRPr="00781112" w:rsidRDefault="00AE1972" w:rsidP="00AE1972">
      <w:pPr>
        <w:rPr>
          <w:color w:val="000000" w:themeColor="text1"/>
        </w:rPr>
      </w:pPr>
      <w:r w:rsidRPr="00781112">
        <w:rPr>
          <w:color w:val="000000" w:themeColor="text1"/>
        </w:rPr>
        <w:t>The State does not intend to engage in any activities not already described above in the next fiscal year that are related to the SiMR.</w:t>
      </w:r>
    </w:p>
    <w:p w14:paraId="3ACC71D3" w14:textId="77777777" w:rsidR="00AE1972" w:rsidRPr="00781112" w:rsidRDefault="00AE1972" w:rsidP="00AE1972">
      <w:pPr>
        <w:rPr>
          <w:rFonts w:cs="Arial"/>
          <w:b/>
          <w:bCs/>
        </w:rPr>
      </w:pPr>
      <w:r w:rsidRPr="00781112">
        <w:rPr>
          <w:rFonts w:cs="Arial"/>
          <w:b/>
          <w:bCs/>
        </w:rPr>
        <w:t xml:space="preserve">Provide a timeline, anticipated data collection and measures, and expected outcomes for these activities that are related to the SiMR. </w:t>
      </w:r>
    </w:p>
    <w:p w14:paraId="50377A67" w14:textId="7B063CE4" w:rsidR="00AE1972" w:rsidRPr="00781112" w:rsidRDefault="00AE1972" w:rsidP="00AE1972">
      <w:pPr>
        <w:rPr>
          <w:color w:val="000000" w:themeColor="text1"/>
        </w:rPr>
      </w:pPr>
      <w:r w:rsidRPr="00781112">
        <w:rPr>
          <w:color w:val="000000" w:themeColor="text1"/>
        </w:rPr>
        <w:t>The State does not intend to engage in any activities not already described above in the next fiscal year that are related to the SiMR.</w:t>
      </w:r>
    </w:p>
    <w:p w14:paraId="7B5F9795" w14:textId="77777777" w:rsidR="00AE1972" w:rsidRPr="00781112" w:rsidRDefault="00AE1972" w:rsidP="00AE1972">
      <w:pPr>
        <w:rPr>
          <w:color w:val="000000" w:themeColor="text1"/>
        </w:rPr>
      </w:pPr>
    </w:p>
    <w:p w14:paraId="1D472AFD" w14:textId="77777777" w:rsidR="00AE1972" w:rsidRPr="00781112" w:rsidRDefault="00AE1972" w:rsidP="00AE1972">
      <w:pPr>
        <w:rPr>
          <w:rFonts w:cs="Arial"/>
          <w:b/>
          <w:bCs/>
        </w:rPr>
      </w:pPr>
      <w:r w:rsidRPr="00781112">
        <w:rPr>
          <w:rFonts w:cs="Arial"/>
          <w:b/>
          <w:bCs/>
        </w:rPr>
        <w:t>Describe any newly identified barriers and include steps to address these barriers.</w:t>
      </w:r>
    </w:p>
    <w:p w14:paraId="4E48E920" w14:textId="395AE1C0" w:rsidR="00AE1972" w:rsidRPr="00781112" w:rsidRDefault="00AE1972" w:rsidP="00AE1972">
      <w:pPr>
        <w:rPr>
          <w:color w:val="000000" w:themeColor="text1"/>
        </w:rPr>
      </w:pPr>
      <w:r w:rsidRPr="00781112">
        <w:rPr>
          <w:color w:val="000000" w:themeColor="text1"/>
        </w:rPr>
        <w:t>The State has not identified any new barriers.</w:t>
      </w:r>
    </w:p>
    <w:p w14:paraId="5E2459D3" w14:textId="77777777" w:rsidR="00AE1972" w:rsidRPr="00781112" w:rsidRDefault="00AE1972" w:rsidP="00AE1972">
      <w:pPr>
        <w:rPr>
          <w:rFonts w:cs="Arial"/>
          <w:b/>
          <w:bCs/>
        </w:rPr>
      </w:pPr>
    </w:p>
    <w:p w14:paraId="3396CE64" w14:textId="77777777" w:rsidR="00AE1972" w:rsidRPr="00781112" w:rsidRDefault="00AE1972" w:rsidP="00AE1972">
      <w:pPr>
        <w:rPr>
          <w:rFonts w:cs="Arial"/>
          <w:b/>
          <w:bCs/>
        </w:rPr>
      </w:pPr>
      <w:r w:rsidRPr="00781112">
        <w:rPr>
          <w:rFonts w:cs="Arial"/>
          <w:b/>
          <w:bCs/>
        </w:rPr>
        <w:t>Provide additional information about this indicator (optional).</w:t>
      </w:r>
    </w:p>
    <w:p w14:paraId="3B78AAE5" w14:textId="1BDEAF09" w:rsidR="00AE1972" w:rsidRPr="00781112" w:rsidRDefault="00AE1972" w:rsidP="00AE1972">
      <w:pPr>
        <w:rPr>
          <w:color w:val="000000" w:themeColor="text1"/>
        </w:rPr>
      </w:pPr>
      <w:r w:rsidRPr="00781112">
        <w:rPr>
          <w:color w:val="000000" w:themeColor="text1"/>
        </w:rPr>
        <w:t xml:space="preserve">The FFY 2020 data prepopulated in the "FFY 2021 SPP/APR Data" section was related to the previous SSIP and SiMR regarding middle school mathematics proficiency. Utah changed its SSIP and SiMR during FFY 2020 requiring a new baseline. OSEP accepted Utah's change in the FFY 2020 SPP/APR. The FFY 2021 target, data, and future targets are related to the new SSIP and SiMR regarding post school outcomes for students ages 19–22. The current SiMR is to reduce the percentage of students ages 19–22 exiting a post-high program who report being unengaged or under-engaged on the Indicator 14 survey by 20 percentage points over a five-year period (from 45.65% in FFY 2020 to 25.65% by FFY 2025). The FFY 2021 target is 45.65%. The FFY 2021 data is 48.73%. As the goal </w:t>
      </w:r>
      <w:proofErr w:type="gramStart"/>
      <w:r w:rsidRPr="00781112">
        <w:rPr>
          <w:color w:val="000000" w:themeColor="text1"/>
        </w:rPr>
        <w:t>is</w:t>
      </w:r>
      <w:proofErr w:type="gramEnd"/>
      <w:r w:rsidRPr="00781112">
        <w:rPr>
          <w:color w:val="000000" w:themeColor="text1"/>
        </w:rPr>
        <w:t xml:space="preserve"> to be below the target, Utah did not meet target.</w:t>
      </w:r>
    </w:p>
    <w:p w14:paraId="1717717F" w14:textId="77777777" w:rsidR="00AE1972" w:rsidRPr="00781112" w:rsidRDefault="00AE1972" w:rsidP="00AE1972">
      <w:pPr>
        <w:rPr>
          <w:b/>
          <w:bCs/>
        </w:rPr>
      </w:pPr>
    </w:p>
    <w:p w14:paraId="7969DCFD" w14:textId="313BCCCE" w:rsidR="00AE1972" w:rsidRPr="00781112" w:rsidRDefault="00AE1972" w:rsidP="00AE1972">
      <w:pPr>
        <w:pStyle w:val="Heading2"/>
      </w:pPr>
      <w:r w:rsidRPr="00781112">
        <w:t>1</w:t>
      </w:r>
      <w:r w:rsidR="00B90835" w:rsidRPr="00781112">
        <w:t>7</w:t>
      </w:r>
      <w:r w:rsidRPr="00781112">
        <w:t xml:space="preserve"> - Prior FFY Required Actions</w:t>
      </w:r>
    </w:p>
    <w:p w14:paraId="6D4FDD87" w14:textId="61973738" w:rsidR="00AE1972" w:rsidRPr="00781112" w:rsidRDefault="00AE1972" w:rsidP="00AE1972">
      <w:pPr>
        <w:rPr>
          <w:color w:val="000000" w:themeColor="text1"/>
        </w:rPr>
      </w:pPr>
      <w:r w:rsidRPr="00781112">
        <w:rPr>
          <w:color w:val="000000" w:themeColor="text1"/>
        </w:rPr>
        <w:t>None</w:t>
      </w:r>
    </w:p>
    <w:p w14:paraId="26525888" w14:textId="754A2C29" w:rsidR="00AE1972" w:rsidRPr="00781112" w:rsidRDefault="00AE1972" w:rsidP="00AE1972">
      <w:pPr>
        <w:pStyle w:val="Heading2"/>
      </w:pPr>
      <w:r w:rsidRPr="00781112">
        <w:t>1</w:t>
      </w:r>
      <w:r w:rsidR="00B90835" w:rsidRPr="00781112">
        <w:t>7</w:t>
      </w:r>
      <w:r w:rsidRPr="00781112">
        <w:t xml:space="preserve"> - OSEP Response</w:t>
      </w:r>
    </w:p>
    <w:p w14:paraId="401B2D8D" w14:textId="470B927C" w:rsidR="00AE1972" w:rsidRPr="00781112" w:rsidRDefault="00AE1972" w:rsidP="00AE1972">
      <w:pPr>
        <w:rPr>
          <w:color w:val="000000" w:themeColor="text1"/>
        </w:rPr>
      </w:pPr>
      <w:r w:rsidRPr="00781112">
        <w:rPr>
          <w:color w:val="000000" w:themeColor="text1"/>
        </w:rPr>
        <w:t xml:space="preserve">The State has revised the baseline for this indicator, using data from FFY 2020, and OSEP accepts that revision. OSEP notes that the FFY 2020 data in the FFY 2021 data table reflects a different data source than the FFY 2021 data.       </w:t>
      </w:r>
      <w:r w:rsidRPr="00781112">
        <w:rPr>
          <w:color w:val="000000" w:themeColor="text1"/>
        </w:rPr>
        <w:br/>
      </w:r>
      <w:r w:rsidRPr="00781112">
        <w:rPr>
          <w:color w:val="000000" w:themeColor="text1"/>
        </w:rPr>
        <w:br/>
        <w:t>The State revised its FFY 2021-2025 targets for this indicator, and OSEP accepts those targets.</w:t>
      </w:r>
    </w:p>
    <w:p w14:paraId="6DAF5363" w14:textId="73CEA9C3" w:rsidR="00AE1972" w:rsidRPr="00781112" w:rsidRDefault="00AE1972" w:rsidP="00AE1972">
      <w:pPr>
        <w:pStyle w:val="Heading2"/>
      </w:pPr>
      <w:r w:rsidRPr="00781112">
        <w:t>1</w:t>
      </w:r>
      <w:r w:rsidR="00B90835" w:rsidRPr="00781112">
        <w:t>7</w:t>
      </w:r>
      <w:r w:rsidRPr="00781112">
        <w:t xml:space="preserve"> - Required Actions</w:t>
      </w:r>
    </w:p>
    <w:p w14:paraId="54E94584" w14:textId="132794BB" w:rsidR="00066BAA" w:rsidRDefault="00066BAA" w:rsidP="000532EB">
      <w:pPr>
        <w:rPr>
          <w:color w:val="000000" w:themeColor="text1"/>
        </w:rPr>
      </w:pPr>
    </w:p>
    <w:p w14:paraId="7081808E" w14:textId="332DB163" w:rsidR="000532EB" w:rsidRDefault="000532EB">
      <w:pPr>
        <w:spacing w:before="0" w:after="200" w:line="276" w:lineRule="auto"/>
        <w:rPr>
          <w:color w:val="000000" w:themeColor="text1"/>
        </w:rPr>
      </w:pPr>
      <w:r>
        <w:rPr>
          <w:color w:val="000000" w:themeColor="text1"/>
        </w:rPr>
        <w:br w:type="page"/>
      </w:r>
    </w:p>
    <w:p w14:paraId="47A15380" w14:textId="2BFE46A7" w:rsidR="00251CC0" w:rsidRPr="00781112" w:rsidRDefault="00755AF7" w:rsidP="00D01281">
      <w:pPr>
        <w:pStyle w:val="Heading1"/>
        <w:rPr>
          <w:color w:val="000000" w:themeColor="text1"/>
        </w:rPr>
      </w:pPr>
      <w:r w:rsidRPr="00781112">
        <w:rPr>
          <w:color w:val="000000" w:themeColor="text1"/>
        </w:rPr>
        <w:lastRenderedPageBreak/>
        <w:t>Certification</w:t>
      </w:r>
    </w:p>
    <w:p w14:paraId="49BAFEB2" w14:textId="460D7FCE" w:rsidR="00EC1064" w:rsidRPr="00781112" w:rsidRDefault="00EC1064" w:rsidP="00A018D4">
      <w:pPr>
        <w:rPr>
          <w:color w:val="000000" w:themeColor="text1"/>
          <w:szCs w:val="20"/>
        </w:rPr>
      </w:pPr>
      <w:r w:rsidRPr="00781112">
        <w:rPr>
          <w:b/>
          <w:color w:val="000000" w:themeColor="text1"/>
          <w:sz w:val="20"/>
          <w:szCs w:val="20"/>
        </w:rPr>
        <w:t>Instructions</w:t>
      </w:r>
    </w:p>
    <w:p w14:paraId="1D3FABB8" w14:textId="49984077" w:rsidR="00EC1064" w:rsidRPr="00781112" w:rsidRDefault="00C723F9" w:rsidP="00EC1064">
      <w:pPr>
        <w:autoSpaceDE w:val="0"/>
        <w:autoSpaceDN w:val="0"/>
        <w:adjustRightInd w:val="0"/>
        <w:rPr>
          <w:rFonts w:cs="Arial"/>
          <w:b/>
          <w:bCs/>
          <w:color w:val="000000" w:themeColor="text1"/>
          <w:szCs w:val="16"/>
        </w:rPr>
      </w:pPr>
      <w:r w:rsidRPr="00781112">
        <w:rPr>
          <w:rFonts w:cs="Arial"/>
          <w:b/>
          <w:bCs/>
          <w:color w:val="000000" w:themeColor="text1"/>
          <w:szCs w:val="16"/>
        </w:rPr>
        <w:t>Choose the appropriate selection and complete all the certification information fields. Then click the "Submit" button to submit your APR.</w:t>
      </w:r>
    </w:p>
    <w:p w14:paraId="01D5737F" w14:textId="0EECE8DE" w:rsidR="00EC1064" w:rsidRPr="00781112" w:rsidRDefault="00EC1064" w:rsidP="00EE0028">
      <w:pPr>
        <w:pStyle w:val="NoSpacing"/>
        <w:rPr>
          <w:rFonts w:ascii="Arial" w:hAnsi="Arial" w:cs="Arial"/>
          <w:b/>
          <w:bCs/>
          <w:color w:val="000000" w:themeColor="text1"/>
          <w:sz w:val="16"/>
          <w:szCs w:val="16"/>
        </w:rPr>
      </w:pPr>
      <w:r w:rsidRPr="00781112">
        <w:rPr>
          <w:rFonts w:ascii="Arial" w:hAnsi="Arial" w:cs="Arial"/>
          <w:b/>
          <w:bCs/>
          <w:color w:val="000000" w:themeColor="text1"/>
          <w:sz w:val="16"/>
          <w:szCs w:val="16"/>
        </w:rPr>
        <w:t>Certify</w:t>
      </w:r>
    </w:p>
    <w:p w14:paraId="55390454" w14:textId="09D075B1" w:rsidR="00262BC0" w:rsidRPr="00781112" w:rsidRDefault="00262BC0" w:rsidP="00262BC0">
      <w:pPr>
        <w:autoSpaceDE w:val="0"/>
        <w:autoSpaceDN w:val="0"/>
        <w:adjustRightInd w:val="0"/>
        <w:rPr>
          <w:rFonts w:cs="Arial"/>
          <w:b/>
          <w:bCs/>
          <w:color w:val="000000" w:themeColor="text1"/>
          <w:szCs w:val="16"/>
        </w:rPr>
      </w:pPr>
      <w:r w:rsidRPr="00781112">
        <w:rPr>
          <w:rFonts w:cs="Arial"/>
          <w:b/>
          <w:bCs/>
          <w:color w:val="000000" w:themeColor="text1"/>
          <w:szCs w:val="16"/>
        </w:rPr>
        <w:t>I certify that I am the Chief State School Officer of the State, or his or her designee, and that the State's submission of its IDEA Part B State Performance Plan/Annual Performance Report is accurate.</w:t>
      </w:r>
    </w:p>
    <w:p w14:paraId="6B93509D" w14:textId="70EDDFDB" w:rsidR="008D2663" w:rsidRPr="00781112" w:rsidRDefault="00262BC0" w:rsidP="00262BC0">
      <w:pPr>
        <w:autoSpaceDE w:val="0"/>
        <w:autoSpaceDN w:val="0"/>
        <w:adjustRightInd w:val="0"/>
        <w:rPr>
          <w:rFonts w:cs="Arial"/>
          <w:b/>
          <w:bCs/>
          <w:color w:val="000000" w:themeColor="text1"/>
          <w:szCs w:val="16"/>
        </w:rPr>
      </w:pPr>
      <w:r w:rsidRPr="00781112">
        <w:rPr>
          <w:rFonts w:cs="Arial"/>
          <w:b/>
          <w:bCs/>
          <w:color w:val="000000" w:themeColor="text1"/>
          <w:szCs w:val="16"/>
        </w:rPr>
        <w:t>Select the certifier’s role:</w:t>
      </w:r>
    </w:p>
    <w:p w14:paraId="0767E5C8" w14:textId="70B1D176" w:rsidR="00262BC0" w:rsidRPr="00781112" w:rsidRDefault="002B7490" w:rsidP="00262BC0">
      <w:pPr>
        <w:autoSpaceDE w:val="0"/>
        <w:autoSpaceDN w:val="0"/>
        <w:adjustRightInd w:val="0"/>
        <w:rPr>
          <w:rFonts w:cs="Arial"/>
          <w:bCs/>
          <w:color w:val="000000" w:themeColor="text1"/>
          <w:szCs w:val="16"/>
        </w:rPr>
      </w:pPr>
      <w:r w:rsidRPr="00781112">
        <w:rPr>
          <w:rFonts w:cs="Arial"/>
          <w:bCs/>
          <w:color w:val="000000" w:themeColor="text1"/>
          <w:szCs w:val="16"/>
        </w:rPr>
        <w:t>Designated by the Chief State School Officer to certify</w:t>
      </w:r>
    </w:p>
    <w:p w14:paraId="0D4B9819" w14:textId="38C2D4E8" w:rsidR="00262BC0" w:rsidRPr="00781112" w:rsidRDefault="00262BC0" w:rsidP="00262BC0">
      <w:pPr>
        <w:autoSpaceDE w:val="0"/>
        <w:autoSpaceDN w:val="0"/>
        <w:adjustRightInd w:val="0"/>
        <w:rPr>
          <w:rFonts w:cs="Arial"/>
          <w:b/>
          <w:bCs/>
          <w:color w:val="000000" w:themeColor="text1"/>
          <w:szCs w:val="16"/>
        </w:rPr>
      </w:pPr>
      <w:r w:rsidRPr="00781112">
        <w:rPr>
          <w:rFonts w:cs="Arial"/>
          <w:b/>
          <w:bCs/>
          <w:color w:val="000000" w:themeColor="text1"/>
          <w:szCs w:val="16"/>
        </w:rPr>
        <w:t>Name and title of the individual certifying the accuracy of the State's submission of its IDEA Part B State Performance Plan/Annual Performance Report.</w:t>
      </w:r>
    </w:p>
    <w:p w14:paraId="3B5F1CED" w14:textId="77777777" w:rsidR="00755AF7" w:rsidRPr="00781112" w:rsidRDefault="00755AF7" w:rsidP="00755AF7">
      <w:pPr>
        <w:autoSpaceDE w:val="0"/>
        <w:autoSpaceDN w:val="0"/>
        <w:adjustRightInd w:val="0"/>
        <w:rPr>
          <w:rFonts w:cs="Arial"/>
          <w:b/>
          <w:bCs/>
          <w:color w:val="000000" w:themeColor="text1"/>
          <w:szCs w:val="16"/>
        </w:rPr>
      </w:pPr>
      <w:bookmarkStart w:id="101" w:name="_Hlk20318241"/>
      <w:r w:rsidRPr="00781112">
        <w:rPr>
          <w:rFonts w:cs="Arial"/>
          <w:b/>
          <w:bCs/>
          <w:color w:val="000000" w:themeColor="text1"/>
          <w:szCs w:val="16"/>
        </w:rPr>
        <w:t xml:space="preserve">Name: </w:t>
      </w:r>
    </w:p>
    <w:p w14:paraId="4AE58D3C" w14:textId="25F9FA75" w:rsidR="00755AF7" w:rsidRPr="00781112" w:rsidRDefault="002B7490" w:rsidP="00755AF7">
      <w:pPr>
        <w:autoSpaceDE w:val="0"/>
        <w:autoSpaceDN w:val="0"/>
        <w:adjustRightInd w:val="0"/>
        <w:rPr>
          <w:rFonts w:cs="Arial"/>
          <w:color w:val="000000" w:themeColor="text1"/>
          <w:szCs w:val="16"/>
        </w:rPr>
      </w:pPr>
      <w:r w:rsidRPr="00781112">
        <w:rPr>
          <w:rFonts w:cs="Arial"/>
          <w:color w:val="000000" w:themeColor="text1"/>
          <w:szCs w:val="16"/>
        </w:rPr>
        <w:t>Leah Voorhies</w:t>
      </w:r>
    </w:p>
    <w:p w14:paraId="6368082B" w14:textId="28AD55BD" w:rsidR="00755AF7" w:rsidRPr="00781112" w:rsidRDefault="00EF4A6B" w:rsidP="00755AF7">
      <w:pPr>
        <w:autoSpaceDE w:val="0"/>
        <w:autoSpaceDN w:val="0"/>
        <w:adjustRightInd w:val="0"/>
        <w:rPr>
          <w:rFonts w:cs="Arial"/>
          <w:b/>
          <w:bCs/>
          <w:color w:val="000000" w:themeColor="text1"/>
          <w:szCs w:val="16"/>
        </w:rPr>
      </w:pPr>
      <w:r w:rsidRPr="00781112">
        <w:rPr>
          <w:rFonts w:cs="Arial"/>
          <w:b/>
          <w:bCs/>
          <w:color w:val="000000" w:themeColor="text1"/>
          <w:szCs w:val="16"/>
        </w:rPr>
        <w:t xml:space="preserve">Title: </w:t>
      </w:r>
    </w:p>
    <w:p w14:paraId="290E3D81" w14:textId="5C618752" w:rsidR="00755AF7" w:rsidRPr="00781112" w:rsidRDefault="002B7490" w:rsidP="00755AF7">
      <w:pPr>
        <w:autoSpaceDE w:val="0"/>
        <w:autoSpaceDN w:val="0"/>
        <w:adjustRightInd w:val="0"/>
        <w:rPr>
          <w:rFonts w:cs="Arial"/>
          <w:color w:val="000000" w:themeColor="text1"/>
          <w:szCs w:val="16"/>
        </w:rPr>
      </w:pPr>
      <w:r w:rsidRPr="00781112">
        <w:rPr>
          <w:rFonts w:cs="Arial"/>
          <w:color w:val="000000" w:themeColor="text1"/>
          <w:szCs w:val="16"/>
        </w:rPr>
        <w:t>Asst. Supt. of Student Support (State Director of Special Education)</w:t>
      </w:r>
    </w:p>
    <w:p w14:paraId="67DC6813" w14:textId="6EF07192" w:rsidR="00755AF7" w:rsidRPr="00EB41ED" w:rsidRDefault="00925E33" w:rsidP="00755AF7">
      <w:pPr>
        <w:autoSpaceDE w:val="0"/>
        <w:autoSpaceDN w:val="0"/>
        <w:adjustRightInd w:val="0"/>
        <w:rPr>
          <w:rFonts w:cs="Arial"/>
          <w:b/>
          <w:bCs/>
          <w:color w:val="000000" w:themeColor="text1"/>
          <w:szCs w:val="16"/>
          <w:lang w:val="fr-FR"/>
        </w:rPr>
      </w:pPr>
      <w:r w:rsidRPr="00EB41ED">
        <w:rPr>
          <w:rFonts w:cs="Arial"/>
          <w:b/>
          <w:bCs/>
          <w:color w:val="000000" w:themeColor="text1"/>
          <w:szCs w:val="16"/>
          <w:lang w:val="fr-FR"/>
        </w:rPr>
        <w:t xml:space="preserve">Email: </w:t>
      </w:r>
    </w:p>
    <w:p w14:paraId="0D9187A2" w14:textId="72ED05AF" w:rsidR="00755AF7" w:rsidRPr="00EB41ED" w:rsidRDefault="002B7490" w:rsidP="00755AF7">
      <w:pPr>
        <w:autoSpaceDE w:val="0"/>
        <w:autoSpaceDN w:val="0"/>
        <w:adjustRightInd w:val="0"/>
        <w:rPr>
          <w:rFonts w:cs="Arial"/>
          <w:color w:val="000000" w:themeColor="text1"/>
          <w:szCs w:val="16"/>
          <w:lang w:val="fr-FR"/>
        </w:rPr>
      </w:pPr>
      <w:r w:rsidRPr="00EB41ED">
        <w:rPr>
          <w:rFonts w:cs="Arial"/>
          <w:color w:val="000000" w:themeColor="text1"/>
          <w:szCs w:val="16"/>
          <w:lang w:val="fr-FR"/>
        </w:rPr>
        <w:t>leah.voorhies@schools.utah.gov</w:t>
      </w:r>
    </w:p>
    <w:p w14:paraId="230D0674" w14:textId="3A323DD4" w:rsidR="00755AF7" w:rsidRPr="00EB41ED" w:rsidRDefault="00EF4A6B" w:rsidP="00755AF7">
      <w:pPr>
        <w:autoSpaceDE w:val="0"/>
        <w:autoSpaceDN w:val="0"/>
        <w:adjustRightInd w:val="0"/>
        <w:rPr>
          <w:rFonts w:cs="Arial"/>
          <w:b/>
          <w:color w:val="000000" w:themeColor="text1"/>
          <w:szCs w:val="16"/>
          <w:lang w:val="fr-FR"/>
        </w:rPr>
      </w:pPr>
      <w:r w:rsidRPr="00EB41ED">
        <w:rPr>
          <w:rFonts w:cs="Arial"/>
          <w:b/>
          <w:color w:val="000000" w:themeColor="text1"/>
          <w:szCs w:val="16"/>
          <w:lang w:val="fr-FR"/>
        </w:rPr>
        <w:t>Phone:</w:t>
      </w:r>
    </w:p>
    <w:p w14:paraId="5A421E1A" w14:textId="3C4EA133" w:rsidR="00DD2023" w:rsidRPr="00EB41ED" w:rsidRDefault="002B7490" w:rsidP="00DD2023">
      <w:pPr>
        <w:autoSpaceDE w:val="0"/>
        <w:autoSpaceDN w:val="0"/>
        <w:adjustRightInd w:val="0"/>
        <w:rPr>
          <w:rFonts w:cs="Arial"/>
          <w:color w:val="000000" w:themeColor="text1"/>
          <w:szCs w:val="16"/>
          <w:lang w:val="fr-FR"/>
        </w:rPr>
      </w:pPr>
      <w:r w:rsidRPr="00EB41ED">
        <w:rPr>
          <w:rFonts w:cs="Arial"/>
          <w:color w:val="000000" w:themeColor="text1"/>
          <w:szCs w:val="16"/>
          <w:lang w:val="fr-FR"/>
        </w:rPr>
        <w:t>801-538-7898</w:t>
      </w:r>
    </w:p>
    <w:bookmarkEnd w:id="101"/>
    <w:p w14:paraId="17E495D6" w14:textId="2B4E1FA8" w:rsidR="000657F0" w:rsidRPr="00EB41ED" w:rsidRDefault="00C773DB" w:rsidP="000657F0">
      <w:pPr>
        <w:autoSpaceDE w:val="0"/>
        <w:autoSpaceDN w:val="0"/>
        <w:adjustRightInd w:val="0"/>
        <w:rPr>
          <w:rFonts w:cs="Arial"/>
          <w:b/>
          <w:color w:val="000000" w:themeColor="text1"/>
          <w:szCs w:val="16"/>
          <w:lang w:val="fr-FR"/>
        </w:rPr>
      </w:pPr>
      <w:proofErr w:type="spellStart"/>
      <w:r w:rsidRPr="00EB41ED">
        <w:rPr>
          <w:rFonts w:cs="Arial"/>
          <w:b/>
          <w:color w:val="000000" w:themeColor="text1"/>
          <w:szCs w:val="16"/>
          <w:lang w:val="fr-FR"/>
        </w:rPr>
        <w:t>Submitted</w:t>
      </w:r>
      <w:proofErr w:type="spellEnd"/>
      <w:r w:rsidRPr="00EB41ED">
        <w:rPr>
          <w:rFonts w:cs="Arial"/>
          <w:b/>
          <w:color w:val="000000" w:themeColor="text1"/>
          <w:szCs w:val="16"/>
          <w:lang w:val="fr-FR"/>
        </w:rPr>
        <w:t xml:space="preserve"> on:</w:t>
      </w:r>
    </w:p>
    <w:p w14:paraId="3754F1D5" w14:textId="5487A8BD" w:rsidR="00371FAA" w:rsidRPr="00EB41ED" w:rsidRDefault="006879FA" w:rsidP="00371FAA">
      <w:pPr>
        <w:rPr>
          <w:lang w:val="fr-FR"/>
        </w:rPr>
      </w:pPr>
      <w:r w:rsidRPr="00EB41ED">
        <w:rPr>
          <w:lang w:val="fr-FR"/>
        </w:rPr>
        <w:t>04/26/</w:t>
      </w:r>
      <w:proofErr w:type="gramStart"/>
      <w:r w:rsidRPr="00EB41ED">
        <w:rPr>
          <w:lang w:val="fr-FR"/>
        </w:rPr>
        <w:t>23  1</w:t>
      </w:r>
      <w:proofErr w:type="gramEnd"/>
      <w:r w:rsidRPr="00EB41ED">
        <w:rPr>
          <w:lang w:val="fr-FR"/>
        </w:rPr>
        <w:t>:38:13 PM</w:t>
      </w:r>
    </w:p>
    <w:p w14:paraId="137CE14B" w14:textId="38DBB8E3" w:rsidR="00371FAA" w:rsidRPr="00EB41ED" w:rsidRDefault="00D12506" w:rsidP="00D12506">
      <w:pPr>
        <w:spacing w:before="0" w:after="200" w:line="276" w:lineRule="auto"/>
        <w:rPr>
          <w:lang w:val="fr-FR"/>
        </w:rPr>
      </w:pPr>
      <w:r w:rsidRPr="00EB41ED">
        <w:rPr>
          <w:lang w:val="fr-FR"/>
        </w:rPr>
        <w:br w:type="page"/>
      </w:r>
    </w:p>
    <w:p w14:paraId="66D36872" w14:textId="52ECB6DB" w:rsidR="00BE0EEF" w:rsidRPr="00EB41ED" w:rsidRDefault="00AF2BDA" w:rsidP="00AF2BDA">
      <w:pPr>
        <w:pStyle w:val="Heading1"/>
        <w:rPr>
          <w:color w:val="000000" w:themeColor="text1"/>
          <w:lang w:val="fr-FR"/>
        </w:rPr>
      </w:pPr>
      <w:proofErr w:type="spellStart"/>
      <w:r w:rsidRPr="00EB41ED">
        <w:rPr>
          <w:color w:val="000000" w:themeColor="text1"/>
          <w:lang w:val="fr-FR"/>
        </w:rPr>
        <w:lastRenderedPageBreak/>
        <w:t>Determination</w:t>
      </w:r>
      <w:proofErr w:type="spellEnd"/>
      <w:r w:rsidRPr="00EB41ED">
        <w:rPr>
          <w:color w:val="000000" w:themeColor="text1"/>
          <w:lang w:val="fr-FR"/>
        </w:rPr>
        <w:t xml:space="preserve"> Enclosures</w:t>
      </w:r>
    </w:p>
    <w:p w14:paraId="7F6A87DA" w14:textId="7873ABE7" w:rsidR="00BE0EEF" w:rsidRPr="00EB41ED" w:rsidRDefault="00BE0EEF" w:rsidP="00BE0EEF">
      <w:pPr>
        <w:pStyle w:val="Heading2"/>
        <w:rPr>
          <w:lang w:val="fr-FR"/>
        </w:rPr>
      </w:pPr>
      <w:r w:rsidRPr="00EB41ED">
        <w:rPr>
          <w:lang w:val="fr-FR"/>
        </w:rPr>
        <w:t>RDA Matrix</w:t>
      </w:r>
    </w:p>
    <w:p w14:paraId="2AF799B5" w14:textId="5C9EB700" w:rsidR="009369B1" w:rsidRPr="00EB41ED" w:rsidRDefault="009369B1" w:rsidP="009369B1">
      <w:pPr>
        <w:rPr>
          <w:b/>
          <w:bCs/>
          <w:sz w:val="20"/>
          <w:szCs w:val="28"/>
          <w:lang w:val="fr-FR"/>
        </w:rPr>
      </w:pPr>
      <w:r w:rsidRPr="00EB41ED">
        <w:rPr>
          <w:b/>
          <w:bCs/>
          <w:sz w:val="20"/>
          <w:szCs w:val="28"/>
          <w:lang w:val="fr-FR"/>
        </w:rPr>
        <w:t>Utah</w:t>
      </w:r>
    </w:p>
    <w:p w14:paraId="34FD6914" w14:textId="4D3F485E" w:rsidR="00824D00" w:rsidRPr="00824D00" w:rsidRDefault="00BE0EEF" w:rsidP="00824D00">
      <w:pPr>
        <w:jc w:val="center"/>
        <w:rPr>
          <w:sz w:val="32"/>
          <w:szCs w:val="32"/>
        </w:rPr>
      </w:pPr>
      <w:r w:rsidRPr="007123A2">
        <w:rPr>
          <w:sz w:val="32"/>
          <w:szCs w:val="32"/>
        </w:rPr>
        <w:br/>
      </w:r>
      <w:r w:rsidRPr="00824D00">
        <w:rPr>
          <w:sz w:val="32"/>
          <w:szCs w:val="32"/>
        </w:rPr>
        <w:t>2023 Part B Results-Driven Accountability Matrix</w:t>
      </w:r>
    </w:p>
    <w:p w14:paraId="2A7E4326" w14:textId="77777777" w:rsidR="00BE0EEF" w:rsidRPr="00210AC6" w:rsidRDefault="00BE0EEF" w:rsidP="00BE0EEF">
      <w:pPr>
        <w:rPr>
          <w:rFonts w:cs="Arial"/>
          <w:b/>
          <w:bCs/>
          <w:szCs w:val="16"/>
        </w:rPr>
      </w:pPr>
      <w:r w:rsidRPr="00210AC6">
        <w:rPr>
          <w:rFonts w:cs="Arial"/>
          <w:b/>
          <w:bCs/>
          <w:szCs w:val="16"/>
        </w:rPr>
        <w:t>Results-Driven Accountability Percentage and Determination</w:t>
      </w:r>
      <w:r w:rsidRPr="00210AC6">
        <w:rPr>
          <w:rStyle w:val="FootnoteReference"/>
          <w:rFonts w:cs="Arial"/>
          <w:b/>
          <w:bCs/>
          <w:szCs w:val="16"/>
        </w:rPr>
        <w:footnoteReference w:id="12"/>
      </w:r>
    </w:p>
    <w:tbl>
      <w:tblPr>
        <w:tblStyle w:val="TableGrid1"/>
        <w:tblW w:w="5009" w:type="pct"/>
        <w:tblLook w:val="04A0" w:firstRow="1" w:lastRow="0" w:firstColumn="1" w:lastColumn="0" w:noHBand="0" w:noVBand="1"/>
        <w:tblCaption w:val="BENNSRSTRDACFFYSTAT"/>
      </w:tblPr>
      <w:tblGrid>
        <w:gridCol w:w="5404"/>
        <w:gridCol w:w="5405"/>
      </w:tblGrid>
      <w:tr w:rsidR="00BE0EEF" w:rsidRPr="00210AC6" w14:paraId="441F44A8" w14:textId="77777777" w:rsidTr="0064778E">
        <w:trPr>
          <w:tblHeader/>
        </w:trPr>
        <w:tc>
          <w:tcPr>
            <w:tcW w:w="2500" w:type="pct"/>
          </w:tcPr>
          <w:p w14:paraId="48E2D994" w14:textId="77777777" w:rsidR="00BE0EEF" w:rsidRPr="00210AC6" w:rsidRDefault="00BE0EEF" w:rsidP="002C333C">
            <w:pPr>
              <w:rPr>
                <w:rFonts w:cs="Arial"/>
                <w:b/>
                <w:bCs/>
                <w:szCs w:val="16"/>
              </w:rPr>
            </w:pPr>
            <w:r w:rsidRPr="00210AC6">
              <w:rPr>
                <w:rFonts w:cs="Arial"/>
                <w:b/>
                <w:bCs/>
                <w:szCs w:val="16"/>
              </w:rPr>
              <w:t>Percentage (%)</w:t>
            </w:r>
          </w:p>
        </w:tc>
        <w:tc>
          <w:tcPr>
            <w:tcW w:w="2500" w:type="pct"/>
          </w:tcPr>
          <w:p w14:paraId="41C1D543" w14:textId="77777777" w:rsidR="00BE0EEF" w:rsidRPr="00210AC6" w:rsidRDefault="00BE0EEF" w:rsidP="002C333C">
            <w:pPr>
              <w:rPr>
                <w:rFonts w:cs="Arial"/>
                <w:b/>
                <w:bCs/>
                <w:szCs w:val="16"/>
              </w:rPr>
            </w:pPr>
            <w:r w:rsidRPr="00210AC6">
              <w:rPr>
                <w:rFonts w:cs="Arial"/>
                <w:b/>
                <w:bCs/>
                <w:szCs w:val="16"/>
              </w:rPr>
              <w:t>Determination</w:t>
            </w:r>
          </w:p>
        </w:tc>
      </w:tr>
      <w:tr w:rsidR="00416463" w:rsidRPr="00210AC6" w14:paraId="2EA9543B" w14:textId="77777777" w:rsidTr="00FB3F34">
        <w:tc>
          <w:tcPr>
            <w:tcW w:w="2500" w:type="pct"/>
          </w:tcPr>
          <w:p w14:paraId="7E99A849" w14:textId="1196736B" w:rsidR="00416463" w:rsidRPr="00210AC6" w:rsidRDefault="00416463" w:rsidP="00416463">
            <w:pPr>
              <w:rPr>
                <w:rFonts w:cs="Arial"/>
                <w:szCs w:val="16"/>
              </w:rPr>
            </w:pPr>
            <w:r w:rsidRPr="00210AC6">
              <w:rPr>
                <w:rFonts w:cs="Arial"/>
                <w:szCs w:val="16"/>
              </w:rPr>
              <w:t>65.42%</w:t>
            </w:r>
          </w:p>
        </w:tc>
        <w:tc>
          <w:tcPr>
            <w:tcW w:w="2500" w:type="pct"/>
          </w:tcPr>
          <w:p w14:paraId="67D9EEC1" w14:textId="53D67E7A" w:rsidR="00416463" w:rsidRPr="00210AC6" w:rsidRDefault="00416463" w:rsidP="00416463">
            <w:pPr>
              <w:rPr>
                <w:rFonts w:cs="Arial"/>
                <w:szCs w:val="16"/>
              </w:rPr>
            </w:pPr>
            <w:r w:rsidRPr="00210AC6">
              <w:rPr>
                <w:rFonts w:cs="Arial"/>
                <w:noProof/>
                <w:szCs w:val="16"/>
              </w:rPr>
              <w:t>Needs Assistance</w:t>
            </w:r>
          </w:p>
        </w:tc>
      </w:tr>
    </w:tbl>
    <w:p w14:paraId="3111276A" w14:textId="77777777" w:rsidR="00BE0EEF" w:rsidRPr="00210AC6" w:rsidRDefault="00BE0EEF" w:rsidP="00BE0EEF">
      <w:pPr>
        <w:rPr>
          <w:rFonts w:cs="Arial"/>
          <w:b/>
          <w:bCs/>
          <w:szCs w:val="16"/>
        </w:rPr>
      </w:pPr>
      <w:r w:rsidRPr="00210AC6">
        <w:rPr>
          <w:rFonts w:cs="Arial"/>
          <w:b/>
          <w:bCs/>
          <w:szCs w:val="16"/>
        </w:rPr>
        <w:t>Results and Compliance Overall Scoring</w:t>
      </w:r>
    </w:p>
    <w:tbl>
      <w:tblPr>
        <w:tblStyle w:val="TableGrid1"/>
        <w:tblW w:w="5005" w:type="pct"/>
        <w:tblLayout w:type="fixed"/>
        <w:tblLook w:val="04A0" w:firstRow="1" w:lastRow="0" w:firstColumn="1" w:lastColumn="0" w:noHBand="0" w:noVBand="1"/>
        <w:tblCaption w:val="BENNSRSTCMPCFFYSTAT"/>
      </w:tblPr>
      <w:tblGrid>
        <w:gridCol w:w="2724"/>
        <w:gridCol w:w="2724"/>
        <w:gridCol w:w="2722"/>
        <w:gridCol w:w="2631"/>
      </w:tblGrid>
      <w:tr w:rsidR="00BE0EEF" w:rsidRPr="00210AC6" w14:paraId="171A34FE" w14:textId="77777777" w:rsidTr="00851F98">
        <w:trPr>
          <w:tblHeader/>
        </w:trPr>
        <w:tc>
          <w:tcPr>
            <w:tcW w:w="1261" w:type="pct"/>
          </w:tcPr>
          <w:p w14:paraId="7A21C806" w14:textId="77777777" w:rsidR="00BE0EEF" w:rsidRPr="00210AC6" w:rsidRDefault="00BE0EEF" w:rsidP="002C333C">
            <w:pPr>
              <w:rPr>
                <w:rFonts w:cs="Arial"/>
                <w:b/>
                <w:bCs/>
                <w:szCs w:val="16"/>
              </w:rPr>
            </w:pPr>
          </w:p>
        </w:tc>
        <w:tc>
          <w:tcPr>
            <w:tcW w:w="1261" w:type="pct"/>
          </w:tcPr>
          <w:p w14:paraId="7D03890F" w14:textId="77777777" w:rsidR="00BE0EEF" w:rsidRPr="00210AC6" w:rsidRDefault="00BE0EEF" w:rsidP="002C333C">
            <w:pPr>
              <w:rPr>
                <w:rFonts w:cs="Arial"/>
                <w:b/>
                <w:bCs/>
                <w:szCs w:val="16"/>
              </w:rPr>
            </w:pPr>
            <w:r w:rsidRPr="00210AC6">
              <w:rPr>
                <w:rFonts w:cs="Arial"/>
                <w:b/>
                <w:bCs/>
                <w:szCs w:val="16"/>
              </w:rPr>
              <w:t>Total Points Available</w:t>
            </w:r>
          </w:p>
        </w:tc>
        <w:tc>
          <w:tcPr>
            <w:tcW w:w="1260" w:type="pct"/>
          </w:tcPr>
          <w:p w14:paraId="0BAE0076" w14:textId="77777777" w:rsidR="00BE0EEF" w:rsidRPr="00210AC6" w:rsidRDefault="00BE0EEF" w:rsidP="002C333C">
            <w:pPr>
              <w:rPr>
                <w:rFonts w:cs="Arial"/>
                <w:b/>
                <w:bCs/>
                <w:szCs w:val="16"/>
              </w:rPr>
            </w:pPr>
            <w:r w:rsidRPr="00210AC6">
              <w:rPr>
                <w:rFonts w:cs="Arial"/>
                <w:b/>
                <w:bCs/>
                <w:szCs w:val="16"/>
              </w:rPr>
              <w:t>Points Earned</w:t>
            </w:r>
          </w:p>
        </w:tc>
        <w:tc>
          <w:tcPr>
            <w:tcW w:w="1218" w:type="pct"/>
          </w:tcPr>
          <w:p w14:paraId="2D5453A9" w14:textId="77777777" w:rsidR="00BE0EEF" w:rsidRPr="00210AC6" w:rsidRDefault="00BE0EEF" w:rsidP="002C333C">
            <w:pPr>
              <w:rPr>
                <w:rFonts w:cs="Arial"/>
                <w:b/>
                <w:bCs/>
                <w:szCs w:val="16"/>
              </w:rPr>
            </w:pPr>
            <w:r w:rsidRPr="00210AC6">
              <w:rPr>
                <w:rFonts w:cs="Arial"/>
                <w:b/>
                <w:bCs/>
                <w:szCs w:val="16"/>
              </w:rPr>
              <w:t>Score (%)</w:t>
            </w:r>
          </w:p>
        </w:tc>
      </w:tr>
      <w:tr w:rsidR="00E1330D" w:rsidRPr="00210AC6" w14:paraId="24CD0491" w14:textId="77777777" w:rsidTr="00851F98">
        <w:tc>
          <w:tcPr>
            <w:tcW w:w="1261" w:type="pct"/>
          </w:tcPr>
          <w:p w14:paraId="636FA965" w14:textId="77777777" w:rsidR="00E1330D" w:rsidRPr="00210AC6" w:rsidRDefault="00E1330D" w:rsidP="00E1330D">
            <w:pPr>
              <w:rPr>
                <w:rFonts w:cs="Arial"/>
                <w:b/>
                <w:bCs/>
                <w:szCs w:val="16"/>
              </w:rPr>
            </w:pPr>
            <w:r w:rsidRPr="00210AC6">
              <w:rPr>
                <w:rFonts w:cs="Arial"/>
                <w:b/>
                <w:bCs/>
                <w:szCs w:val="16"/>
              </w:rPr>
              <w:t>Results</w:t>
            </w:r>
          </w:p>
        </w:tc>
        <w:tc>
          <w:tcPr>
            <w:tcW w:w="1261" w:type="pct"/>
          </w:tcPr>
          <w:p w14:paraId="4DC27F93" w14:textId="2A310F59" w:rsidR="00E1330D" w:rsidRPr="00210AC6" w:rsidRDefault="00E1330D" w:rsidP="00E1330D">
            <w:pPr>
              <w:rPr>
                <w:rFonts w:cs="Arial"/>
                <w:noProof/>
                <w:szCs w:val="16"/>
              </w:rPr>
            </w:pPr>
            <w:r w:rsidRPr="00210AC6">
              <w:rPr>
                <w:rFonts w:cs="Arial"/>
                <w:szCs w:val="16"/>
              </w:rPr>
              <w:t>24</w:t>
            </w:r>
          </w:p>
        </w:tc>
        <w:tc>
          <w:tcPr>
            <w:tcW w:w="1260" w:type="pct"/>
          </w:tcPr>
          <w:p w14:paraId="39A51C38" w14:textId="16E843D2" w:rsidR="00E1330D" w:rsidRPr="00210AC6" w:rsidRDefault="00E1330D" w:rsidP="00E1330D">
            <w:pPr>
              <w:rPr>
                <w:rFonts w:cs="Arial"/>
                <w:szCs w:val="16"/>
              </w:rPr>
            </w:pPr>
            <w:r w:rsidRPr="00210AC6">
              <w:rPr>
                <w:rFonts w:cs="Arial"/>
                <w:szCs w:val="16"/>
              </w:rPr>
              <w:t>11</w:t>
            </w:r>
          </w:p>
        </w:tc>
        <w:tc>
          <w:tcPr>
            <w:tcW w:w="1218" w:type="pct"/>
          </w:tcPr>
          <w:p w14:paraId="0E3866D0" w14:textId="74D5D84B" w:rsidR="00E1330D" w:rsidRPr="00210AC6" w:rsidRDefault="00E1330D" w:rsidP="00E1330D">
            <w:pPr>
              <w:rPr>
                <w:rFonts w:cs="Arial"/>
                <w:szCs w:val="16"/>
              </w:rPr>
            </w:pPr>
            <w:r w:rsidRPr="00210AC6">
              <w:rPr>
                <w:rFonts w:cs="Arial"/>
                <w:szCs w:val="16"/>
              </w:rPr>
              <w:t>45.83%</w:t>
            </w:r>
          </w:p>
        </w:tc>
      </w:tr>
      <w:tr w:rsidR="00E1330D" w:rsidRPr="00210AC6" w14:paraId="6160CFE2" w14:textId="77777777" w:rsidTr="00851F98">
        <w:tc>
          <w:tcPr>
            <w:tcW w:w="1261" w:type="pct"/>
          </w:tcPr>
          <w:p w14:paraId="683501B2" w14:textId="77777777" w:rsidR="00E1330D" w:rsidRPr="00210AC6" w:rsidRDefault="00E1330D" w:rsidP="00E1330D">
            <w:pPr>
              <w:rPr>
                <w:rFonts w:cs="Arial"/>
                <w:b/>
                <w:bCs/>
                <w:szCs w:val="16"/>
              </w:rPr>
            </w:pPr>
            <w:r w:rsidRPr="00210AC6">
              <w:rPr>
                <w:rFonts w:cs="Arial"/>
                <w:b/>
                <w:bCs/>
                <w:szCs w:val="16"/>
              </w:rPr>
              <w:t>Compliance</w:t>
            </w:r>
          </w:p>
        </w:tc>
        <w:tc>
          <w:tcPr>
            <w:tcW w:w="1261" w:type="pct"/>
          </w:tcPr>
          <w:p w14:paraId="548EED65" w14:textId="52CD3569" w:rsidR="00E1330D" w:rsidRPr="00210AC6" w:rsidRDefault="00E1330D" w:rsidP="00E1330D">
            <w:pPr>
              <w:rPr>
                <w:rFonts w:cs="Arial"/>
                <w:szCs w:val="16"/>
              </w:rPr>
            </w:pPr>
            <w:r w:rsidRPr="00210AC6">
              <w:rPr>
                <w:rFonts w:cs="Arial"/>
                <w:szCs w:val="16"/>
              </w:rPr>
              <w:t>20</w:t>
            </w:r>
          </w:p>
        </w:tc>
        <w:tc>
          <w:tcPr>
            <w:tcW w:w="1260" w:type="pct"/>
          </w:tcPr>
          <w:p w14:paraId="0A360C78" w14:textId="7DE98E29" w:rsidR="00E1330D" w:rsidRPr="00210AC6" w:rsidRDefault="00E1330D" w:rsidP="00E1330D">
            <w:pPr>
              <w:rPr>
                <w:rFonts w:cs="Arial"/>
                <w:szCs w:val="16"/>
              </w:rPr>
            </w:pPr>
            <w:r w:rsidRPr="00210AC6">
              <w:rPr>
                <w:rFonts w:cs="Arial"/>
                <w:szCs w:val="16"/>
              </w:rPr>
              <w:t>17</w:t>
            </w:r>
          </w:p>
        </w:tc>
        <w:tc>
          <w:tcPr>
            <w:tcW w:w="1218" w:type="pct"/>
          </w:tcPr>
          <w:p w14:paraId="568903BA" w14:textId="193CF7F1" w:rsidR="00E1330D" w:rsidRPr="00210AC6" w:rsidRDefault="00E1330D" w:rsidP="00E1330D">
            <w:pPr>
              <w:rPr>
                <w:rFonts w:cs="Arial"/>
                <w:szCs w:val="16"/>
              </w:rPr>
            </w:pPr>
            <w:r w:rsidRPr="00210AC6">
              <w:rPr>
                <w:rFonts w:cs="Arial"/>
                <w:szCs w:val="16"/>
              </w:rPr>
              <w:t>85.00%</w:t>
            </w:r>
          </w:p>
        </w:tc>
      </w:tr>
    </w:tbl>
    <w:p w14:paraId="5A13FEB8" w14:textId="650D2B71" w:rsidR="00BE0EEF" w:rsidRDefault="00BE0EEF" w:rsidP="00BE0EEF">
      <w:pPr>
        <w:rPr>
          <w:rFonts w:cs="Arial"/>
          <w:b/>
          <w:bCs/>
          <w:szCs w:val="16"/>
        </w:rPr>
      </w:pPr>
      <w:r w:rsidRPr="00210AC6">
        <w:rPr>
          <w:rFonts w:cs="Arial"/>
          <w:b/>
          <w:bCs/>
          <w:szCs w:val="16"/>
        </w:rPr>
        <w:t>2023 Part B Results Matrix</w:t>
      </w:r>
    </w:p>
    <w:p w14:paraId="54FF45BF" w14:textId="4C5619B9" w:rsidR="00353EB1" w:rsidRPr="00210AC6" w:rsidRDefault="00353EB1" w:rsidP="00353EB1">
      <w:pPr>
        <w:rPr>
          <w:rFonts w:cs="Arial"/>
          <w:b/>
          <w:bCs/>
          <w:szCs w:val="16"/>
        </w:rPr>
      </w:pPr>
      <w:r w:rsidRPr="00210AC6">
        <w:rPr>
          <w:rFonts w:cs="Arial"/>
          <w:b/>
          <w:bCs/>
          <w:szCs w:val="16"/>
        </w:rPr>
        <w:t>Reading Assessment Elements</w:t>
      </w:r>
    </w:p>
    <w:tbl>
      <w:tblPr>
        <w:tblStyle w:val="TableGrid1"/>
        <w:tblW w:w="5009" w:type="pct"/>
        <w:tblLayout w:type="fixed"/>
        <w:tblLook w:val="04A0" w:firstRow="1" w:lastRow="0" w:firstColumn="1" w:lastColumn="0" w:noHBand="0" w:noVBand="1"/>
        <w:tblCaption w:val="BRLAENNSRSTCFFY"/>
      </w:tblPr>
      <w:tblGrid>
        <w:gridCol w:w="7207"/>
        <w:gridCol w:w="1801"/>
        <w:gridCol w:w="1801"/>
      </w:tblGrid>
      <w:tr w:rsidR="00BE0EEF" w:rsidRPr="00210AC6" w14:paraId="6C98717E" w14:textId="77777777" w:rsidTr="0064778E">
        <w:trPr>
          <w:tblHeader/>
        </w:trPr>
        <w:tc>
          <w:tcPr>
            <w:tcW w:w="3334" w:type="pct"/>
          </w:tcPr>
          <w:p w14:paraId="7B58243A" w14:textId="77777777" w:rsidR="00BE0EEF" w:rsidRPr="00210AC6" w:rsidRDefault="00BE0EEF" w:rsidP="002C333C">
            <w:pPr>
              <w:rPr>
                <w:rFonts w:cs="Arial"/>
                <w:b/>
                <w:bCs/>
                <w:szCs w:val="16"/>
              </w:rPr>
            </w:pPr>
            <w:r w:rsidRPr="00210AC6">
              <w:rPr>
                <w:rFonts w:cs="Arial"/>
                <w:b/>
                <w:bCs/>
                <w:szCs w:val="16"/>
              </w:rPr>
              <w:t>Reading Assessment Elements</w:t>
            </w:r>
          </w:p>
        </w:tc>
        <w:tc>
          <w:tcPr>
            <w:tcW w:w="833" w:type="pct"/>
          </w:tcPr>
          <w:p w14:paraId="7F72CFD5" w14:textId="77777777" w:rsidR="00BE0EEF" w:rsidRPr="00210AC6" w:rsidRDefault="00BE0EEF" w:rsidP="002C333C">
            <w:pPr>
              <w:rPr>
                <w:rFonts w:cs="Arial"/>
                <w:b/>
                <w:bCs/>
                <w:szCs w:val="16"/>
              </w:rPr>
            </w:pPr>
            <w:r w:rsidRPr="00210AC6">
              <w:rPr>
                <w:rFonts w:cs="Arial"/>
                <w:b/>
                <w:bCs/>
                <w:szCs w:val="16"/>
              </w:rPr>
              <w:t>Performance (%)</w:t>
            </w:r>
          </w:p>
        </w:tc>
        <w:tc>
          <w:tcPr>
            <w:tcW w:w="833" w:type="pct"/>
          </w:tcPr>
          <w:p w14:paraId="729C2DDD" w14:textId="77777777" w:rsidR="00BE0EEF" w:rsidRPr="00210AC6" w:rsidRDefault="00BE0EEF" w:rsidP="002C333C">
            <w:pPr>
              <w:rPr>
                <w:rFonts w:cs="Arial"/>
                <w:b/>
                <w:bCs/>
                <w:szCs w:val="16"/>
              </w:rPr>
            </w:pPr>
            <w:r w:rsidRPr="00210AC6">
              <w:rPr>
                <w:rFonts w:cs="Arial"/>
                <w:b/>
                <w:bCs/>
                <w:szCs w:val="16"/>
              </w:rPr>
              <w:t>Score</w:t>
            </w:r>
          </w:p>
        </w:tc>
      </w:tr>
      <w:tr w:rsidR="00AC185D" w:rsidRPr="00210AC6" w14:paraId="66509352" w14:textId="77777777" w:rsidTr="00FB3F34">
        <w:tc>
          <w:tcPr>
            <w:tcW w:w="3334" w:type="pct"/>
          </w:tcPr>
          <w:p w14:paraId="2F46D281" w14:textId="77777777" w:rsidR="00AC185D" w:rsidRPr="00210AC6" w:rsidRDefault="00AC185D" w:rsidP="00AC185D">
            <w:pPr>
              <w:rPr>
                <w:rFonts w:cs="Arial"/>
                <w:b/>
                <w:bCs/>
                <w:szCs w:val="16"/>
              </w:rPr>
            </w:pPr>
            <w:r w:rsidRPr="00210AC6">
              <w:rPr>
                <w:rFonts w:cs="Arial"/>
                <w:b/>
                <w:bCs/>
                <w:szCs w:val="16"/>
              </w:rPr>
              <w:t>Percentage of 4th Grade Children with Disabilities Participating in Regular Statewide Assessments</w:t>
            </w:r>
          </w:p>
        </w:tc>
        <w:tc>
          <w:tcPr>
            <w:tcW w:w="833" w:type="pct"/>
          </w:tcPr>
          <w:p w14:paraId="4B066FB6" w14:textId="10207BB8" w:rsidR="00AC185D" w:rsidRPr="00210AC6" w:rsidRDefault="00AC185D" w:rsidP="00AC185D">
            <w:pPr>
              <w:rPr>
                <w:rFonts w:cs="Arial"/>
                <w:szCs w:val="16"/>
              </w:rPr>
            </w:pPr>
            <w:r w:rsidRPr="00210AC6">
              <w:rPr>
                <w:rFonts w:cs="Arial"/>
                <w:szCs w:val="16"/>
              </w:rPr>
              <w:t>N</w:t>
            </w:r>
            <w:r w:rsidR="009369B1">
              <w:rPr>
                <w:rFonts w:cs="Arial"/>
                <w:szCs w:val="16"/>
              </w:rPr>
              <w:t>ot Valid and Reliable</w:t>
            </w:r>
          </w:p>
        </w:tc>
        <w:tc>
          <w:tcPr>
            <w:tcW w:w="833" w:type="pct"/>
          </w:tcPr>
          <w:p w14:paraId="50F87295" w14:textId="3E5BE83B" w:rsidR="00AC185D" w:rsidRPr="00210AC6" w:rsidRDefault="00AC185D" w:rsidP="00AC185D">
            <w:pPr>
              <w:rPr>
                <w:rFonts w:cs="Arial"/>
                <w:szCs w:val="16"/>
              </w:rPr>
            </w:pPr>
            <w:r w:rsidRPr="00210AC6">
              <w:rPr>
                <w:rFonts w:cs="Arial"/>
                <w:szCs w:val="16"/>
              </w:rPr>
              <w:t>0</w:t>
            </w:r>
          </w:p>
        </w:tc>
      </w:tr>
      <w:tr w:rsidR="00AC185D" w:rsidRPr="00210AC6" w14:paraId="3550FF4A" w14:textId="77777777" w:rsidTr="00FB3F34">
        <w:tc>
          <w:tcPr>
            <w:tcW w:w="3334" w:type="pct"/>
          </w:tcPr>
          <w:p w14:paraId="3C309EC9" w14:textId="77777777" w:rsidR="00AC185D" w:rsidRPr="00210AC6" w:rsidRDefault="00AC185D" w:rsidP="00AC185D">
            <w:pPr>
              <w:rPr>
                <w:rFonts w:cs="Arial"/>
                <w:b/>
                <w:bCs/>
                <w:szCs w:val="16"/>
              </w:rPr>
            </w:pPr>
            <w:r w:rsidRPr="00210AC6">
              <w:rPr>
                <w:rFonts w:cs="Arial"/>
                <w:b/>
                <w:bCs/>
                <w:szCs w:val="16"/>
              </w:rPr>
              <w:t>Percentage of 8th Grade Children with Disabilities Participating in Regular Statewide Assessments</w:t>
            </w:r>
          </w:p>
        </w:tc>
        <w:tc>
          <w:tcPr>
            <w:tcW w:w="833" w:type="pct"/>
          </w:tcPr>
          <w:p w14:paraId="3048515F" w14:textId="4E0DEF96" w:rsidR="00AC185D" w:rsidRPr="00210AC6" w:rsidRDefault="009369B1" w:rsidP="00AC185D">
            <w:pPr>
              <w:rPr>
                <w:rFonts w:cs="Arial"/>
                <w:szCs w:val="16"/>
              </w:rPr>
            </w:pPr>
            <w:r w:rsidRPr="00210AC6">
              <w:rPr>
                <w:rFonts w:cs="Arial"/>
                <w:szCs w:val="16"/>
              </w:rPr>
              <w:t>N</w:t>
            </w:r>
            <w:r>
              <w:rPr>
                <w:rFonts w:cs="Arial"/>
                <w:szCs w:val="16"/>
              </w:rPr>
              <w:t>ot Valid and Reliable</w:t>
            </w:r>
          </w:p>
        </w:tc>
        <w:tc>
          <w:tcPr>
            <w:tcW w:w="833" w:type="pct"/>
          </w:tcPr>
          <w:p w14:paraId="616686DF" w14:textId="143C7242" w:rsidR="00AC185D" w:rsidRPr="00210AC6" w:rsidRDefault="00AC185D" w:rsidP="00AC185D">
            <w:pPr>
              <w:rPr>
                <w:rFonts w:cs="Arial"/>
                <w:szCs w:val="16"/>
              </w:rPr>
            </w:pPr>
            <w:r w:rsidRPr="00210AC6">
              <w:rPr>
                <w:rFonts w:cs="Arial"/>
                <w:szCs w:val="16"/>
              </w:rPr>
              <w:t>0</w:t>
            </w:r>
          </w:p>
        </w:tc>
      </w:tr>
      <w:tr w:rsidR="00AC185D" w:rsidRPr="00210AC6" w14:paraId="3DAECFCC" w14:textId="77777777" w:rsidTr="00FB3F34">
        <w:tc>
          <w:tcPr>
            <w:tcW w:w="3334" w:type="pct"/>
          </w:tcPr>
          <w:p w14:paraId="7F5E9165" w14:textId="77777777" w:rsidR="00AC185D" w:rsidRPr="00210AC6" w:rsidRDefault="00AC185D" w:rsidP="00AC185D">
            <w:pPr>
              <w:rPr>
                <w:rFonts w:cs="Arial"/>
                <w:b/>
                <w:bCs/>
                <w:szCs w:val="16"/>
              </w:rPr>
            </w:pPr>
            <w:r w:rsidRPr="00210AC6">
              <w:rPr>
                <w:rFonts w:cs="Arial"/>
                <w:b/>
                <w:bCs/>
                <w:szCs w:val="16"/>
              </w:rPr>
              <w:t>Percentage of 4th Grade Children with Disabilities Scoring at Basic or Above on the National Assessment of Educational Progress</w:t>
            </w:r>
          </w:p>
        </w:tc>
        <w:tc>
          <w:tcPr>
            <w:tcW w:w="833" w:type="pct"/>
          </w:tcPr>
          <w:p w14:paraId="69FCD5E3" w14:textId="2225AB69" w:rsidR="00AC185D" w:rsidRPr="00210AC6" w:rsidRDefault="00AC185D" w:rsidP="00AC185D">
            <w:pPr>
              <w:rPr>
                <w:rFonts w:cs="Arial"/>
                <w:szCs w:val="16"/>
              </w:rPr>
            </w:pPr>
            <w:r w:rsidRPr="00210AC6">
              <w:rPr>
                <w:rFonts w:cs="Arial"/>
                <w:szCs w:val="16"/>
              </w:rPr>
              <w:t>32%</w:t>
            </w:r>
          </w:p>
        </w:tc>
        <w:tc>
          <w:tcPr>
            <w:tcW w:w="833" w:type="pct"/>
          </w:tcPr>
          <w:p w14:paraId="23A64B98" w14:textId="5F4E05F3" w:rsidR="00AC185D" w:rsidRPr="00210AC6" w:rsidRDefault="00AC185D" w:rsidP="00AC185D">
            <w:pPr>
              <w:rPr>
                <w:rFonts w:cs="Arial"/>
                <w:szCs w:val="16"/>
              </w:rPr>
            </w:pPr>
            <w:r w:rsidRPr="00210AC6">
              <w:rPr>
                <w:rFonts w:cs="Arial"/>
                <w:szCs w:val="16"/>
              </w:rPr>
              <w:t>2</w:t>
            </w:r>
          </w:p>
        </w:tc>
      </w:tr>
      <w:tr w:rsidR="00AC185D" w:rsidRPr="00210AC6" w14:paraId="2B48B4E0" w14:textId="77777777" w:rsidTr="00FB3F34">
        <w:tc>
          <w:tcPr>
            <w:tcW w:w="3334" w:type="pct"/>
          </w:tcPr>
          <w:p w14:paraId="7666AD2F" w14:textId="77777777" w:rsidR="00AC185D" w:rsidRPr="00210AC6" w:rsidRDefault="00AC185D" w:rsidP="00AC185D">
            <w:pPr>
              <w:rPr>
                <w:rFonts w:cs="Arial"/>
                <w:b/>
                <w:bCs/>
                <w:szCs w:val="16"/>
              </w:rPr>
            </w:pPr>
            <w:r w:rsidRPr="00210AC6">
              <w:rPr>
                <w:rFonts w:cs="Arial"/>
                <w:b/>
                <w:bCs/>
                <w:szCs w:val="16"/>
              </w:rPr>
              <w:t>Percentage of 4th Grade Children with Disabilities Included in Testing on the National Assessment of Educational Progress</w:t>
            </w:r>
          </w:p>
        </w:tc>
        <w:tc>
          <w:tcPr>
            <w:tcW w:w="833" w:type="pct"/>
          </w:tcPr>
          <w:p w14:paraId="5C0EC960" w14:textId="61075875" w:rsidR="00AC185D" w:rsidRPr="00210AC6" w:rsidRDefault="00AC185D" w:rsidP="00AC185D">
            <w:pPr>
              <w:rPr>
                <w:rFonts w:cs="Arial"/>
                <w:szCs w:val="16"/>
              </w:rPr>
            </w:pPr>
            <w:r w:rsidRPr="00210AC6">
              <w:rPr>
                <w:rFonts w:cs="Arial"/>
                <w:szCs w:val="16"/>
              </w:rPr>
              <w:t>97%</w:t>
            </w:r>
          </w:p>
        </w:tc>
        <w:tc>
          <w:tcPr>
            <w:tcW w:w="833" w:type="pct"/>
          </w:tcPr>
          <w:p w14:paraId="3E5057E5" w14:textId="74D3F3A3" w:rsidR="00AC185D" w:rsidRPr="00210AC6" w:rsidRDefault="00AC185D" w:rsidP="00AC185D">
            <w:pPr>
              <w:rPr>
                <w:rFonts w:cs="Arial"/>
                <w:szCs w:val="16"/>
              </w:rPr>
            </w:pPr>
            <w:r w:rsidRPr="00210AC6">
              <w:rPr>
                <w:rFonts w:cs="Arial"/>
                <w:szCs w:val="16"/>
              </w:rPr>
              <w:t>1</w:t>
            </w:r>
          </w:p>
        </w:tc>
      </w:tr>
      <w:tr w:rsidR="00AC185D" w:rsidRPr="00210AC6" w14:paraId="558A8BBA" w14:textId="77777777" w:rsidTr="00FB3F34">
        <w:tc>
          <w:tcPr>
            <w:tcW w:w="3334" w:type="pct"/>
          </w:tcPr>
          <w:p w14:paraId="1F4FB032" w14:textId="77777777" w:rsidR="00AC185D" w:rsidRPr="00210AC6" w:rsidRDefault="00AC185D" w:rsidP="00AC185D">
            <w:pPr>
              <w:rPr>
                <w:rFonts w:cs="Arial"/>
                <w:b/>
                <w:bCs/>
                <w:szCs w:val="16"/>
              </w:rPr>
            </w:pPr>
            <w:r w:rsidRPr="00210AC6">
              <w:rPr>
                <w:rFonts w:cs="Arial"/>
                <w:b/>
                <w:bCs/>
                <w:szCs w:val="16"/>
              </w:rPr>
              <w:t>Percentage of 8th Grade Children with Disabilities Scoring at Basic or Above on the National Assessment of Educational Progress</w:t>
            </w:r>
          </w:p>
        </w:tc>
        <w:tc>
          <w:tcPr>
            <w:tcW w:w="833" w:type="pct"/>
          </w:tcPr>
          <w:p w14:paraId="4F273831" w14:textId="3D65715F" w:rsidR="00AC185D" w:rsidRPr="00210AC6" w:rsidRDefault="00AC185D" w:rsidP="00AC185D">
            <w:pPr>
              <w:rPr>
                <w:rFonts w:cs="Arial"/>
                <w:szCs w:val="16"/>
              </w:rPr>
            </w:pPr>
            <w:r w:rsidRPr="00210AC6">
              <w:rPr>
                <w:rFonts w:cs="Arial"/>
                <w:szCs w:val="16"/>
              </w:rPr>
              <w:t>34%</w:t>
            </w:r>
          </w:p>
        </w:tc>
        <w:tc>
          <w:tcPr>
            <w:tcW w:w="833" w:type="pct"/>
          </w:tcPr>
          <w:p w14:paraId="2EA39B53" w14:textId="06051205" w:rsidR="00AC185D" w:rsidRPr="00210AC6" w:rsidRDefault="00AC185D" w:rsidP="00AC185D">
            <w:pPr>
              <w:rPr>
                <w:rFonts w:cs="Arial"/>
                <w:szCs w:val="16"/>
              </w:rPr>
            </w:pPr>
            <w:r w:rsidRPr="00210AC6">
              <w:rPr>
                <w:rFonts w:cs="Arial"/>
                <w:szCs w:val="16"/>
              </w:rPr>
              <w:t>2</w:t>
            </w:r>
          </w:p>
        </w:tc>
      </w:tr>
      <w:tr w:rsidR="00AC185D" w:rsidRPr="00210AC6" w14:paraId="13947FC1" w14:textId="77777777" w:rsidTr="00FB3F34">
        <w:tc>
          <w:tcPr>
            <w:tcW w:w="3334" w:type="pct"/>
          </w:tcPr>
          <w:p w14:paraId="3F1F50D6" w14:textId="77777777" w:rsidR="00AC185D" w:rsidRPr="00210AC6" w:rsidRDefault="00AC185D" w:rsidP="00AC185D">
            <w:pPr>
              <w:rPr>
                <w:rFonts w:cs="Arial"/>
                <w:b/>
                <w:bCs/>
                <w:szCs w:val="16"/>
              </w:rPr>
            </w:pPr>
            <w:r w:rsidRPr="00210AC6">
              <w:rPr>
                <w:rFonts w:cs="Arial"/>
                <w:b/>
                <w:bCs/>
                <w:szCs w:val="16"/>
              </w:rPr>
              <w:t>Percentage of 8th Grade Children with Disabilities Included in Testing on the National Assessment of Educational Progress</w:t>
            </w:r>
          </w:p>
        </w:tc>
        <w:tc>
          <w:tcPr>
            <w:tcW w:w="833" w:type="pct"/>
          </w:tcPr>
          <w:p w14:paraId="2F6CFBA8" w14:textId="5E8AA4EC" w:rsidR="00AC185D" w:rsidRPr="00210AC6" w:rsidRDefault="00AC185D" w:rsidP="00AC185D">
            <w:pPr>
              <w:rPr>
                <w:rFonts w:cs="Arial"/>
                <w:szCs w:val="16"/>
              </w:rPr>
            </w:pPr>
            <w:r w:rsidRPr="00210AC6">
              <w:rPr>
                <w:rFonts w:cs="Arial"/>
                <w:szCs w:val="16"/>
              </w:rPr>
              <w:t>94%</w:t>
            </w:r>
          </w:p>
        </w:tc>
        <w:tc>
          <w:tcPr>
            <w:tcW w:w="833" w:type="pct"/>
          </w:tcPr>
          <w:p w14:paraId="02FF34AD" w14:textId="55F2DC29" w:rsidR="00AC185D" w:rsidRPr="00210AC6" w:rsidRDefault="00AC185D" w:rsidP="00AC185D">
            <w:pPr>
              <w:rPr>
                <w:rFonts w:cs="Arial"/>
                <w:szCs w:val="16"/>
              </w:rPr>
            </w:pPr>
            <w:r w:rsidRPr="00210AC6">
              <w:rPr>
                <w:rFonts w:cs="Arial"/>
                <w:szCs w:val="16"/>
              </w:rPr>
              <w:t>1</w:t>
            </w:r>
          </w:p>
        </w:tc>
      </w:tr>
    </w:tbl>
    <w:p w14:paraId="07CD2882" w14:textId="5840DCDF" w:rsidR="00353EB1" w:rsidRDefault="00395B6C" w:rsidP="00BE0EEF">
      <w:pPr>
        <w:rPr>
          <w:rFonts w:cs="Arial"/>
          <w:b/>
          <w:bCs/>
          <w:szCs w:val="16"/>
        </w:rPr>
      </w:pPr>
      <w:r w:rsidRPr="00395B6C">
        <w:rPr>
          <w:rFonts w:cs="Arial"/>
          <w:b/>
          <w:bCs/>
          <w:szCs w:val="16"/>
        </w:rPr>
        <w:t>Math Assessment Elements</w:t>
      </w:r>
    </w:p>
    <w:tbl>
      <w:tblPr>
        <w:tblStyle w:val="TableGrid1"/>
        <w:tblW w:w="5009" w:type="pct"/>
        <w:tblLayout w:type="fixed"/>
        <w:tblLook w:val="04A0" w:firstRow="1" w:lastRow="0" w:firstColumn="1" w:lastColumn="0" w:noHBand="0" w:noVBand="1"/>
        <w:tblCaption w:val="BMTHENNSRSTCFFY"/>
      </w:tblPr>
      <w:tblGrid>
        <w:gridCol w:w="7205"/>
        <w:gridCol w:w="1803"/>
        <w:gridCol w:w="1801"/>
      </w:tblGrid>
      <w:tr w:rsidR="00BE0EEF" w:rsidRPr="00210AC6" w14:paraId="469D669E" w14:textId="77777777" w:rsidTr="00C74568">
        <w:trPr>
          <w:tblHeader/>
        </w:trPr>
        <w:tc>
          <w:tcPr>
            <w:tcW w:w="3333" w:type="pct"/>
          </w:tcPr>
          <w:p w14:paraId="6D4794B6" w14:textId="77777777" w:rsidR="00BE0EEF" w:rsidRPr="00210AC6" w:rsidRDefault="00BE0EEF" w:rsidP="002C333C">
            <w:pPr>
              <w:rPr>
                <w:rFonts w:cs="Arial"/>
                <w:b/>
                <w:bCs/>
                <w:szCs w:val="16"/>
              </w:rPr>
            </w:pPr>
            <w:r w:rsidRPr="00210AC6">
              <w:rPr>
                <w:rFonts w:cs="Arial"/>
                <w:b/>
                <w:bCs/>
                <w:szCs w:val="16"/>
              </w:rPr>
              <w:t>Math Assessment Elements</w:t>
            </w:r>
          </w:p>
        </w:tc>
        <w:tc>
          <w:tcPr>
            <w:tcW w:w="834" w:type="pct"/>
          </w:tcPr>
          <w:p w14:paraId="6E210526" w14:textId="77777777" w:rsidR="00BE0EEF" w:rsidRPr="00210AC6" w:rsidRDefault="00BE0EEF" w:rsidP="002C333C">
            <w:pPr>
              <w:rPr>
                <w:rFonts w:cs="Arial"/>
                <w:b/>
                <w:bCs/>
                <w:szCs w:val="16"/>
              </w:rPr>
            </w:pPr>
            <w:r w:rsidRPr="00210AC6">
              <w:rPr>
                <w:rFonts w:cs="Arial"/>
                <w:b/>
                <w:bCs/>
                <w:szCs w:val="16"/>
              </w:rPr>
              <w:t>Performance (%)</w:t>
            </w:r>
          </w:p>
        </w:tc>
        <w:tc>
          <w:tcPr>
            <w:tcW w:w="833" w:type="pct"/>
          </w:tcPr>
          <w:p w14:paraId="03CF668A" w14:textId="77777777" w:rsidR="00BE0EEF" w:rsidRPr="00210AC6" w:rsidRDefault="00BE0EEF" w:rsidP="002C333C">
            <w:pPr>
              <w:rPr>
                <w:rFonts w:cs="Arial"/>
                <w:b/>
                <w:bCs/>
                <w:szCs w:val="16"/>
              </w:rPr>
            </w:pPr>
            <w:r w:rsidRPr="00210AC6">
              <w:rPr>
                <w:rFonts w:cs="Arial"/>
                <w:b/>
                <w:bCs/>
                <w:szCs w:val="16"/>
              </w:rPr>
              <w:t>Score</w:t>
            </w:r>
          </w:p>
        </w:tc>
      </w:tr>
      <w:tr w:rsidR="0019671E" w:rsidRPr="00210AC6" w14:paraId="64DF3CC7" w14:textId="77777777" w:rsidTr="00FB3F34">
        <w:tc>
          <w:tcPr>
            <w:tcW w:w="3333" w:type="pct"/>
          </w:tcPr>
          <w:p w14:paraId="1F7694DD" w14:textId="77777777" w:rsidR="0019671E" w:rsidRPr="00210AC6" w:rsidRDefault="0019671E" w:rsidP="0019671E">
            <w:pPr>
              <w:rPr>
                <w:rFonts w:cs="Arial"/>
                <w:b/>
                <w:bCs/>
                <w:szCs w:val="16"/>
              </w:rPr>
            </w:pPr>
            <w:r w:rsidRPr="00210AC6">
              <w:rPr>
                <w:rFonts w:cs="Arial"/>
                <w:b/>
                <w:bCs/>
                <w:szCs w:val="16"/>
              </w:rPr>
              <w:t>Percentage of 4th Grade Children with Disabilities Participating in Regular Statewide Assessments</w:t>
            </w:r>
          </w:p>
        </w:tc>
        <w:tc>
          <w:tcPr>
            <w:tcW w:w="834" w:type="pct"/>
          </w:tcPr>
          <w:p w14:paraId="2339B77B" w14:textId="1A79E628" w:rsidR="0019671E" w:rsidRPr="00210AC6" w:rsidRDefault="009369B1" w:rsidP="0019671E">
            <w:pPr>
              <w:rPr>
                <w:rFonts w:cs="Arial"/>
                <w:szCs w:val="16"/>
              </w:rPr>
            </w:pPr>
            <w:r w:rsidRPr="00210AC6">
              <w:rPr>
                <w:rFonts w:cs="Arial"/>
                <w:szCs w:val="16"/>
              </w:rPr>
              <w:t>N</w:t>
            </w:r>
            <w:r>
              <w:rPr>
                <w:rFonts w:cs="Arial"/>
                <w:szCs w:val="16"/>
              </w:rPr>
              <w:t>ot Valid and Reliable</w:t>
            </w:r>
          </w:p>
        </w:tc>
        <w:tc>
          <w:tcPr>
            <w:tcW w:w="833" w:type="pct"/>
          </w:tcPr>
          <w:p w14:paraId="7840B150" w14:textId="6A0FC50C" w:rsidR="0019671E" w:rsidRPr="00210AC6" w:rsidRDefault="0019671E" w:rsidP="0019671E">
            <w:pPr>
              <w:rPr>
                <w:rFonts w:cs="Arial"/>
                <w:szCs w:val="16"/>
              </w:rPr>
            </w:pPr>
            <w:r w:rsidRPr="00210AC6">
              <w:rPr>
                <w:rFonts w:cs="Arial"/>
                <w:szCs w:val="16"/>
              </w:rPr>
              <w:t>0</w:t>
            </w:r>
          </w:p>
        </w:tc>
      </w:tr>
      <w:tr w:rsidR="0019671E" w:rsidRPr="00210AC6" w14:paraId="76362DFE" w14:textId="77777777" w:rsidTr="00FB3F34">
        <w:tc>
          <w:tcPr>
            <w:tcW w:w="3333" w:type="pct"/>
          </w:tcPr>
          <w:p w14:paraId="632B7BBA" w14:textId="77777777" w:rsidR="0019671E" w:rsidRPr="00210AC6" w:rsidRDefault="0019671E" w:rsidP="0019671E">
            <w:pPr>
              <w:rPr>
                <w:rFonts w:cs="Arial"/>
                <w:b/>
                <w:bCs/>
                <w:szCs w:val="16"/>
              </w:rPr>
            </w:pPr>
            <w:r w:rsidRPr="00210AC6">
              <w:rPr>
                <w:rFonts w:cs="Arial"/>
                <w:b/>
                <w:bCs/>
                <w:szCs w:val="16"/>
              </w:rPr>
              <w:t>Percentage of 8th Grade Children with Disabilities Participating in Regular Statewide Assessments</w:t>
            </w:r>
          </w:p>
        </w:tc>
        <w:tc>
          <w:tcPr>
            <w:tcW w:w="834" w:type="pct"/>
          </w:tcPr>
          <w:p w14:paraId="16367BD2" w14:textId="190F66AE" w:rsidR="0019671E" w:rsidRPr="00210AC6" w:rsidRDefault="009369B1" w:rsidP="0019671E">
            <w:pPr>
              <w:rPr>
                <w:rFonts w:cs="Arial"/>
                <w:szCs w:val="16"/>
              </w:rPr>
            </w:pPr>
            <w:r w:rsidRPr="00210AC6">
              <w:rPr>
                <w:rFonts w:cs="Arial"/>
                <w:szCs w:val="16"/>
              </w:rPr>
              <w:t>N</w:t>
            </w:r>
            <w:r>
              <w:rPr>
                <w:rFonts w:cs="Arial"/>
                <w:szCs w:val="16"/>
              </w:rPr>
              <w:t>ot Valid and Reliable</w:t>
            </w:r>
          </w:p>
        </w:tc>
        <w:tc>
          <w:tcPr>
            <w:tcW w:w="833" w:type="pct"/>
          </w:tcPr>
          <w:p w14:paraId="4338D452" w14:textId="060DA0F7" w:rsidR="0019671E" w:rsidRPr="00210AC6" w:rsidRDefault="0019671E" w:rsidP="0019671E">
            <w:pPr>
              <w:rPr>
                <w:rFonts w:cs="Arial"/>
                <w:szCs w:val="16"/>
              </w:rPr>
            </w:pPr>
            <w:r w:rsidRPr="00210AC6">
              <w:rPr>
                <w:rFonts w:cs="Arial"/>
                <w:szCs w:val="16"/>
              </w:rPr>
              <w:t>0</w:t>
            </w:r>
          </w:p>
        </w:tc>
      </w:tr>
      <w:tr w:rsidR="0019671E" w:rsidRPr="00210AC6" w14:paraId="6ACA5C8B" w14:textId="77777777" w:rsidTr="00FB3F34">
        <w:tc>
          <w:tcPr>
            <w:tcW w:w="3333" w:type="pct"/>
          </w:tcPr>
          <w:p w14:paraId="178F722C" w14:textId="77777777" w:rsidR="0019671E" w:rsidRPr="00210AC6" w:rsidRDefault="0019671E" w:rsidP="0019671E">
            <w:pPr>
              <w:rPr>
                <w:rFonts w:cs="Arial"/>
                <w:b/>
                <w:bCs/>
                <w:szCs w:val="16"/>
              </w:rPr>
            </w:pPr>
            <w:r w:rsidRPr="00210AC6">
              <w:rPr>
                <w:rFonts w:cs="Arial"/>
                <w:b/>
                <w:bCs/>
                <w:szCs w:val="16"/>
              </w:rPr>
              <w:t>Percentage of 4th Grade Children with Disabilities Scoring at Basic or Above on the National Assessment of Educational Progress</w:t>
            </w:r>
          </w:p>
        </w:tc>
        <w:tc>
          <w:tcPr>
            <w:tcW w:w="834" w:type="pct"/>
          </w:tcPr>
          <w:p w14:paraId="751BB010" w14:textId="709ECD3F" w:rsidR="0019671E" w:rsidRPr="00210AC6" w:rsidRDefault="0019671E" w:rsidP="0019671E">
            <w:pPr>
              <w:rPr>
                <w:rFonts w:cs="Arial"/>
                <w:szCs w:val="16"/>
              </w:rPr>
            </w:pPr>
            <w:r w:rsidRPr="00210AC6">
              <w:rPr>
                <w:rFonts w:cs="Arial"/>
                <w:szCs w:val="16"/>
              </w:rPr>
              <w:t>44%</w:t>
            </w:r>
          </w:p>
        </w:tc>
        <w:tc>
          <w:tcPr>
            <w:tcW w:w="833" w:type="pct"/>
          </w:tcPr>
          <w:p w14:paraId="423E4ADA" w14:textId="0CADE31A" w:rsidR="0019671E" w:rsidRPr="00210AC6" w:rsidRDefault="0019671E" w:rsidP="0019671E">
            <w:pPr>
              <w:rPr>
                <w:rFonts w:cs="Arial"/>
                <w:szCs w:val="16"/>
              </w:rPr>
            </w:pPr>
            <w:r w:rsidRPr="00210AC6">
              <w:rPr>
                <w:rFonts w:cs="Arial"/>
                <w:szCs w:val="16"/>
              </w:rPr>
              <w:t>2</w:t>
            </w:r>
          </w:p>
        </w:tc>
      </w:tr>
      <w:tr w:rsidR="0019671E" w:rsidRPr="00210AC6" w14:paraId="3940F80A" w14:textId="77777777" w:rsidTr="00FB3F34">
        <w:tc>
          <w:tcPr>
            <w:tcW w:w="3333" w:type="pct"/>
          </w:tcPr>
          <w:p w14:paraId="704D280B" w14:textId="77777777" w:rsidR="0019671E" w:rsidRPr="00210AC6" w:rsidRDefault="0019671E" w:rsidP="0019671E">
            <w:pPr>
              <w:rPr>
                <w:rFonts w:cs="Arial"/>
                <w:b/>
                <w:bCs/>
                <w:szCs w:val="16"/>
              </w:rPr>
            </w:pPr>
            <w:r w:rsidRPr="00210AC6">
              <w:rPr>
                <w:rFonts w:cs="Arial"/>
                <w:b/>
                <w:bCs/>
                <w:szCs w:val="16"/>
              </w:rPr>
              <w:t>Percentage of 4th Grade Children with Disabilities Included in Testing on the National Assessment of Educational Progress</w:t>
            </w:r>
          </w:p>
        </w:tc>
        <w:tc>
          <w:tcPr>
            <w:tcW w:w="834" w:type="pct"/>
          </w:tcPr>
          <w:p w14:paraId="5B062F65" w14:textId="5FD7F636" w:rsidR="0019671E" w:rsidRPr="00210AC6" w:rsidRDefault="0019671E" w:rsidP="0019671E">
            <w:pPr>
              <w:rPr>
                <w:rFonts w:cs="Arial"/>
                <w:szCs w:val="16"/>
              </w:rPr>
            </w:pPr>
            <w:r w:rsidRPr="00210AC6">
              <w:rPr>
                <w:rFonts w:cs="Arial"/>
                <w:szCs w:val="16"/>
              </w:rPr>
              <w:t>94%</w:t>
            </w:r>
          </w:p>
        </w:tc>
        <w:tc>
          <w:tcPr>
            <w:tcW w:w="833" w:type="pct"/>
          </w:tcPr>
          <w:p w14:paraId="17552A35" w14:textId="1A894F87" w:rsidR="0019671E" w:rsidRPr="00210AC6" w:rsidRDefault="0019671E" w:rsidP="0019671E">
            <w:pPr>
              <w:rPr>
                <w:rFonts w:cs="Arial"/>
                <w:szCs w:val="16"/>
              </w:rPr>
            </w:pPr>
            <w:r w:rsidRPr="00210AC6">
              <w:rPr>
                <w:rFonts w:cs="Arial"/>
                <w:szCs w:val="16"/>
              </w:rPr>
              <w:t>1</w:t>
            </w:r>
          </w:p>
        </w:tc>
      </w:tr>
      <w:tr w:rsidR="0019671E" w:rsidRPr="00210AC6" w14:paraId="3328409B" w14:textId="77777777" w:rsidTr="00FB3F34">
        <w:tc>
          <w:tcPr>
            <w:tcW w:w="3333" w:type="pct"/>
          </w:tcPr>
          <w:p w14:paraId="0C7867BC" w14:textId="77777777" w:rsidR="0019671E" w:rsidRPr="00210AC6" w:rsidRDefault="0019671E" w:rsidP="0019671E">
            <w:pPr>
              <w:rPr>
                <w:rFonts w:cs="Arial"/>
                <w:b/>
                <w:bCs/>
                <w:szCs w:val="16"/>
              </w:rPr>
            </w:pPr>
            <w:r w:rsidRPr="00210AC6">
              <w:rPr>
                <w:rFonts w:cs="Arial"/>
                <w:b/>
                <w:bCs/>
                <w:szCs w:val="16"/>
              </w:rPr>
              <w:t>Percentage of 8th Grade Children with Disabilities Scoring at Basic or Above on the National Assessment of Educational Progress</w:t>
            </w:r>
          </w:p>
        </w:tc>
        <w:tc>
          <w:tcPr>
            <w:tcW w:w="834" w:type="pct"/>
          </w:tcPr>
          <w:p w14:paraId="02305172" w14:textId="6F908621" w:rsidR="0019671E" w:rsidRPr="00210AC6" w:rsidRDefault="0019671E" w:rsidP="0019671E">
            <w:pPr>
              <w:rPr>
                <w:rFonts w:cs="Arial"/>
                <w:szCs w:val="16"/>
              </w:rPr>
            </w:pPr>
            <w:r w:rsidRPr="00210AC6">
              <w:rPr>
                <w:rFonts w:cs="Arial"/>
                <w:szCs w:val="16"/>
              </w:rPr>
              <w:t>23%</w:t>
            </w:r>
          </w:p>
        </w:tc>
        <w:tc>
          <w:tcPr>
            <w:tcW w:w="833" w:type="pct"/>
          </w:tcPr>
          <w:p w14:paraId="12B13418" w14:textId="014DA8D1" w:rsidR="0019671E" w:rsidRPr="00210AC6" w:rsidRDefault="0019671E" w:rsidP="0019671E">
            <w:pPr>
              <w:rPr>
                <w:rFonts w:cs="Arial"/>
                <w:szCs w:val="16"/>
              </w:rPr>
            </w:pPr>
            <w:r w:rsidRPr="00210AC6">
              <w:rPr>
                <w:rFonts w:cs="Arial"/>
                <w:szCs w:val="16"/>
              </w:rPr>
              <w:t>1</w:t>
            </w:r>
          </w:p>
        </w:tc>
      </w:tr>
      <w:tr w:rsidR="0019671E" w:rsidRPr="00210AC6" w14:paraId="7EE431B9" w14:textId="77777777" w:rsidTr="00FB3F34">
        <w:tc>
          <w:tcPr>
            <w:tcW w:w="3333" w:type="pct"/>
          </w:tcPr>
          <w:p w14:paraId="2A435A85" w14:textId="77777777" w:rsidR="0019671E" w:rsidRPr="00210AC6" w:rsidRDefault="0019671E" w:rsidP="0019671E">
            <w:pPr>
              <w:rPr>
                <w:rFonts w:cs="Arial"/>
                <w:b/>
                <w:bCs/>
                <w:szCs w:val="16"/>
              </w:rPr>
            </w:pPr>
            <w:r w:rsidRPr="00210AC6">
              <w:rPr>
                <w:rFonts w:cs="Arial"/>
                <w:b/>
                <w:bCs/>
                <w:szCs w:val="16"/>
              </w:rPr>
              <w:t>Percentage of 8th Grade Children with Disabilities Included in Testing on the National Assessment of Educational Progress</w:t>
            </w:r>
          </w:p>
        </w:tc>
        <w:tc>
          <w:tcPr>
            <w:tcW w:w="834" w:type="pct"/>
          </w:tcPr>
          <w:p w14:paraId="74F45C7B" w14:textId="79EE0E57" w:rsidR="0019671E" w:rsidRPr="00210AC6" w:rsidRDefault="0019671E" w:rsidP="0019671E">
            <w:pPr>
              <w:rPr>
                <w:rFonts w:cs="Arial"/>
                <w:szCs w:val="16"/>
              </w:rPr>
            </w:pPr>
            <w:r w:rsidRPr="00210AC6">
              <w:rPr>
                <w:rFonts w:cs="Arial"/>
                <w:szCs w:val="16"/>
              </w:rPr>
              <w:t>89%</w:t>
            </w:r>
          </w:p>
        </w:tc>
        <w:tc>
          <w:tcPr>
            <w:tcW w:w="833" w:type="pct"/>
          </w:tcPr>
          <w:p w14:paraId="5D8CD56A" w14:textId="372C2AD5" w:rsidR="0019671E" w:rsidRPr="00210AC6" w:rsidRDefault="0019671E" w:rsidP="0019671E">
            <w:pPr>
              <w:rPr>
                <w:rFonts w:cs="Arial"/>
                <w:szCs w:val="16"/>
              </w:rPr>
            </w:pPr>
            <w:r w:rsidRPr="00210AC6">
              <w:rPr>
                <w:rFonts w:cs="Arial"/>
                <w:szCs w:val="16"/>
              </w:rPr>
              <w:t>1</w:t>
            </w:r>
          </w:p>
        </w:tc>
      </w:tr>
    </w:tbl>
    <w:p w14:paraId="26B2A12B" w14:textId="1CD408FC" w:rsidR="00570930" w:rsidRDefault="00570930">
      <w:pPr>
        <w:spacing w:before="0" w:after="200" w:line="276" w:lineRule="auto"/>
        <w:rPr>
          <w:rFonts w:cs="Arial"/>
          <w:b/>
          <w:bCs/>
          <w:szCs w:val="16"/>
        </w:rPr>
      </w:pPr>
      <w:r>
        <w:rPr>
          <w:rFonts w:cs="Arial"/>
          <w:b/>
          <w:bCs/>
          <w:szCs w:val="16"/>
        </w:rPr>
        <w:br w:type="page"/>
      </w:r>
    </w:p>
    <w:p w14:paraId="575750B6" w14:textId="01189256" w:rsidR="004613BA" w:rsidRDefault="00BE0EEF" w:rsidP="00BE0EEF">
      <w:pPr>
        <w:rPr>
          <w:rFonts w:cs="Arial"/>
          <w:b/>
          <w:bCs/>
          <w:szCs w:val="16"/>
        </w:rPr>
      </w:pPr>
      <w:r w:rsidRPr="00210AC6">
        <w:rPr>
          <w:rFonts w:cs="Arial"/>
          <w:b/>
          <w:bCs/>
          <w:szCs w:val="16"/>
        </w:rPr>
        <w:lastRenderedPageBreak/>
        <w:t>Exiting Data Elements</w:t>
      </w:r>
    </w:p>
    <w:tbl>
      <w:tblPr>
        <w:tblStyle w:val="TableGrid1"/>
        <w:tblW w:w="5000" w:type="pct"/>
        <w:tblLook w:val="04A0" w:firstRow="1" w:lastRow="0" w:firstColumn="1" w:lastColumn="0" w:noHBand="0" w:noVBand="1"/>
        <w:tblCaption w:val="BENNSRSTCFFYEXIT"/>
      </w:tblPr>
      <w:tblGrid>
        <w:gridCol w:w="4939"/>
        <w:gridCol w:w="2877"/>
        <w:gridCol w:w="2974"/>
      </w:tblGrid>
      <w:tr w:rsidR="0075626F" w14:paraId="7384A561" w14:textId="77777777">
        <w:trPr>
          <w:divId w:val="380713603"/>
          <w:tblHeader/>
        </w:trPr>
        <w:tc>
          <w:tcPr>
            <w:tcW w:w="2289" w:type="pct"/>
            <w:tcBorders>
              <w:top w:val="single" w:sz="4" w:space="0" w:color="auto"/>
              <w:left w:val="single" w:sz="4" w:space="0" w:color="auto"/>
              <w:bottom w:val="single" w:sz="4" w:space="0" w:color="auto"/>
              <w:right w:val="single" w:sz="4" w:space="0" w:color="auto"/>
            </w:tcBorders>
            <w:hideMark/>
          </w:tcPr>
          <w:p w14:paraId="7D74420D" w14:textId="77777777" w:rsidR="0075626F" w:rsidRDefault="0075626F" w:rsidP="0075626F">
            <w:pPr>
              <w:rPr>
                <w:rFonts w:cs="Arial"/>
                <w:b/>
                <w:bCs/>
                <w:szCs w:val="16"/>
              </w:rPr>
            </w:pPr>
            <w:r>
              <w:rPr>
                <w:rFonts w:cs="Arial"/>
                <w:b/>
                <w:bCs/>
                <w:szCs w:val="16"/>
              </w:rPr>
              <w:t>Exiting Data Elements</w:t>
            </w:r>
          </w:p>
        </w:tc>
        <w:tc>
          <w:tcPr>
            <w:tcW w:w="1333" w:type="pct"/>
            <w:tcBorders>
              <w:top w:val="single" w:sz="4" w:space="0" w:color="auto"/>
              <w:left w:val="single" w:sz="4" w:space="0" w:color="auto"/>
              <w:bottom w:val="single" w:sz="4" w:space="0" w:color="auto"/>
              <w:right w:val="single" w:sz="4" w:space="0" w:color="auto"/>
            </w:tcBorders>
            <w:hideMark/>
          </w:tcPr>
          <w:p w14:paraId="7016EA73" w14:textId="77777777" w:rsidR="0075626F" w:rsidRDefault="0075626F" w:rsidP="0075626F">
            <w:pPr>
              <w:rPr>
                <w:rFonts w:cs="Arial"/>
                <w:b/>
                <w:bCs/>
                <w:szCs w:val="16"/>
              </w:rPr>
            </w:pPr>
            <w:r>
              <w:rPr>
                <w:rFonts w:cs="Arial"/>
                <w:b/>
                <w:bCs/>
                <w:szCs w:val="16"/>
              </w:rPr>
              <w:t>Performance (%)</w:t>
            </w:r>
          </w:p>
        </w:tc>
        <w:tc>
          <w:tcPr>
            <w:tcW w:w="1378" w:type="pct"/>
            <w:tcBorders>
              <w:top w:val="single" w:sz="4" w:space="0" w:color="auto"/>
              <w:left w:val="single" w:sz="4" w:space="0" w:color="auto"/>
              <w:bottom w:val="single" w:sz="4" w:space="0" w:color="auto"/>
              <w:right w:val="single" w:sz="4" w:space="0" w:color="auto"/>
            </w:tcBorders>
            <w:hideMark/>
          </w:tcPr>
          <w:p w14:paraId="3A2D3630" w14:textId="77777777" w:rsidR="0075626F" w:rsidRDefault="0075626F" w:rsidP="0075626F">
            <w:pPr>
              <w:rPr>
                <w:rFonts w:cs="Arial"/>
                <w:b/>
                <w:bCs/>
                <w:szCs w:val="16"/>
              </w:rPr>
            </w:pPr>
            <w:r>
              <w:rPr>
                <w:rFonts w:cs="Arial"/>
                <w:b/>
                <w:bCs/>
                <w:szCs w:val="16"/>
              </w:rPr>
              <w:t>Score</w:t>
            </w:r>
          </w:p>
        </w:tc>
      </w:tr>
      <w:tr w:rsidR="0075626F" w14:paraId="47FF2742" w14:textId="77777777">
        <w:trPr>
          <w:divId w:val="380713603"/>
        </w:trPr>
        <w:tc>
          <w:tcPr>
            <w:tcW w:w="2289" w:type="pct"/>
            <w:tcBorders>
              <w:top w:val="single" w:sz="4" w:space="0" w:color="auto"/>
              <w:left w:val="single" w:sz="4" w:space="0" w:color="auto"/>
              <w:bottom w:val="single" w:sz="4" w:space="0" w:color="auto"/>
              <w:right w:val="single" w:sz="4" w:space="0" w:color="auto"/>
            </w:tcBorders>
            <w:hideMark/>
          </w:tcPr>
          <w:p w14:paraId="42C96131" w14:textId="77777777" w:rsidR="0075626F" w:rsidRDefault="0075626F" w:rsidP="0075626F">
            <w:pPr>
              <w:rPr>
                <w:rFonts w:cs="Arial"/>
                <w:b/>
                <w:bCs/>
                <w:szCs w:val="16"/>
              </w:rPr>
            </w:pPr>
            <w:r>
              <w:rPr>
                <w:rFonts w:cs="Arial"/>
                <w:b/>
                <w:bCs/>
                <w:szCs w:val="16"/>
              </w:rPr>
              <w:t>Percentage of Children with Disabilities who Dropped Out</w:t>
            </w:r>
          </w:p>
        </w:tc>
        <w:tc>
          <w:tcPr>
            <w:tcW w:w="1333" w:type="pct"/>
            <w:tcBorders>
              <w:top w:val="single" w:sz="4" w:space="0" w:color="auto"/>
              <w:left w:val="single" w:sz="4" w:space="0" w:color="auto"/>
              <w:bottom w:val="single" w:sz="4" w:space="0" w:color="auto"/>
              <w:right w:val="single" w:sz="4" w:space="0" w:color="auto"/>
            </w:tcBorders>
            <w:hideMark/>
          </w:tcPr>
          <w:p w14:paraId="42A25E75" w14:textId="77777777" w:rsidR="0075626F" w:rsidRDefault="0075626F" w:rsidP="0075626F">
            <w:pPr>
              <w:rPr>
                <w:rFonts w:cs="Arial"/>
                <w:szCs w:val="16"/>
              </w:rPr>
            </w:pPr>
            <w:r>
              <w:rPr>
                <w:rFonts w:cs="Arial"/>
                <w:szCs w:val="16"/>
              </w:rPr>
              <w:t>25</w:t>
            </w:r>
          </w:p>
        </w:tc>
        <w:tc>
          <w:tcPr>
            <w:tcW w:w="1378" w:type="pct"/>
            <w:tcBorders>
              <w:top w:val="single" w:sz="4" w:space="0" w:color="auto"/>
              <w:left w:val="single" w:sz="4" w:space="0" w:color="auto"/>
              <w:bottom w:val="single" w:sz="4" w:space="0" w:color="auto"/>
              <w:right w:val="single" w:sz="4" w:space="0" w:color="auto"/>
            </w:tcBorders>
            <w:hideMark/>
          </w:tcPr>
          <w:p w14:paraId="6A0E772F" w14:textId="77777777" w:rsidR="0075626F" w:rsidRDefault="0075626F" w:rsidP="0075626F">
            <w:pPr>
              <w:rPr>
                <w:rFonts w:cs="Arial"/>
                <w:szCs w:val="16"/>
              </w:rPr>
            </w:pPr>
            <w:r>
              <w:rPr>
                <w:rFonts w:cs="Arial"/>
                <w:szCs w:val="16"/>
              </w:rPr>
              <w:t>0</w:t>
            </w:r>
          </w:p>
        </w:tc>
      </w:tr>
      <w:tr w:rsidR="0075626F" w14:paraId="7946F4E5" w14:textId="77777777">
        <w:trPr>
          <w:divId w:val="380713603"/>
        </w:trPr>
        <w:tc>
          <w:tcPr>
            <w:tcW w:w="2289" w:type="pct"/>
            <w:tcBorders>
              <w:top w:val="single" w:sz="4" w:space="0" w:color="auto"/>
              <w:left w:val="single" w:sz="4" w:space="0" w:color="auto"/>
              <w:bottom w:val="single" w:sz="4" w:space="0" w:color="auto"/>
              <w:right w:val="single" w:sz="4" w:space="0" w:color="auto"/>
            </w:tcBorders>
            <w:hideMark/>
          </w:tcPr>
          <w:p w14:paraId="2291D902" w14:textId="2BEE28A5" w:rsidR="0075626F" w:rsidRDefault="0075626F" w:rsidP="0075626F">
            <w:pPr>
              <w:rPr>
                <w:rFonts w:cs="Arial"/>
                <w:b/>
                <w:bCs/>
                <w:szCs w:val="16"/>
              </w:rPr>
            </w:pPr>
            <w:r>
              <w:rPr>
                <w:rFonts w:cs="Arial"/>
                <w:b/>
                <w:bCs/>
                <w:szCs w:val="16"/>
              </w:rPr>
              <w:t>Percentage of Children with Disabilities who Graduated with a Regular High School Diploma**</w:t>
            </w:r>
          </w:p>
        </w:tc>
        <w:tc>
          <w:tcPr>
            <w:tcW w:w="1333" w:type="pct"/>
            <w:tcBorders>
              <w:top w:val="single" w:sz="4" w:space="0" w:color="auto"/>
              <w:left w:val="single" w:sz="4" w:space="0" w:color="auto"/>
              <w:bottom w:val="single" w:sz="4" w:space="0" w:color="auto"/>
              <w:right w:val="single" w:sz="4" w:space="0" w:color="auto"/>
            </w:tcBorders>
            <w:hideMark/>
          </w:tcPr>
          <w:p w14:paraId="503EE6E2" w14:textId="77777777" w:rsidR="0075626F" w:rsidRDefault="0075626F" w:rsidP="0075626F">
            <w:pPr>
              <w:rPr>
                <w:rFonts w:cs="Arial"/>
                <w:szCs w:val="16"/>
              </w:rPr>
            </w:pPr>
            <w:r>
              <w:rPr>
                <w:rFonts w:cs="Arial"/>
                <w:szCs w:val="16"/>
              </w:rPr>
              <w:t>67</w:t>
            </w:r>
          </w:p>
        </w:tc>
        <w:tc>
          <w:tcPr>
            <w:tcW w:w="1378" w:type="pct"/>
            <w:tcBorders>
              <w:top w:val="single" w:sz="4" w:space="0" w:color="auto"/>
              <w:left w:val="single" w:sz="4" w:space="0" w:color="auto"/>
              <w:bottom w:val="single" w:sz="4" w:space="0" w:color="auto"/>
              <w:right w:val="single" w:sz="4" w:space="0" w:color="auto"/>
            </w:tcBorders>
            <w:hideMark/>
          </w:tcPr>
          <w:p w14:paraId="182C5F0B" w14:textId="77777777" w:rsidR="0075626F" w:rsidRDefault="0075626F" w:rsidP="0075626F">
            <w:pPr>
              <w:rPr>
                <w:rFonts w:cs="Arial"/>
                <w:szCs w:val="16"/>
              </w:rPr>
            </w:pPr>
            <w:r>
              <w:rPr>
                <w:rFonts w:cs="Arial"/>
                <w:szCs w:val="16"/>
              </w:rPr>
              <w:t>0</w:t>
            </w:r>
          </w:p>
        </w:tc>
      </w:tr>
    </w:tbl>
    <w:p w14:paraId="0C2E315C" w14:textId="00ACC19C" w:rsidR="00D12506" w:rsidRDefault="00C56EE8" w:rsidP="00BE0EEF">
      <w:pPr>
        <w:rPr>
          <w:rFonts w:cstheme="minorHAnsi"/>
          <w:szCs w:val="16"/>
        </w:rPr>
      </w:pPr>
      <w:r>
        <w:rPr>
          <w:rFonts w:cstheme="minorHAnsi"/>
          <w:szCs w:val="16"/>
        </w:rPr>
        <w:t>**When providing exiting data under section 618 of the IDEA, States are required to report on the number of students with disabilities who exited an educational program through receipt of a regular high school diploma. These students meet the same standards for graduation as those for students without disabilities. As explained in 34 C.F.R. § 300.102(a)(3)(iv), in effect June 30, 2017, “the term regular high school diploma means the standard high school diploma awarded to the preponderance of students in the State that is fully aligned with State standards, or a higher diploma, except that a regular high school diploma shall not be aligned to the alternate academic achievement standards described in section 1111(b)(1)(E) of the ESEA. A regular high school diploma does not include a recognized equivalent of a diploma, such as a general equivalency diploma, certificate of completion, certificate of attendance, or similar lesser credential.”</w:t>
      </w:r>
    </w:p>
    <w:p w14:paraId="0F9F6077" w14:textId="77777777" w:rsidR="00D12506" w:rsidRDefault="00D12506" w:rsidP="00BE0EEF">
      <w:pPr>
        <w:rPr>
          <w:rFonts w:cs="Arial"/>
          <w:b/>
          <w:bCs/>
          <w:szCs w:val="16"/>
        </w:rPr>
      </w:pPr>
    </w:p>
    <w:p w14:paraId="472B8AF6" w14:textId="67D424CA" w:rsidR="00BE0EEF" w:rsidRPr="00210AC6" w:rsidRDefault="00D12506" w:rsidP="00D12506">
      <w:pPr>
        <w:spacing w:before="0" w:after="200" w:line="276" w:lineRule="auto"/>
        <w:rPr>
          <w:rFonts w:cs="Arial"/>
          <w:b/>
          <w:bCs/>
          <w:szCs w:val="16"/>
        </w:rPr>
      </w:pPr>
      <w:r>
        <w:rPr>
          <w:rFonts w:cs="Arial"/>
          <w:b/>
          <w:bCs/>
          <w:szCs w:val="16"/>
        </w:rPr>
        <w:br w:type="page"/>
      </w:r>
      <w:r w:rsidR="00BE0EEF" w:rsidRPr="00210AC6">
        <w:rPr>
          <w:rFonts w:cs="Arial"/>
          <w:b/>
          <w:bCs/>
          <w:szCs w:val="16"/>
        </w:rPr>
        <w:lastRenderedPageBreak/>
        <w:t>2023 Part B Compliance Matrix</w:t>
      </w:r>
    </w:p>
    <w:tbl>
      <w:tblPr>
        <w:tblStyle w:val="TableGrid1"/>
        <w:tblW w:w="5004" w:type="pct"/>
        <w:tblLayout w:type="fixed"/>
        <w:tblLook w:val="04A0" w:firstRow="1" w:lastRow="0" w:firstColumn="1" w:lastColumn="0" w:noHBand="0" w:noVBand="1"/>
        <w:tblCaption w:val="BENNSRSTCFFYCMP"/>
      </w:tblPr>
      <w:tblGrid>
        <w:gridCol w:w="5408"/>
        <w:gridCol w:w="1797"/>
        <w:gridCol w:w="1797"/>
        <w:gridCol w:w="1797"/>
      </w:tblGrid>
      <w:tr w:rsidR="00BE0EEF" w:rsidRPr="00210AC6" w14:paraId="5D2BF1AF" w14:textId="77777777" w:rsidTr="00C74568">
        <w:trPr>
          <w:tblHeader/>
        </w:trPr>
        <w:tc>
          <w:tcPr>
            <w:tcW w:w="2504" w:type="pct"/>
          </w:tcPr>
          <w:p w14:paraId="6C7ED070" w14:textId="77777777" w:rsidR="00BE0EEF" w:rsidRPr="00210AC6" w:rsidRDefault="00BE0EEF" w:rsidP="002C333C">
            <w:pPr>
              <w:rPr>
                <w:rFonts w:cs="Arial"/>
                <w:b/>
                <w:bCs/>
                <w:szCs w:val="16"/>
              </w:rPr>
            </w:pPr>
            <w:r w:rsidRPr="00210AC6">
              <w:rPr>
                <w:rFonts w:cs="Arial"/>
                <w:b/>
                <w:bCs/>
                <w:szCs w:val="16"/>
              </w:rPr>
              <w:t>Part B Compliance Indicator</w:t>
            </w:r>
            <w:r w:rsidRPr="00210AC6">
              <w:rPr>
                <w:rStyle w:val="FootnoteReference"/>
                <w:rFonts w:cs="Arial"/>
                <w:b/>
                <w:bCs/>
                <w:szCs w:val="16"/>
              </w:rPr>
              <w:footnoteReference w:id="13"/>
            </w:r>
          </w:p>
        </w:tc>
        <w:tc>
          <w:tcPr>
            <w:tcW w:w="832" w:type="pct"/>
          </w:tcPr>
          <w:p w14:paraId="580F470E" w14:textId="77777777" w:rsidR="00BE0EEF" w:rsidRPr="00210AC6" w:rsidRDefault="00BE0EEF" w:rsidP="002C333C">
            <w:pPr>
              <w:rPr>
                <w:rFonts w:cs="Arial"/>
                <w:b/>
                <w:bCs/>
                <w:szCs w:val="16"/>
              </w:rPr>
            </w:pPr>
            <w:r w:rsidRPr="00210AC6">
              <w:rPr>
                <w:rFonts w:cs="Arial"/>
                <w:b/>
                <w:bCs/>
                <w:szCs w:val="16"/>
              </w:rPr>
              <w:t xml:space="preserve">Performance (%) </w:t>
            </w:r>
          </w:p>
        </w:tc>
        <w:tc>
          <w:tcPr>
            <w:tcW w:w="832" w:type="pct"/>
          </w:tcPr>
          <w:p w14:paraId="5D25D35A" w14:textId="77777777" w:rsidR="00BE0EEF" w:rsidRPr="00210AC6" w:rsidRDefault="00BE0EEF" w:rsidP="002C333C">
            <w:pPr>
              <w:rPr>
                <w:rFonts w:cs="Arial"/>
                <w:b/>
                <w:bCs/>
                <w:szCs w:val="16"/>
              </w:rPr>
            </w:pPr>
            <w:r w:rsidRPr="00210AC6">
              <w:rPr>
                <w:rFonts w:cs="Arial"/>
                <w:b/>
                <w:bCs/>
                <w:szCs w:val="16"/>
              </w:rPr>
              <w:t>Full Correction of Findings of Noncompliance Identified in FFY 2020</w:t>
            </w:r>
          </w:p>
        </w:tc>
        <w:tc>
          <w:tcPr>
            <w:tcW w:w="832" w:type="pct"/>
          </w:tcPr>
          <w:p w14:paraId="0F2A19C9" w14:textId="77777777" w:rsidR="00BE0EEF" w:rsidRPr="00210AC6" w:rsidRDefault="00BE0EEF" w:rsidP="002C333C">
            <w:pPr>
              <w:rPr>
                <w:rFonts w:cs="Arial"/>
                <w:b/>
                <w:bCs/>
                <w:szCs w:val="16"/>
              </w:rPr>
            </w:pPr>
            <w:r w:rsidRPr="00210AC6">
              <w:rPr>
                <w:rFonts w:cs="Arial"/>
                <w:b/>
                <w:bCs/>
                <w:szCs w:val="16"/>
              </w:rPr>
              <w:t>Score</w:t>
            </w:r>
          </w:p>
        </w:tc>
      </w:tr>
      <w:tr w:rsidR="00AA1152" w:rsidRPr="00210AC6" w14:paraId="58EE7EBF" w14:textId="77777777" w:rsidTr="00FB3F34">
        <w:tc>
          <w:tcPr>
            <w:tcW w:w="2504" w:type="pct"/>
          </w:tcPr>
          <w:p w14:paraId="79E3B338" w14:textId="77777777" w:rsidR="00AA1152" w:rsidRPr="00210AC6" w:rsidRDefault="00AA1152" w:rsidP="00AA1152">
            <w:pPr>
              <w:rPr>
                <w:rFonts w:cs="Arial"/>
                <w:b/>
                <w:bCs/>
                <w:szCs w:val="16"/>
              </w:rPr>
            </w:pPr>
            <w:r w:rsidRPr="00210AC6">
              <w:rPr>
                <w:rFonts w:cs="Arial"/>
                <w:b/>
                <w:bCs/>
                <w:szCs w:val="16"/>
              </w:rPr>
              <w:t>Indicator 4B: Significant discrepancy, by race and ethnicity, in the rate of suspension and expulsion, and policies, procedures or practices that contribute to the significant discrepancy and do not comply with specified requirements.</w:t>
            </w:r>
          </w:p>
        </w:tc>
        <w:tc>
          <w:tcPr>
            <w:tcW w:w="832" w:type="pct"/>
          </w:tcPr>
          <w:p w14:paraId="2F5F53B8" w14:textId="72EE73B0" w:rsidR="00AA1152" w:rsidRPr="00210AC6" w:rsidRDefault="00AA1152" w:rsidP="00AA1152">
            <w:pPr>
              <w:rPr>
                <w:rFonts w:cs="Arial"/>
                <w:szCs w:val="16"/>
              </w:rPr>
            </w:pPr>
            <w:r w:rsidRPr="00210AC6">
              <w:rPr>
                <w:rFonts w:cs="Arial"/>
                <w:szCs w:val="16"/>
              </w:rPr>
              <w:t>0.00%</w:t>
            </w:r>
          </w:p>
        </w:tc>
        <w:tc>
          <w:tcPr>
            <w:tcW w:w="832" w:type="pct"/>
          </w:tcPr>
          <w:p w14:paraId="771B94BB" w14:textId="4E9D5A8F" w:rsidR="00AA1152" w:rsidRPr="00210AC6" w:rsidRDefault="00AA1152" w:rsidP="00AA1152">
            <w:pPr>
              <w:rPr>
                <w:rFonts w:cs="Arial"/>
                <w:szCs w:val="16"/>
              </w:rPr>
            </w:pPr>
            <w:r w:rsidRPr="00210AC6">
              <w:rPr>
                <w:rFonts w:cs="Arial"/>
                <w:szCs w:val="16"/>
              </w:rPr>
              <w:t>N/A</w:t>
            </w:r>
          </w:p>
        </w:tc>
        <w:tc>
          <w:tcPr>
            <w:tcW w:w="832" w:type="pct"/>
          </w:tcPr>
          <w:p w14:paraId="7825B06F" w14:textId="05A81092" w:rsidR="00AA1152" w:rsidRPr="00210AC6" w:rsidRDefault="00AA1152" w:rsidP="00AA1152">
            <w:pPr>
              <w:rPr>
                <w:rFonts w:cs="Arial"/>
                <w:szCs w:val="16"/>
              </w:rPr>
            </w:pPr>
            <w:r w:rsidRPr="00210AC6">
              <w:rPr>
                <w:rFonts w:cs="Arial"/>
                <w:szCs w:val="16"/>
              </w:rPr>
              <w:t>2</w:t>
            </w:r>
          </w:p>
        </w:tc>
      </w:tr>
      <w:tr w:rsidR="00AA1152" w:rsidRPr="00210AC6" w14:paraId="21C2980E" w14:textId="77777777" w:rsidTr="00FB3F34">
        <w:tc>
          <w:tcPr>
            <w:tcW w:w="2504" w:type="pct"/>
          </w:tcPr>
          <w:p w14:paraId="508138EE" w14:textId="77777777" w:rsidR="00AA1152" w:rsidRPr="00210AC6" w:rsidRDefault="00AA1152" w:rsidP="00AA1152">
            <w:pPr>
              <w:rPr>
                <w:rFonts w:cs="Arial"/>
                <w:b/>
                <w:bCs/>
                <w:szCs w:val="16"/>
              </w:rPr>
            </w:pPr>
            <w:r w:rsidRPr="00210AC6">
              <w:rPr>
                <w:rFonts w:cs="Arial"/>
                <w:b/>
                <w:bCs/>
                <w:szCs w:val="16"/>
              </w:rPr>
              <w:t>Indicator 9: Disproportionate representation of racial and ethnic groups in special education and related services due to inappropriate identification.</w:t>
            </w:r>
          </w:p>
        </w:tc>
        <w:tc>
          <w:tcPr>
            <w:tcW w:w="832" w:type="pct"/>
          </w:tcPr>
          <w:p w14:paraId="0871F09C" w14:textId="625E28D3" w:rsidR="00AA1152" w:rsidRPr="00210AC6" w:rsidRDefault="00AA1152" w:rsidP="00AA1152">
            <w:pPr>
              <w:rPr>
                <w:rFonts w:cs="Arial"/>
                <w:szCs w:val="16"/>
              </w:rPr>
            </w:pPr>
            <w:r w:rsidRPr="00210AC6">
              <w:rPr>
                <w:rFonts w:cs="Arial"/>
                <w:szCs w:val="16"/>
              </w:rPr>
              <w:t>1.44%</w:t>
            </w:r>
          </w:p>
        </w:tc>
        <w:tc>
          <w:tcPr>
            <w:tcW w:w="832" w:type="pct"/>
          </w:tcPr>
          <w:p w14:paraId="1628449A" w14:textId="0D758D3E" w:rsidR="00AA1152" w:rsidRPr="00210AC6" w:rsidRDefault="00AA1152" w:rsidP="00AA1152">
            <w:pPr>
              <w:rPr>
                <w:rFonts w:cs="Arial"/>
                <w:szCs w:val="16"/>
              </w:rPr>
            </w:pPr>
            <w:r w:rsidRPr="00210AC6">
              <w:rPr>
                <w:rFonts w:cs="Arial"/>
                <w:szCs w:val="16"/>
              </w:rPr>
              <w:t>N/A</w:t>
            </w:r>
          </w:p>
        </w:tc>
        <w:tc>
          <w:tcPr>
            <w:tcW w:w="832" w:type="pct"/>
          </w:tcPr>
          <w:p w14:paraId="21DC76B4" w14:textId="71B82A2F" w:rsidR="00AA1152" w:rsidRPr="00210AC6" w:rsidRDefault="00AA1152" w:rsidP="00AA1152">
            <w:pPr>
              <w:rPr>
                <w:rFonts w:cs="Arial"/>
                <w:szCs w:val="16"/>
              </w:rPr>
            </w:pPr>
            <w:r w:rsidRPr="00210AC6">
              <w:rPr>
                <w:rFonts w:cs="Arial"/>
                <w:szCs w:val="16"/>
              </w:rPr>
              <w:t>2</w:t>
            </w:r>
          </w:p>
        </w:tc>
      </w:tr>
      <w:tr w:rsidR="00AA1152" w:rsidRPr="00210AC6" w14:paraId="03A38C11" w14:textId="77777777" w:rsidTr="00FB3F34">
        <w:tc>
          <w:tcPr>
            <w:tcW w:w="2504" w:type="pct"/>
          </w:tcPr>
          <w:p w14:paraId="4150218F" w14:textId="77777777" w:rsidR="00AA1152" w:rsidRPr="00210AC6" w:rsidRDefault="00AA1152" w:rsidP="00AA1152">
            <w:pPr>
              <w:rPr>
                <w:rFonts w:cs="Arial"/>
                <w:b/>
                <w:bCs/>
                <w:szCs w:val="16"/>
              </w:rPr>
            </w:pPr>
            <w:r w:rsidRPr="00210AC6">
              <w:rPr>
                <w:rFonts w:cs="Arial"/>
                <w:b/>
                <w:bCs/>
                <w:szCs w:val="16"/>
              </w:rPr>
              <w:t>Indicator 10: Disproportionate representation of racial and ethnic groups in specific disability categories due to inappropriate identification.</w:t>
            </w:r>
          </w:p>
        </w:tc>
        <w:tc>
          <w:tcPr>
            <w:tcW w:w="832" w:type="pct"/>
          </w:tcPr>
          <w:p w14:paraId="3A2447F0" w14:textId="2F7DA60E" w:rsidR="00AA1152" w:rsidRPr="00210AC6" w:rsidRDefault="00AA1152" w:rsidP="00AA1152">
            <w:pPr>
              <w:rPr>
                <w:rFonts w:cs="Arial"/>
                <w:szCs w:val="16"/>
              </w:rPr>
            </w:pPr>
            <w:r w:rsidRPr="00210AC6">
              <w:rPr>
                <w:rFonts w:cs="Arial"/>
                <w:szCs w:val="16"/>
              </w:rPr>
              <w:t>5.69%</w:t>
            </w:r>
          </w:p>
        </w:tc>
        <w:tc>
          <w:tcPr>
            <w:tcW w:w="832" w:type="pct"/>
          </w:tcPr>
          <w:p w14:paraId="1CE885A0" w14:textId="000A00A6" w:rsidR="00AA1152" w:rsidRPr="00210AC6" w:rsidRDefault="00AA1152" w:rsidP="00AA1152">
            <w:pPr>
              <w:rPr>
                <w:rFonts w:cs="Arial"/>
                <w:szCs w:val="16"/>
              </w:rPr>
            </w:pPr>
            <w:r w:rsidRPr="00210AC6">
              <w:rPr>
                <w:rFonts w:cs="Arial"/>
                <w:szCs w:val="16"/>
              </w:rPr>
              <w:t>N/A</w:t>
            </w:r>
          </w:p>
        </w:tc>
        <w:tc>
          <w:tcPr>
            <w:tcW w:w="832" w:type="pct"/>
          </w:tcPr>
          <w:p w14:paraId="1F5B10E3" w14:textId="1AC79BCD" w:rsidR="00AA1152" w:rsidRPr="00210AC6" w:rsidRDefault="00AA1152" w:rsidP="00AA1152">
            <w:pPr>
              <w:rPr>
                <w:rFonts w:cs="Arial"/>
                <w:szCs w:val="16"/>
              </w:rPr>
            </w:pPr>
            <w:r w:rsidRPr="00210AC6">
              <w:rPr>
                <w:rFonts w:cs="Arial"/>
                <w:szCs w:val="16"/>
              </w:rPr>
              <w:t>2</w:t>
            </w:r>
          </w:p>
        </w:tc>
      </w:tr>
      <w:tr w:rsidR="00AA1152" w:rsidRPr="00210AC6" w14:paraId="785C2AF8" w14:textId="77777777" w:rsidTr="00FB3F34">
        <w:tc>
          <w:tcPr>
            <w:tcW w:w="2504" w:type="pct"/>
          </w:tcPr>
          <w:p w14:paraId="3441131C" w14:textId="77777777" w:rsidR="00AA1152" w:rsidRPr="00210AC6" w:rsidRDefault="00AA1152" w:rsidP="00AA1152">
            <w:pPr>
              <w:rPr>
                <w:rFonts w:cs="Arial"/>
                <w:b/>
                <w:bCs/>
                <w:szCs w:val="16"/>
              </w:rPr>
            </w:pPr>
            <w:r w:rsidRPr="00210AC6">
              <w:rPr>
                <w:rFonts w:cs="Arial"/>
                <w:b/>
                <w:bCs/>
                <w:szCs w:val="16"/>
              </w:rPr>
              <w:t>Indicator 11: Timely initial evaluation</w:t>
            </w:r>
          </w:p>
        </w:tc>
        <w:tc>
          <w:tcPr>
            <w:tcW w:w="832" w:type="pct"/>
          </w:tcPr>
          <w:p w14:paraId="3F86F615" w14:textId="0AA0A53C" w:rsidR="00AA1152" w:rsidRPr="00210AC6" w:rsidRDefault="00AA1152" w:rsidP="00AA1152">
            <w:pPr>
              <w:rPr>
                <w:rFonts w:cs="Arial"/>
                <w:szCs w:val="16"/>
              </w:rPr>
            </w:pPr>
            <w:r w:rsidRPr="00210AC6">
              <w:rPr>
                <w:rFonts w:cs="Arial"/>
                <w:szCs w:val="16"/>
              </w:rPr>
              <w:t>96.24%</w:t>
            </w:r>
          </w:p>
        </w:tc>
        <w:tc>
          <w:tcPr>
            <w:tcW w:w="832" w:type="pct"/>
          </w:tcPr>
          <w:p w14:paraId="379B6676" w14:textId="76488CD7" w:rsidR="00AA1152" w:rsidRPr="00210AC6" w:rsidRDefault="00AA1152" w:rsidP="00AA1152">
            <w:pPr>
              <w:rPr>
                <w:rFonts w:cs="Arial"/>
                <w:szCs w:val="16"/>
              </w:rPr>
            </w:pPr>
            <w:r w:rsidRPr="00210AC6">
              <w:rPr>
                <w:rFonts w:cs="Arial"/>
                <w:szCs w:val="16"/>
              </w:rPr>
              <w:t>YES</w:t>
            </w:r>
          </w:p>
        </w:tc>
        <w:tc>
          <w:tcPr>
            <w:tcW w:w="832" w:type="pct"/>
          </w:tcPr>
          <w:p w14:paraId="5FB686BF" w14:textId="58500CD0" w:rsidR="00AA1152" w:rsidRPr="00210AC6" w:rsidRDefault="00AA1152" w:rsidP="00AA1152">
            <w:pPr>
              <w:rPr>
                <w:rFonts w:cs="Arial"/>
                <w:szCs w:val="16"/>
              </w:rPr>
            </w:pPr>
            <w:r w:rsidRPr="00210AC6">
              <w:rPr>
                <w:rFonts w:cs="Arial"/>
                <w:szCs w:val="16"/>
              </w:rPr>
              <w:t>2</w:t>
            </w:r>
          </w:p>
        </w:tc>
      </w:tr>
      <w:tr w:rsidR="00AA1152" w:rsidRPr="00210AC6" w14:paraId="02526753" w14:textId="77777777" w:rsidTr="00FB3F34">
        <w:tc>
          <w:tcPr>
            <w:tcW w:w="2504" w:type="pct"/>
          </w:tcPr>
          <w:p w14:paraId="02E96748" w14:textId="77777777" w:rsidR="00AA1152" w:rsidRPr="00210AC6" w:rsidRDefault="00AA1152" w:rsidP="00AA1152">
            <w:pPr>
              <w:rPr>
                <w:rFonts w:cs="Arial"/>
                <w:b/>
                <w:bCs/>
                <w:szCs w:val="16"/>
              </w:rPr>
            </w:pPr>
            <w:r w:rsidRPr="00210AC6">
              <w:rPr>
                <w:rFonts w:cs="Arial"/>
                <w:b/>
                <w:bCs/>
                <w:szCs w:val="16"/>
              </w:rPr>
              <w:t>Indicator 12: IEP developed and implemented by third birthday</w:t>
            </w:r>
          </w:p>
        </w:tc>
        <w:tc>
          <w:tcPr>
            <w:tcW w:w="832" w:type="pct"/>
          </w:tcPr>
          <w:p w14:paraId="4F2BD9F2" w14:textId="398FC4CF" w:rsidR="00AA1152" w:rsidRPr="00210AC6" w:rsidRDefault="00AA1152" w:rsidP="00AA1152">
            <w:pPr>
              <w:rPr>
                <w:rFonts w:cs="Arial"/>
                <w:szCs w:val="16"/>
              </w:rPr>
            </w:pPr>
            <w:r w:rsidRPr="00210AC6">
              <w:rPr>
                <w:rFonts w:cs="Arial"/>
                <w:szCs w:val="16"/>
              </w:rPr>
              <w:t>99.16%</w:t>
            </w:r>
          </w:p>
        </w:tc>
        <w:tc>
          <w:tcPr>
            <w:tcW w:w="832" w:type="pct"/>
          </w:tcPr>
          <w:p w14:paraId="6054F9DF" w14:textId="6A2554B4" w:rsidR="00AA1152" w:rsidRPr="00210AC6" w:rsidRDefault="00AA1152" w:rsidP="00AA1152">
            <w:pPr>
              <w:rPr>
                <w:rFonts w:cs="Arial"/>
                <w:szCs w:val="16"/>
              </w:rPr>
            </w:pPr>
            <w:r w:rsidRPr="00210AC6">
              <w:rPr>
                <w:rFonts w:cs="Arial"/>
                <w:szCs w:val="16"/>
              </w:rPr>
              <w:t>YES</w:t>
            </w:r>
          </w:p>
        </w:tc>
        <w:tc>
          <w:tcPr>
            <w:tcW w:w="832" w:type="pct"/>
          </w:tcPr>
          <w:p w14:paraId="3702D281" w14:textId="352F6EC2" w:rsidR="00AA1152" w:rsidRPr="00210AC6" w:rsidRDefault="00AA1152" w:rsidP="00AA1152">
            <w:pPr>
              <w:rPr>
                <w:rFonts w:cs="Arial"/>
                <w:szCs w:val="16"/>
              </w:rPr>
            </w:pPr>
            <w:r w:rsidRPr="00210AC6">
              <w:rPr>
                <w:rFonts w:cs="Arial"/>
                <w:szCs w:val="16"/>
              </w:rPr>
              <w:t>2</w:t>
            </w:r>
          </w:p>
        </w:tc>
      </w:tr>
      <w:tr w:rsidR="00AA1152" w:rsidRPr="00210AC6" w14:paraId="74763DC8" w14:textId="77777777" w:rsidTr="00FB3F34">
        <w:tc>
          <w:tcPr>
            <w:tcW w:w="2504" w:type="pct"/>
          </w:tcPr>
          <w:p w14:paraId="2E528111" w14:textId="77777777" w:rsidR="00AA1152" w:rsidRPr="00210AC6" w:rsidRDefault="00AA1152" w:rsidP="00AA1152">
            <w:pPr>
              <w:rPr>
                <w:rFonts w:cs="Arial"/>
                <w:b/>
                <w:bCs/>
                <w:szCs w:val="16"/>
              </w:rPr>
            </w:pPr>
            <w:r w:rsidRPr="00210AC6">
              <w:rPr>
                <w:rFonts w:cs="Arial"/>
                <w:b/>
                <w:bCs/>
                <w:szCs w:val="16"/>
              </w:rPr>
              <w:t>Indicator 13: Secondary transition</w:t>
            </w:r>
          </w:p>
        </w:tc>
        <w:tc>
          <w:tcPr>
            <w:tcW w:w="832" w:type="pct"/>
          </w:tcPr>
          <w:p w14:paraId="2E2E3F92" w14:textId="0CE14D00" w:rsidR="00AA1152" w:rsidRPr="00210AC6" w:rsidRDefault="00AA1152" w:rsidP="00AA1152">
            <w:pPr>
              <w:rPr>
                <w:rFonts w:cs="Arial"/>
                <w:szCs w:val="16"/>
              </w:rPr>
            </w:pPr>
            <w:r w:rsidRPr="00210AC6">
              <w:rPr>
                <w:rFonts w:cs="Arial"/>
                <w:szCs w:val="16"/>
              </w:rPr>
              <w:t>69.39%</w:t>
            </w:r>
          </w:p>
        </w:tc>
        <w:tc>
          <w:tcPr>
            <w:tcW w:w="832" w:type="pct"/>
          </w:tcPr>
          <w:p w14:paraId="3F499F14" w14:textId="09C97ADF" w:rsidR="00AA1152" w:rsidRPr="00210AC6" w:rsidRDefault="00AA1152" w:rsidP="00AA1152">
            <w:pPr>
              <w:rPr>
                <w:rFonts w:cs="Arial"/>
                <w:szCs w:val="16"/>
              </w:rPr>
            </w:pPr>
            <w:r w:rsidRPr="00210AC6">
              <w:rPr>
                <w:rFonts w:cs="Arial"/>
                <w:szCs w:val="16"/>
              </w:rPr>
              <w:t>YES</w:t>
            </w:r>
          </w:p>
        </w:tc>
        <w:tc>
          <w:tcPr>
            <w:tcW w:w="832" w:type="pct"/>
          </w:tcPr>
          <w:p w14:paraId="06689058" w14:textId="117B6780" w:rsidR="00AA1152" w:rsidRPr="00210AC6" w:rsidRDefault="00AA1152" w:rsidP="00AA1152">
            <w:pPr>
              <w:rPr>
                <w:rFonts w:cs="Arial"/>
                <w:szCs w:val="16"/>
              </w:rPr>
            </w:pPr>
            <w:r w:rsidRPr="00210AC6">
              <w:rPr>
                <w:rFonts w:cs="Arial"/>
                <w:szCs w:val="16"/>
              </w:rPr>
              <w:t>0</w:t>
            </w:r>
          </w:p>
        </w:tc>
      </w:tr>
      <w:tr w:rsidR="00AA1152" w:rsidRPr="00210AC6" w14:paraId="5B73C8AC" w14:textId="77777777" w:rsidTr="00AA1152">
        <w:tc>
          <w:tcPr>
            <w:tcW w:w="2504" w:type="pct"/>
          </w:tcPr>
          <w:p w14:paraId="772D1C3C" w14:textId="77777777" w:rsidR="00AA1152" w:rsidRPr="00210AC6" w:rsidRDefault="00AA1152" w:rsidP="00AA1152">
            <w:pPr>
              <w:rPr>
                <w:rFonts w:cs="Arial"/>
                <w:b/>
                <w:bCs/>
                <w:szCs w:val="16"/>
              </w:rPr>
            </w:pPr>
            <w:r w:rsidRPr="00210AC6">
              <w:rPr>
                <w:rFonts w:cs="Arial"/>
                <w:b/>
                <w:bCs/>
                <w:szCs w:val="16"/>
              </w:rPr>
              <w:t>Timely and Accurate State-Reported Data</w:t>
            </w:r>
          </w:p>
        </w:tc>
        <w:tc>
          <w:tcPr>
            <w:tcW w:w="832" w:type="pct"/>
          </w:tcPr>
          <w:p w14:paraId="18A1304C" w14:textId="765F1D9B" w:rsidR="00AA1152" w:rsidRPr="00210AC6" w:rsidRDefault="00AA1152" w:rsidP="00AA1152">
            <w:pPr>
              <w:rPr>
                <w:rFonts w:cs="Arial"/>
                <w:szCs w:val="16"/>
              </w:rPr>
            </w:pPr>
            <w:r w:rsidRPr="00210AC6">
              <w:rPr>
                <w:rFonts w:cs="Arial"/>
                <w:szCs w:val="16"/>
              </w:rPr>
              <w:t>92.86%</w:t>
            </w:r>
          </w:p>
        </w:tc>
        <w:tc>
          <w:tcPr>
            <w:tcW w:w="832" w:type="pct"/>
            <w:shd w:val="clear" w:color="auto" w:fill="D9D9D9" w:themeFill="background1" w:themeFillShade="D9"/>
          </w:tcPr>
          <w:p w14:paraId="7AC688E1" w14:textId="77777777" w:rsidR="00AA1152" w:rsidRPr="00210AC6" w:rsidRDefault="00AA1152" w:rsidP="00AA1152">
            <w:pPr>
              <w:rPr>
                <w:rFonts w:cs="Arial"/>
                <w:szCs w:val="16"/>
              </w:rPr>
            </w:pPr>
          </w:p>
        </w:tc>
        <w:tc>
          <w:tcPr>
            <w:tcW w:w="832" w:type="pct"/>
          </w:tcPr>
          <w:p w14:paraId="2D7E2590" w14:textId="5F40EEE6" w:rsidR="00AA1152" w:rsidRPr="00210AC6" w:rsidRDefault="00AA1152" w:rsidP="00AA1152">
            <w:pPr>
              <w:rPr>
                <w:rFonts w:cs="Arial"/>
                <w:szCs w:val="16"/>
              </w:rPr>
            </w:pPr>
            <w:r w:rsidRPr="00210AC6">
              <w:rPr>
                <w:rFonts w:cs="Arial"/>
                <w:szCs w:val="16"/>
              </w:rPr>
              <w:t>1</w:t>
            </w:r>
          </w:p>
        </w:tc>
      </w:tr>
      <w:tr w:rsidR="00AA1152" w:rsidRPr="00210AC6" w14:paraId="5B2DC82D" w14:textId="77777777" w:rsidTr="00AA1152">
        <w:tc>
          <w:tcPr>
            <w:tcW w:w="2504" w:type="pct"/>
          </w:tcPr>
          <w:p w14:paraId="03E653A4" w14:textId="77777777" w:rsidR="00AA1152" w:rsidRPr="00210AC6" w:rsidRDefault="00AA1152" w:rsidP="00AA1152">
            <w:pPr>
              <w:rPr>
                <w:rFonts w:cs="Arial"/>
                <w:b/>
                <w:bCs/>
                <w:szCs w:val="16"/>
              </w:rPr>
            </w:pPr>
            <w:r w:rsidRPr="00210AC6">
              <w:rPr>
                <w:rFonts w:cs="Arial"/>
                <w:b/>
                <w:bCs/>
                <w:szCs w:val="16"/>
              </w:rPr>
              <w:t>Timely State Complaint Decisions</w:t>
            </w:r>
          </w:p>
        </w:tc>
        <w:tc>
          <w:tcPr>
            <w:tcW w:w="832" w:type="pct"/>
          </w:tcPr>
          <w:p w14:paraId="3623764C" w14:textId="2150291E" w:rsidR="00AA1152" w:rsidRPr="00210AC6" w:rsidRDefault="00AA1152" w:rsidP="00AA1152">
            <w:pPr>
              <w:rPr>
                <w:rFonts w:cs="Arial"/>
                <w:szCs w:val="16"/>
              </w:rPr>
            </w:pPr>
            <w:r w:rsidRPr="00210AC6">
              <w:rPr>
                <w:rFonts w:cs="Arial"/>
                <w:szCs w:val="16"/>
              </w:rPr>
              <w:t>100.00%</w:t>
            </w:r>
          </w:p>
        </w:tc>
        <w:tc>
          <w:tcPr>
            <w:tcW w:w="832" w:type="pct"/>
            <w:shd w:val="clear" w:color="auto" w:fill="D9D9D9" w:themeFill="background1" w:themeFillShade="D9"/>
          </w:tcPr>
          <w:p w14:paraId="097E1289" w14:textId="77777777" w:rsidR="00AA1152" w:rsidRPr="00210AC6" w:rsidRDefault="00AA1152" w:rsidP="00AA1152">
            <w:pPr>
              <w:rPr>
                <w:rFonts w:cs="Arial"/>
                <w:szCs w:val="16"/>
              </w:rPr>
            </w:pPr>
          </w:p>
        </w:tc>
        <w:tc>
          <w:tcPr>
            <w:tcW w:w="832" w:type="pct"/>
          </w:tcPr>
          <w:p w14:paraId="4499CBD7" w14:textId="4E7EAE4B" w:rsidR="00AA1152" w:rsidRPr="00210AC6" w:rsidRDefault="00AA1152" w:rsidP="00AA1152">
            <w:pPr>
              <w:rPr>
                <w:rFonts w:cs="Arial"/>
                <w:szCs w:val="16"/>
              </w:rPr>
            </w:pPr>
            <w:r w:rsidRPr="00210AC6">
              <w:rPr>
                <w:rFonts w:cs="Arial"/>
                <w:szCs w:val="16"/>
              </w:rPr>
              <w:t>2</w:t>
            </w:r>
          </w:p>
        </w:tc>
      </w:tr>
      <w:tr w:rsidR="00AA1152" w:rsidRPr="00210AC6" w14:paraId="4BFA68EF" w14:textId="77777777" w:rsidTr="00AA1152">
        <w:tc>
          <w:tcPr>
            <w:tcW w:w="2504" w:type="pct"/>
          </w:tcPr>
          <w:p w14:paraId="066554B9" w14:textId="77777777" w:rsidR="00AA1152" w:rsidRPr="00210AC6" w:rsidRDefault="00AA1152" w:rsidP="00AA1152">
            <w:pPr>
              <w:rPr>
                <w:rFonts w:cs="Arial"/>
                <w:b/>
                <w:bCs/>
                <w:szCs w:val="16"/>
              </w:rPr>
            </w:pPr>
            <w:r w:rsidRPr="00210AC6">
              <w:rPr>
                <w:rFonts w:cs="Arial"/>
                <w:b/>
                <w:bCs/>
                <w:szCs w:val="16"/>
              </w:rPr>
              <w:t>Timely Due Process Hearing Decisions</w:t>
            </w:r>
          </w:p>
        </w:tc>
        <w:tc>
          <w:tcPr>
            <w:tcW w:w="832" w:type="pct"/>
          </w:tcPr>
          <w:p w14:paraId="786FDFAC" w14:textId="6F373ECA" w:rsidR="00AA1152" w:rsidRPr="00210AC6" w:rsidRDefault="00AA1152" w:rsidP="00AA1152">
            <w:pPr>
              <w:rPr>
                <w:rFonts w:cs="Arial"/>
                <w:szCs w:val="16"/>
              </w:rPr>
            </w:pPr>
            <w:r w:rsidRPr="00210AC6">
              <w:rPr>
                <w:rFonts w:cs="Arial"/>
                <w:szCs w:val="16"/>
              </w:rPr>
              <w:t>100.00%</w:t>
            </w:r>
          </w:p>
        </w:tc>
        <w:tc>
          <w:tcPr>
            <w:tcW w:w="832" w:type="pct"/>
            <w:shd w:val="clear" w:color="auto" w:fill="D9D9D9" w:themeFill="background1" w:themeFillShade="D9"/>
          </w:tcPr>
          <w:p w14:paraId="76E4B89A" w14:textId="77777777" w:rsidR="00AA1152" w:rsidRPr="00210AC6" w:rsidRDefault="00AA1152" w:rsidP="00AA1152">
            <w:pPr>
              <w:rPr>
                <w:rFonts w:cs="Arial"/>
                <w:szCs w:val="16"/>
              </w:rPr>
            </w:pPr>
          </w:p>
        </w:tc>
        <w:tc>
          <w:tcPr>
            <w:tcW w:w="832" w:type="pct"/>
          </w:tcPr>
          <w:p w14:paraId="3F8AD42C" w14:textId="7F0D6356" w:rsidR="00AA1152" w:rsidRPr="00210AC6" w:rsidRDefault="00AA1152" w:rsidP="00AA1152">
            <w:pPr>
              <w:rPr>
                <w:rFonts w:cs="Arial"/>
                <w:szCs w:val="16"/>
              </w:rPr>
            </w:pPr>
            <w:r w:rsidRPr="00210AC6">
              <w:rPr>
                <w:rFonts w:cs="Arial"/>
                <w:szCs w:val="16"/>
              </w:rPr>
              <w:t>2</w:t>
            </w:r>
          </w:p>
        </w:tc>
      </w:tr>
      <w:tr w:rsidR="00AA1152" w:rsidRPr="00210AC6" w14:paraId="26770970" w14:textId="77777777" w:rsidTr="00AA1152">
        <w:tc>
          <w:tcPr>
            <w:tcW w:w="2504" w:type="pct"/>
          </w:tcPr>
          <w:p w14:paraId="60988791" w14:textId="77777777" w:rsidR="00AA1152" w:rsidRPr="00210AC6" w:rsidRDefault="00AA1152" w:rsidP="00AA1152">
            <w:pPr>
              <w:rPr>
                <w:rFonts w:cs="Arial"/>
                <w:b/>
                <w:bCs/>
                <w:szCs w:val="16"/>
              </w:rPr>
            </w:pPr>
            <w:r w:rsidRPr="00210AC6">
              <w:rPr>
                <w:rFonts w:cs="Arial"/>
                <w:b/>
                <w:bCs/>
                <w:szCs w:val="16"/>
              </w:rPr>
              <w:t>Longstanding Noncompliance</w:t>
            </w:r>
          </w:p>
        </w:tc>
        <w:tc>
          <w:tcPr>
            <w:tcW w:w="832" w:type="pct"/>
            <w:shd w:val="clear" w:color="auto" w:fill="D9D9D9" w:themeFill="background1" w:themeFillShade="D9"/>
          </w:tcPr>
          <w:p w14:paraId="5695B159" w14:textId="77777777" w:rsidR="00AA1152" w:rsidRPr="00210AC6" w:rsidRDefault="00AA1152" w:rsidP="00AA1152">
            <w:pPr>
              <w:rPr>
                <w:rFonts w:cs="Arial"/>
                <w:szCs w:val="16"/>
              </w:rPr>
            </w:pPr>
          </w:p>
        </w:tc>
        <w:tc>
          <w:tcPr>
            <w:tcW w:w="832" w:type="pct"/>
            <w:shd w:val="clear" w:color="auto" w:fill="D9D9D9" w:themeFill="background1" w:themeFillShade="D9"/>
          </w:tcPr>
          <w:p w14:paraId="47C17DD8" w14:textId="77777777" w:rsidR="00AA1152" w:rsidRPr="00210AC6" w:rsidRDefault="00AA1152" w:rsidP="00AA1152">
            <w:pPr>
              <w:rPr>
                <w:rFonts w:cs="Arial"/>
                <w:szCs w:val="16"/>
              </w:rPr>
            </w:pPr>
          </w:p>
        </w:tc>
        <w:tc>
          <w:tcPr>
            <w:tcW w:w="832" w:type="pct"/>
          </w:tcPr>
          <w:p w14:paraId="6505B17E" w14:textId="4908393C" w:rsidR="00AA1152" w:rsidRPr="00210AC6" w:rsidRDefault="00AA1152" w:rsidP="00AA1152">
            <w:pPr>
              <w:rPr>
                <w:rFonts w:cs="Arial"/>
                <w:szCs w:val="16"/>
              </w:rPr>
            </w:pPr>
            <w:r w:rsidRPr="00210AC6">
              <w:rPr>
                <w:rFonts w:cs="Arial"/>
                <w:szCs w:val="16"/>
              </w:rPr>
              <w:t>2</w:t>
            </w:r>
          </w:p>
        </w:tc>
      </w:tr>
      <w:tr w:rsidR="00210AC6" w:rsidRPr="00210AC6" w14:paraId="37FD1A53" w14:textId="77777777" w:rsidTr="00AA1152">
        <w:tc>
          <w:tcPr>
            <w:tcW w:w="2504" w:type="pct"/>
          </w:tcPr>
          <w:p w14:paraId="3FB1DF49" w14:textId="77777777" w:rsidR="00AA1152" w:rsidRPr="00210AC6" w:rsidRDefault="00AA1152" w:rsidP="00FB3CF2">
            <w:pPr>
              <w:ind w:left="720"/>
              <w:rPr>
                <w:rFonts w:cs="Arial"/>
                <w:b/>
                <w:bCs/>
                <w:szCs w:val="16"/>
              </w:rPr>
            </w:pPr>
            <w:r w:rsidRPr="00210AC6">
              <w:rPr>
                <w:rFonts w:cs="Arial"/>
                <w:b/>
                <w:bCs/>
                <w:szCs w:val="16"/>
              </w:rPr>
              <w:t>Specific Conditions</w:t>
            </w:r>
          </w:p>
        </w:tc>
        <w:tc>
          <w:tcPr>
            <w:tcW w:w="832" w:type="pct"/>
          </w:tcPr>
          <w:p w14:paraId="25CFC5F1" w14:textId="52880491" w:rsidR="00AA1152" w:rsidRPr="00210AC6" w:rsidRDefault="00AA1152" w:rsidP="00AA1152">
            <w:pPr>
              <w:rPr>
                <w:rFonts w:cs="Arial"/>
                <w:szCs w:val="16"/>
              </w:rPr>
            </w:pPr>
            <w:r w:rsidRPr="00210AC6">
              <w:rPr>
                <w:rFonts w:cs="Arial"/>
                <w:szCs w:val="16"/>
              </w:rPr>
              <w:t>None</w:t>
            </w:r>
          </w:p>
        </w:tc>
        <w:tc>
          <w:tcPr>
            <w:tcW w:w="832" w:type="pct"/>
            <w:shd w:val="clear" w:color="auto" w:fill="D9D9D9" w:themeFill="background1" w:themeFillShade="D9"/>
          </w:tcPr>
          <w:p w14:paraId="2EE980E6" w14:textId="77777777" w:rsidR="00AA1152" w:rsidRPr="00210AC6" w:rsidRDefault="00AA1152" w:rsidP="00AA1152">
            <w:pPr>
              <w:rPr>
                <w:rFonts w:cs="Arial"/>
                <w:szCs w:val="16"/>
              </w:rPr>
            </w:pPr>
          </w:p>
        </w:tc>
        <w:tc>
          <w:tcPr>
            <w:tcW w:w="832" w:type="pct"/>
            <w:shd w:val="clear" w:color="auto" w:fill="D9D9D9" w:themeFill="background1" w:themeFillShade="D9"/>
          </w:tcPr>
          <w:p w14:paraId="4F02C2EF" w14:textId="77777777" w:rsidR="00AA1152" w:rsidRPr="00210AC6" w:rsidRDefault="00AA1152" w:rsidP="00AA1152">
            <w:pPr>
              <w:rPr>
                <w:rFonts w:cs="Arial"/>
                <w:szCs w:val="16"/>
              </w:rPr>
            </w:pPr>
          </w:p>
        </w:tc>
      </w:tr>
      <w:tr w:rsidR="00AA1152" w:rsidRPr="00210AC6" w14:paraId="280FAD4D" w14:textId="77777777" w:rsidTr="00AA1152">
        <w:tc>
          <w:tcPr>
            <w:tcW w:w="2504" w:type="pct"/>
          </w:tcPr>
          <w:p w14:paraId="03E7B148" w14:textId="77777777" w:rsidR="00AA1152" w:rsidRPr="00210AC6" w:rsidRDefault="00AA1152" w:rsidP="00FB3CF2">
            <w:pPr>
              <w:ind w:left="720"/>
              <w:rPr>
                <w:rFonts w:cs="Arial"/>
                <w:b/>
                <w:bCs/>
                <w:szCs w:val="16"/>
              </w:rPr>
            </w:pPr>
            <w:r w:rsidRPr="00210AC6">
              <w:rPr>
                <w:rFonts w:cs="Arial"/>
                <w:b/>
                <w:bCs/>
                <w:szCs w:val="16"/>
              </w:rPr>
              <w:t>Uncorrected identified noncompliance</w:t>
            </w:r>
          </w:p>
        </w:tc>
        <w:tc>
          <w:tcPr>
            <w:tcW w:w="832" w:type="pct"/>
          </w:tcPr>
          <w:p w14:paraId="6A88C370" w14:textId="640AB405" w:rsidR="00AA1152" w:rsidRPr="00210AC6" w:rsidRDefault="00AA1152" w:rsidP="00AA1152">
            <w:pPr>
              <w:rPr>
                <w:rFonts w:cs="Arial"/>
                <w:szCs w:val="16"/>
              </w:rPr>
            </w:pPr>
            <w:r w:rsidRPr="00210AC6">
              <w:rPr>
                <w:rFonts w:cs="Arial"/>
                <w:szCs w:val="16"/>
              </w:rPr>
              <w:t>None</w:t>
            </w:r>
          </w:p>
        </w:tc>
        <w:tc>
          <w:tcPr>
            <w:tcW w:w="832" w:type="pct"/>
            <w:shd w:val="clear" w:color="auto" w:fill="D9D9D9" w:themeFill="background1" w:themeFillShade="D9"/>
          </w:tcPr>
          <w:p w14:paraId="1BBE86F1" w14:textId="77777777" w:rsidR="00AA1152" w:rsidRPr="00210AC6" w:rsidRDefault="00AA1152" w:rsidP="00AA1152">
            <w:pPr>
              <w:rPr>
                <w:rFonts w:cs="Arial"/>
                <w:szCs w:val="16"/>
              </w:rPr>
            </w:pPr>
          </w:p>
        </w:tc>
        <w:tc>
          <w:tcPr>
            <w:tcW w:w="832" w:type="pct"/>
            <w:shd w:val="clear" w:color="auto" w:fill="D9D9D9" w:themeFill="background1" w:themeFillShade="D9"/>
          </w:tcPr>
          <w:p w14:paraId="774B8A90" w14:textId="77777777" w:rsidR="00AA1152" w:rsidRPr="00210AC6" w:rsidRDefault="00AA1152" w:rsidP="00AA1152">
            <w:pPr>
              <w:rPr>
                <w:rFonts w:cs="Arial"/>
                <w:szCs w:val="16"/>
              </w:rPr>
            </w:pPr>
          </w:p>
        </w:tc>
      </w:tr>
    </w:tbl>
    <w:p w14:paraId="72E10240" w14:textId="77777777" w:rsidR="00B42C5F" w:rsidRPr="00210AC6" w:rsidRDefault="00B42C5F" w:rsidP="00BE0EEF">
      <w:pPr>
        <w:rPr>
          <w:rFonts w:cs="Arial"/>
          <w:b/>
          <w:szCs w:val="16"/>
        </w:rPr>
      </w:pPr>
    </w:p>
    <w:p w14:paraId="329F2F2C" w14:textId="77777777" w:rsidR="006A44D8" w:rsidRDefault="006A44D8">
      <w:pPr>
        <w:spacing w:before="0" w:after="200" w:line="276" w:lineRule="auto"/>
        <w:rPr>
          <w:rFonts w:eastAsiaTheme="majorEastAsia" w:cstheme="majorBidi"/>
          <w:b/>
          <w:bCs/>
          <w:sz w:val="20"/>
          <w:szCs w:val="26"/>
        </w:rPr>
      </w:pPr>
      <w:r>
        <w:br w:type="page"/>
      </w:r>
    </w:p>
    <w:p w14:paraId="594193B2" w14:textId="16D7A99F" w:rsidR="00BE0EEF" w:rsidRDefault="00BE0EEF" w:rsidP="00BE0EEF">
      <w:pPr>
        <w:pStyle w:val="Heading2"/>
      </w:pPr>
      <w:r w:rsidRPr="003E43D9">
        <w:lastRenderedPageBreak/>
        <w:t>Data Rubric</w:t>
      </w:r>
    </w:p>
    <w:p w14:paraId="1EE55F15" w14:textId="77777777" w:rsidR="009369B1" w:rsidRPr="009369B1" w:rsidRDefault="009369B1" w:rsidP="009369B1">
      <w:pPr>
        <w:rPr>
          <w:b/>
          <w:bCs/>
          <w:sz w:val="20"/>
          <w:szCs w:val="28"/>
        </w:rPr>
      </w:pPr>
      <w:r w:rsidRPr="009369B1">
        <w:rPr>
          <w:b/>
          <w:bCs/>
          <w:sz w:val="20"/>
          <w:szCs w:val="28"/>
        </w:rPr>
        <w:t>Utah</w:t>
      </w:r>
    </w:p>
    <w:p w14:paraId="6115DDA8" w14:textId="77777777" w:rsidR="009369B1" w:rsidRPr="009369B1" w:rsidRDefault="009369B1" w:rsidP="009369B1"/>
    <w:p w14:paraId="27E7D5D5" w14:textId="314242AE" w:rsidR="00110BB6" w:rsidRDefault="00110BB6" w:rsidP="00110BB6">
      <w:pPr>
        <w:jc w:val="center"/>
      </w:pPr>
      <w:r>
        <w:t>FFY 2021 APR</w:t>
      </w:r>
      <w:r w:rsidR="00A47134">
        <w:rPr>
          <w:rStyle w:val="FootnoteReference"/>
        </w:rPr>
        <w:footnoteReference w:id="14"/>
      </w:r>
    </w:p>
    <w:tbl>
      <w:tblPr>
        <w:tblStyle w:val="TableGrid1"/>
        <w:tblW w:w="9824" w:type="dxa"/>
        <w:tblLook w:val="04A0" w:firstRow="1" w:lastRow="0" w:firstColumn="1" w:lastColumn="0" w:noHBand="0" w:noVBand="1"/>
        <w:tblCaption w:val="BRUBCFFYINDVRSTAT"/>
      </w:tblPr>
      <w:tblGrid>
        <w:gridCol w:w="1866"/>
        <w:gridCol w:w="5260"/>
        <w:gridCol w:w="2698"/>
      </w:tblGrid>
      <w:tr w:rsidR="00FB3F34" w:rsidRPr="00210AC6" w14:paraId="1EDB9080" w14:textId="77777777" w:rsidTr="00E31D6F">
        <w:trPr>
          <w:trHeight w:val="432"/>
          <w:tblHeader/>
        </w:trPr>
        <w:tc>
          <w:tcPr>
            <w:tcW w:w="1866" w:type="dxa"/>
            <w:hideMark/>
          </w:tcPr>
          <w:p w14:paraId="7CCEA6CA" w14:textId="68305EB8" w:rsidR="00FB3F34" w:rsidRPr="00210AC6" w:rsidRDefault="00371FAA" w:rsidP="006620B0">
            <w:pPr>
              <w:spacing w:before="0" w:after="0"/>
              <w:jc w:val="center"/>
              <w:rPr>
                <w:rFonts w:eastAsia="Times New Roman" w:cs="Arial"/>
                <w:szCs w:val="16"/>
              </w:rPr>
            </w:pPr>
            <w:r>
              <w:tab/>
            </w:r>
          </w:p>
        </w:tc>
        <w:tc>
          <w:tcPr>
            <w:tcW w:w="5260" w:type="dxa"/>
          </w:tcPr>
          <w:p w14:paraId="1EE18FEA" w14:textId="2E861024" w:rsidR="00FB3F34" w:rsidRPr="00210AC6" w:rsidRDefault="00FB3F34" w:rsidP="006620B0">
            <w:pPr>
              <w:spacing w:before="0" w:after="0"/>
              <w:jc w:val="center"/>
              <w:rPr>
                <w:rFonts w:eastAsia="Times New Roman" w:cs="Arial"/>
                <w:szCs w:val="16"/>
              </w:rPr>
            </w:pPr>
            <w:r w:rsidRPr="00210AC6">
              <w:rPr>
                <w:rFonts w:eastAsia="Times New Roman" w:cs="Arial"/>
                <w:b/>
                <w:bCs/>
                <w:szCs w:val="16"/>
              </w:rPr>
              <w:t>Part B Timely and Accurate Data -- SPP/APR Data</w:t>
            </w:r>
          </w:p>
        </w:tc>
        <w:tc>
          <w:tcPr>
            <w:tcW w:w="2698" w:type="dxa"/>
          </w:tcPr>
          <w:p w14:paraId="2C283DE7" w14:textId="471B490F" w:rsidR="00FB3F34" w:rsidRPr="00210AC6" w:rsidRDefault="00FB3F34" w:rsidP="006620B0">
            <w:pPr>
              <w:spacing w:before="0" w:after="0"/>
              <w:jc w:val="center"/>
              <w:rPr>
                <w:rFonts w:eastAsia="Times New Roman" w:cs="Arial"/>
                <w:b/>
                <w:bCs/>
                <w:szCs w:val="16"/>
              </w:rPr>
            </w:pPr>
          </w:p>
        </w:tc>
      </w:tr>
      <w:tr w:rsidR="00BE0EEF" w:rsidRPr="00210AC6" w14:paraId="3A3A0C16" w14:textId="77777777" w:rsidTr="00E31D6F">
        <w:trPr>
          <w:trHeight w:val="432"/>
        </w:trPr>
        <w:tc>
          <w:tcPr>
            <w:tcW w:w="1866" w:type="dxa"/>
            <w:hideMark/>
          </w:tcPr>
          <w:p w14:paraId="68434036" w14:textId="77777777" w:rsidR="00BE0EEF" w:rsidRPr="00210AC6" w:rsidRDefault="00BE0EEF" w:rsidP="006620B0">
            <w:pPr>
              <w:spacing w:before="0" w:after="0"/>
              <w:jc w:val="center"/>
              <w:rPr>
                <w:rFonts w:eastAsia="Times New Roman" w:cs="Arial"/>
                <w:b/>
                <w:bCs/>
                <w:szCs w:val="16"/>
              </w:rPr>
            </w:pPr>
            <w:r w:rsidRPr="00210AC6">
              <w:rPr>
                <w:rFonts w:eastAsia="Times New Roman" w:cs="Arial"/>
                <w:b/>
                <w:bCs/>
                <w:szCs w:val="16"/>
              </w:rPr>
              <w:t>APR Indicator</w:t>
            </w:r>
          </w:p>
        </w:tc>
        <w:tc>
          <w:tcPr>
            <w:tcW w:w="5260" w:type="dxa"/>
            <w:hideMark/>
          </w:tcPr>
          <w:p w14:paraId="77033CEB" w14:textId="77777777" w:rsidR="00BE0EEF" w:rsidRPr="00210AC6" w:rsidRDefault="00BE0EEF" w:rsidP="006620B0">
            <w:pPr>
              <w:spacing w:before="0" w:after="0"/>
              <w:jc w:val="center"/>
              <w:rPr>
                <w:rFonts w:eastAsia="Times New Roman" w:cs="Arial"/>
                <w:b/>
                <w:bCs/>
                <w:szCs w:val="16"/>
              </w:rPr>
            </w:pPr>
            <w:r w:rsidRPr="00210AC6">
              <w:rPr>
                <w:rFonts w:eastAsia="Times New Roman" w:cs="Arial"/>
                <w:b/>
                <w:bCs/>
                <w:szCs w:val="16"/>
              </w:rPr>
              <w:t>Valid and Reliable</w:t>
            </w:r>
          </w:p>
        </w:tc>
        <w:tc>
          <w:tcPr>
            <w:tcW w:w="2698" w:type="dxa"/>
            <w:hideMark/>
          </w:tcPr>
          <w:p w14:paraId="5244F363" w14:textId="77777777" w:rsidR="00BE0EEF" w:rsidRPr="00210AC6" w:rsidRDefault="00BE0EEF" w:rsidP="006620B0">
            <w:pPr>
              <w:spacing w:before="0" w:after="0"/>
              <w:jc w:val="center"/>
              <w:rPr>
                <w:rFonts w:eastAsia="Times New Roman" w:cs="Arial"/>
                <w:b/>
                <w:bCs/>
                <w:szCs w:val="16"/>
              </w:rPr>
            </w:pPr>
            <w:r w:rsidRPr="00210AC6">
              <w:rPr>
                <w:rFonts w:eastAsia="Times New Roman" w:cs="Arial"/>
                <w:b/>
                <w:bCs/>
                <w:szCs w:val="16"/>
              </w:rPr>
              <w:t>Total</w:t>
            </w:r>
          </w:p>
        </w:tc>
      </w:tr>
      <w:tr w:rsidR="007135ED" w:rsidRPr="00210AC6" w14:paraId="67229BAC" w14:textId="77777777" w:rsidTr="00E31D6F">
        <w:trPr>
          <w:trHeight w:val="432"/>
        </w:trPr>
        <w:tc>
          <w:tcPr>
            <w:tcW w:w="1866" w:type="dxa"/>
            <w:hideMark/>
          </w:tcPr>
          <w:p w14:paraId="5FEE69C7"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1</w:t>
            </w:r>
          </w:p>
        </w:tc>
        <w:tc>
          <w:tcPr>
            <w:tcW w:w="5260" w:type="dxa"/>
            <w:hideMark/>
          </w:tcPr>
          <w:p w14:paraId="585CE390" w14:textId="7E251BE0"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7E92F735" w14:textId="595A48A0"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3EB60AC4" w14:textId="77777777" w:rsidTr="00E31D6F">
        <w:trPr>
          <w:trHeight w:val="432"/>
        </w:trPr>
        <w:tc>
          <w:tcPr>
            <w:tcW w:w="1866" w:type="dxa"/>
            <w:hideMark/>
          </w:tcPr>
          <w:p w14:paraId="35BAF338"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2</w:t>
            </w:r>
          </w:p>
        </w:tc>
        <w:tc>
          <w:tcPr>
            <w:tcW w:w="5260" w:type="dxa"/>
            <w:hideMark/>
          </w:tcPr>
          <w:p w14:paraId="60118E19" w14:textId="7A45D844"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1C853E5C" w14:textId="79D75765"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25CF8C38" w14:textId="77777777" w:rsidTr="00E31D6F">
        <w:trPr>
          <w:trHeight w:val="432"/>
        </w:trPr>
        <w:tc>
          <w:tcPr>
            <w:tcW w:w="1866" w:type="dxa"/>
            <w:hideMark/>
          </w:tcPr>
          <w:p w14:paraId="68C7D5A5"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3A</w:t>
            </w:r>
          </w:p>
        </w:tc>
        <w:tc>
          <w:tcPr>
            <w:tcW w:w="5260" w:type="dxa"/>
            <w:hideMark/>
          </w:tcPr>
          <w:p w14:paraId="555C0FFA" w14:textId="1DF093AF"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47DDDF62" w14:textId="2D82E5CE"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4B04E7EB" w14:textId="77777777" w:rsidTr="00E31D6F">
        <w:trPr>
          <w:trHeight w:val="432"/>
        </w:trPr>
        <w:tc>
          <w:tcPr>
            <w:tcW w:w="1866" w:type="dxa"/>
            <w:hideMark/>
          </w:tcPr>
          <w:p w14:paraId="2642FD1D"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3B</w:t>
            </w:r>
          </w:p>
        </w:tc>
        <w:tc>
          <w:tcPr>
            <w:tcW w:w="5260" w:type="dxa"/>
            <w:hideMark/>
          </w:tcPr>
          <w:p w14:paraId="72F500EC" w14:textId="0E1B423F"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3C315133" w14:textId="2F329A69"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13E4959E" w14:textId="77777777" w:rsidTr="00E31D6F">
        <w:trPr>
          <w:trHeight w:val="432"/>
        </w:trPr>
        <w:tc>
          <w:tcPr>
            <w:tcW w:w="1866" w:type="dxa"/>
            <w:hideMark/>
          </w:tcPr>
          <w:p w14:paraId="16420CC6"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3C</w:t>
            </w:r>
          </w:p>
        </w:tc>
        <w:tc>
          <w:tcPr>
            <w:tcW w:w="5260" w:type="dxa"/>
            <w:hideMark/>
          </w:tcPr>
          <w:p w14:paraId="7EF0B8B4" w14:textId="2E5673AC"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73EADB1B" w14:textId="03228018"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2844CEDC" w14:textId="77777777" w:rsidTr="00E31D6F">
        <w:trPr>
          <w:trHeight w:val="432"/>
        </w:trPr>
        <w:tc>
          <w:tcPr>
            <w:tcW w:w="1866" w:type="dxa"/>
            <w:hideMark/>
          </w:tcPr>
          <w:p w14:paraId="434C9D26"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3D</w:t>
            </w:r>
          </w:p>
        </w:tc>
        <w:tc>
          <w:tcPr>
            <w:tcW w:w="5260" w:type="dxa"/>
            <w:hideMark/>
          </w:tcPr>
          <w:p w14:paraId="6D3590F8" w14:textId="33166A71"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3B0775F3" w14:textId="492F13BA"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0C388C09" w14:textId="77777777" w:rsidTr="00E31D6F">
        <w:trPr>
          <w:trHeight w:val="432"/>
        </w:trPr>
        <w:tc>
          <w:tcPr>
            <w:tcW w:w="1866" w:type="dxa"/>
            <w:hideMark/>
          </w:tcPr>
          <w:p w14:paraId="72C090C1"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4A</w:t>
            </w:r>
          </w:p>
        </w:tc>
        <w:tc>
          <w:tcPr>
            <w:tcW w:w="5260" w:type="dxa"/>
            <w:hideMark/>
          </w:tcPr>
          <w:p w14:paraId="607E3D37" w14:textId="1D2D59CA"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65FF3F9E" w14:textId="6929A481"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189D00EB" w14:textId="77777777" w:rsidTr="00E31D6F">
        <w:trPr>
          <w:trHeight w:val="432"/>
        </w:trPr>
        <w:tc>
          <w:tcPr>
            <w:tcW w:w="1866" w:type="dxa"/>
            <w:hideMark/>
          </w:tcPr>
          <w:p w14:paraId="7060DD81"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4B</w:t>
            </w:r>
          </w:p>
        </w:tc>
        <w:tc>
          <w:tcPr>
            <w:tcW w:w="5260" w:type="dxa"/>
            <w:hideMark/>
          </w:tcPr>
          <w:p w14:paraId="4F1E8C75" w14:textId="28AF9724"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61FF423D" w14:textId="69E7F43F"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7506E39B" w14:textId="77777777" w:rsidTr="00E31D6F">
        <w:trPr>
          <w:trHeight w:val="432"/>
        </w:trPr>
        <w:tc>
          <w:tcPr>
            <w:tcW w:w="1866" w:type="dxa"/>
            <w:hideMark/>
          </w:tcPr>
          <w:p w14:paraId="5A38FA48"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5</w:t>
            </w:r>
          </w:p>
        </w:tc>
        <w:tc>
          <w:tcPr>
            <w:tcW w:w="5260" w:type="dxa"/>
            <w:hideMark/>
          </w:tcPr>
          <w:p w14:paraId="56E67DDD" w14:textId="62C7A4C4"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63775BBA" w14:textId="3962637A"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5377F841" w14:textId="77777777" w:rsidTr="00E31D6F">
        <w:trPr>
          <w:trHeight w:val="432"/>
        </w:trPr>
        <w:tc>
          <w:tcPr>
            <w:tcW w:w="1866" w:type="dxa"/>
            <w:hideMark/>
          </w:tcPr>
          <w:p w14:paraId="2456A6E0"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6</w:t>
            </w:r>
          </w:p>
        </w:tc>
        <w:tc>
          <w:tcPr>
            <w:tcW w:w="5260" w:type="dxa"/>
            <w:hideMark/>
          </w:tcPr>
          <w:p w14:paraId="2B4C92B4" w14:textId="1001CA64"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33A4C720" w14:textId="210A767D"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2AB6FF3A" w14:textId="77777777" w:rsidTr="00E31D6F">
        <w:trPr>
          <w:trHeight w:val="432"/>
        </w:trPr>
        <w:tc>
          <w:tcPr>
            <w:tcW w:w="1866" w:type="dxa"/>
            <w:hideMark/>
          </w:tcPr>
          <w:p w14:paraId="3C7BC974"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7</w:t>
            </w:r>
          </w:p>
        </w:tc>
        <w:tc>
          <w:tcPr>
            <w:tcW w:w="5260" w:type="dxa"/>
            <w:hideMark/>
          </w:tcPr>
          <w:p w14:paraId="73EC39EF" w14:textId="2AD790D6"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48777B03" w14:textId="55F47E9C"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0779C23E" w14:textId="77777777" w:rsidTr="00E31D6F">
        <w:trPr>
          <w:trHeight w:val="432"/>
        </w:trPr>
        <w:tc>
          <w:tcPr>
            <w:tcW w:w="1866" w:type="dxa"/>
            <w:hideMark/>
          </w:tcPr>
          <w:p w14:paraId="496A2571"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8</w:t>
            </w:r>
          </w:p>
        </w:tc>
        <w:tc>
          <w:tcPr>
            <w:tcW w:w="5260" w:type="dxa"/>
            <w:hideMark/>
          </w:tcPr>
          <w:p w14:paraId="082B43EF" w14:textId="5ACD387E"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7ED9E02B" w14:textId="568C62A7"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4AB1D469" w14:textId="77777777" w:rsidTr="00E31D6F">
        <w:trPr>
          <w:trHeight w:val="432"/>
        </w:trPr>
        <w:tc>
          <w:tcPr>
            <w:tcW w:w="1866" w:type="dxa"/>
            <w:hideMark/>
          </w:tcPr>
          <w:p w14:paraId="651D784C"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9</w:t>
            </w:r>
          </w:p>
        </w:tc>
        <w:tc>
          <w:tcPr>
            <w:tcW w:w="5260" w:type="dxa"/>
            <w:hideMark/>
          </w:tcPr>
          <w:p w14:paraId="369CE928" w14:textId="448F558C"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3CA96C70" w14:textId="4C654E07"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69A1B919" w14:textId="77777777" w:rsidTr="00E31D6F">
        <w:trPr>
          <w:trHeight w:val="432"/>
        </w:trPr>
        <w:tc>
          <w:tcPr>
            <w:tcW w:w="1866" w:type="dxa"/>
            <w:hideMark/>
          </w:tcPr>
          <w:p w14:paraId="232EA42D"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10</w:t>
            </w:r>
          </w:p>
        </w:tc>
        <w:tc>
          <w:tcPr>
            <w:tcW w:w="5260" w:type="dxa"/>
            <w:noWrap/>
            <w:hideMark/>
          </w:tcPr>
          <w:p w14:paraId="4F5D18A1" w14:textId="0D0667C6"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4186C0DD" w14:textId="7A9F886A"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58A1305C" w14:textId="77777777" w:rsidTr="00E31D6F">
        <w:trPr>
          <w:trHeight w:val="432"/>
        </w:trPr>
        <w:tc>
          <w:tcPr>
            <w:tcW w:w="1866" w:type="dxa"/>
            <w:hideMark/>
          </w:tcPr>
          <w:p w14:paraId="7C46D39D"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11</w:t>
            </w:r>
          </w:p>
        </w:tc>
        <w:tc>
          <w:tcPr>
            <w:tcW w:w="5260" w:type="dxa"/>
            <w:hideMark/>
          </w:tcPr>
          <w:p w14:paraId="44311E94" w14:textId="0EFD9CDB"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2B6EE703" w14:textId="41414374"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00BEC1BD" w14:textId="77777777" w:rsidTr="00E31D6F">
        <w:trPr>
          <w:trHeight w:val="432"/>
        </w:trPr>
        <w:tc>
          <w:tcPr>
            <w:tcW w:w="1866" w:type="dxa"/>
            <w:hideMark/>
          </w:tcPr>
          <w:p w14:paraId="3AC92432"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12</w:t>
            </w:r>
          </w:p>
        </w:tc>
        <w:tc>
          <w:tcPr>
            <w:tcW w:w="5260" w:type="dxa"/>
            <w:noWrap/>
            <w:hideMark/>
          </w:tcPr>
          <w:p w14:paraId="517E65C9" w14:textId="22367138"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79139EC4" w14:textId="58B023D9"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6208F430" w14:textId="77777777" w:rsidTr="00E31D6F">
        <w:trPr>
          <w:trHeight w:val="432"/>
        </w:trPr>
        <w:tc>
          <w:tcPr>
            <w:tcW w:w="1866" w:type="dxa"/>
            <w:hideMark/>
          </w:tcPr>
          <w:p w14:paraId="311B1EF1"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13</w:t>
            </w:r>
          </w:p>
        </w:tc>
        <w:tc>
          <w:tcPr>
            <w:tcW w:w="5260" w:type="dxa"/>
            <w:hideMark/>
          </w:tcPr>
          <w:p w14:paraId="787ECEA1" w14:textId="72BB8351"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33C9DBFB" w14:textId="006A7124"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755669C6" w14:textId="77777777" w:rsidTr="00E31D6F">
        <w:trPr>
          <w:trHeight w:val="432"/>
        </w:trPr>
        <w:tc>
          <w:tcPr>
            <w:tcW w:w="1866" w:type="dxa"/>
            <w:hideMark/>
          </w:tcPr>
          <w:p w14:paraId="0C8CC4A2"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14</w:t>
            </w:r>
          </w:p>
        </w:tc>
        <w:tc>
          <w:tcPr>
            <w:tcW w:w="5260" w:type="dxa"/>
            <w:hideMark/>
          </w:tcPr>
          <w:p w14:paraId="0F60439C" w14:textId="6F9A8D8B"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7B0E7975" w14:textId="5A277488"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5017B468" w14:textId="77777777" w:rsidTr="00E31D6F">
        <w:trPr>
          <w:trHeight w:val="432"/>
        </w:trPr>
        <w:tc>
          <w:tcPr>
            <w:tcW w:w="1866" w:type="dxa"/>
            <w:hideMark/>
          </w:tcPr>
          <w:p w14:paraId="0F24BCE8"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15</w:t>
            </w:r>
          </w:p>
        </w:tc>
        <w:tc>
          <w:tcPr>
            <w:tcW w:w="5260" w:type="dxa"/>
            <w:hideMark/>
          </w:tcPr>
          <w:p w14:paraId="0F6FBA05" w14:textId="68CE842F"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4C400BF6" w14:textId="5BEBC59F"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480B321C" w14:textId="77777777" w:rsidTr="00E31D6F">
        <w:trPr>
          <w:trHeight w:val="432"/>
        </w:trPr>
        <w:tc>
          <w:tcPr>
            <w:tcW w:w="1866" w:type="dxa"/>
            <w:hideMark/>
          </w:tcPr>
          <w:p w14:paraId="3870E408"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16</w:t>
            </w:r>
          </w:p>
        </w:tc>
        <w:tc>
          <w:tcPr>
            <w:tcW w:w="5260" w:type="dxa"/>
            <w:hideMark/>
          </w:tcPr>
          <w:p w14:paraId="5DE8D01C" w14:textId="2664D1F2"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4784ADC5" w14:textId="255F35D2"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496B687B" w14:textId="77777777" w:rsidTr="00E31D6F">
        <w:trPr>
          <w:trHeight w:val="432"/>
        </w:trPr>
        <w:tc>
          <w:tcPr>
            <w:tcW w:w="1866" w:type="dxa"/>
            <w:hideMark/>
          </w:tcPr>
          <w:p w14:paraId="708E4A50"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17</w:t>
            </w:r>
          </w:p>
        </w:tc>
        <w:tc>
          <w:tcPr>
            <w:tcW w:w="5260" w:type="dxa"/>
            <w:hideMark/>
          </w:tcPr>
          <w:p w14:paraId="1DC5DFB7" w14:textId="43E1F80B"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4B2444AC" w14:textId="3739D8B3" w:rsidR="007135ED" w:rsidRPr="00210AC6" w:rsidRDefault="007135ED" w:rsidP="006620B0">
            <w:pPr>
              <w:spacing w:before="0" w:after="0"/>
              <w:jc w:val="center"/>
              <w:rPr>
                <w:rFonts w:eastAsia="Times New Roman" w:cs="Arial"/>
                <w:szCs w:val="16"/>
              </w:rPr>
            </w:pPr>
            <w:r w:rsidRPr="00210AC6">
              <w:rPr>
                <w:rFonts w:cs="Arial"/>
                <w:szCs w:val="16"/>
              </w:rPr>
              <w:t>1</w:t>
            </w:r>
          </w:p>
        </w:tc>
      </w:tr>
      <w:tr w:rsidR="0031684C" w:rsidRPr="00210AC6" w14:paraId="1E8447AE" w14:textId="77777777" w:rsidTr="00E31D6F">
        <w:trPr>
          <w:trHeight w:val="432"/>
        </w:trPr>
        <w:tc>
          <w:tcPr>
            <w:tcW w:w="1866" w:type="dxa"/>
            <w:hideMark/>
          </w:tcPr>
          <w:p w14:paraId="38940309" w14:textId="5B5AFDBC" w:rsidR="0031684C" w:rsidRPr="00210AC6" w:rsidRDefault="0031684C" w:rsidP="006620B0">
            <w:pPr>
              <w:spacing w:before="0" w:after="0"/>
              <w:jc w:val="center"/>
              <w:rPr>
                <w:rFonts w:eastAsia="Times New Roman" w:cs="Arial"/>
                <w:szCs w:val="16"/>
              </w:rPr>
            </w:pPr>
          </w:p>
        </w:tc>
        <w:tc>
          <w:tcPr>
            <w:tcW w:w="5260" w:type="dxa"/>
            <w:hideMark/>
          </w:tcPr>
          <w:p w14:paraId="7ABFFFC3" w14:textId="4C46E094" w:rsidR="0031684C" w:rsidRPr="00210AC6" w:rsidRDefault="0031684C" w:rsidP="006620B0">
            <w:pPr>
              <w:spacing w:before="0" w:after="0"/>
              <w:jc w:val="center"/>
              <w:rPr>
                <w:rFonts w:eastAsia="Times New Roman" w:cs="Arial"/>
                <w:b/>
                <w:bCs/>
                <w:szCs w:val="16"/>
              </w:rPr>
            </w:pPr>
            <w:r w:rsidRPr="00210AC6">
              <w:rPr>
                <w:rFonts w:eastAsia="Times New Roman" w:cs="Arial"/>
                <w:b/>
                <w:bCs/>
                <w:szCs w:val="16"/>
              </w:rPr>
              <w:t>Subtotal</w:t>
            </w:r>
          </w:p>
        </w:tc>
        <w:tc>
          <w:tcPr>
            <w:tcW w:w="2698" w:type="dxa"/>
            <w:hideMark/>
          </w:tcPr>
          <w:p w14:paraId="32C3D9B8" w14:textId="670D0C95" w:rsidR="0031684C" w:rsidRPr="00210AC6" w:rsidRDefault="0031684C" w:rsidP="006620B0">
            <w:pPr>
              <w:spacing w:before="0" w:after="0"/>
              <w:jc w:val="center"/>
              <w:rPr>
                <w:rFonts w:eastAsia="Times New Roman" w:cs="Arial"/>
                <w:szCs w:val="16"/>
              </w:rPr>
            </w:pPr>
            <w:r w:rsidRPr="00210AC6">
              <w:rPr>
                <w:rFonts w:cs="Arial"/>
                <w:szCs w:val="16"/>
              </w:rPr>
              <w:t>21</w:t>
            </w:r>
          </w:p>
        </w:tc>
      </w:tr>
      <w:tr w:rsidR="007135ED" w:rsidRPr="00210AC6" w14:paraId="485EA517" w14:textId="77777777" w:rsidTr="00E31D6F">
        <w:trPr>
          <w:trHeight w:val="432"/>
        </w:trPr>
        <w:tc>
          <w:tcPr>
            <w:tcW w:w="1866" w:type="dxa"/>
            <w:hideMark/>
          </w:tcPr>
          <w:p w14:paraId="53BE9DE6" w14:textId="77777777" w:rsidR="007135ED" w:rsidRPr="00210AC6" w:rsidRDefault="007135ED" w:rsidP="003A7B67">
            <w:pPr>
              <w:spacing w:before="0" w:after="0"/>
              <w:jc w:val="center"/>
              <w:rPr>
                <w:rFonts w:eastAsia="Times New Roman" w:cs="Arial"/>
                <w:b/>
                <w:bCs/>
                <w:szCs w:val="16"/>
              </w:rPr>
            </w:pPr>
            <w:r w:rsidRPr="00210AC6">
              <w:rPr>
                <w:rFonts w:eastAsia="Times New Roman" w:cs="Arial"/>
                <w:b/>
                <w:bCs/>
                <w:szCs w:val="16"/>
              </w:rPr>
              <w:t>APR Score Calculation</w:t>
            </w:r>
          </w:p>
        </w:tc>
        <w:tc>
          <w:tcPr>
            <w:tcW w:w="5260" w:type="dxa"/>
            <w:hideMark/>
          </w:tcPr>
          <w:p w14:paraId="52BC6987" w14:textId="08F58127" w:rsidR="007135ED" w:rsidRPr="00210AC6" w:rsidRDefault="007135ED" w:rsidP="003A7B67">
            <w:pPr>
              <w:spacing w:before="0" w:after="0"/>
              <w:rPr>
                <w:rFonts w:eastAsia="Times New Roman" w:cs="Arial"/>
                <w:b/>
                <w:bCs/>
                <w:szCs w:val="16"/>
              </w:rPr>
            </w:pPr>
            <w:r w:rsidRPr="00210AC6">
              <w:rPr>
                <w:rFonts w:eastAsia="Times New Roman" w:cs="Arial"/>
                <w:b/>
                <w:bCs/>
                <w:szCs w:val="16"/>
              </w:rPr>
              <w:t xml:space="preserve">Timely Submission Points </w:t>
            </w:r>
            <w:r w:rsidRPr="00210AC6">
              <w:rPr>
                <w:rFonts w:eastAsia="Times New Roman" w:cs="Arial"/>
                <w:szCs w:val="16"/>
              </w:rPr>
              <w:t>-  If the FFY 2021 APR was submitted on-time, place the number 5 in the cell on the right.</w:t>
            </w:r>
          </w:p>
        </w:tc>
        <w:tc>
          <w:tcPr>
            <w:tcW w:w="2698" w:type="dxa"/>
            <w:hideMark/>
          </w:tcPr>
          <w:p w14:paraId="21294C3E" w14:textId="25337D8A" w:rsidR="007135ED" w:rsidRPr="00210AC6" w:rsidRDefault="007135ED" w:rsidP="006620B0">
            <w:pPr>
              <w:spacing w:before="0" w:after="0"/>
              <w:jc w:val="center"/>
              <w:rPr>
                <w:rFonts w:eastAsia="Times New Roman" w:cs="Arial"/>
                <w:szCs w:val="16"/>
              </w:rPr>
            </w:pPr>
            <w:r w:rsidRPr="00210AC6">
              <w:rPr>
                <w:rFonts w:cs="Arial"/>
                <w:szCs w:val="16"/>
              </w:rPr>
              <w:t>5</w:t>
            </w:r>
          </w:p>
        </w:tc>
      </w:tr>
      <w:tr w:rsidR="007135ED" w:rsidRPr="00210AC6" w14:paraId="5A856B2E" w14:textId="77777777" w:rsidTr="00E31D6F">
        <w:trPr>
          <w:trHeight w:val="432"/>
        </w:trPr>
        <w:tc>
          <w:tcPr>
            <w:tcW w:w="1866" w:type="dxa"/>
            <w:hideMark/>
          </w:tcPr>
          <w:p w14:paraId="71F03087" w14:textId="77777777" w:rsidR="007135ED" w:rsidRPr="00210AC6" w:rsidRDefault="007135ED" w:rsidP="003A7B67">
            <w:pPr>
              <w:spacing w:before="0" w:after="0"/>
              <w:rPr>
                <w:rFonts w:eastAsia="Times New Roman" w:cs="Arial"/>
                <w:b/>
                <w:bCs/>
                <w:szCs w:val="16"/>
              </w:rPr>
            </w:pPr>
          </w:p>
        </w:tc>
        <w:tc>
          <w:tcPr>
            <w:tcW w:w="5260" w:type="dxa"/>
            <w:hideMark/>
          </w:tcPr>
          <w:p w14:paraId="2682AEB2" w14:textId="3292F875" w:rsidR="007135ED" w:rsidRPr="00210AC6" w:rsidRDefault="007135ED" w:rsidP="003A7B67">
            <w:pPr>
              <w:spacing w:before="0" w:after="0"/>
              <w:rPr>
                <w:rFonts w:eastAsia="Times New Roman" w:cs="Arial"/>
                <w:b/>
                <w:bCs/>
                <w:szCs w:val="16"/>
              </w:rPr>
            </w:pPr>
            <w:r w:rsidRPr="00210AC6">
              <w:rPr>
                <w:rFonts w:eastAsia="Times New Roman" w:cs="Arial"/>
                <w:b/>
                <w:bCs/>
                <w:szCs w:val="16"/>
              </w:rPr>
              <w:t>Grand Total</w:t>
            </w:r>
            <w:r w:rsidRPr="00210AC6">
              <w:rPr>
                <w:rFonts w:eastAsia="Times New Roman" w:cs="Arial"/>
                <w:szCs w:val="16"/>
              </w:rPr>
              <w:t xml:space="preserve"> - (Sum of </w:t>
            </w:r>
            <w:r w:rsidR="00214749">
              <w:rPr>
                <w:rFonts w:eastAsia="Times New Roman" w:cs="Arial"/>
                <w:szCs w:val="16"/>
              </w:rPr>
              <w:t>S</w:t>
            </w:r>
            <w:r w:rsidRPr="00210AC6">
              <w:rPr>
                <w:rFonts w:eastAsia="Times New Roman" w:cs="Arial"/>
                <w:szCs w:val="16"/>
              </w:rPr>
              <w:t>ubtotal and Timely Submission Points) =</w:t>
            </w:r>
          </w:p>
        </w:tc>
        <w:tc>
          <w:tcPr>
            <w:tcW w:w="2698" w:type="dxa"/>
            <w:hideMark/>
          </w:tcPr>
          <w:p w14:paraId="7E749BAE" w14:textId="4363CF1B" w:rsidR="007135ED" w:rsidRPr="00210AC6" w:rsidRDefault="007135ED" w:rsidP="006620B0">
            <w:pPr>
              <w:spacing w:before="0" w:after="0"/>
              <w:jc w:val="center"/>
              <w:rPr>
                <w:rFonts w:eastAsia="Times New Roman" w:cs="Arial"/>
                <w:szCs w:val="16"/>
              </w:rPr>
            </w:pPr>
            <w:r w:rsidRPr="00210AC6">
              <w:rPr>
                <w:rFonts w:cs="Arial"/>
                <w:szCs w:val="16"/>
              </w:rPr>
              <w:t>26</w:t>
            </w:r>
          </w:p>
        </w:tc>
      </w:tr>
    </w:tbl>
    <w:p w14:paraId="4B6D9F0C" w14:textId="295BC79F" w:rsidR="00570930" w:rsidRDefault="00570930" w:rsidP="00BE0EEF">
      <w:pPr>
        <w:rPr>
          <w:rFonts w:cs="Arial"/>
          <w:szCs w:val="16"/>
        </w:rPr>
      </w:pPr>
    </w:p>
    <w:p w14:paraId="4105F8D3" w14:textId="77777777" w:rsidR="00570930" w:rsidRDefault="00570930">
      <w:pPr>
        <w:spacing w:before="0" w:after="200" w:line="276" w:lineRule="auto"/>
        <w:rPr>
          <w:rFonts w:cs="Arial"/>
          <w:szCs w:val="16"/>
        </w:rPr>
      </w:pPr>
      <w:r>
        <w:rPr>
          <w:rFonts w:cs="Arial"/>
          <w:szCs w:val="16"/>
        </w:rPr>
        <w:br w:type="page"/>
      </w:r>
    </w:p>
    <w:p w14:paraId="0BF0A0F6" w14:textId="77777777" w:rsidR="00BE0EEF" w:rsidRPr="00210AC6" w:rsidRDefault="00BE0EEF" w:rsidP="00BE0EEF">
      <w:pPr>
        <w:rPr>
          <w:rFonts w:cs="Arial"/>
          <w:szCs w:val="16"/>
        </w:rPr>
      </w:pPr>
    </w:p>
    <w:tbl>
      <w:tblPr>
        <w:tblStyle w:val="TableGrid1"/>
        <w:tblW w:w="9841" w:type="dxa"/>
        <w:tblLayout w:type="fixed"/>
        <w:tblLook w:val="04A0" w:firstRow="1" w:lastRow="0" w:firstColumn="1" w:lastColumn="0" w:noHBand="0" w:noVBand="1"/>
        <w:tblCaption w:val="BRUBCFFYCOLLSTAT"/>
      </w:tblPr>
      <w:tblGrid>
        <w:gridCol w:w="1968"/>
        <w:gridCol w:w="1968"/>
        <w:gridCol w:w="1968"/>
        <w:gridCol w:w="1968"/>
        <w:gridCol w:w="1969"/>
      </w:tblGrid>
      <w:tr w:rsidR="00B42E51" w:rsidRPr="00210AC6" w14:paraId="66E99F64" w14:textId="77777777" w:rsidTr="00E31D6F">
        <w:trPr>
          <w:trHeight w:val="576"/>
          <w:tblHeader/>
        </w:trPr>
        <w:tc>
          <w:tcPr>
            <w:tcW w:w="1968" w:type="dxa"/>
            <w:noWrap/>
            <w:hideMark/>
          </w:tcPr>
          <w:p w14:paraId="484326CB" w14:textId="5FAEFBC5" w:rsidR="00B42E51" w:rsidRPr="00210AC6" w:rsidRDefault="00B42E51" w:rsidP="006620B0">
            <w:pPr>
              <w:spacing w:before="0" w:after="0"/>
              <w:jc w:val="center"/>
              <w:rPr>
                <w:rFonts w:eastAsia="Times New Roman" w:cs="Arial"/>
                <w:b/>
                <w:bCs/>
                <w:szCs w:val="16"/>
              </w:rPr>
            </w:pPr>
          </w:p>
        </w:tc>
        <w:tc>
          <w:tcPr>
            <w:tcW w:w="1968" w:type="dxa"/>
          </w:tcPr>
          <w:p w14:paraId="5334141C" w14:textId="77777777" w:rsidR="00B42E51" w:rsidRPr="00210AC6" w:rsidRDefault="00B42E51" w:rsidP="006620B0">
            <w:pPr>
              <w:spacing w:before="0" w:after="0"/>
              <w:jc w:val="center"/>
              <w:rPr>
                <w:rFonts w:eastAsia="Times New Roman" w:cs="Arial"/>
                <w:b/>
                <w:bCs/>
                <w:szCs w:val="16"/>
              </w:rPr>
            </w:pPr>
          </w:p>
        </w:tc>
        <w:tc>
          <w:tcPr>
            <w:tcW w:w="1968" w:type="dxa"/>
          </w:tcPr>
          <w:p w14:paraId="0FF45243" w14:textId="2E0FEF71" w:rsidR="00B42E51" w:rsidRPr="00210AC6" w:rsidRDefault="00B42E51" w:rsidP="006620B0">
            <w:pPr>
              <w:spacing w:before="0" w:after="0"/>
              <w:jc w:val="center"/>
              <w:rPr>
                <w:rFonts w:eastAsia="Times New Roman" w:cs="Arial"/>
                <w:b/>
                <w:bCs/>
                <w:szCs w:val="16"/>
              </w:rPr>
            </w:pPr>
            <w:r w:rsidRPr="00210AC6">
              <w:rPr>
                <w:rFonts w:eastAsia="Times New Roman" w:cs="Arial"/>
                <w:b/>
                <w:bCs/>
                <w:szCs w:val="16"/>
              </w:rPr>
              <w:t>618 Data</w:t>
            </w:r>
            <w:r w:rsidR="002F6CB6">
              <w:rPr>
                <w:rStyle w:val="FootnoteReference"/>
                <w:rFonts w:eastAsia="Times New Roman" w:cs="Arial"/>
                <w:b/>
                <w:bCs/>
                <w:szCs w:val="16"/>
              </w:rPr>
              <w:footnoteReference w:id="15"/>
            </w:r>
          </w:p>
        </w:tc>
        <w:tc>
          <w:tcPr>
            <w:tcW w:w="1968" w:type="dxa"/>
          </w:tcPr>
          <w:p w14:paraId="2B0490E2" w14:textId="77777777" w:rsidR="00B42E51" w:rsidRPr="00210AC6" w:rsidRDefault="00B42E51" w:rsidP="006620B0">
            <w:pPr>
              <w:spacing w:before="0" w:after="0"/>
              <w:jc w:val="center"/>
              <w:rPr>
                <w:rFonts w:eastAsia="Times New Roman" w:cs="Arial"/>
                <w:b/>
                <w:bCs/>
                <w:szCs w:val="16"/>
              </w:rPr>
            </w:pPr>
          </w:p>
        </w:tc>
        <w:tc>
          <w:tcPr>
            <w:tcW w:w="1969" w:type="dxa"/>
          </w:tcPr>
          <w:p w14:paraId="477B794F" w14:textId="52DB75CD" w:rsidR="00B42E51" w:rsidRPr="00210AC6" w:rsidRDefault="00B42E51" w:rsidP="006620B0">
            <w:pPr>
              <w:spacing w:before="0" w:after="0"/>
              <w:jc w:val="center"/>
              <w:rPr>
                <w:rFonts w:eastAsia="Times New Roman" w:cs="Arial"/>
                <w:b/>
                <w:bCs/>
                <w:szCs w:val="16"/>
              </w:rPr>
            </w:pPr>
          </w:p>
        </w:tc>
      </w:tr>
      <w:tr w:rsidR="00210AC6" w:rsidRPr="00210AC6" w14:paraId="1B30C60F" w14:textId="77777777" w:rsidTr="00E31D6F">
        <w:trPr>
          <w:trHeight w:val="576"/>
        </w:trPr>
        <w:tc>
          <w:tcPr>
            <w:tcW w:w="1968" w:type="dxa"/>
            <w:hideMark/>
          </w:tcPr>
          <w:p w14:paraId="2B94BB69" w14:textId="77777777" w:rsidR="00BE0EEF" w:rsidRPr="00210AC6" w:rsidRDefault="00BE0EEF" w:rsidP="006620B0">
            <w:pPr>
              <w:spacing w:before="0" w:after="0"/>
              <w:jc w:val="center"/>
              <w:rPr>
                <w:rFonts w:eastAsia="Times New Roman" w:cs="Arial"/>
                <w:b/>
                <w:bCs/>
                <w:szCs w:val="16"/>
              </w:rPr>
            </w:pPr>
            <w:r w:rsidRPr="00210AC6">
              <w:rPr>
                <w:rFonts w:eastAsia="Times New Roman" w:cs="Arial"/>
                <w:b/>
                <w:bCs/>
                <w:szCs w:val="16"/>
              </w:rPr>
              <w:t>Table</w:t>
            </w:r>
          </w:p>
        </w:tc>
        <w:tc>
          <w:tcPr>
            <w:tcW w:w="1968" w:type="dxa"/>
            <w:hideMark/>
          </w:tcPr>
          <w:p w14:paraId="03E67D32" w14:textId="77777777" w:rsidR="00BE0EEF" w:rsidRPr="00210AC6" w:rsidRDefault="00BE0EEF" w:rsidP="006620B0">
            <w:pPr>
              <w:spacing w:before="0" w:after="0"/>
              <w:jc w:val="center"/>
              <w:rPr>
                <w:rFonts w:eastAsia="Times New Roman" w:cs="Arial"/>
                <w:b/>
                <w:bCs/>
                <w:szCs w:val="16"/>
              </w:rPr>
            </w:pPr>
            <w:r w:rsidRPr="00210AC6">
              <w:rPr>
                <w:rFonts w:eastAsia="Times New Roman" w:cs="Arial"/>
                <w:b/>
                <w:bCs/>
                <w:szCs w:val="16"/>
              </w:rPr>
              <w:t>Timely</w:t>
            </w:r>
          </w:p>
        </w:tc>
        <w:tc>
          <w:tcPr>
            <w:tcW w:w="1968" w:type="dxa"/>
            <w:hideMark/>
          </w:tcPr>
          <w:p w14:paraId="3C5D96AB" w14:textId="77777777" w:rsidR="00BE0EEF" w:rsidRPr="00210AC6" w:rsidRDefault="00BE0EEF" w:rsidP="006620B0">
            <w:pPr>
              <w:spacing w:before="0" w:after="0"/>
              <w:jc w:val="center"/>
              <w:rPr>
                <w:rFonts w:eastAsia="Times New Roman" w:cs="Arial"/>
                <w:b/>
                <w:bCs/>
                <w:szCs w:val="16"/>
              </w:rPr>
            </w:pPr>
            <w:r w:rsidRPr="00210AC6">
              <w:rPr>
                <w:rFonts w:eastAsia="Times New Roman" w:cs="Arial"/>
                <w:b/>
                <w:bCs/>
                <w:szCs w:val="16"/>
              </w:rPr>
              <w:t>Complete Data</w:t>
            </w:r>
          </w:p>
        </w:tc>
        <w:tc>
          <w:tcPr>
            <w:tcW w:w="1968" w:type="dxa"/>
            <w:hideMark/>
          </w:tcPr>
          <w:p w14:paraId="6D69FE1A" w14:textId="77777777" w:rsidR="00BE0EEF" w:rsidRPr="00210AC6" w:rsidRDefault="00BE0EEF" w:rsidP="006620B0">
            <w:pPr>
              <w:spacing w:before="0" w:after="0"/>
              <w:jc w:val="center"/>
              <w:rPr>
                <w:rFonts w:eastAsia="Times New Roman" w:cs="Arial"/>
                <w:b/>
                <w:bCs/>
                <w:szCs w:val="16"/>
              </w:rPr>
            </w:pPr>
            <w:r w:rsidRPr="00210AC6">
              <w:rPr>
                <w:rFonts w:eastAsia="Times New Roman" w:cs="Arial"/>
                <w:b/>
                <w:bCs/>
                <w:szCs w:val="16"/>
              </w:rPr>
              <w:t>Passed Edit Check</w:t>
            </w:r>
          </w:p>
        </w:tc>
        <w:tc>
          <w:tcPr>
            <w:tcW w:w="1969" w:type="dxa"/>
            <w:hideMark/>
          </w:tcPr>
          <w:p w14:paraId="16461F70" w14:textId="77777777" w:rsidR="00BE0EEF" w:rsidRPr="00210AC6" w:rsidRDefault="00BE0EEF" w:rsidP="006620B0">
            <w:pPr>
              <w:spacing w:before="0" w:after="0"/>
              <w:jc w:val="center"/>
              <w:rPr>
                <w:rFonts w:eastAsia="Times New Roman" w:cs="Arial"/>
                <w:b/>
                <w:bCs/>
                <w:szCs w:val="16"/>
              </w:rPr>
            </w:pPr>
            <w:r w:rsidRPr="00210AC6">
              <w:rPr>
                <w:rFonts w:eastAsia="Times New Roman" w:cs="Arial"/>
                <w:b/>
                <w:bCs/>
                <w:szCs w:val="16"/>
              </w:rPr>
              <w:t>Total</w:t>
            </w:r>
          </w:p>
        </w:tc>
      </w:tr>
      <w:tr w:rsidR="00934DC4" w:rsidRPr="00210AC6" w14:paraId="732EE18E" w14:textId="77777777" w:rsidTr="00E31D6F">
        <w:trPr>
          <w:trHeight w:val="576"/>
        </w:trPr>
        <w:tc>
          <w:tcPr>
            <w:tcW w:w="1968" w:type="dxa"/>
            <w:hideMark/>
          </w:tcPr>
          <w:p w14:paraId="27C353F2" w14:textId="77777777" w:rsidR="006F0B24" w:rsidRDefault="00934DC4" w:rsidP="006620B0">
            <w:pPr>
              <w:spacing w:before="0" w:after="0"/>
              <w:jc w:val="center"/>
              <w:rPr>
                <w:rFonts w:eastAsia="Times New Roman" w:cs="Arial"/>
                <w:b/>
                <w:bCs/>
                <w:szCs w:val="16"/>
              </w:rPr>
            </w:pPr>
            <w:r w:rsidRPr="00210AC6">
              <w:rPr>
                <w:rFonts w:eastAsia="Times New Roman" w:cs="Arial"/>
                <w:b/>
                <w:bCs/>
                <w:szCs w:val="16"/>
              </w:rPr>
              <w:t>Child Count/</w:t>
            </w:r>
          </w:p>
          <w:p w14:paraId="7C54D2F1" w14:textId="4B527F37" w:rsidR="009926E2" w:rsidRDefault="006F0B24" w:rsidP="006620B0">
            <w:pPr>
              <w:spacing w:before="0" w:after="0"/>
              <w:jc w:val="center"/>
              <w:rPr>
                <w:rFonts w:eastAsia="Times New Roman" w:cs="Arial"/>
                <w:b/>
                <w:bCs/>
                <w:szCs w:val="16"/>
              </w:rPr>
            </w:pPr>
            <w:r w:rsidRPr="00B742B0">
              <w:rPr>
                <w:rFonts w:eastAsia="Times New Roman" w:cs="Arial"/>
                <w:b/>
                <w:bCs/>
                <w:szCs w:val="16"/>
              </w:rPr>
              <w:t>Ed Envs</w:t>
            </w:r>
            <w:r w:rsidR="00934DC4" w:rsidRPr="00210AC6">
              <w:rPr>
                <w:rFonts w:eastAsia="Times New Roman" w:cs="Arial"/>
                <w:b/>
                <w:bCs/>
                <w:szCs w:val="16"/>
              </w:rPr>
              <w:t xml:space="preserve"> </w:t>
            </w:r>
          </w:p>
          <w:p w14:paraId="392AF408" w14:textId="435A5AA9" w:rsidR="00934DC4" w:rsidRPr="00210AC6" w:rsidRDefault="00934DC4" w:rsidP="006620B0">
            <w:pPr>
              <w:spacing w:before="0" w:after="0"/>
              <w:jc w:val="center"/>
              <w:rPr>
                <w:rFonts w:eastAsia="Times New Roman" w:cs="Arial"/>
                <w:b/>
                <w:bCs/>
                <w:szCs w:val="16"/>
              </w:rPr>
            </w:pPr>
            <w:r w:rsidRPr="00210AC6">
              <w:rPr>
                <w:rFonts w:eastAsia="Times New Roman" w:cs="Arial"/>
                <w:b/>
                <w:bCs/>
                <w:szCs w:val="16"/>
              </w:rPr>
              <w:t>Due Date: 4/6/22</w:t>
            </w:r>
          </w:p>
        </w:tc>
        <w:tc>
          <w:tcPr>
            <w:tcW w:w="1968" w:type="dxa"/>
            <w:hideMark/>
          </w:tcPr>
          <w:p w14:paraId="3FE0B4CB" w14:textId="303091E9"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2A849A14" w14:textId="6E5106CD"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3C17ABEF" w14:textId="5D0E9314"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9" w:type="dxa"/>
            <w:noWrap/>
            <w:hideMark/>
          </w:tcPr>
          <w:p w14:paraId="732BD247" w14:textId="5D8F0535" w:rsidR="00934DC4" w:rsidRPr="00210AC6" w:rsidRDefault="00934DC4" w:rsidP="006620B0">
            <w:pPr>
              <w:spacing w:before="0" w:after="0"/>
              <w:jc w:val="center"/>
              <w:rPr>
                <w:rFonts w:eastAsia="Times New Roman" w:cs="Arial"/>
                <w:b/>
                <w:bCs/>
                <w:szCs w:val="16"/>
              </w:rPr>
            </w:pPr>
            <w:r w:rsidRPr="00210AC6">
              <w:rPr>
                <w:rFonts w:cs="Arial"/>
                <w:szCs w:val="16"/>
              </w:rPr>
              <w:t>3</w:t>
            </w:r>
          </w:p>
        </w:tc>
      </w:tr>
      <w:tr w:rsidR="00210AC6" w:rsidRPr="00210AC6" w14:paraId="65D4F6C8" w14:textId="77777777" w:rsidTr="00E31D6F">
        <w:trPr>
          <w:trHeight w:val="576"/>
        </w:trPr>
        <w:tc>
          <w:tcPr>
            <w:tcW w:w="1968" w:type="dxa"/>
            <w:hideMark/>
          </w:tcPr>
          <w:p w14:paraId="688FF6D9" w14:textId="3A12EC22" w:rsidR="00934DC4" w:rsidRPr="00210AC6" w:rsidRDefault="00934DC4" w:rsidP="006620B0">
            <w:pPr>
              <w:spacing w:before="0" w:after="0"/>
              <w:jc w:val="center"/>
              <w:rPr>
                <w:rFonts w:eastAsia="Times New Roman" w:cs="Arial"/>
                <w:b/>
                <w:bCs/>
                <w:szCs w:val="16"/>
              </w:rPr>
            </w:pPr>
            <w:r w:rsidRPr="00210AC6">
              <w:rPr>
                <w:rFonts w:eastAsia="Times New Roman" w:cs="Arial"/>
                <w:b/>
                <w:bCs/>
                <w:szCs w:val="16"/>
              </w:rPr>
              <w:t>Personnel Due Date: 11/2/22</w:t>
            </w:r>
          </w:p>
        </w:tc>
        <w:tc>
          <w:tcPr>
            <w:tcW w:w="1968" w:type="dxa"/>
            <w:hideMark/>
          </w:tcPr>
          <w:p w14:paraId="75FDE32E" w14:textId="4B79AC8A"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280161AF" w14:textId="5A729EB0"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580D47B8" w14:textId="53025EBE" w:rsidR="00934DC4" w:rsidRPr="00210AC6" w:rsidRDefault="00934DC4" w:rsidP="006620B0">
            <w:pPr>
              <w:spacing w:before="0" w:after="0"/>
              <w:jc w:val="center"/>
              <w:rPr>
                <w:rFonts w:eastAsia="Times New Roman" w:cs="Arial"/>
                <w:b/>
                <w:bCs/>
                <w:szCs w:val="16"/>
              </w:rPr>
            </w:pPr>
            <w:r w:rsidRPr="00210AC6">
              <w:rPr>
                <w:rFonts w:cs="Arial"/>
                <w:szCs w:val="16"/>
              </w:rPr>
              <w:t>0</w:t>
            </w:r>
          </w:p>
        </w:tc>
        <w:tc>
          <w:tcPr>
            <w:tcW w:w="1969" w:type="dxa"/>
            <w:noWrap/>
            <w:hideMark/>
          </w:tcPr>
          <w:p w14:paraId="1085532F" w14:textId="524E2D44" w:rsidR="00934DC4" w:rsidRPr="00210AC6" w:rsidRDefault="00934DC4" w:rsidP="006620B0">
            <w:pPr>
              <w:spacing w:before="0" w:after="0"/>
              <w:jc w:val="center"/>
              <w:rPr>
                <w:rFonts w:eastAsia="Times New Roman" w:cs="Arial"/>
                <w:b/>
                <w:bCs/>
                <w:szCs w:val="16"/>
              </w:rPr>
            </w:pPr>
            <w:r w:rsidRPr="00210AC6">
              <w:rPr>
                <w:rFonts w:cs="Arial"/>
                <w:szCs w:val="16"/>
              </w:rPr>
              <w:t>2</w:t>
            </w:r>
          </w:p>
        </w:tc>
      </w:tr>
      <w:tr w:rsidR="00934DC4" w:rsidRPr="00210AC6" w14:paraId="4B088669" w14:textId="77777777" w:rsidTr="00E31D6F">
        <w:trPr>
          <w:trHeight w:val="576"/>
        </w:trPr>
        <w:tc>
          <w:tcPr>
            <w:tcW w:w="1968" w:type="dxa"/>
            <w:hideMark/>
          </w:tcPr>
          <w:p w14:paraId="360C4627" w14:textId="02F99DB6" w:rsidR="00934DC4" w:rsidRPr="00210AC6" w:rsidRDefault="00934DC4" w:rsidP="006620B0">
            <w:pPr>
              <w:spacing w:before="0" w:after="0"/>
              <w:jc w:val="center"/>
              <w:rPr>
                <w:rFonts w:eastAsia="Times New Roman" w:cs="Arial"/>
                <w:b/>
                <w:bCs/>
                <w:szCs w:val="16"/>
              </w:rPr>
            </w:pPr>
            <w:r w:rsidRPr="00210AC6">
              <w:rPr>
                <w:rFonts w:eastAsia="Times New Roman" w:cs="Arial"/>
                <w:b/>
                <w:bCs/>
                <w:szCs w:val="16"/>
              </w:rPr>
              <w:t>Exiting Due Date: 11/2/22</w:t>
            </w:r>
          </w:p>
        </w:tc>
        <w:tc>
          <w:tcPr>
            <w:tcW w:w="1968" w:type="dxa"/>
            <w:hideMark/>
          </w:tcPr>
          <w:p w14:paraId="0FEC0470" w14:textId="2CF7216B"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6C72EDFD" w14:textId="1E759C58" w:rsidR="00934DC4" w:rsidRPr="00210AC6" w:rsidRDefault="00934DC4" w:rsidP="006620B0">
            <w:pPr>
              <w:spacing w:before="0" w:after="0"/>
              <w:jc w:val="center"/>
              <w:rPr>
                <w:rFonts w:eastAsia="Times New Roman" w:cs="Arial"/>
                <w:b/>
                <w:bCs/>
                <w:szCs w:val="16"/>
              </w:rPr>
            </w:pPr>
            <w:r w:rsidRPr="00210AC6">
              <w:rPr>
                <w:rFonts w:cs="Arial"/>
                <w:szCs w:val="16"/>
              </w:rPr>
              <w:t>0</w:t>
            </w:r>
          </w:p>
        </w:tc>
        <w:tc>
          <w:tcPr>
            <w:tcW w:w="1968" w:type="dxa"/>
            <w:hideMark/>
          </w:tcPr>
          <w:p w14:paraId="1020F0AF" w14:textId="6F5307B8"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9" w:type="dxa"/>
            <w:noWrap/>
            <w:hideMark/>
          </w:tcPr>
          <w:p w14:paraId="5ABE2118" w14:textId="4699A88C" w:rsidR="00934DC4" w:rsidRPr="00210AC6" w:rsidRDefault="00934DC4" w:rsidP="006620B0">
            <w:pPr>
              <w:spacing w:before="0" w:after="0"/>
              <w:jc w:val="center"/>
              <w:rPr>
                <w:rFonts w:eastAsia="Times New Roman" w:cs="Arial"/>
                <w:b/>
                <w:bCs/>
                <w:szCs w:val="16"/>
              </w:rPr>
            </w:pPr>
            <w:r w:rsidRPr="00210AC6">
              <w:rPr>
                <w:rFonts w:cs="Arial"/>
                <w:szCs w:val="16"/>
              </w:rPr>
              <w:t>2</w:t>
            </w:r>
          </w:p>
        </w:tc>
      </w:tr>
      <w:tr w:rsidR="00210AC6" w:rsidRPr="00210AC6" w14:paraId="674E0C51" w14:textId="77777777" w:rsidTr="00E31D6F">
        <w:trPr>
          <w:trHeight w:val="576"/>
        </w:trPr>
        <w:tc>
          <w:tcPr>
            <w:tcW w:w="1968" w:type="dxa"/>
            <w:hideMark/>
          </w:tcPr>
          <w:p w14:paraId="21194B2E" w14:textId="3D23FBED" w:rsidR="00934DC4" w:rsidRPr="00210AC6" w:rsidRDefault="00934DC4" w:rsidP="006620B0">
            <w:pPr>
              <w:spacing w:before="0" w:after="0"/>
              <w:jc w:val="center"/>
              <w:rPr>
                <w:rFonts w:eastAsia="Times New Roman" w:cs="Arial"/>
                <w:b/>
                <w:bCs/>
                <w:szCs w:val="16"/>
              </w:rPr>
            </w:pPr>
            <w:r w:rsidRPr="00210AC6">
              <w:rPr>
                <w:rFonts w:eastAsia="Times New Roman" w:cs="Arial"/>
                <w:b/>
                <w:bCs/>
                <w:szCs w:val="16"/>
              </w:rPr>
              <w:t>Discipline Due Date: 11/2/22</w:t>
            </w:r>
          </w:p>
        </w:tc>
        <w:tc>
          <w:tcPr>
            <w:tcW w:w="1968" w:type="dxa"/>
            <w:hideMark/>
          </w:tcPr>
          <w:p w14:paraId="6265DFCD" w14:textId="6A7295B1"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7947AF3C" w14:textId="2C130027"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4E1A82FD" w14:textId="5429E235"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9" w:type="dxa"/>
            <w:noWrap/>
            <w:hideMark/>
          </w:tcPr>
          <w:p w14:paraId="6A1FF6DB" w14:textId="36203379" w:rsidR="00934DC4" w:rsidRPr="00210AC6" w:rsidRDefault="00934DC4" w:rsidP="006620B0">
            <w:pPr>
              <w:spacing w:before="0" w:after="0"/>
              <w:jc w:val="center"/>
              <w:rPr>
                <w:rFonts w:eastAsia="Times New Roman" w:cs="Arial"/>
                <w:b/>
                <w:bCs/>
                <w:szCs w:val="16"/>
              </w:rPr>
            </w:pPr>
            <w:r w:rsidRPr="00210AC6">
              <w:rPr>
                <w:rFonts w:cs="Arial"/>
                <w:szCs w:val="16"/>
              </w:rPr>
              <w:t>3</w:t>
            </w:r>
          </w:p>
        </w:tc>
      </w:tr>
      <w:tr w:rsidR="00934DC4" w:rsidRPr="00210AC6" w14:paraId="143C193C" w14:textId="77777777" w:rsidTr="00E31D6F">
        <w:trPr>
          <w:trHeight w:val="576"/>
        </w:trPr>
        <w:tc>
          <w:tcPr>
            <w:tcW w:w="1968" w:type="dxa"/>
            <w:hideMark/>
          </w:tcPr>
          <w:p w14:paraId="383B7AAF" w14:textId="28847E68" w:rsidR="00934DC4" w:rsidRPr="00210AC6" w:rsidRDefault="00934DC4" w:rsidP="006620B0">
            <w:pPr>
              <w:spacing w:before="0" w:after="0"/>
              <w:jc w:val="center"/>
              <w:rPr>
                <w:rFonts w:eastAsia="Times New Roman" w:cs="Arial"/>
                <w:b/>
                <w:bCs/>
                <w:szCs w:val="16"/>
              </w:rPr>
            </w:pPr>
            <w:r w:rsidRPr="00210AC6">
              <w:rPr>
                <w:rFonts w:eastAsia="Times New Roman" w:cs="Arial"/>
                <w:b/>
                <w:bCs/>
                <w:szCs w:val="16"/>
              </w:rPr>
              <w:t>State Assessment Due Date: 12/21/2022</w:t>
            </w:r>
          </w:p>
        </w:tc>
        <w:tc>
          <w:tcPr>
            <w:tcW w:w="1968" w:type="dxa"/>
            <w:hideMark/>
          </w:tcPr>
          <w:p w14:paraId="5CDE5DB2" w14:textId="26881AE0"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59BD5280" w14:textId="7E58B5E0" w:rsidR="00934DC4" w:rsidRPr="00210AC6" w:rsidRDefault="00934DC4" w:rsidP="006620B0">
            <w:pPr>
              <w:spacing w:before="0" w:after="0"/>
              <w:jc w:val="center"/>
              <w:rPr>
                <w:rFonts w:eastAsia="Times New Roman" w:cs="Arial"/>
                <w:b/>
                <w:bCs/>
                <w:szCs w:val="16"/>
              </w:rPr>
            </w:pPr>
            <w:r w:rsidRPr="00210AC6">
              <w:rPr>
                <w:rFonts w:cs="Arial"/>
                <w:szCs w:val="16"/>
              </w:rPr>
              <w:t>0</w:t>
            </w:r>
          </w:p>
        </w:tc>
        <w:tc>
          <w:tcPr>
            <w:tcW w:w="1968" w:type="dxa"/>
            <w:hideMark/>
          </w:tcPr>
          <w:p w14:paraId="4F12D45D" w14:textId="2261B7ED"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9" w:type="dxa"/>
            <w:noWrap/>
            <w:hideMark/>
          </w:tcPr>
          <w:p w14:paraId="2069C1CA" w14:textId="5EF430EB" w:rsidR="00934DC4" w:rsidRPr="00210AC6" w:rsidRDefault="00934DC4" w:rsidP="006620B0">
            <w:pPr>
              <w:spacing w:before="0" w:after="0"/>
              <w:jc w:val="center"/>
              <w:rPr>
                <w:rFonts w:eastAsia="Times New Roman" w:cs="Arial"/>
                <w:b/>
                <w:bCs/>
                <w:szCs w:val="16"/>
              </w:rPr>
            </w:pPr>
            <w:r w:rsidRPr="00210AC6">
              <w:rPr>
                <w:rFonts w:cs="Arial"/>
                <w:szCs w:val="16"/>
              </w:rPr>
              <w:t>2</w:t>
            </w:r>
          </w:p>
        </w:tc>
      </w:tr>
      <w:tr w:rsidR="00210AC6" w:rsidRPr="00210AC6" w14:paraId="4565B1AE" w14:textId="77777777" w:rsidTr="00E31D6F">
        <w:trPr>
          <w:trHeight w:val="576"/>
        </w:trPr>
        <w:tc>
          <w:tcPr>
            <w:tcW w:w="1968" w:type="dxa"/>
            <w:hideMark/>
          </w:tcPr>
          <w:p w14:paraId="60A0C4C6" w14:textId="7DF214F3" w:rsidR="00934DC4" w:rsidRPr="00210AC6" w:rsidRDefault="00934DC4" w:rsidP="006620B0">
            <w:pPr>
              <w:spacing w:before="0" w:after="0"/>
              <w:jc w:val="center"/>
              <w:rPr>
                <w:rFonts w:eastAsia="Times New Roman" w:cs="Arial"/>
                <w:b/>
                <w:bCs/>
                <w:szCs w:val="16"/>
              </w:rPr>
            </w:pPr>
            <w:r w:rsidRPr="00210AC6">
              <w:rPr>
                <w:rFonts w:eastAsia="Times New Roman" w:cs="Arial"/>
                <w:b/>
                <w:bCs/>
                <w:szCs w:val="16"/>
              </w:rPr>
              <w:t>Dispute Resolution Due Date: 11/2/22</w:t>
            </w:r>
          </w:p>
        </w:tc>
        <w:tc>
          <w:tcPr>
            <w:tcW w:w="1968" w:type="dxa"/>
            <w:hideMark/>
          </w:tcPr>
          <w:p w14:paraId="12A9BFB1" w14:textId="52DD7DF5"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152BA206" w14:textId="30A77AAB"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45F386E9" w14:textId="08993D3F"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9" w:type="dxa"/>
            <w:noWrap/>
            <w:hideMark/>
          </w:tcPr>
          <w:p w14:paraId="2A8B8478" w14:textId="4853CB93" w:rsidR="00934DC4" w:rsidRPr="00210AC6" w:rsidRDefault="00934DC4" w:rsidP="006620B0">
            <w:pPr>
              <w:spacing w:before="0" w:after="0"/>
              <w:jc w:val="center"/>
              <w:rPr>
                <w:rFonts w:eastAsia="Times New Roman" w:cs="Arial"/>
                <w:b/>
                <w:bCs/>
                <w:szCs w:val="16"/>
              </w:rPr>
            </w:pPr>
            <w:r w:rsidRPr="00210AC6">
              <w:rPr>
                <w:rFonts w:cs="Arial"/>
                <w:szCs w:val="16"/>
              </w:rPr>
              <w:t>3</w:t>
            </w:r>
          </w:p>
        </w:tc>
      </w:tr>
      <w:tr w:rsidR="00934DC4" w:rsidRPr="00210AC6" w14:paraId="5866F31F" w14:textId="77777777" w:rsidTr="00E31D6F">
        <w:trPr>
          <w:trHeight w:val="576"/>
        </w:trPr>
        <w:tc>
          <w:tcPr>
            <w:tcW w:w="1968" w:type="dxa"/>
            <w:hideMark/>
          </w:tcPr>
          <w:p w14:paraId="695E41FD" w14:textId="77777777" w:rsidR="00934DC4" w:rsidRPr="00210AC6" w:rsidRDefault="00934DC4" w:rsidP="006620B0">
            <w:pPr>
              <w:spacing w:before="0" w:after="0"/>
              <w:jc w:val="center"/>
              <w:rPr>
                <w:rFonts w:eastAsia="Times New Roman" w:cs="Arial"/>
                <w:b/>
                <w:bCs/>
                <w:szCs w:val="16"/>
              </w:rPr>
            </w:pPr>
            <w:r w:rsidRPr="00210AC6">
              <w:rPr>
                <w:rFonts w:eastAsia="Times New Roman" w:cs="Arial"/>
                <w:b/>
                <w:bCs/>
                <w:szCs w:val="16"/>
              </w:rPr>
              <w:t>MOE/CEIS Due Date:  5/4/22</w:t>
            </w:r>
          </w:p>
        </w:tc>
        <w:tc>
          <w:tcPr>
            <w:tcW w:w="1968" w:type="dxa"/>
            <w:hideMark/>
          </w:tcPr>
          <w:p w14:paraId="601688AF" w14:textId="21FA0D66"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5B86927D" w14:textId="186FEAC5"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54AEBB59" w14:textId="24F195DC"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9" w:type="dxa"/>
            <w:noWrap/>
            <w:hideMark/>
          </w:tcPr>
          <w:p w14:paraId="4E561B6D" w14:textId="41132DB6" w:rsidR="00934DC4" w:rsidRPr="00210AC6" w:rsidRDefault="00934DC4" w:rsidP="006620B0">
            <w:pPr>
              <w:spacing w:before="0" w:after="0"/>
              <w:jc w:val="center"/>
              <w:rPr>
                <w:rFonts w:eastAsia="Times New Roman" w:cs="Arial"/>
                <w:b/>
                <w:bCs/>
                <w:szCs w:val="16"/>
              </w:rPr>
            </w:pPr>
            <w:r w:rsidRPr="00210AC6">
              <w:rPr>
                <w:rFonts w:cs="Arial"/>
                <w:szCs w:val="16"/>
              </w:rPr>
              <w:t>3</w:t>
            </w:r>
          </w:p>
        </w:tc>
      </w:tr>
      <w:tr w:rsidR="00934DC4" w:rsidRPr="00210AC6" w14:paraId="3BA4D322" w14:textId="77777777" w:rsidTr="00E31D6F">
        <w:trPr>
          <w:trHeight w:val="576"/>
        </w:trPr>
        <w:tc>
          <w:tcPr>
            <w:tcW w:w="1968" w:type="dxa"/>
            <w:hideMark/>
          </w:tcPr>
          <w:p w14:paraId="595DE473" w14:textId="44DED396" w:rsidR="00934DC4" w:rsidRPr="00210AC6" w:rsidRDefault="00934DC4" w:rsidP="006620B0">
            <w:pPr>
              <w:spacing w:before="0" w:after="0"/>
              <w:jc w:val="center"/>
              <w:rPr>
                <w:rFonts w:eastAsia="Times New Roman" w:cs="Arial"/>
                <w:szCs w:val="16"/>
              </w:rPr>
            </w:pPr>
          </w:p>
        </w:tc>
        <w:tc>
          <w:tcPr>
            <w:tcW w:w="1968" w:type="dxa"/>
          </w:tcPr>
          <w:p w14:paraId="558DD658" w14:textId="33680D9D" w:rsidR="00934DC4" w:rsidRPr="00210AC6" w:rsidRDefault="00934DC4" w:rsidP="006620B0">
            <w:pPr>
              <w:spacing w:before="0" w:after="0"/>
              <w:jc w:val="center"/>
              <w:rPr>
                <w:rFonts w:eastAsia="Times New Roman" w:cs="Arial"/>
                <w:szCs w:val="16"/>
              </w:rPr>
            </w:pPr>
          </w:p>
        </w:tc>
        <w:tc>
          <w:tcPr>
            <w:tcW w:w="1968" w:type="dxa"/>
          </w:tcPr>
          <w:p w14:paraId="0B44652D" w14:textId="39DF1DFF" w:rsidR="00934DC4" w:rsidRPr="00210AC6" w:rsidRDefault="00934DC4" w:rsidP="006620B0">
            <w:pPr>
              <w:spacing w:before="0" w:after="0"/>
              <w:jc w:val="center"/>
              <w:rPr>
                <w:rFonts w:eastAsia="Times New Roman" w:cs="Arial"/>
                <w:szCs w:val="16"/>
              </w:rPr>
            </w:pPr>
          </w:p>
        </w:tc>
        <w:tc>
          <w:tcPr>
            <w:tcW w:w="1968" w:type="dxa"/>
            <w:hideMark/>
          </w:tcPr>
          <w:p w14:paraId="59EA1AE1" w14:textId="77777777" w:rsidR="00934DC4" w:rsidRPr="00210AC6" w:rsidRDefault="00934DC4" w:rsidP="006620B0">
            <w:pPr>
              <w:spacing w:before="0" w:after="0"/>
              <w:jc w:val="center"/>
              <w:rPr>
                <w:rFonts w:eastAsia="Times New Roman" w:cs="Arial"/>
                <w:b/>
                <w:bCs/>
                <w:szCs w:val="16"/>
              </w:rPr>
            </w:pPr>
            <w:r w:rsidRPr="00210AC6">
              <w:rPr>
                <w:rFonts w:eastAsia="Times New Roman" w:cs="Arial"/>
                <w:b/>
                <w:bCs/>
                <w:szCs w:val="16"/>
              </w:rPr>
              <w:t>Subtotal</w:t>
            </w:r>
          </w:p>
        </w:tc>
        <w:tc>
          <w:tcPr>
            <w:tcW w:w="1969" w:type="dxa"/>
            <w:noWrap/>
            <w:hideMark/>
          </w:tcPr>
          <w:p w14:paraId="05161809" w14:textId="4066E385" w:rsidR="00934DC4" w:rsidRPr="00210AC6" w:rsidRDefault="00934DC4" w:rsidP="006620B0">
            <w:pPr>
              <w:spacing w:before="0" w:after="0"/>
              <w:jc w:val="center"/>
              <w:rPr>
                <w:rFonts w:eastAsia="Times New Roman" w:cs="Arial"/>
                <w:szCs w:val="16"/>
              </w:rPr>
            </w:pPr>
            <w:r w:rsidRPr="00210AC6">
              <w:rPr>
                <w:rFonts w:cs="Arial"/>
                <w:szCs w:val="16"/>
              </w:rPr>
              <w:t>18</w:t>
            </w:r>
          </w:p>
        </w:tc>
      </w:tr>
      <w:tr w:rsidR="00934DC4" w:rsidRPr="00210AC6" w14:paraId="75034E7A" w14:textId="77777777" w:rsidTr="00E31D6F">
        <w:trPr>
          <w:trHeight w:val="576"/>
        </w:trPr>
        <w:tc>
          <w:tcPr>
            <w:tcW w:w="1968" w:type="dxa"/>
            <w:hideMark/>
          </w:tcPr>
          <w:p w14:paraId="212D4E0B" w14:textId="77777777" w:rsidR="00934DC4" w:rsidRPr="00210AC6" w:rsidRDefault="00934DC4" w:rsidP="006620B0">
            <w:pPr>
              <w:spacing w:before="0" w:after="0"/>
              <w:jc w:val="center"/>
              <w:rPr>
                <w:rFonts w:eastAsia="Times New Roman" w:cs="Arial"/>
                <w:b/>
                <w:bCs/>
                <w:szCs w:val="16"/>
              </w:rPr>
            </w:pPr>
            <w:r w:rsidRPr="00210AC6">
              <w:rPr>
                <w:rFonts w:eastAsia="Times New Roman" w:cs="Arial"/>
                <w:b/>
                <w:bCs/>
                <w:szCs w:val="16"/>
              </w:rPr>
              <w:t>618 Score Calculation</w:t>
            </w:r>
          </w:p>
        </w:tc>
        <w:tc>
          <w:tcPr>
            <w:tcW w:w="1968" w:type="dxa"/>
          </w:tcPr>
          <w:p w14:paraId="6217AD4C" w14:textId="77777777" w:rsidR="00934DC4" w:rsidRPr="00210AC6" w:rsidRDefault="00934DC4" w:rsidP="006620B0">
            <w:pPr>
              <w:spacing w:before="0" w:after="0"/>
              <w:jc w:val="center"/>
              <w:rPr>
                <w:rFonts w:eastAsia="Times New Roman" w:cs="Arial"/>
                <w:b/>
                <w:bCs/>
                <w:szCs w:val="16"/>
              </w:rPr>
            </w:pPr>
          </w:p>
        </w:tc>
        <w:tc>
          <w:tcPr>
            <w:tcW w:w="1968" w:type="dxa"/>
          </w:tcPr>
          <w:p w14:paraId="3D448C3A" w14:textId="084D867E" w:rsidR="00934DC4" w:rsidRPr="00210AC6" w:rsidRDefault="00934DC4" w:rsidP="006620B0">
            <w:pPr>
              <w:spacing w:before="0" w:after="0"/>
              <w:jc w:val="center"/>
              <w:rPr>
                <w:rFonts w:eastAsia="Times New Roman" w:cs="Arial"/>
                <w:b/>
                <w:bCs/>
                <w:szCs w:val="16"/>
              </w:rPr>
            </w:pPr>
          </w:p>
        </w:tc>
        <w:tc>
          <w:tcPr>
            <w:tcW w:w="1968" w:type="dxa"/>
            <w:hideMark/>
          </w:tcPr>
          <w:p w14:paraId="09C474DA" w14:textId="3F8E90EF" w:rsidR="00934DC4" w:rsidRPr="00210AC6" w:rsidRDefault="00934DC4" w:rsidP="006620B0">
            <w:pPr>
              <w:spacing w:before="0" w:after="0"/>
              <w:jc w:val="center"/>
              <w:rPr>
                <w:rFonts w:eastAsia="Times New Roman" w:cs="Arial"/>
                <w:b/>
                <w:bCs/>
                <w:szCs w:val="16"/>
              </w:rPr>
            </w:pPr>
            <w:r w:rsidRPr="00210AC6">
              <w:rPr>
                <w:rFonts w:eastAsia="Times New Roman" w:cs="Arial"/>
                <w:b/>
                <w:bCs/>
                <w:szCs w:val="16"/>
              </w:rPr>
              <w:t xml:space="preserve">Grand Total </w:t>
            </w:r>
            <w:r w:rsidRPr="00210AC6">
              <w:rPr>
                <w:rFonts w:eastAsia="Times New Roman" w:cs="Arial"/>
                <w:szCs w:val="16"/>
              </w:rPr>
              <w:t>(Subtotal X 1.23809524) =</w:t>
            </w:r>
          </w:p>
        </w:tc>
        <w:tc>
          <w:tcPr>
            <w:tcW w:w="1969" w:type="dxa"/>
            <w:noWrap/>
            <w:hideMark/>
          </w:tcPr>
          <w:p w14:paraId="50C37243" w14:textId="39101BED" w:rsidR="00934DC4" w:rsidRPr="00210AC6" w:rsidRDefault="00934DC4" w:rsidP="006620B0">
            <w:pPr>
              <w:spacing w:before="0" w:after="0"/>
              <w:jc w:val="center"/>
              <w:rPr>
                <w:rFonts w:eastAsia="Times New Roman" w:cs="Arial"/>
                <w:szCs w:val="16"/>
              </w:rPr>
            </w:pPr>
            <w:r w:rsidRPr="00210AC6">
              <w:rPr>
                <w:rFonts w:cs="Arial"/>
                <w:szCs w:val="16"/>
              </w:rPr>
              <w:t>22.29</w:t>
            </w:r>
          </w:p>
        </w:tc>
      </w:tr>
    </w:tbl>
    <w:p w14:paraId="19908CB5" w14:textId="6E565737" w:rsidR="00570930" w:rsidRDefault="00570930" w:rsidP="00BE0EEF">
      <w:pPr>
        <w:rPr>
          <w:rFonts w:cs="Arial"/>
          <w:color w:val="000000" w:themeColor="text1"/>
          <w:szCs w:val="16"/>
        </w:rPr>
      </w:pPr>
    </w:p>
    <w:p w14:paraId="015CC089" w14:textId="77777777" w:rsidR="00570930" w:rsidRDefault="00570930">
      <w:pPr>
        <w:spacing w:before="0" w:after="200" w:line="276" w:lineRule="auto"/>
        <w:rPr>
          <w:rFonts w:cs="Arial"/>
          <w:color w:val="000000" w:themeColor="text1"/>
          <w:szCs w:val="16"/>
        </w:rPr>
      </w:pPr>
      <w:r>
        <w:rPr>
          <w:rFonts w:cs="Arial"/>
          <w:color w:val="000000" w:themeColor="text1"/>
          <w:szCs w:val="16"/>
        </w:rPr>
        <w:br w:type="page"/>
      </w:r>
    </w:p>
    <w:p w14:paraId="13C7AD77" w14:textId="77777777" w:rsidR="00BE0EEF" w:rsidRDefault="00BE0EEF" w:rsidP="00BE0EEF">
      <w:pPr>
        <w:rPr>
          <w:rFonts w:cs="Arial"/>
          <w:color w:val="000000" w:themeColor="text1"/>
          <w:szCs w:val="16"/>
        </w:rPr>
      </w:pPr>
    </w:p>
    <w:tbl>
      <w:tblPr>
        <w:tblStyle w:val="TableGrid1"/>
        <w:tblW w:w="9839" w:type="dxa"/>
        <w:tblLook w:val="04A0" w:firstRow="1" w:lastRow="0" w:firstColumn="1" w:lastColumn="0" w:noHBand="0" w:noVBand="1"/>
        <w:tblCaption w:val="BRUBCFFYINDCALC"/>
      </w:tblPr>
      <w:tblGrid>
        <w:gridCol w:w="4919"/>
        <w:gridCol w:w="4920"/>
      </w:tblGrid>
      <w:tr w:rsidR="003521AD" w:rsidRPr="00210AC6" w14:paraId="204BD583" w14:textId="77777777" w:rsidTr="00714F02">
        <w:trPr>
          <w:trHeight w:val="432"/>
          <w:tblHeader/>
        </w:trPr>
        <w:tc>
          <w:tcPr>
            <w:tcW w:w="4919" w:type="dxa"/>
            <w:hideMark/>
          </w:tcPr>
          <w:p w14:paraId="59C2C8B0" w14:textId="6E3F554B" w:rsidR="003521AD" w:rsidRDefault="00E31D6F" w:rsidP="003521AD">
            <w:pPr>
              <w:spacing w:before="0" w:after="0"/>
              <w:jc w:val="center"/>
              <w:rPr>
                <w:rFonts w:eastAsia="Times New Roman" w:cs="Arial"/>
                <w:b/>
                <w:bCs/>
                <w:szCs w:val="16"/>
              </w:rPr>
            </w:pPr>
            <w:r>
              <w:rPr>
                <w:rFonts w:cs="Arial"/>
                <w:color w:val="000000" w:themeColor="text1"/>
                <w:szCs w:val="16"/>
              </w:rPr>
              <w:br w:type="page"/>
            </w:r>
            <w:r w:rsidR="003521AD" w:rsidRPr="00210AC6">
              <w:rPr>
                <w:rFonts w:eastAsia="Times New Roman" w:cs="Arial"/>
                <w:b/>
                <w:bCs/>
                <w:szCs w:val="16"/>
              </w:rPr>
              <w:t>Indicator Calculation</w:t>
            </w:r>
          </w:p>
        </w:tc>
        <w:tc>
          <w:tcPr>
            <w:tcW w:w="4920" w:type="dxa"/>
          </w:tcPr>
          <w:p w14:paraId="5972B30D" w14:textId="2CF704DA" w:rsidR="003521AD" w:rsidRPr="00210AC6" w:rsidRDefault="003521AD" w:rsidP="003521AD">
            <w:pPr>
              <w:spacing w:before="0" w:after="0"/>
              <w:rPr>
                <w:rFonts w:eastAsia="Times New Roman" w:cs="Arial"/>
                <w:b/>
                <w:bCs/>
                <w:szCs w:val="16"/>
              </w:rPr>
            </w:pPr>
          </w:p>
        </w:tc>
      </w:tr>
      <w:tr w:rsidR="00435E51" w:rsidRPr="00210AC6" w14:paraId="2A6102B0" w14:textId="77777777" w:rsidTr="00714F02">
        <w:trPr>
          <w:trHeight w:val="432"/>
        </w:trPr>
        <w:tc>
          <w:tcPr>
            <w:tcW w:w="4919" w:type="dxa"/>
            <w:hideMark/>
          </w:tcPr>
          <w:p w14:paraId="184AC9A0" w14:textId="77777777" w:rsidR="00435E51" w:rsidRPr="00210AC6" w:rsidRDefault="00435E51" w:rsidP="00435E51">
            <w:pPr>
              <w:spacing w:before="0" w:after="0"/>
              <w:rPr>
                <w:rFonts w:eastAsia="Times New Roman" w:cs="Arial"/>
                <w:szCs w:val="16"/>
              </w:rPr>
            </w:pPr>
            <w:r w:rsidRPr="00210AC6">
              <w:rPr>
                <w:rFonts w:eastAsia="Times New Roman" w:cs="Arial"/>
                <w:szCs w:val="16"/>
              </w:rPr>
              <w:t>A. APR Grand Total</w:t>
            </w:r>
          </w:p>
        </w:tc>
        <w:tc>
          <w:tcPr>
            <w:tcW w:w="4920" w:type="dxa"/>
            <w:hideMark/>
          </w:tcPr>
          <w:p w14:paraId="0825BA19" w14:textId="54223086" w:rsidR="00435E51" w:rsidRPr="00210AC6" w:rsidRDefault="00435E51" w:rsidP="00435E51">
            <w:pPr>
              <w:spacing w:before="0" w:after="0"/>
              <w:rPr>
                <w:rFonts w:eastAsia="Times New Roman" w:cs="Arial"/>
                <w:szCs w:val="16"/>
              </w:rPr>
            </w:pPr>
            <w:r w:rsidRPr="00210AC6">
              <w:rPr>
                <w:rFonts w:cs="Arial"/>
                <w:szCs w:val="16"/>
              </w:rPr>
              <w:t>26</w:t>
            </w:r>
          </w:p>
        </w:tc>
      </w:tr>
      <w:tr w:rsidR="00435E51" w:rsidRPr="00210AC6" w14:paraId="190B3554" w14:textId="77777777" w:rsidTr="00714F02">
        <w:trPr>
          <w:trHeight w:val="432"/>
        </w:trPr>
        <w:tc>
          <w:tcPr>
            <w:tcW w:w="4919" w:type="dxa"/>
            <w:hideMark/>
          </w:tcPr>
          <w:p w14:paraId="66B0D6DA" w14:textId="77777777" w:rsidR="00435E51" w:rsidRPr="00210AC6" w:rsidRDefault="00435E51" w:rsidP="00435E51">
            <w:pPr>
              <w:spacing w:before="0" w:after="0"/>
              <w:rPr>
                <w:rFonts w:eastAsia="Times New Roman" w:cs="Arial"/>
                <w:szCs w:val="16"/>
              </w:rPr>
            </w:pPr>
            <w:r w:rsidRPr="00210AC6">
              <w:rPr>
                <w:rFonts w:eastAsia="Times New Roman" w:cs="Arial"/>
                <w:szCs w:val="16"/>
              </w:rPr>
              <w:t>B. 618 Grand Total</w:t>
            </w:r>
          </w:p>
        </w:tc>
        <w:tc>
          <w:tcPr>
            <w:tcW w:w="4920" w:type="dxa"/>
            <w:hideMark/>
          </w:tcPr>
          <w:p w14:paraId="292F5CE3" w14:textId="3D2DF12B" w:rsidR="00435E51" w:rsidRPr="00210AC6" w:rsidRDefault="00435E51" w:rsidP="00435E51">
            <w:pPr>
              <w:spacing w:before="0" w:after="0"/>
              <w:rPr>
                <w:rFonts w:eastAsia="Times New Roman" w:cs="Arial"/>
                <w:szCs w:val="16"/>
              </w:rPr>
            </w:pPr>
            <w:r w:rsidRPr="00435E51">
              <w:t>22.29</w:t>
            </w:r>
          </w:p>
        </w:tc>
      </w:tr>
      <w:tr w:rsidR="00435E51" w:rsidRPr="00210AC6" w14:paraId="7044E659" w14:textId="77777777" w:rsidTr="00714F02">
        <w:trPr>
          <w:trHeight w:val="432"/>
        </w:trPr>
        <w:tc>
          <w:tcPr>
            <w:tcW w:w="4919" w:type="dxa"/>
            <w:hideMark/>
          </w:tcPr>
          <w:p w14:paraId="5E098838" w14:textId="77777777" w:rsidR="00435E51" w:rsidRPr="00210AC6" w:rsidRDefault="00435E51" w:rsidP="00435E51">
            <w:pPr>
              <w:spacing w:before="0" w:after="0"/>
              <w:rPr>
                <w:rFonts w:eastAsia="Times New Roman" w:cs="Arial"/>
                <w:szCs w:val="16"/>
              </w:rPr>
            </w:pPr>
            <w:r w:rsidRPr="00210AC6">
              <w:rPr>
                <w:rFonts w:eastAsia="Times New Roman" w:cs="Arial"/>
                <w:szCs w:val="16"/>
              </w:rPr>
              <w:t>C. APR Grand Total (A) + 618 Grand Total (B) =</w:t>
            </w:r>
          </w:p>
        </w:tc>
        <w:tc>
          <w:tcPr>
            <w:tcW w:w="4920" w:type="dxa"/>
            <w:hideMark/>
          </w:tcPr>
          <w:p w14:paraId="2EBBA8BB" w14:textId="582D281B" w:rsidR="00435E51" w:rsidRPr="00210AC6" w:rsidRDefault="00435E51" w:rsidP="00435E51">
            <w:pPr>
              <w:spacing w:before="0" w:after="0"/>
              <w:rPr>
                <w:rFonts w:eastAsia="Times New Roman" w:cs="Arial"/>
                <w:szCs w:val="16"/>
              </w:rPr>
            </w:pPr>
            <w:r w:rsidRPr="00C1283C">
              <w:t>48.29</w:t>
            </w:r>
          </w:p>
        </w:tc>
      </w:tr>
      <w:tr w:rsidR="00435E51" w:rsidRPr="00210AC6" w14:paraId="6E235E7C" w14:textId="77777777" w:rsidTr="00714F02">
        <w:trPr>
          <w:trHeight w:val="432"/>
        </w:trPr>
        <w:tc>
          <w:tcPr>
            <w:tcW w:w="4919" w:type="dxa"/>
            <w:hideMark/>
          </w:tcPr>
          <w:p w14:paraId="1E45CB10" w14:textId="36E72B3C" w:rsidR="00435E51" w:rsidRPr="00210AC6" w:rsidRDefault="00435E51" w:rsidP="00435E51">
            <w:pPr>
              <w:spacing w:before="0" w:after="0"/>
              <w:jc w:val="right"/>
              <w:rPr>
                <w:rFonts w:eastAsia="Times New Roman" w:cs="Arial"/>
                <w:szCs w:val="16"/>
              </w:rPr>
            </w:pPr>
            <w:r w:rsidRPr="00210AC6">
              <w:rPr>
                <w:rFonts w:eastAsia="Times New Roman" w:cs="Arial"/>
                <w:szCs w:val="16"/>
              </w:rPr>
              <w:t>Total N/A Points in APR Data Table Subtracted from Denominator</w:t>
            </w:r>
          </w:p>
        </w:tc>
        <w:tc>
          <w:tcPr>
            <w:tcW w:w="4920" w:type="dxa"/>
            <w:hideMark/>
          </w:tcPr>
          <w:p w14:paraId="768BD97C" w14:textId="60485CAD" w:rsidR="00435E51" w:rsidRPr="00210AC6" w:rsidRDefault="00435E51" w:rsidP="00435E51">
            <w:pPr>
              <w:spacing w:before="0" w:after="0"/>
              <w:rPr>
                <w:rFonts w:eastAsia="Times New Roman" w:cs="Arial"/>
                <w:szCs w:val="16"/>
              </w:rPr>
            </w:pPr>
            <w:r w:rsidRPr="00C1283C">
              <w:t>0</w:t>
            </w:r>
          </w:p>
        </w:tc>
      </w:tr>
      <w:tr w:rsidR="00435E51" w:rsidRPr="00210AC6" w14:paraId="1162D2AC" w14:textId="77777777" w:rsidTr="00714F02">
        <w:trPr>
          <w:trHeight w:val="432"/>
        </w:trPr>
        <w:tc>
          <w:tcPr>
            <w:tcW w:w="4919" w:type="dxa"/>
            <w:hideMark/>
          </w:tcPr>
          <w:p w14:paraId="5DEC9F60" w14:textId="5D7276DC" w:rsidR="00435E51" w:rsidRPr="00210AC6" w:rsidRDefault="00435E51" w:rsidP="00435E51">
            <w:pPr>
              <w:spacing w:before="0" w:after="0"/>
              <w:jc w:val="right"/>
              <w:rPr>
                <w:rFonts w:eastAsia="Times New Roman" w:cs="Arial"/>
                <w:szCs w:val="16"/>
              </w:rPr>
            </w:pPr>
            <w:r w:rsidRPr="00210AC6">
              <w:rPr>
                <w:rFonts w:eastAsia="Times New Roman" w:cs="Arial"/>
                <w:szCs w:val="16"/>
              </w:rPr>
              <w:t>Total N/A Points in 618 Data Table Subtracted from Denominator</w:t>
            </w:r>
          </w:p>
        </w:tc>
        <w:tc>
          <w:tcPr>
            <w:tcW w:w="4920" w:type="dxa"/>
            <w:hideMark/>
          </w:tcPr>
          <w:p w14:paraId="59AB081B" w14:textId="0EC0F562" w:rsidR="00435E51" w:rsidRPr="00210AC6" w:rsidRDefault="00435E51" w:rsidP="00435E51">
            <w:pPr>
              <w:spacing w:before="0" w:after="0"/>
              <w:rPr>
                <w:rFonts w:eastAsia="Times New Roman" w:cs="Arial"/>
                <w:szCs w:val="16"/>
              </w:rPr>
            </w:pPr>
            <w:r w:rsidRPr="00C1283C">
              <w:t>0.00</w:t>
            </w:r>
          </w:p>
        </w:tc>
      </w:tr>
      <w:tr w:rsidR="00435E51" w:rsidRPr="00210AC6" w14:paraId="028FED6F" w14:textId="77777777" w:rsidTr="00714F02">
        <w:trPr>
          <w:trHeight w:val="432"/>
        </w:trPr>
        <w:tc>
          <w:tcPr>
            <w:tcW w:w="4919" w:type="dxa"/>
            <w:hideMark/>
          </w:tcPr>
          <w:p w14:paraId="1738C251" w14:textId="1F807C1C" w:rsidR="00435E51" w:rsidRPr="00210AC6" w:rsidRDefault="00E31D6F" w:rsidP="00435E51">
            <w:pPr>
              <w:spacing w:before="0" w:after="0"/>
              <w:jc w:val="right"/>
              <w:rPr>
                <w:rFonts w:eastAsia="Times New Roman" w:cs="Arial"/>
                <w:b/>
                <w:bCs/>
                <w:szCs w:val="16"/>
              </w:rPr>
            </w:pPr>
            <w:r>
              <w:rPr>
                <w:rFonts w:eastAsia="Times New Roman" w:cs="Arial"/>
                <w:b/>
                <w:bCs/>
                <w:szCs w:val="16"/>
              </w:rPr>
              <w:t>Denominator</w:t>
            </w:r>
          </w:p>
        </w:tc>
        <w:tc>
          <w:tcPr>
            <w:tcW w:w="4920" w:type="dxa"/>
            <w:hideMark/>
          </w:tcPr>
          <w:p w14:paraId="778348E2" w14:textId="6564F030" w:rsidR="00435E51" w:rsidRPr="00210AC6" w:rsidRDefault="00435E51" w:rsidP="00435E51">
            <w:pPr>
              <w:spacing w:before="0" w:after="0"/>
              <w:rPr>
                <w:rFonts w:eastAsia="Times New Roman" w:cs="Arial"/>
                <w:szCs w:val="16"/>
              </w:rPr>
            </w:pPr>
            <w:r w:rsidRPr="00C1283C">
              <w:t>52.00</w:t>
            </w:r>
          </w:p>
        </w:tc>
      </w:tr>
      <w:tr w:rsidR="00435E51" w:rsidRPr="00210AC6" w14:paraId="6982C8B2" w14:textId="77777777" w:rsidTr="00714F02">
        <w:trPr>
          <w:trHeight w:val="432"/>
        </w:trPr>
        <w:tc>
          <w:tcPr>
            <w:tcW w:w="4919" w:type="dxa"/>
            <w:hideMark/>
          </w:tcPr>
          <w:p w14:paraId="66945B04" w14:textId="5A297E13" w:rsidR="00435E51" w:rsidRPr="00210AC6" w:rsidRDefault="00435E51" w:rsidP="00435E51">
            <w:pPr>
              <w:spacing w:before="0" w:after="0"/>
              <w:rPr>
                <w:rFonts w:eastAsia="Times New Roman" w:cs="Arial"/>
                <w:szCs w:val="16"/>
              </w:rPr>
            </w:pPr>
            <w:r w:rsidRPr="00210AC6">
              <w:rPr>
                <w:rFonts w:eastAsia="Times New Roman" w:cs="Arial"/>
                <w:szCs w:val="16"/>
              </w:rPr>
              <w:t>D. Subtotal (C divided by Denominator*) =</w:t>
            </w:r>
          </w:p>
        </w:tc>
        <w:tc>
          <w:tcPr>
            <w:tcW w:w="4920" w:type="dxa"/>
            <w:hideMark/>
          </w:tcPr>
          <w:p w14:paraId="6474A249" w14:textId="2043387F" w:rsidR="00435E51" w:rsidRPr="00210AC6" w:rsidRDefault="00435E51" w:rsidP="00435E51">
            <w:pPr>
              <w:spacing w:before="0" w:after="0"/>
              <w:rPr>
                <w:rFonts w:eastAsia="Times New Roman" w:cs="Arial"/>
                <w:szCs w:val="16"/>
              </w:rPr>
            </w:pPr>
            <w:r w:rsidRPr="00C1283C">
              <w:t>0.9286</w:t>
            </w:r>
          </w:p>
        </w:tc>
      </w:tr>
      <w:tr w:rsidR="00435E51" w:rsidRPr="00210AC6" w14:paraId="7D8A43BC" w14:textId="77777777" w:rsidTr="00714F02">
        <w:trPr>
          <w:trHeight w:val="432"/>
        </w:trPr>
        <w:tc>
          <w:tcPr>
            <w:tcW w:w="4919" w:type="dxa"/>
            <w:hideMark/>
          </w:tcPr>
          <w:p w14:paraId="595A505F" w14:textId="77777777" w:rsidR="00435E51" w:rsidRPr="00210AC6" w:rsidRDefault="00435E51" w:rsidP="00435E51">
            <w:pPr>
              <w:spacing w:before="0" w:after="0"/>
              <w:rPr>
                <w:rFonts w:eastAsia="Times New Roman" w:cs="Arial"/>
                <w:szCs w:val="16"/>
              </w:rPr>
            </w:pPr>
            <w:r w:rsidRPr="00210AC6">
              <w:rPr>
                <w:rFonts w:eastAsia="Times New Roman" w:cs="Arial"/>
                <w:szCs w:val="16"/>
              </w:rPr>
              <w:t>E. Indicator Score (Subtotal D x 100) =</w:t>
            </w:r>
          </w:p>
        </w:tc>
        <w:tc>
          <w:tcPr>
            <w:tcW w:w="4920" w:type="dxa"/>
            <w:hideMark/>
          </w:tcPr>
          <w:p w14:paraId="78CA2214" w14:textId="6B3E20AB" w:rsidR="00435E51" w:rsidRPr="00210AC6" w:rsidRDefault="00435E51" w:rsidP="00435E51">
            <w:pPr>
              <w:spacing w:before="0" w:after="0"/>
              <w:rPr>
                <w:rFonts w:eastAsia="Times New Roman" w:cs="Arial"/>
                <w:szCs w:val="16"/>
              </w:rPr>
            </w:pPr>
            <w:r w:rsidRPr="00C1283C">
              <w:t>92.86</w:t>
            </w:r>
          </w:p>
        </w:tc>
      </w:tr>
    </w:tbl>
    <w:p w14:paraId="769E196A" w14:textId="77777777" w:rsidR="001853BF" w:rsidRDefault="001853BF" w:rsidP="00B42C5F">
      <w:pPr>
        <w:rPr>
          <w:rFonts w:eastAsia="Times New Roman" w:cs="Arial"/>
          <w:b/>
          <w:bCs/>
          <w:szCs w:val="16"/>
        </w:rPr>
      </w:pPr>
    </w:p>
    <w:p w14:paraId="5EFBC357" w14:textId="33BA4787" w:rsidR="00F02F41" w:rsidRDefault="001853BF" w:rsidP="00D12506">
      <w:pPr>
        <w:rPr>
          <w:rFonts w:eastAsia="Times New Roman" w:cs="Arial"/>
          <w:b/>
          <w:bCs/>
          <w:szCs w:val="16"/>
        </w:rPr>
      </w:pPr>
      <w:r w:rsidRPr="00210AC6">
        <w:rPr>
          <w:rFonts w:eastAsia="Times New Roman" w:cs="Arial"/>
          <w:b/>
          <w:bCs/>
          <w:szCs w:val="16"/>
        </w:rPr>
        <w:t>*Note that any cell marked as N/A in the APR Data Table will decrease the denominator by 1, and any cell marked as N/A in the 618 Data Table will decrease the denominator by 1.23809524.</w:t>
      </w:r>
    </w:p>
    <w:p w14:paraId="78EE533A" w14:textId="403F6F0A" w:rsidR="0078594A" w:rsidRDefault="00D8678D" w:rsidP="00D12506">
      <w:pPr>
        <w:rPr>
          <w:rFonts w:eastAsia="Times New Roman" w:cs="Arial"/>
          <w:b/>
          <w:bCs/>
          <w:szCs w:val="16"/>
        </w:rPr>
      </w:pPr>
      <w:r>
        <w:rPr>
          <w:rFonts w:eastAsia="Times New Roman" w:cs="Arial"/>
          <w:b/>
          <w:bCs/>
          <w:szCs w:val="16"/>
        </w:rPr>
        <w:t>_________________________________________________________________________________________________________________________</w:t>
      </w:r>
    </w:p>
    <w:p w14:paraId="7D8DC835" w14:textId="77777777" w:rsidR="0078594A" w:rsidRDefault="0078594A" w:rsidP="00D12506">
      <w:pPr>
        <w:rPr>
          <w:rFonts w:eastAsia="Times New Roman" w:cs="Arial"/>
          <w:b/>
          <w:bCs/>
          <w:szCs w:val="16"/>
        </w:rPr>
      </w:pPr>
    </w:p>
    <w:p w14:paraId="7BAA8128" w14:textId="77777777" w:rsidR="0078594A" w:rsidRDefault="0078594A" w:rsidP="00D12506">
      <w:pPr>
        <w:rPr>
          <w:rFonts w:eastAsia="Times New Roman" w:cs="Arial"/>
          <w:b/>
          <w:bCs/>
          <w:szCs w:val="16"/>
        </w:rPr>
      </w:pPr>
    </w:p>
    <w:p w14:paraId="1680CB83" w14:textId="77777777" w:rsidR="0078594A" w:rsidRDefault="0078594A" w:rsidP="00D12506"/>
    <w:p w14:paraId="6EA24703" w14:textId="77777777" w:rsidR="00D84A0A" w:rsidRDefault="00D84A0A" w:rsidP="00D84A0A">
      <w:pPr>
        <w:spacing w:before="0" w:after="200" w:line="276" w:lineRule="auto"/>
      </w:pPr>
    </w:p>
    <w:p w14:paraId="130C5698" w14:textId="7694A105" w:rsidR="00D84A0A" w:rsidRPr="003A34C1" w:rsidRDefault="00D84A0A" w:rsidP="00D84A0A">
      <w:pPr>
        <w:spacing w:before="0" w:after="200" w:line="276" w:lineRule="auto"/>
      </w:pPr>
      <w:r>
        <w:br w:type="page"/>
      </w:r>
    </w:p>
    <w:p w14:paraId="37CA7204" w14:textId="77777777" w:rsidR="004777CA" w:rsidRPr="008A41E6" w:rsidRDefault="004777CA" w:rsidP="004777CA">
      <w:pPr>
        <w:rPr>
          <w:b/>
          <w:bCs/>
          <w:sz w:val="20"/>
          <w:szCs w:val="28"/>
        </w:rPr>
      </w:pPr>
      <w:r w:rsidRPr="008A41E6">
        <w:rPr>
          <w:b/>
          <w:bCs/>
          <w:sz w:val="20"/>
          <w:szCs w:val="28"/>
        </w:rPr>
        <w:lastRenderedPageBreak/>
        <w:t>APR and 618 -Timely and Accurate State Reported Data</w:t>
      </w:r>
    </w:p>
    <w:p w14:paraId="6C84D9C5" w14:textId="77777777" w:rsidR="004777CA" w:rsidRDefault="004777CA" w:rsidP="004777CA"/>
    <w:p w14:paraId="3FA33DFF" w14:textId="77777777" w:rsidR="004777CA" w:rsidRPr="008A41E6" w:rsidRDefault="004777CA" w:rsidP="004777CA">
      <w:pPr>
        <w:rPr>
          <w:b/>
          <w:bCs/>
        </w:rPr>
      </w:pPr>
      <w:r w:rsidRPr="008A41E6">
        <w:rPr>
          <w:b/>
          <w:bCs/>
        </w:rPr>
        <w:t>DATE: February 2023 Submission</w:t>
      </w:r>
    </w:p>
    <w:p w14:paraId="748E3AF9" w14:textId="77777777" w:rsidR="004777CA" w:rsidRDefault="004777CA" w:rsidP="004777CA"/>
    <w:p w14:paraId="51D89716" w14:textId="30A47721" w:rsidR="00EF6405" w:rsidRPr="00EF6405" w:rsidRDefault="00EF6405" w:rsidP="004777CA">
      <w:pPr>
        <w:rPr>
          <w:b/>
          <w:bCs/>
        </w:rPr>
      </w:pPr>
      <w:r w:rsidRPr="00EF6405">
        <w:rPr>
          <w:b/>
          <w:bCs/>
        </w:rPr>
        <w:t>SPP/APR Data</w:t>
      </w:r>
    </w:p>
    <w:p w14:paraId="2BC0BE25" w14:textId="77777777" w:rsidR="00EF6405" w:rsidRDefault="00EF6405" w:rsidP="004777CA"/>
    <w:p w14:paraId="0F794C69" w14:textId="77777777" w:rsidR="004777CA" w:rsidRDefault="004777CA" w:rsidP="004777CA">
      <w:r w:rsidRPr="008A41E6">
        <w:rPr>
          <w:b/>
          <w:bCs/>
        </w:rPr>
        <w:t>1) Valid and Reliable Data</w:t>
      </w:r>
      <w:r w:rsidRPr="008A41E6">
        <w:t xml:space="preserve"> - Data provided </w:t>
      </w:r>
      <w:proofErr w:type="gramStart"/>
      <w:r w:rsidRPr="008A41E6">
        <w:t>are</w:t>
      </w:r>
      <w:proofErr w:type="gramEnd"/>
      <w:r w:rsidRPr="008A41E6">
        <w:t xml:space="preserve"> from the correct time period, are consistent with 618 (when appropriate) and the </w:t>
      </w:r>
      <w:proofErr w:type="gramStart"/>
      <w:r w:rsidRPr="008A41E6">
        <w:t>measurement, and</w:t>
      </w:r>
      <w:proofErr w:type="gramEnd"/>
      <w:r w:rsidRPr="008A41E6">
        <w:t xml:space="preserve"> are consistent with previous indicator data (unless explained).</w:t>
      </w:r>
    </w:p>
    <w:p w14:paraId="3B7505A0" w14:textId="77777777" w:rsidR="004777CA" w:rsidRDefault="004777CA" w:rsidP="004777CA"/>
    <w:p w14:paraId="1365AEC8" w14:textId="77944949" w:rsidR="004777CA" w:rsidRDefault="004777CA" w:rsidP="004777CA">
      <w:r w:rsidRPr="008A41E6">
        <w:rPr>
          <w:b/>
          <w:bCs/>
        </w:rPr>
        <w:t>Part B 618 Data</w:t>
      </w:r>
    </w:p>
    <w:p w14:paraId="3EEEF876" w14:textId="77777777" w:rsidR="004777CA" w:rsidRDefault="004777CA" w:rsidP="004777CA"/>
    <w:p w14:paraId="5BAC76FC" w14:textId="005D8856" w:rsidR="004777CA" w:rsidRPr="004777CA" w:rsidRDefault="004777CA" w:rsidP="004777CA">
      <w:r w:rsidRPr="004777CA">
        <w:rPr>
          <w:b/>
          <w:bCs/>
        </w:rPr>
        <w:t xml:space="preserve">1) Timely </w:t>
      </w:r>
      <w:r w:rsidRPr="004777CA">
        <w:t xml:space="preserve">–   A State will receive one point if it submits all EDFacts files or the entire EMAPS survey associated with the IDEA Section 618 data collection to ED by the initial due date for that collection (as described the table below).    </w:t>
      </w:r>
    </w:p>
    <w:p w14:paraId="1F43F1D5" w14:textId="77777777" w:rsidR="004777CA" w:rsidRDefault="004777CA" w:rsidP="004777CA"/>
    <w:tbl>
      <w:tblPr>
        <w:tblStyle w:val="TableGrid"/>
        <w:tblW w:w="0" w:type="auto"/>
        <w:tblLook w:val="04A0" w:firstRow="1" w:lastRow="0" w:firstColumn="1" w:lastColumn="0" w:noHBand="0" w:noVBand="1"/>
        <w:tblCaption w:val="BRUBCFFYREADME"/>
      </w:tblPr>
      <w:tblGrid>
        <w:gridCol w:w="2605"/>
        <w:gridCol w:w="3617"/>
        <w:gridCol w:w="3618"/>
      </w:tblGrid>
      <w:tr w:rsidR="004777CA" w:rsidRPr="004777CA" w14:paraId="4472B9F9" w14:textId="77777777" w:rsidTr="004777CA">
        <w:trPr>
          <w:trHeight w:val="20"/>
        </w:trPr>
        <w:tc>
          <w:tcPr>
            <w:tcW w:w="2605" w:type="dxa"/>
            <w:hideMark/>
          </w:tcPr>
          <w:p w14:paraId="1648227D" w14:textId="77777777" w:rsidR="004777CA" w:rsidRPr="004777CA" w:rsidRDefault="004777CA" w:rsidP="004777CA">
            <w:pPr>
              <w:rPr>
                <w:b/>
                <w:bCs/>
              </w:rPr>
            </w:pPr>
            <w:r w:rsidRPr="004777CA">
              <w:rPr>
                <w:b/>
                <w:bCs/>
              </w:rPr>
              <w:t>618 Data Collection</w:t>
            </w:r>
          </w:p>
        </w:tc>
        <w:tc>
          <w:tcPr>
            <w:tcW w:w="3617" w:type="dxa"/>
            <w:hideMark/>
          </w:tcPr>
          <w:p w14:paraId="685FDACB" w14:textId="77777777" w:rsidR="004777CA" w:rsidRPr="004777CA" w:rsidRDefault="004777CA">
            <w:pPr>
              <w:rPr>
                <w:b/>
                <w:bCs/>
              </w:rPr>
            </w:pPr>
            <w:r w:rsidRPr="004777CA">
              <w:rPr>
                <w:b/>
                <w:bCs/>
              </w:rPr>
              <w:t>EDFacts Files/ EMAPS Survey</w:t>
            </w:r>
          </w:p>
        </w:tc>
        <w:tc>
          <w:tcPr>
            <w:tcW w:w="3618" w:type="dxa"/>
            <w:hideMark/>
          </w:tcPr>
          <w:p w14:paraId="40597F3A" w14:textId="77777777" w:rsidR="004777CA" w:rsidRPr="004777CA" w:rsidRDefault="004777CA">
            <w:pPr>
              <w:rPr>
                <w:b/>
                <w:bCs/>
              </w:rPr>
            </w:pPr>
            <w:r w:rsidRPr="004777CA">
              <w:rPr>
                <w:b/>
                <w:bCs/>
              </w:rPr>
              <w:t>Due Date</w:t>
            </w:r>
          </w:p>
        </w:tc>
      </w:tr>
      <w:tr w:rsidR="004777CA" w:rsidRPr="004777CA" w14:paraId="5AB489B7" w14:textId="77777777" w:rsidTr="004777CA">
        <w:trPr>
          <w:trHeight w:val="20"/>
        </w:trPr>
        <w:tc>
          <w:tcPr>
            <w:tcW w:w="2605" w:type="dxa"/>
            <w:hideMark/>
          </w:tcPr>
          <w:p w14:paraId="00556080" w14:textId="77777777" w:rsidR="004777CA" w:rsidRPr="004777CA" w:rsidRDefault="004777CA">
            <w:r w:rsidRPr="004777CA">
              <w:t>Part B Child Count and Educational Environments</w:t>
            </w:r>
          </w:p>
        </w:tc>
        <w:tc>
          <w:tcPr>
            <w:tcW w:w="3617" w:type="dxa"/>
            <w:hideMark/>
          </w:tcPr>
          <w:p w14:paraId="6663B636" w14:textId="77777777" w:rsidR="004777CA" w:rsidRPr="004777CA" w:rsidRDefault="004777CA">
            <w:r w:rsidRPr="004777CA">
              <w:t>C002 &amp; C089</w:t>
            </w:r>
          </w:p>
        </w:tc>
        <w:tc>
          <w:tcPr>
            <w:tcW w:w="3618" w:type="dxa"/>
            <w:hideMark/>
          </w:tcPr>
          <w:p w14:paraId="1A5219CD" w14:textId="77777777" w:rsidR="004777CA" w:rsidRPr="004777CA" w:rsidRDefault="004777CA">
            <w:r w:rsidRPr="004777CA">
              <w:t>1</w:t>
            </w:r>
            <w:r w:rsidRPr="004777CA">
              <w:rPr>
                <w:vertAlign w:val="superscript"/>
              </w:rPr>
              <w:t>st</w:t>
            </w:r>
            <w:r w:rsidRPr="004777CA">
              <w:t xml:space="preserve"> Wednesday in April</w:t>
            </w:r>
          </w:p>
        </w:tc>
      </w:tr>
      <w:tr w:rsidR="004777CA" w:rsidRPr="004777CA" w14:paraId="34F5C842" w14:textId="77777777" w:rsidTr="004777CA">
        <w:trPr>
          <w:trHeight w:val="20"/>
        </w:trPr>
        <w:tc>
          <w:tcPr>
            <w:tcW w:w="2605" w:type="dxa"/>
            <w:hideMark/>
          </w:tcPr>
          <w:p w14:paraId="5B140CD1" w14:textId="77777777" w:rsidR="004777CA" w:rsidRPr="004777CA" w:rsidRDefault="004777CA">
            <w:r w:rsidRPr="004777CA">
              <w:t xml:space="preserve">Part B Personnel </w:t>
            </w:r>
          </w:p>
        </w:tc>
        <w:tc>
          <w:tcPr>
            <w:tcW w:w="3617" w:type="dxa"/>
            <w:hideMark/>
          </w:tcPr>
          <w:p w14:paraId="2B3C97E0" w14:textId="77777777" w:rsidR="004777CA" w:rsidRPr="004777CA" w:rsidRDefault="004777CA">
            <w:r w:rsidRPr="004777CA">
              <w:t>C070, C099, C112</w:t>
            </w:r>
          </w:p>
        </w:tc>
        <w:tc>
          <w:tcPr>
            <w:tcW w:w="3618" w:type="dxa"/>
            <w:hideMark/>
          </w:tcPr>
          <w:p w14:paraId="4E9B4012" w14:textId="77777777" w:rsidR="004777CA" w:rsidRPr="004777CA" w:rsidRDefault="004777CA">
            <w:r w:rsidRPr="004777CA">
              <w:t>1</w:t>
            </w:r>
            <w:r w:rsidRPr="004777CA">
              <w:rPr>
                <w:vertAlign w:val="superscript"/>
              </w:rPr>
              <w:t>st</w:t>
            </w:r>
            <w:r w:rsidRPr="004777CA">
              <w:t xml:space="preserve"> Wednesday in November</w:t>
            </w:r>
          </w:p>
        </w:tc>
      </w:tr>
      <w:tr w:rsidR="004777CA" w:rsidRPr="004777CA" w14:paraId="2A4CEB99" w14:textId="77777777" w:rsidTr="004777CA">
        <w:trPr>
          <w:trHeight w:val="20"/>
        </w:trPr>
        <w:tc>
          <w:tcPr>
            <w:tcW w:w="2605" w:type="dxa"/>
            <w:hideMark/>
          </w:tcPr>
          <w:p w14:paraId="54105E06" w14:textId="77777777" w:rsidR="004777CA" w:rsidRPr="004777CA" w:rsidRDefault="004777CA">
            <w:r w:rsidRPr="004777CA">
              <w:t>Part B Exiting</w:t>
            </w:r>
          </w:p>
        </w:tc>
        <w:tc>
          <w:tcPr>
            <w:tcW w:w="3617" w:type="dxa"/>
            <w:hideMark/>
          </w:tcPr>
          <w:p w14:paraId="12F3E20D" w14:textId="77777777" w:rsidR="004777CA" w:rsidRPr="004777CA" w:rsidRDefault="004777CA">
            <w:r w:rsidRPr="004777CA">
              <w:t>C009</w:t>
            </w:r>
          </w:p>
        </w:tc>
        <w:tc>
          <w:tcPr>
            <w:tcW w:w="3618" w:type="dxa"/>
            <w:hideMark/>
          </w:tcPr>
          <w:p w14:paraId="3133C658" w14:textId="77777777" w:rsidR="004777CA" w:rsidRPr="004777CA" w:rsidRDefault="004777CA">
            <w:r w:rsidRPr="004777CA">
              <w:t>1</w:t>
            </w:r>
            <w:r w:rsidRPr="004777CA">
              <w:rPr>
                <w:vertAlign w:val="superscript"/>
              </w:rPr>
              <w:t>st</w:t>
            </w:r>
            <w:r w:rsidRPr="004777CA">
              <w:t xml:space="preserve"> Wednesday in November</w:t>
            </w:r>
          </w:p>
        </w:tc>
      </w:tr>
      <w:tr w:rsidR="004777CA" w:rsidRPr="004777CA" w14:paraId="31D5C68C" w14:textId="77777777" w:rsidTr="004777CA">
        <w:trPr>
          <w:trHeight w:val="20"/>
        </w:trPr>
        <w:tc>
          <w:tcPr>
            <w:tcW w:w="2605" w:type="dxa"/>
            <w:hideMark/>
          </w:tcPr>
          <w:p w14:paraId="63F706F3" w14:textId="77777777" w:rsidR="004777CA" w:rsidRPr="004777CA" w:rsidRDefault="004777CA">
            <w:r w:rsidRPr="004777CA">
              <w:t xml:space="preserve">Part B Discipline </w:t>
            </w:r>
          </w:p>
        </w:tc>
        <w:tc>
          <w:tcPr>
            <w:tcW w:w="3617" w:type="dxa"/>
            <w:hideMark/>
          </w:tcPr>
          <w:p w14:paraId="16D2853A" w14:textId="77777777" w:rsidR="004777CA" w:rsidRPr="004777CA" w:rsidRDefault="004777CA">
            <w:r w:rsidRPr="004777CA">
              <w:t>C005, C006, C007, C088, C143, C144</w:t>
            </w:r>
          </w:p>
        </w:tc>
        <w:tc>
          <w:tcPr>
            <w:tcW w:w="3618" w:type="dxa"/>
            <w:hideMark/>
          </w:tcPr>
          <w:p w14:paraId="254DB998" w14:textId="77777777" w:rsidR="004777CA" w:rsidRPr="004777CA" w:rsidRDefault="004777CA">
            <w:r w:rsidRPr="004777CA">
              <w:t>1</w:t>
            </w:r>
            <w:r w:rsidRPr="004777CA">
              <w:rPr>
                <w:vertAlign w:val="superscript"/>
              </w:rPr>
              <w:t>st</w:t>
            </w:r>
            <w:r w:rsidRPr="004777CA">
              <w:t xml:space="preserve"> Wednesday in November</w:t>
            </w:r>
          </w:p>
        </w:tc>
      </w:tr>
      <w:tr w:rsidR="004777CA" w:rsidRPr="004777CA" w14:paraId="2E5FB44E" w14:textId="77777777" w:rsidTr="004777CA">
        <w:trPr>
          <w:trHeight w:val="20"/>
        </w:trPr>
        <w:tc>
          <w:tcPr>
            <w:tcW w:w="2605" w:type="dxa"/>
            <w:hideMark/>
          </w:tcPr>
          <w:p w14:paraId="712EC9E4" w14:textId="77777777" w:rsidR="004777CA" w:rsidRPr="004777CA" w:rsidRDefault="004777CA">
            <w:r w:rsidRPr="004777CA">
              <w:t>Part B Assessment</w:t>
            </w:r>
          </w:p>
        </w:tc>
        <w:tc>
          <w:tcPr>
            <w:tcW w:w="3617" w:type="dxa"/>
            <w:hideMark/>
          </w:tcPr>
          <w:p w14:paraId="2B041249" w14:textId="77777777" w:rsidR="004777CA" w:rsidRPr="004777CA" w:rsidRDefault="004777CA">
            <w:r w:rsidRPr="004777CA">
              <w:t>C175, C178, C185, C188</w:t>
            </w:r>
          </w:p>
        </w:tc>
        <w:tc>
          <w:tcPr>
            <w:tcW w:w="3618" w:type="dxa"/>
            <w:hideMark/>
          </w:tcPr>
          <w:p w14:paraId="563E4812" w14:textId="77777777" w:rsidR="004777CA" w:rsidRPr="004777CA" w:rsidRDefault="004777CA">
            <w:r w:rsidRPr="004777CA">
              <w:t>Wednesday in the 3</w:t>
            </w:r>
            <w:r w:rsidRPr="004777CA">
              <w:rPr>
                <w:vertAlign w:val="superscript"/>
              </w:rPr>
              <w:t>rd</w:t>
            </w:r>
            <w:r w:rsidRPr="004777CA">
              <w:t xml:space="preserve"> week of December (aligned with CSPR data due date)</w:t>
            </w:r>
          </w:p>
        </w:tc>
      </w:tr>
      <w:tr w:rsidR="004777CA" w:rsidRPr="004777CA" w14:paraId="4C08C198" w14:textId="77777777" w:rsidTr="004777CA">
        <w:trPr>
          <w:trHeight w:val="20"/>
        </w:trPr>
        <w:tc>
          <w:tcPr>
            <w:tcW w:w="2605" w:type="dxa"/>
            <w:hideMark/>
          </w:tcPr>
          <w:p w14:paraId="2894DF0B" w14:textId="77777777" w:rsidR="004777CA" w:rsidRPr="004777CA" w:rsidRDefault="004777CA">
            <w:r w:rsidRPr="004777CA">
              <w:t xml:space="preserve">Part B Dispute Resolution </w:t>
            </w:r>
          </w:p>
        </w:tc>
        <w:tc>
          <w:tcPr>
            <w:tcW w:w="3617" w:type="dxa"/>
            <w:hideMark/>
          </w:tcPr>
          <w:p w14:paraId="723D6024" w14:textId="77777777" w:rsidR="004777CA" w:rsidRPr="004777CA" w:rsidRDefault="004777CA">
            <w:r w:rsidRPr="004777CA">
              <w:t>Part B Dispute Resolution Survey in EMAPS</w:t>
            </w:r>
          </w:p>
        </w:tc>
        <w:tc>
          <w:tcPr>
            <w:tcW w:w="3618" w:type="dxa"/>
            <w:hideMark/>
          </w:tcPr>
          <w:p w14:paraId="379E394B" w14:textId="77777777" w:rsidR="004777CA" w:rsidRPr="004777CA" w:rsidRDefault="004777CA">
            <w:r w:rsidRPr="004777CA">
              <w:t>1</w:t>
            </w:r>
            <w:r w:rsidRPr="004777CA">
              <w:rPr>
                <w:vertAlign w:val="superscript"/>
              </w:rPr>
              <w:t>st</w:t>
            </w:r>
            <w:r w:rsidRPr="004777CA">
              <w:t xml:space="preserve"> Wednesday in November</w:t>
            </w:r>
          </w:p>
        </w:tc>
      </w:tr>
      <w:tr w:rsidR="004777CA" w:rsidRPr="004777CA" w14:paraId="3B69FF00" w14:textId="77777777" w:rsidTr="004777CA">
        <w:trPr>
          <w:trHeight w:val="20"/>
        </w:trPr>
        <w:tc>
          <w:tcPr>
            <w:tcW w:w="2605" w:type="dxa"/>
            <w:hideMark/>
          </w:tcPr>
          <w:p w14:paraId="06F7CBC6" w14:textId="77777777" w:rsidR="004777CA" w:rsidRPr="004777CA" w:rsidRDefault="004777CA">
            <w:r w:rsidRPr="004777CA">
              <w:t>Part B LEA Maintenance of Effort Reduction and Coordinated Early Intervening Services</w:t>
            </w:r>
          </w:p>
        </w:tc>
        <w:tc>
          <w:tcPr>
            <w:tcW w:w="3617" w:type="dxa"/>
            <w:hideMark/>
          </w:tcPr>
          <w:p w14:paraId="6B511F74" w14:textId="77777777" w:rsidR="004777CA" w:rsidRPr="004777CA" w:rsidRDefault="004777CA">
            <w:r w:rsidRPr="004777CA">
              <w:t>Part B MOE Reduction and CEIS Survey in EMAPS</w:t>
            </w:r>
          </w:p>
        </w:tc>
        <w:tc>
          <w:tcPr>
            <w:tcW w:w="3618" w:type="dxa"/>
            <w:hideMark/>
          </w:tcPr>
          <w:p w14:paraId="22308BA5" w14:textId="77777777" w:rsidR="004777CA" w:rsidRPr="004777CA" w:rsidRDefault="004777CA">
            <w:r w:rsidRPr="004777CA">
              <w:t>1</w:t>
            </w:r>
            <w:r w:rsidRPr="004777CA">
              <w:rPr>
                <w:vertAlign w:val="superscript"/>
              </w:rPr>
              <w:t>st</w:t>
            </w:r>
            <w:r w:rsidRPr="004777CA">
              <w:t xml:space="preserve"> Wednesday in May</w:t>
            </w:r>
          </w:p>
        </w:tc>
      </w:tr>
    </w:tbl>
    <w:p w14:paraId="52ACECA5" w14:textId="77777777" w:rsidR="004777CA" w:rsidRDefault="004777CA" w:rsidP="004777CA"/>
    <w:p w14:paraId="4EFF5866" w14:textId="4128FE84" w:rsidR="004777CA" w:rsidRPr="008A41E6" w:rsidRDefault="004777CA" w:rsidP="004777CA">
      <w:pPr>
        <w:rPr>
          <w:b/>
          <w:bCs/>
        </w:rPr>
      </w:pPr>
      <w:r w:rsidRPr="008A41E6">
        <w:rPr>
          <w:b/>
          <w:bCs/>
        </w:rPr>
        <w:t>2) Complete Data</w:t>
      </w:r>
      <w:r w:rsidRPr="008A41E6">
        <w:t xml:space="preserve"> – </w:t>
      </w:r>
      <w:r w:rsidRPr="004777CA">
        <w:t>A State will receive one point if it submits data for all files, permitted values, category sets, subtotals, and totals associated with a specific data collection by the initial due date. No data is reported as missing. No placeholder data is submitted. The data submitted to EDFacts aligns with the metadata survey responses provided by the state in the State Supplemental Survey IDEA (SSS IDEA) and Assessment Metadata survey in EMAPS.  State-level data include data from all districts or agencies</w:t>
      </w:r>
      <w:r w:rsidRPr="008A41E6">
        <w:t>.</w:t>
      </w:r>
    </w:p>
    <w:p w14:paraId="34EF2576" w14:textId="77777777" w:rsidR="004777CA" w:rsidRDefault="004777CA" w:rsidP="004777CA"/>
    <w:p w14:paraId="557CE2A1" w14:textId="5CB8EF22" w:rsidR="004777CA" w:rsidRPr="008A41E6" w:rsidRDefault="004777CA" w:rsidP="004777CA">
      <w:pPr>
        <w:rPr>
          <w:b/>
          <w:bCs/>
        </w:rPr>
      </w:pPr>
      <w:r w:rsidRPr="008A41E6">
        <w:rPr>
          <w:b/>
          <w:bCs/>
        </w:rPr>
        <w:t xml:space="preserve">3) Passed Edit Check – </w:t>
      </w:r>
      <w:r w:rsidRPr="008A41E6">
        <w:t xml:space="preserve">A State will receive one point if it submits data that meets all the edit checks related to the specific data collection by the initial due date. The counts included in 618 data submissions are internally consistent within a data collection </w:t>
      </w:r>
    </w:p>
    <w:p w14:paraId="330F0E42" w14:textId="3DBADBBF" w:rsidR="004777CA" w:rsidRDefault="004777CA">
      <w:pPr>
        <w:spacing w:before="0" w:after="200" w:line="276" w:lineRule="auto"/>
      </w:pPr>
      <w:r>
        <w:br w:type="page"/>
      </w:r>
    </w:p>
    <w:p w14:paraId="66EA6C1B" w14:textId="3AB83F96" w:rsidR="0058254D" w:rsidRDefault="0058254D" w:rsidP="0058254D">
      <w:pPr>
        <w:pStyle w:val="Heading2"/>
      </w:pPr>
      <w:r>
        <w:lastRenderedPageBreak/>
        <w:t>Dispute Resolution</w:t>
      </w:r>
    </w:p>
    <w:p w14:paraId="0526D040" w14:textId="77777777" w:rsidR="00FA5B65" w:rsidRDefault="00FA5B65">
      <w:pPr>
        <w:spacing w:before="0" w:after="200" w:line="276" w:lineRule="auto"/>
      </w:pPr>
    </w:p>
    <w:p w14:paraId="10BA59E7" w14:textId="60E34CB1" w:rsidR="0058254D" w:rsidRDefault="009369B1">
      <w:pPr>
        <w:spacing w:before="0" w:after="200" w:line="276" w:lineRule="auto"/>
      </w:pPr>
      <w:r>
        <w:object w:dxaOrig="1540" w:dyaOrig="997" w14:anchorId="54432F45">
          <v:shape id="_x0000_i1026" type="#_x0000_t75" alt="UT-B-DR-2021-22" style="width:77.25pt;height:49.5pt" o:ole="">
            <v:imagedata r:id="rId12" o:title=""/>
          </v:shape>
          <o:OLEObject Type="Embed" ProgID="Acrobat.Document.DC" ShapeID="_x0000_i1026" DrawAspect="Icon" ObjectID="_1752572523" r:id="rId13"/>
        </w:object>
      </w:r>
      <w:r w:rsidR="0058254D">
        <w:br w:type="page"/>
      </w:r>
    </w:p>
    <w:p w14:paraId="1EB6A9F6" w14:textId="77777777" w:rsidR="00085B13" w:rsidRDefault="00085B13" w:rsidP="00085B13">
      <w:pPr>
        <w:pStyle w:val="Heading2"/>
      </w:pPr>
      <w:r>
        <w:lastRenderedPageBreak/>
        <w:t>How the Department Made Determinations</w:t>
      </w:r>
    </w:p>
    <w:p w14:paraId="0972CDF2" w14:textId="77777777" w:rsidR="00085B13" w:rsidRPr="00D733C3" w:rsidRDefault="00085B13" w:rsidP="00085B13">
      <w:pPr>
        <w:rPr>
          <w:szCs w:val="16"/>
        </w:rPr>
      </w:pPr>
    </w:p>
    <w:p w14:paraId="778689CC" w14:textId="16576A1E" w:rsidR="00DF3F83" w:rsidRPr="00D733C3" w:rsidRDefault="00DF3F83" w:rsidP="00DF3F83">
      <w:pPr>
        <w:rPr>
          <w:rFonts w:cs="Arial"/>
          <w:szCs w:val="16"/>
        </w:rPr>
      </w:pPr>
      <w:r w:rsidRPr="00D733C3">
        <w:rPr>
          <w:rFonts w:cs="Arial"/>
          <w:szCs w:val="16"/>
        </w:rPr>
        <w:t>Below is the location of How the Department Made Determinations (HTDMD) on OSEP’s IDEA Website.  How the Department Made Determinations in 2023 will be posted in June 2023. Copy and paste the link below into a browser to view.</w:t>
      </w:r>
    </w:p>
    <w:p w14:paraId="7F614999" w14:textId="77777777" w:rsidR="00DF3F83" w:rsidRPr="00D733C3" w:rsidRDefault="00DF3F83" w:rsidP="00DF3F83">
      <w:pPr>
        <w:pStyle w:val="BodyText"/>
        <w:spacing w:before="7"/>
        <w:rPr>
          <w:rFonts w:ascii="Arial" w:eastAsia="Calibri" w:hAnsi="Arial" w:cs="Arial"/>
          <w:sz w:val="16"/>
          <w:szCs w:val="16"/>
        </w:rPr>
      </w:pPr>
    </w:p>
    <w:p w14:paraId="05B81CB3" w14:textId="1AF7DA59" w:rsidR="00D84A0A" w:rsidRPr="00D733C3" w:rsidRDefault="007123A2">
      <w:pPr>
        <w:spacing w:before="0" w:after="200" w:line="276" w:lineRule="auto"/>
        <w:rPr>
          <w:rFonts w:cs="Arial"/>
          <w:b/>
          <w:bCs/>
          <w:szCs w:val="16"/>
        </w:rPr>
      </w:pPr>
      <w:hyperlink r:id="rId14" w:history="1">
        <w:r w:rsidR="00DF3F83" w:rsidRPr="00D733C3">
          <w:rPr>
            <w:rStyle w:val="Hyperlink"/>
            <w:szCs w:val="16"/>
          </w:rPr>
          <w:t>https://sites.ed.gov/idea/how-the-department-made-determinations/</w:t>
        </w:r>
      </w:hyperlink>
      <w:bookmarkStart w:id="102" w:name="Introduction"/>
      <w:bookmarkStart w:id="103" w:name="_Hlk124349373"/>
      <w:bookmarkEnd w:id="3"/>
      <w:bookmarkEnd w:id="102"/>
      <w:bookmarkEnd w:id="103"/>
    </w:p>
    <w:sectPr w:rsidR="00D84A0A" w:rsidRPr="00D733C3" w:rsidSect="00D733C3">
      <w:headerReference w:type="default" r:id="rId15"/>
      <w:footerReference w:type="default" r:id="rId16"/>
      <w:pgSz w:w="12240" w:h="15840"/>
      <w:pgMar w:top="720" w:right="720" w:bottom="720" w:left="720" w:header="763" w:footer="431" w:gutter="0"/>
      <w:cols w:space="720"/>
      <w:docGrid w:linePitch="2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FBC449" w14:textId="77777777" w:rsidR="00D80788" w:rsidRDefault="00D80788" w:rsidP="000802F7">
      <w:pPr>
        <w:spacing w:before="0" w:after="0"/>
      </w:pPr>
      <w:r>
        <w:separator/>
      </w:r>
    </w:p>
  </w:endnote>
  <w:endnote w:type="continuationSeparator" w:id="0">
    <w:p w14:paraId="2B9F6D2E" w14:textId="77777777" w:rsidR="00D80788" w:rsidRDefault="00D80788" w:rsidP="000802F7">
      <w:pPr>
        <w:spacing w:before="0" w:after="0"/>
      </w:pPr>
      <w:r>
        <w:continuationSeparator/>
      </w:r>
    </w:p>
  </w:endnote>
  <w:endnote w:type="continuationNotice" w:id="1">
    <w:p w14:paraId="26136ECD" w14:textId="77777777" w:rsidR="00D80788" w:rsidRDefault="00D80788">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rlito">
    <w:altName w:val="Calibri"/>
    <w:charset w:val="00"/>
    <w:family w:val="swiss"/>
    <w:pitch w:val="variable"/>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6032885"/>
      <w:docPartObj>
        <w:docPartGallery w:val="Page Numbers (Bottom of Page)"/>
        <w:docPartUnique/>
      </w:docPartObj>
    </w:sdtPr>
    <w:sdtEndPr>
      <w:rPr>
        <w:noProof/>
      </w:rPr>
    </w:sdtEndPr>
    <w:sdtContent>
      <w:sdt>
        <w:sdtPr>
          <w:id w:val="1521194661"/>
          <w:docPartObj>
            <w:docPartGallery w:val="Page Numbers (Bottom of Page)"/>
            <w:docPartUnique/>
          </w:docPartObj>
        </w:sdtPr>
        <w:sdtEndPr>
          <w:rPr>
            <w:noProof/>
          </w:rPr>
        </w:sdtEndPr>
        <w:sdtContent>
          <w:p w14:paraId="6320AF27" w14:textId="07F84AA5" w:rsidR="0031327B" w:rsidRDefault="00D733C3" w:rsidP="00D733C3">
            <w:pPr>
              <w:pStyle w:val="Footer"/>
              <w:jc w:val="right"/>
              <w:rPr>
                <w:noProof/>
              </w:rPr>
            </w:pPr>
            <w:r>
              <w:fldChar w:fldCharType="begin"/>
            </w:r>
            <w:r>
              <w:instrText xml:space="preserve"> PAGE   \* MERGEFORMAT </w:instrText>
            </w:r>
            <w:r>
              <w:fldChar w:fldCharType="separate"/>
            </w:r>
            <w:r>
              <w:t>3</w:t>
            </w:r>
            <w:r>
              <w:rPr>
                <w:noProof/>
              </w:rPr>
              <w:fldChar w:fldCharType="end"/>
            </w:r>
            <w:r>
              <w:ptab w:relativeTo="margin" w:alignment="right" w:leader="none"/>
            </w:r>
            <w:r>
              <w:t>Part B</w:t>
            </w:r>
          </w:p>
        </w:sdtContent>
      </w:sdt>
    </w:sdtContent>
  </w:sdt>
  <w:p w14:paraId="1BC23CDB" w14:textId="366F33BD" w:rsidR="001D7FB4" w:rsidRDefault="007123A2">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0A55E0" w14:textId="77777777" w:rsidR="00D80788" w:rsidRDefault="00D80788" w:rsidP="000802F7">
      <w:pPr>
        <w:spacing w:before="0" w:after="0"/>
      </w:pPr>
      <w:r>
        <w:separator/>
      </w:r>
    </w:p>
  </w:footnote>
  <w:footnote w:type="continuationSeparator" w:id="0">
    <w:p w14:paraId="542CC3A3" w14:textId="77777777" w:rsidR="00D80788" w:rsidRDefault="00D80788" w:rsidP="000802F7">
      <w:pPr>
        <w:spacing w:before="0" w:after="0"/>
      </w:pPr>
      <w:r>
        <w:continuationSeparator/>
      </w:r>
    </w:p>
  </w:footnote>
  <w:footnote w:type="continuationNotice" w:id="1">
    <w:p w14:paraId="1F7F396D" w14:textId="77777777" w:rsidR="00D80788" w:rsidRDefault="00D80788">
      <w:pPr>
        <w:spacing w:before="0" w:after="0"/>
      </w:pPr>
    </w:p>
  </w:footnote>
  <w:footnote w:id="2">
    <w:p w14:paraId="6575ECDD" w14:textId="709D48BC" w:rsidR="009369B1" w:rsidRPr="00EB41ED" w:rsidRDefault="009369B1" w:rsidP="009369B1">
      <w:pPr>
        <w:spacing w:after="0"/>
        <w:rPr>
          <w:rFonts w:cs="Arial"/>
          <w:szCs w:val="16"/>
        </w:rPr>
      </w:pPr>
      <w:r>
        <w:rPr>
          <w:rStyle w:val="FootnoteReference"/>
        </w:rPr>
        <w:footnoteRef/>
      </w:r>
      <w:r>
        <w:t xml:space="preserve"> </w:t>
      </w:r>
      <w:bookmarkStart w:id="5" w:name="_Hlk138799496"/>
      <w:r w:rsidRPr="00891632">
        <w:rPr>
          <w:rFonts w:cs="Arial"/>
          <w:szCs w:val="16"/>
        </w:rPr>
        <w:t>Prior to the FFY 2020 submission, the State used a differ</w:t>
      </w:r>
      <w:r w:rsidRPr="00EB41ED">
        <w:rPr>
          <w:rFonts w:cs="Arial"/>
          <w:szCs w:val="16"/>
        </w:rPr>
        <w:t>ent data source to report data under this indicator.</w:t>
      </w:r>
      <w:bookmarkEnd w:id="5"/>
    </w:p>
  </w:footnote>
  <w:footnote w:id="3">
    <w:p w14:paraId="33FDEC6C" w14:textId="79621718" w:rsidR="00EB41ED" w:rsidRDefault="00EB41ED">
      <w:pPr>
        <w:pStyle w:val="FootnoteText"/>
      </w:pPr>
      <w:r w:rsidRPr="00EB41ED">
        <w:rPr>
          <w:rStyle w:val="FootnoteReference"/>
          <w:sz w:val="16"/>
          <w:szCs w:val="16"/>
        </w:rPr>
        <w:footnoteRef/>
      </w:r>
      <w:r w:rsidRPr="00EB41ED">
        <w:rPr>
          <w:sz w:val="16"/>
          <w:szCs w:val="16"/>
        </w:rPr>
        <w:t xml:space="preserve"> </w:t>
      </w:r>
      <w:r w:rsidRPr="00EB41ED">
        <w:rPr>
          <w:rFonts w:cs="Arial"/>
          <w:sz w:val="16"/>
          <w:szCs w:val="16"/>
        </w:rPr>
        <w:t>Percentage blurred due to privacy protection.</w:t>
      </w:r>
    </w:p>
  </w:footnote>
  <w:footnote w:id="4">
    <w:p w14:paraId="77F92ED6" w14:textId="5354D334" w:rsidR="00DB4E16" w:rsidRPr="00DB4E16" w:rsidRDefault="00DB4E16">
      <w:pPr>
        <w:pStyle w:val="FootnoteText"/>
        <w:rPr>
          <w:sz w:val="16"/>
          <w:szCs w:val="16"/>
        </w:rPr>
      </w:pPr>
      <w:r w:rsidRPr="00DB4E16">
        <w:rPr>
          <w:rStyle w:val="FootnoteReference"/>
          <w:sz w:val="16"/>
          <w:szCs w:val="16"/>
        </w:rPr>
        <w:footnoteRef/>
      </w:r>
      <w:r w:rsidRPr="00DB4E16">
        <w:rPr>
          <w:sz w:val="16"/>
          <w:szCs w:val="16"/>
        </w:rPr>
        <w:t xml:space="preserve"> Data flagged due to questionable data quality.</w:t>
      </w:r>
    </w:p>
  </w:footnote>
  <w:footnote w:id="5">
    <w:p w14:paraId="6FD6E57D" w14:textId="567EDD31" w:rsidR="00DB4E16" w:rsidRPr="00DB4E16" w:rsidRDefault="00DB4E16">
      <w:pPr>
        <w:pStyle w:val="FootnoteText"/>
        <w:rPr>
          <w:sz w:val="16"/>
          <w:szCs w:val="16"/>
        </w:rPr>
      </w:pPr>
      <w:r w:rsidRPr="00DB4E16">
        <w:rPr>
          <w:rStyle w:val="FootnoteReference"/>
          <w:sz w:val="16"/>
          <w:szCs w:val="16"/>
        </w:rPr>
        <w:footnoteRef/>
      </w:r>
      <w:r w:rsidRPr="00DB4E16">
        <w:rPr>
          <w:sz w:val="16"/>
          <w:szCs w:val="16"/>
        </w:rPr>
        <w:t xml:space="preserve"> Data flagged due to questionable data quality.</w:t>
      </w:r>
    </w:p>
  </w:footnote>
  <w:footnote w:id="6">
    <w:p w14:paraId="06A545A1" w14:textId="7A0F5AA2" w:rsidR="00DB4E16" w:rsidRPr="00DB4E16" w:rsidRDefault="00DB4E16" w:rsidP="00DB4E16">
      <w:pPr>
        <w:pStyle w:val="FootnoteText"/>
        <w:rPr>
          <w:sz w:val="16"/>
          <w:szCs w:val="16"/>
        </w:rPr>
      </w:pPr>
      <w:r w:rsidRPr="00DB4E16">
        <w:rPr>
          <w:rStyle w:val="FootnoteReference"/>
          <w:sz w:val="16"/>
          <w:szCs w:val="16"/>
        </w:rPr>
        <w:footnoteRef/>
      </w:r>
      <w:r w:rsidRPr="00DB4E16">
        <w:rPr>
          <w:sz w:val="16"/>
          <w:szCs w:val="16"/>
        </w:rPr>
        <w:t xml:space="preserve"> Data flagged due to questionable data quality.</w:t>
      </w:r>
    </w:p>
  </w:footnote>
  <w:footnote w:id="7">
    <w:p w14:paraId="2CDBF870" w14:textId="1F6C73B4" w:rsidR="00DB4E16" w:rsidRDefault="00DB4E16">
      <w:pPr>
        <w:pStyle w:val="FootnoteText"/>
      </w:pPr>
      <w:r w:rsidRPr="00DB4E16">
        <w:rPr>
          <w:rStyle w:val="FootnoteReference"/>
          <w:sz w:val="16"/>
          <w:szCs w:val="16"/>
        </w:rPr>
        <w:footnoteRef/>
      </w:r>
      <w:r w:rsidRPr="00DB4E16">
        <w:rPr>
          <w:sz w:val="16"/>
          <w:szCs w:val="16"/>
        </w:rPr>
        <w:t xml:space="preserve"> Data suppressed due to small cell size.</w:t>
      </w:r>
    </w:p>
  </w:footnote>
  <w:footnote w:id="8">
    <w:p w14:paraId="1F935153" w14:textId="5AA7D1F2" w:rsidR="00DB4E16" w:rsidRPr="00DB4E16" w:rsidRDefault="00DB4E16">
      <w:pPr>
        <w:pStyle w:val="FootnoteText"/>
        <w:rPr>
          <w:sz w:val="16"/>
          <w:szCs w:val="16"/>
        </w:rPr>
      </w:pPr>
      <w:r w:rsidRPr="00DB4E16">
        <w:rPr>
          <w:rStyle w:val="FootnoteReference"/>
          <w:sz w:val="16"/>
          <w:szCs w:val="16"/>
        </w:rPr>
        <w:footnoteRef/>
      </w:r>
      <w:r w:rsidRPr="00DB4E16">
        <w:rPr>
          <w:sz w:val="16"/>
          <w:szCs w:val="16"/>
        </w:rPr>
        <w:t xml:space="preserve"> Data flagged due to questionable data quality.</w:t>
      </w:r>
    </w:p>
  </w:footnote>
  <w:footnote w:id="9">
    <w:p w14:paraId="40D0C754" w14:textId="3ED526E0" w:rsidR="008E4335" w:rsidRDefault="008E4335" w:rsidP="008E4335">
      <w:pPr>
        <w:pStyle w:val="FootnoteText"/>
      </w:pPr>
      <w:r w:rsidRPr="00DB4E16">
        <w:rPr>
          <w:rStyle w:val="FootnoteReference"/>
          <w:sz w:val="16"/>
          <w:szCs w:val="16"/>
        </w:rPr>
        <w:footnoteRef/>
      </w:r>
      <w:r w:rsidRPr="00DB4E16">
        <w:rPr>
          <w:sz w:val="16"/>
          <w:szCs w:val="16"/>
        </w:rPr>
        <w:t xml:space="preserve"> Data flagged due to questionable data quality.</w:t>
      </w:r>
    </w:p>
  </w:footnote>
  <w:footnote w:id="10">
    <w:p w14:paraId="2CDA71AD" w14:textId="51EF49BE" w:rsidR="008E4335" w:rsidRDefault="008E4335">
      <w:pPr>
        <w:pStyle w:val="FootnoteText"/>
      </w:pPr>
      <w:r w:rsidRPr="008E4335">
        <w:rPr>
          <w:rStyle w:val="FootnoteReference"/>
          <w:sz w:val="16"/>
          <w:szCs w:val="16"/>
        </w:rPr>
        <w:footnoteRef/>
      </w:r>
      <w:r w:rsidRPr="008E4335">
        <w:rPr>
          <w:sz w:val="16"/>
          <w:szCs w:val="16"/>
        </w:rPr>
        <w:t xml:space="preserve"> Data flagged due to questionable data quality.</w:t>
      </w:r>
    </w:p>
  </w:footnote>
  <w:footnote w:id="11">
    <w:p w14:paraId="3B4EB0A7" w14:textId="60CFA69D" w:rsidR="008E4335" w:rsidRDefault="008E4335">
      <w:pPr>
        <w:pStyle w:val="FootnoteText"/>
      </w:pPr>
      <w:r w:rsidRPr="008E4335">
        <w:rPr>
          <w:rStyle w:val="FootnoteReference"/>
          <w:sz w:val="16"/>
          <w:szCs w:val="16"/>
        </w:rPr>
        <w:footnoteRef/>
      </w:r>
      <w:r w:rsidRPr="008E4335">
        <w:rPr>
          <w:sz w:val="16"/>
          <w:szCs w:val="16"/>
        </w:rPr>
        <w:t xml:space="preserve"> Data flagged due to questionable data quality.</w:t>
      </w:r>
    </w:p>
  </w:footnote>
  <w:footnote w:id="12">
    <w:p w14:paraId="0FAB7C8D" w14:textId="77777777" w:rsidR="00BE0EEF" w:rsidRPr="006A44D8" w:rsidRDefault="00BE0EEF" w:rsidP="00BE0EEF">
      <w:pPr>
        <w:pStyle w:val="FootnoteText"/>
        <w:spacing w:after="60"/>
        <w:ind w:left="180" w:hanging="180"/>
        <w:rPr>
          <w:sz w:val="16"/>
          <w:szCs w:val="16"/>
        </w:rPr>
      </w:pPr>
      <w:r w:rsidRPr="006A44D8">
        <w:rPr>
          <w:rStyle w:val="FootnoteReference"/>
          <w:sz w:val="16"/>
          <w:szCs w:val="16"/>
        </w:rPr>
        <w:footnoteRef/>
      </w:r>
      <w:r w:rsidRPr="006A44D8">
        <w:rPr>
          <w:sz w:val="16"/>
          <w:szCs w:val="16"/>
        </w:rPr>
        <w:t xml:space="preserve"> For a detailed explanation of how the Compliance Score, Results Score, and the Results-Driven Accountability Percentage and Determination were calculated, review "How the Department Made Determinations under Section 616(d) of the </w:t>
      </w:r>
      <w:r w:rsidRPr="006A44D8">
        <w:rPr>
          <w:i/>
          <w:sz w:val="16"/>
          <w:szCs w:val="16"/>
        </w:rPr>
        <w:t>Individuals with Disabilities Education Act</w:t>
      </w:r>
      <w:r w:rsidRPr="006A44D8">
        <w:rPr>
          <w:sz w:val="16"/>
          <w:szCs w:val="16"/>
        </w:rPr>
        <w:t xml:space="preserve"> in 2023: Part B."</w:t>
      </w:r>
    </w:p>
  </w:footnote>
  <w:footnote w:id="13">
    <w:p w14:paraId="69421760" w14:textId="77777777" w:rsidR="00BE0EEF" w:rsidRPr="006A44D8" w:rsidRDefault="00BE0EEF" w:rsidP="00BE0EEF">
      <w:pPr>
        <w:pStyle w:val="FootnoteText"/>
        <w:spacing w:after="60"/>
        <w:ind w:left="180" w:hanging="180"/>
        <w:rPr>
          <w:sz w:val="16"/>
          <w:szCs w:val="16"/>
        </w:rPr>
      </w:pPr>
      <w:r w:rsidRPr="006A44D8">
        <w:rPr>
          <w:rStyle w:val="FootnoteReference"/>
          <w:sz w:val="16"/>
          <w:szCs w:val="16"/>
        </w:rPr>
        <w:footnoteRef/>
      </w:r>
      <w:r w:rsidRPr="006A44D8">
        <w:rPr>
          <w:sz w:val="16"/>
          <w:szCs w:val="16"/>
        </w:rPr>
        <w:t xml:space="preserve"> The complete language for each indicator is located in the Part B SPP/APR Indicator Measurement Table at: </w:t>
      </w:r>
      <w:hyperlink w:history="1"/>
      <w:hyperlink r:id="rId1" w:history="1">
        <w:r w:rsidRPr="006A44D8">
          <w:rPr>
            <w:rStyle w:val="Hyperlink"/>
            <w:sz w:val="16"/>
            <w:szCs w:val="16"/>
          </w:rPr>
          <w:t>https://sites.ed.gov/idea/files/2023_Part-B_SPP-APR_Measurement_Table.pdf</w:t>
        </w:r>
      </w:hyperlink>
      <w:r w:rsidRPr="006A44D8">
        <w:rPr>
          <w:sz w:val="16"/>
          <w:szCs w:val="16"/>
        </w:rPr>
        <w:t xml:space="preserve"> </w:t>
      </w:r>
      <w:hyperlink w:history="1"/>
    </w:p>
  </w:footnote>
  <w:footnote w:id="14">
    <w:p w14:paraId="69EC7855" w14:textId="1293BFE6" w:rsidR="00A47134" w:rsidRDefault="00A47134" w:rsidP="00A47134">
      <w:r>
        <w:rPr>
          <w:rStyle w:val="FootnoteReference"/>
        </w:rPr>
        <w:footnoteRef/>
      </w:r>
      <w:r>
        <w:t xml:space="preserve"> </w:t>
      </w:r>
      <w:r w:rsidR="00E211BF" w:rsidRPr="00606A3B">
        <w:rPr>
          <w:rFonts w:eastAsia="Times New Roman" w:cs="Arial"/>
          <w:szCs w:val="16"/>
        </w:rPr>
        <w:t>In the SPP</w:t>
      </w:r>
      <w:r w:rsidR="001A4886">
        <w:rPr>
          <w:rFonts w:eastAsia="Times New Roman" w:cs="Arial"/>
          <w:szCs w:val="16"/>
        </w:rPr>
        <w:t>/</w:t>
      </w:r>
      <w:r w:rsidR="00E211BF" w:rsidRPr="00606A3B">
        <w:rPr>
          <w:rFonts w:eastAsia="Times New Roman" w:cs="Arial"/>
          <w:szCs w:val="16"/>
        </w:rPr>
        <w:t>APR Data table, where there is an N/A in the Valid and Reliable column, the Total column will display a 0. This is a change from prior years in display only; all calculation</w:t>
      </w:r>
      <w:r w:rsidR="001A4886">
        <w:rPr>
          <w:rFonts w:eastAsia="Times New Roman" w:cs="Arial"/>
          <w:szCs w:val="16"/>
        </w:rPr>
        <w:t xml:space="preserve"> methods</w:t>
      </w:r>
      <w:r w:rsidR="00E211BF" w:rsidRPr="00606A3B">
        <w:rPr>
          <w:rFonts w:eastAsia="Times New Roman" w:cs="Arial"/>
          <w:szCs w:val="16"/>
        </w:rPr>
        <w:t xml:space="preserve"> are unchanged. An N/A does not </w:t>
      </w:r>
      <w:r w:rsidR="001A4886">
        <w:rPr>
          <w:rFonts w:eastAsia="Times New Roman" w:cs="Arial"/>
          <w:szCs w:val="16"/>
        </w:rPr>
        <w:t xml:space="preserve">negatively affect </w:t>
      </w:r>
      <w:r w:rsidR="00E211BF" w:rsidRPr="00606A3B">
        <w:rPr>
          <w:rFonts w:eastAsia="Times New Roman" w:cs="Arial"/>
          <w:szCs w:val="16"/>
        </w:rPr>
        <w:t>a State's score</w:t>
      </w:r>
      <w:r w:rsidR="001A4886">
        <w:rPr>
          <w:rFonts w:eastAsia="Times New Roman" w:cs="Arial"/>
          <w:szCs w:val="16"/>
        </w:rPr>
        <w:t xml:space="preserve">; this is because </w:t>
      </w:r>
      <w:r w:rsidR="00B128EE">
        <w:rPr>
          <w:rFonts w:eastAsia="Times New Roman" w:cs="Arial"/>
          <w:szCs w:val="16"/>
        </w:rPr>
        <w:t>1</w:t>
      </w:r>
      <w:r w:rsidR="00E211BF" w:rsidRPr="00606A3B">
        <w:rPr>
          <w:rFonts w:eastAsia="Times New Roman" w:cs="Arial"/>
          <w:szCs w:val="16"/>
        </w:rPr>
        <w:t xml:space="preserve"> point</w:t>
      </w:r>
      <w:r w:rsidR="00B128EE">
        <w:rPr>
          <w:rFonts w:eastAsia="Times New Roman" w:cs="Arial"/>
          <w:szCs w:val="16"/>
        </w:rPr>
        <w:t xml:space="preserve"> is</w:t>
      </w:r>
      <w:r w:rsidR="00E211BF" w:rsidRPr="00606A3B">
        <w:rPr>
          <w:rFonts w:eastAsia="Times New Roman" w:cs="Arial"/>
          <w:szCs w:val="16"/>
        </w:rPr>
        <w:t xml:space="preserve"> subtracted from the </w:t>
      </w:r>
      <w:r w:rsidR="00B128EE">
        <w:rPr>
          <w:rFonts w:eastAsia="Times New Roman" w:cs="Arial"/>
          <w:szCs w:val="16"/>
        </w:rPr>
        <w:t>Denominator</w:t>
      </w:r>
      <w:r w:rsidR="00E211BF" w:rsidRPr="00606A3B">
        <w:rPr>
          <w:rFonts w:eastAsia="Times New Roman" w:cs="Arial"/>
          <w:szCs w:val="16"/>
        </w:rPr>
        <w:t xml:space="preserve"> in the Indicator Calculation table</w:t>
      </w:r>
      <w:r w:rsidR="00B128EE">
        <w:rPr>
          <w:rFonts w:eastAsia="Times New Roman" w:cs="Arial"/>
          <w:szCs w:val="16"/>
        </w:rPr>
        <w:t xml:space="preserve"> for each cell marked as N/A in the SPP/APR Data table</w:t>
      </w:r>
      <w:r w:rsidR="00E211BF" w:rsidRPr="00606A3B">
        <w:rPr>
          <w:rFonts w:eastAsia="Times New Roman" w:cs="Arial"/>
          <w:szCs w:val="16"/>
        </w:rPr>
        <w:t>.</w:t>
      </w:r>
    </w:p>
  </w:footnote>
  <w:footnote w:id="15">
    <w:p w14:paraId="3461A050" w14:textId="023C8A0B" w:rsidR="002F6CB6" w:rsidRPr="008D0CC6" w:rsidRDefault="002F6CB6">
      <w:pPr>
        <w:pStyle w:val="FootnoteText"/>
        <w:rPr>
          <w:sz w:val="16"/>
          <w:szCs w:val="16"/>
        </w:rPr>
      </w:pPr>
      <w:r w:rsidRPr="008D0CC6">
        <w:rPr>
          <w:rStyle w:val="FootnoteReference"/>
          <w:sz w:val="16"/>
          <w:szCs w:val="16"/>
        </w:rPr>
        <w:footnoteRef/>
      </w:r>
      <w:r w:rsidRPr="008D0CC6">
        <w:rPr>
          <w:sz w:val="16"/>
          <w:szCs w:val="16"/>
        </w:rPr>
        <w:t xml:space="preserve"> </w:t>
      </w:r>
      <w:r w:rsidR="008D0CC6" w:rsidRPr="008D0CC6">
        <w:rPr>
          <w:color w:val="000000" w:themeColor="text1"/>
          <w:sz w:val="16"/>
          <w:szCs w:val="16"/>
        </w:rPr>
        <w:t>In the 618 Data table, when calculating the value in the Total column, any N/As in the Timely, Complete Data, or Passed Edit Checks columns are treated as a ‘0’. An N/A does not negatively affect a State's score; this is because 1.23809524 points is subtracted from the Denominator in the Indicator Calculation table for each cell marked as N/A in the 618 Data table.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D827F" w14:textId="1332B1B2" w:rsidR="001D7FB4" w:rsidRDefault="007123A2">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24" type="#_x0000_t75" style="width:19.5pt;height:18.75pt;visibility:visible;mso-wrap-style:square" o:bullet="t">
        <v:imagedata r:id="rId1" o:title="" croptop="12526f" cropbottom="7411f" cropleft="12045f" cropright="6359f"/>
      </v:shape>
    </w:pict>
  </w:numPicBullet>
  <w:abstractNum w:abstractNumId="0" w15:restartNumberingAfterBreak="0">
    <w:nsid w:val="012F2171"/>
    <w:multiLevelType w:val="multilevel"/>
    <w:tmpl w:val="11DCA7B4"/>
    <w:lvl w:ilvl="0">
      <w:start w:val="1"/>
      <w:numFmt w:val="upperLetter"/>
      <w:lvlText w:val="%1."/>
      <w:lvlJc w:val="left"/>
      <w:pPr>
        <w:tabs>
          <w:tab w:val="num" w:pos="720"/>
        </w:tabs>
        <w:ind w:left="720" w:hanging="360"/>
      </w:pPr>
    </w:lvl>
    <w:lvl w:ilvl="1">
      <w:start w:val="1"/>
      <w:numFmt w:val="upperLetter"/>
      <w:lvlText w:val="%2."/>
      <w:lvlJc w:val="left"/>
      <w:pPr>
        <w:ind w:left="5130" w:hanging="720"/>
      </w:pPr>
      <w:rPr>
        <w:rFonts w:hint="default"/>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15:restartNumberingAfterBreak="0">
    <w:nsid w:val="03A50F6C"/>
    <w:multiLevelType w:val="hybridMultilevel"/>
    <w:tmpl w:val="CA521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EF3472"/>
    <w:multiLevelType w:val="hybridMultilevel"/>
    <w:tmpl w:val="5290C0FE"/>
    <w:lvl w:ilvl="0" w:tplc="55762074">
      <w:start w:val="1"/>
      <w:numFmt w:val="decimal"/>
      <w:lvlText w:val="%1."/>
      <w:lvlJc w:val="left"/>
      <w:pPr>
        <w:ind w:left="860" w:hanging="361"/>
      </w:pPr>
      <w:rPr>
        <w:rFonts w:ascii="Carlito" w:eastAsia="Carlito" w:hAnsi="Carlito" w:cs="Carlito" w:hint="default"/>
        <w:w w:val="99"/>
        <w:sz w:val="22"/>
        <w:szCs w:val="22"/>
        <w:lang w:val="en-US" w:eastAsia="en-US" w:bidi="ar-SA"/>
      </w:rPr>
    </w:lvl>
    <w:lvl w:ilvl="1" w:tplc="514EAF34">
      <w:start w:val="1"/>
      <w:numFmt w:val="upperLetter"/>
      <w:lvlText w:val="%2."/>
      <w:lvlJc w:val="left"/>
      <w:pPr>
        <w:ind w:left="860" w:hanging="361"/>
      </w:pPr>
      <w:rPr>
        <w:rFonts w:ascii="Carlito" w:eastAsia="Carlito" w:hAnsi="Carlito" w:cs="Carlito" w:hint="default"/>
        <w:w w:val="99"/>
        <w:sz w:val="22"/>
        <w:szCs w:val="22"/>
        <w:lang w:val="en-US" w:eastAsia="en-US" w:bidi="ar-SA"/>
      </w:rPr>
    </w:lvl>
    <w:lvl w:ilvl="2" w:tplc="F8240EC6">
      <w:numFmt w:val="bullet"/>
      <w:lvlText w:val="•"/>
      <w:lvlJc w:val="left"/>
      <w:pPr>
        <w:ind w:left="2656" w:hanging="361"/>
      </w:pPr>
      <w:rPr>
        <w:lang w:val="en-US" w:eastAsia="en-US" w:bidi="ar-SA"/>
      </w:rPr>
    </w:lvl>
    <w:lvl w:ilvl="3" w:tplc="1FCE6D00">
      <w:numFmt w:val="bullet"/>
      <w:lvlText w:val="•"/>
      <w:lvlJc w:val="left"/>
      <w:pPr>
        <w:ind w:left="3554" w:hanging="361"/>
      </w:pPr>
      <w:rPr>
        <w:lang w:val="en-US" w:eastAsia="en-US" w:bidi="ar-SA"/>
      </w:rPr>
    </w:lvl>
    <w:lvl w:ilvl="4" w:tplc="233E8912">
      <w:numFmt w:val="bullet"/>
      <w:lvlText w:val="•"/>
      <w:lvlJc w:val="left"/>
      <w:pPr>
        <w:ind w:left="4452" w:hanging="361"/>
      </w:pPr>
      <w:rPr>
        <w:lang w:val="en-US" w:eastAsia="en-US" w:bidi="ar-SA"/>
      </w:rPr>
    </w:lvl>
    <w:lvl w:ilvl="5" w:tplc="D8AE35CC">
      <w:numFmt w:val="bullet"/>
      <w:lvlText w:val="•"/>
      <w:lvlJc w:val="left"/>
      <w:pPr>
        <w:ind w:left="5350" w:hanging="361"/>
      </w:pPr>
      <w:rPr>
        <w:lang w:val="en-US" w:eastAsia="en-US" w:bidi="ar-SA"/>
      </w:rPr>
    </w:lvl>
    <w:lvl w:ilvl="6" w:tplc="54B86F70">
      <w:numFmt w:val="bullet"/>
      <w:lvlText w:val="•"/>
      <w:lvlJc w:val="left"/>
      <w:pPr>
        <w:ind w:left="6248" w:hanging="361"/>
      </w:pPr>
      <w:rPr>
        <w:lang w:val="en-US" w:eastAsia="en-US" w:bidi="ar-SA"/>
      </w:rPr>
    </w:lvl>
    <w:lvl w:ilvl="7" w:tplc="A5925B48">
      <w:numFmt w:val="bullet"/>
      <w:lvlText w:val="•"/>
      <w:lvlJc w:val="left"/>
      <w:pPr>
        <w:ind w:left="7146" w:hanging="361"/>
      </w:pPr>
      <w:rPr>
        <w:lang w:val="en-US" w:eastAsia="en-US" w:bidi="ar-SA"/>
      </w:rPr>
    </w:lvl>
    <w:lvl w:ilvl="8" w:tplc="55BEABBE">
      <w:numFmt w:val="bullet"/>
      <w:lvlText w:val="•"/>
      <w:lvlJc w:val="left"/>
      <w:pPr>
        <w:ind w:left="8044" w:hanging="361"/>
      </w:pPr>
      <w:rPr>
        <w:lang w:val="en-US" w:eastAsia="en-US" w:bidi="ar-SA"/>
      </w:rPr>
    </w:lvl>
  </w:abstractNum>
  <w:abstractNum w:abstractNumId="3" w15:restartNumberingAfterBreak="0">
    <w:nsid w:val="076B4729"/>
    <w:multiLevelType w:val="hybridMultilevel"/>
    <w:tmpl w:val="68CE2F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1D3DFE"/>
    <w:multiLevelType w:val="hybridMultilevel"/>
    <w:tmpl w:val="DDFED6E0"/>
    <w:lvl w:ilvl="0" w:tplc="F2B480D0">
      <w:numFmt w:val="bullet"/>
      <w:lvlText w:val=""/>
      <w:lvlJc w:val="left"/>
      <w:pPr>
        <w:ind w:left="499" w:hanging="360"/>
      </w:pPr>
      <w:rPr>
        <w:rFonts w:ascii="Symbol" w:eastAsia="Symbol" w:hAnsi="Symbol" w:cs="Symbol" w:hint="default"/>
        <w:w w:val="99"/>
        <w:sz w:val="22"/>
        <w:szCs w:val="22"/>
        <w:lang w:val="en-US" w:eastAsia="en-US" w:bidi="ar-SA"/>
      </w:rPr>
    </w:lvl>
    <w:lvl w:ilvl="1" w:tplc="39C23E46">
      <w:numFmt w:val="bullet"/>
      <w:lvlText w:val="o"/>
      <w:lvlJc w:val="left"/>
      <w:pPr>
        <w:ind w:left="1580" w:hanging="360"/>
      </w:pPr>
      <w:rPr>
        <w:rFonts w:ascii="Courier New" w:eastAsia="Courier New" w:hAnsi="Courier New" w:cs="Courier New" w:hint="default"/>
        <w:w w:val="99"/>
        <w:sz w:val="22"/>
        <w:szCs w:val="22"/>
        <w:lang w:val="en-US" w:eastAsia="en-US" w:bidi="ar-SA"/>
      </w:rPr>
    </w:lvl>
    <w:lvl w:ilvl="2" w:tplc="7988CC3E">
      <w:numFmt w:val="bullet"/>
      <w:lvlText w:val="•"/>
      <w:lvlJc w:val="left"/>
      <w:pPr>
        <w:ind w:left="2497" w:hanging="360"/>
      </w:pPr>
      <w:rPr>
        <w:lang w:val="en-US" w:eastAsia="en-US" w:bidi="ar-SA"/>
      </w:rPr>
    </w:lvl>
    <w:lvl w:ilvl="3" w:tplc="157C9A1E">
      <w:numFmt w:val="bullet"/>
      <w:lvlText w:val="•"/>
      <w:lvlJc w:val="left"/>
      <w:pPr>
        <w:ind w:left="3415" w:hanging="360"/>
      </w:pPr>
      <w:rPr>
        <w:lang w:val="en-US" w:eastAsia="en-US" w:bidi="ar-SA"/>
      </w:rPr>
    </w:lvl>
    <w:lvl w:ilvl="4" w:tplc="EE6E9182">
      <w:numFmt w:val="bullet"/>
      <w:lvlText w:val="•"/>
      <w:lvlJc w:val="left"/>
      <w:pPr>
        <w:ind w:left="4333" w:hanging="360"/>
      </w:pPr>
      <w:rPr>
        <w:lang w:val="en-US" w:eastAsia="en-US" w:bidi="ar-SA"/>
      </w:rPr>
    </w:lvl>
    <w:lvl w:ilvl="5" w:tplc="95382E14">
      <w:numFmt w:val="bullet"/>
      <w:lvlText w:val="•"/>
      <w:lvlJc w:val="left"/>
      <w:pPr>
        <w:ind w:left="5251" w:hanging="360"/>
      </w:pPr>
      <w:rPr>
        <w:lang w:val="en-US" w:eastAsia="en-US" w:bidi="ar-SA"/>
      </w:rPr>
    </w:lvl>
    <w:lvl w:ilvl="6" w:tplc="FA040B58">
      <w:numFmt w:val="bullet"/>
      <w:lvlText w:val="•"/>
      <w:lvlJc w:val="left"/>
      <w:pPr>
        <w:ind w:left="6168" w:hanging="360"/>
      </w:pPr>
      <w:rPr>
        <w:lang w:val="en-US" w:eastAsia="en-US" w:bidi="ar-SA"/>
      </w:rPr>
    </w:lvl>
    <w:lvl w:ilvl="7" w:tplc="9DFA0308">
      <w:numFmt w:val="bullet"/>
      <w:lvlText w:val="•"/>
      <w:lvlJc w:val="left"/>
      <w:pPr>
        <w:ind w:left="7086" w:hanging="360"/>
      </w:pPr>
      <w:rPr>
        <w:lang w:val="en-US" w:eastAsia="en-US" w:bidi="ar-SA"/>
      </w:rPr>
    </w:lvl>
    <w:lvl w:ilvl="8" w:tplc="918632DA">
      <w:numFmt w:val="bullet"/>
      <w:lvlText w:val="•"/>
      <w:lvlJc w:val="left"/>
      <w:pPr>
        <w:ind w:left="8004" w:hanging="360"/>
      </w:pPr>
      <w:rPr>
        <w:lang w:val="en-US" w:eastAsia="en-US" w:bidi="ar-SA"/>
      </w:rPr>
    </w:lvl>
  </w:abstractNum>
  <w:abstractNum w:abstractNumId="5" w15:restartNumberingAfterBreak="0">
    <w:nsid w:val="0B044BCE"/>
    <w:multiLevelType w:val="hybridMultilevel"/>
    <w:tmpl w:val="BB88F2CE"/>
    <w:lvl w:ilvl="0" w:tplc="4FDC1474">
      <w:numFmt w:val="bullet"/>
      <w:lvlText w:val=""/>
      <w:lvlJc w:val="left"/>
      <w:pPr>
        <w:ind w:left="860" w:hanging="361"/>
      </w:pPr>
      <w:rPr>
        <w:rFonts w:ascii="Symbol" w:eastAsia="Symbol" w:hAnsi="Symbol" w:cs="Symbol" w:hint="default"/>
        <w:w w:val="100"/>
        <w:sz w:val="22"/>
        <w:szCs w:val="22"/>
        <w:lang w:val="en-US" w:eastAsia="en-US" w:bidi="ar-SA"/>
      </w:rPr>
    </w:lvl>
    <w:lvl w:ilvl="1" w:tplc="F6D6F56C">
      <w:numFmt w:val="bullet"/>
      <w:lvlText w:val="o"/>
      <w:lvlJc w:val="left"/>
      <w:pPr>
        <w:ind w:left="1580" w:hanging="361"/>
      </w:pPr>
      <w:rPr>
        <w:rFonts w:ascii="Courier New" w:eastAsia="Courier New" w:hAnsi="Courier New" w:cs="Courier New" w:hint="default"/>
        <w:w w:val="100"/>
        <w:sz w:val="22"/>
        <w:szCs w:val="22"/>
        <w:lang w:val="en-US" w:eastAsia="en-US" w:bidi="ar-SA"/>
      </w:rPr>
    </w:lvl>
    <w:lvl w:ilvl="2" w:tplc="D278D728">
      <w:numFmt w:val="bullet"/>
      <w:lvlText w:val="•"/>
      <w:lvlJc w:val="left"/>
      <w:pPr>
        <w:ind w:left="2497" w:hanging="361"/>
      </w:pPr>
      <w:rPr>
        <w:rFonts w:hint="default"/>
        <w:lang w:val="en-US" w:eastAsia="en-US" w:bidi="ar-SA"/>
      </w:rPr>
    </w:lvl>
    <w:lvl w:ilvl="3" w:tplc="C6E03824">
      <w:numFmt w:val="bullet"/>
      <w:lvlText w:val="•"/>
      <w:lvlJc w:val="left"/>
      <w:pPr>
        <w:ind w:left="3415" w:hanging="361"/>
      </w:pPr>
      <w:rPr>
        <w:rFonts w:hint="default"/>
        <w:lang w:val="en-US" w:eastAsia="en-US" w:bidi="ar-SA"/>
      </w:rPr>
    </w:lvl>
    <w:lvl w:ilvl="4" w:tplc="145E9780">
      <w:numFmt w:val="bullet"/>
      <w:lvlText w:val="•"/>
      <w:lvlJc w:val="left"/>
      <w:pPr>
        <w:ind w:left="4333" w:hanging="361"/>
      </w:pPr>
      <w:rPr>
        <w:rFonts w:hint="default"/>
        <w:lang w:val="en-US" w:eastAsia="en-US" w:bidi="ar-SA"/>
      </w:rPr>
    </w:lvl>
    <w:lvl w:ilvl="5" w:tplc="B63E0F6A">
      <w:numFmt w:val="bullet"/>
      <w:lvlText w:val="•"/>
      <w:lvlJc w:val="left"/>
      <w:pPr>
        <w:ind w:left="5251" w:hanging="361"/>
      </w:pPr>
      <w:rPr>
        <w:rFonts w:hint="default"/>
        <w:lang w:val="en-US" w:eastAsia="en-US" w:bidi="ar-SA"/>
      </w:rPr>
    </w:lvl>
    <w:lvl w:ilvl="6" w:tplc="D7383934">
      <w:numFmt w:val="bullet"/>
      <w:lvlText w:val="•"/>
      <w:lvlJc w:val="left"/>
      <w:pPr>
        <w:ind w:left="6168" w:hanging="361"/>
      </w:pPr>
      <w:rPr>
        <w:rFonts w:hint="default"/>
        <w:lang w:val="en-US" w:eastAsia="en-US" w:bidi="ar-SA"/>
      </w:rPr>
    </w:lvl>
    <w:lvl w:ilvl="7" w:tplc="09B4A024">
      <w:numFmt w:val="bullet"/>
      <w:lvlText w:val="•"/>
      <w:lvlJc w:val="left"/>
      <w:pPr>
        <w:ind w:left="7086" w:hanging="361"/>
      </w:pPr>
      <w:rPr>
        <w:rFonts w:hint="default"/>
        <w:lang w:val="en-US" w:eastAsia="en-US" w:bidi="ar-SA"/>
      </w:rPr>
    </w:lvl>
    <w:lvl w:ilvl="8" w:tplc="FBB2A392">
      <w:numFmt w:val="bullet"/>
      <w:lvlText w:val="•"/>
      <w:lvlJc w:val="left"/>
      <w:pPr>
        <w:ind w:left="8004" w:hanging="361"/>
      </w:pPr>
      <w:rPr>
        <w:rFonts w:hint="default"/>
        <w:lang w:val="en-US" w:eastAsia="en-US" w:bidi="ar-SA"/>
      </w:rPr>
    </w:lvl>
  </w:abstractNum>
  <w:abstractNum w:abstractNumId="6" w15:restartNumberingAfterBreak="0">
    <w:nsid w:val="0BEC0439"/>
    <w:multiLevelType w:val="hybridMultilevel"/>
    <w:tmpl w:val="7334ED46"/>
    <w:lvl w:ilvl="0" w:tplc="3C90AAF8">
      <w:numFmt w:val="bullet"/>
      <w:lvlText w:val=""/>
      <w:lvlJc w:val="left"/>
      <w:pPr>
        <w:ind w:left="859" w:hanging="360"/>
      </w:pPr>
      <w:rPr>
        <w:rFonts w:ascii="Symbol" w:eastAsia="Symbol" w:hAnsi="Symbol" w:cs="Symbol" w:hint="default"/>
        <w:w w:val="99"/>
        <w:sz w:val="22"/>
        <w:szCs w:val="22"/>
        <w:lang w:val="en-US" w:eastAsia="en-US" w:bidi="ar-SA"/>
      </w:rPr>
    </w:lvl>
    <w:lvl w:ilvl="1" w:tplc="78B8A010">
      <w:numFmt w:val="bullet"/>
      <w:lvlText w:val="o"/>
      <w:lvlJc w:val="left"/>
      <w:pPr>
        <w:ind w:left="1579" w:hanging="360"/>
      </w:pPr>
      <w:rPr>
        <w:rFonts w:ascii="Courier New" w:eastAsia="Courier New" w:hAnsi="Courier New" w:cs="Courier New" w:hint="default"/>
        <w:w w:val="99"/>
        <w:sz w:val="22"/>
        <w:szCs w:val="22"/>
        <w:lang w:val="en-US" w:eastAsia="en-US" w:bidi="ar-SA"/>
      </w:rPr>
    </w:lvl>
    <w:lvl w:ilvl="2" w:tplc="EF4CC438">
      <w:numFmt w:val="bullet"/>
      <w:lvlText w:val="•"/>
      <w:lvlJc w:val="left"/>
      <w:pPr>
        <w:ind w:left="2497" w:hanging="360"/>
      </w:pPr>
      <w:rPr>
        <w:rFonts w:hint="default"/>
        <w:lang w:val="en-US" w:eastAsia="en-US" w:bidi="ar-SA"/>
      </w:rPr>
    </w:lvl>
    <w:lvl w:ilvl="3" w:tplc="39B2EA60">
      <w:numFmt w:val="bullet"/>
      <w:lvlText w:val="•"/>
      <w:lvlJc w:val="left"/>
      <w:pPr>
        <w:ind w:left="3415" w:hanging="360"/>
      </w:pPr>
      <w:rPr>
        <w:rFonts w:hint="default"/>
        <w:lang w:val="en-US" w:eastAsia="en-US" w:bidi="ar-SA"/>
      </w:rPr>
    </w:lvl>
    <w:lvl w:ilvl="4" w:tplc="112E53A6">
      <w:numFmt w:val="bullet"/>
      <w:lvlText w:val="•"/>
      <w:lvlJc w:val="left"/>
      <w:pPr>
        <w:ind w:left="4333" w:hanging="360"/>
      </w:pPr>
      <w:rPr>
        <w:rFonts w:hint="default"/>
        <w:lang w:val="en-US" w:eastAsia="en-US" w:bidi="ar-SA"/>
      </w:rPr>
    </w:lvl>
    <w:lvl w:ilvl="5" w:tplc="8D022A3C">
      <w:numFmt w:val="bullet"/>
      <w:lvlText w:val="•"/>
      <w:lvlJc w:val="left"/>
      <w:pPr>
        <w:ind w:left="5251" w:hanging="360"/>
      </w:pPr>
      <w:rPr>
        <w:rFonts w:hint="default"/>
        <w:lang w:val="en-US" w:eastAsia="en-US" w:bidi="ar-SA"/>
      </w:rPr>
    </w:lvl>
    <w:lvl w:ilvl="6" w:tplc="C95A155E">
      <w:numFmt w:val="bullet"/>
      <w:lvlText w:val="•"/>
      <w:lvlJc w:val="left"/>
      <w:pPr>
        <w:ind w:left="6168" w:hanging="360"/>
      </w:pPr>
      <w:rPr>
        <w:rFonts w:hint="default"/>
        <w:lang w:val="en-US" w:eastAsia="en-US" w:bidi="ar-SA"/>
      </w:rPr>
    </w:lvl>
    <w:lvl w:ilvl="7" w:tplc="0456CE5C">
      <w:numFmt w:val="bullet"/>
      <w:lvlText w:val="•"/>
      <w:lvlJc w:val="left"/>
      <w:pPr>
        <w:ind w:left="7086" w:hanging="360"/>
      </w:pPr>
      <w:rPr>
        <w:rFonts w:hint="default"/>
        <w:lang w:val="en-US" w:eastAsia="en-US" w:bidi="ar-SA"/>
      </w:rPr>
    </w:lvl>
    <w:lvl w:ilvl="8" w:tplc="4574FE88">
      <w:numFmt w:val="bullet"/>
      <w:lvlText w:val="•"/>
      <w:lvlJc w:val="left"/>
      <w:pPr>
        <w:ind w:left="8004" w:hanging="360"/>
      </w:pPr>
      <w:rPr>
        <w:rFonts w:hint="default"/>
        <w:lang w:val="en-US" w:eastAsia="en-US" w:bidi="ar-SA"/>
      </w:rPr>
    </w:lvl>
  </w:abstractNum>
  <w:abstractNum w:abstractNumId="7" w15:restartNumberingAfterBreak="0">
    <w:nsid w:val="0CEF5964"/>
    <w:multiLevelType w:val="hybridMultilevel"/>
    <w:tmpl w:val="2A9267FE"/>
    <w:lvl w:ilvl="0" w:tplc="58288740">
      <w:start w:val="2023"/>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2C351A"/>
    <w:multiLevelType w:val="hybridMultilevel"/>
    <w:tmpl w:val="D6C27D6E"/>
    <w:lvl w:ilvl="0" w:tplc="635C29EC">
      <w:numFmt w:val="bullet"/>
      <w:lvlText w:val=""/>
      <w:lvlJc w:val="left"/>
      <w:pPr>
        <w:ind w:left="499" w:hanging="361"/>
      </w:pPr>
      <w:rPr>
        <w:rFonts w:ascii="Symbol" w:eastAsia="Symbol" w:hAnsi="Symbol" w:cs="Symbol" w:hint="default"/>
        <w:w w:val="100"/>
        <w:sz w:val="22"/>
        <w:szCs w:val="22"/>
        <w:lang w:val="en-US" w:eastAsia="en-US" w:bidi="ar-SA"/>
      </w:rPr>
    </w:lvl>
    <w:lvl w:ilvl="1" w:tplc="B9BAA71A">
      <w:numFmt w:val="bullet"/>
      <w:lvlText w:val="o"/>
      <w:lvlJc w:val="left"/>
      <w:pPr>
        <w:ind w:left="1580" w:hanging="361"/>
      </w:pPr>
      <w:rPr>
        <w:rFonts w:ascii="Courier New" w:eastAsia="Courier New" w:hAnsi="Courier New" w:cs="Courier New" w:hint="default"/>
        <w:w w:val="100"/>
        <w:sz w:val="22"/>
        <w:szCs w:val="22"/>
        <w:lang w:val="en-US" w:eastAsia="en-US" w:bidi="ar-SA"/>
      </w:rPr>
    </w:lvl>
    <w:lvl w:ilvl="2" w:tplc="0CDA82C6">
      <w:numFmt w:val="bullet"/>
      <w:lvlText w:val="•"/>
      <w:lvlJc w:val="left"/>
      <w:pPr>
        <w:ind w:left="2497" w:hanging="361"/>
      </w:pPr>
      <w:rPr>
        <w:rFonts w:hint="default"/>
        <w:lang w:val="en-US" w:eastAsia="en-US" w:bidi="ar-SA"/>
      </w:rPr>
    </w:lvl>
    <w:lvl w:ilvl="3" w:tplc="6DF61572">
      <w:numFmt w:val="bullet"/>
      <w:lvlText w:val="•"/>
      <w:lvlJc w:val="left"/>
      <w:pPr>
        <w:ind w:left="3415" w:hanging="361"/>
      </w:pPr>
      <w:rPr>
        <w:rFonts w:hint="default"/>
        <w:lang w:val="en-US" w:eastAsia="en-US" w:bidi="ar-SA"/>
      </w:rPr>
    </w:lvl>
    <w:lvl w:ilvl="4" w:tplc="252A2D00">
      <w:numFmt w:val="bullet"/>
      <w:lvlText w:val="•"/>
      <w:lvlJc w:val="left"/>
      <w:pPr>
        <w:ind w:left="4333" w:hanging="361"/>
      </w:pPr>
      <w:rPr>
        <w:rFonts w:hint="default"/>
        <w:lang w:val="en-US" w:eastAsia="en-US" w:bidi="ar-SA"/>
      </w:rPr>
    </w:lvl>
    <w:lvl w:ilvl="5" w:tplc="D06E9DEA">
      <w:numFmt w:val="bullet"/>
      <w:lvlText w:val="•"/>
      <w:lvlJc w:val="left"/>
      <w:pPr>
        <w:ind w:left="5251" w:hanging="361"/>
      </w:pPr>
      <w:rPr>
        <w:rFonts w:hint="default"/>
        <w:lang w:val="en-US" w:eastAsia="en-US" w:bidi="ar-SA"/>
      </w:rPr>
    </w:lvl>
    <w:lvl w:ilvl="6" w:tplc="B1D24916">
      <w:numFmt w:val="bullet"/>
      <w:lvlText w:val="•"/>
      <w:lvlJc w:val="left"/>
      <w:pPr>
        <w:ind w:left="6168" w:hanging="361"/>
      </w:pPr>
      <w:rPr>
        <w:rFonts w:hint="default"/>
        <w:lang w:val="en-US" w:eastAsia="en-US" w:bidi="ar-SA"/>
      </w:rPr>
    </w:lvl>
    <w:lvl w:ilvl="7" w:tplc="5AD62662">
      <w:numFmt w:val="bullet"/>
      <w:lvlText w:val="•"/>
      <w:lvlJc w:val="left"/>
      <w:pPr>
        <w:ind w:left="7086" w:hanging="361"/>
      </w:pPr>
      <w:rPr>
        <w:rFonts w:hint="default"/>
        <w:lang w:val="en-US" w:eastAsia="en-US" w:bidi="ar-SA"/>
      </w:rPr>
    </w:lvl>
    <w:lvl w:ilvl="8" w:tplc="E6E0B090">
      <w:numFmt w:val="bullet"/>
      <w:lvlText w:val="•"/>
      <w:lvlJc w:val="left"/>
      <w:pPr>
        <w:ind w:left="8004" w:hanging="361"/>
      </w:pPr>
      <w:rPr>
        <w:rFonts w:hint="default"/>
        <w:lang w:val="en-US" w:eastAsia="en-US" w:bidi="ar-SA"/>
      </w:rPr>
    </w:lvl>
  </w:abstractNum>
  <w:abstractNum w:abstractNumId="9" w15:restartNumberingAfterBreak="0">
    <w:nsid w:val="172E62E4"/>
    <w:multiLevelType w:val="hybridMultilevel"/>
    <w:tmpl w:val="D1B0CF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B47843"/>
    <w:multiLevelType w:val="multilevel"/>
    <w:tmpl w:val="11DCA7B4"/>
    <w:lvl w:ilvl="0">
      <w:start w:val="1"/>
      <w:numFmt w:val="upperLetter"/>
      <w:lvlText w:val="%1."/>
      <w:lvlJc w:val="left"/>
      <w:pPr>
        <w:tabs>
          <w:tab w:val="num" w:pos="720"/>
        </w:tabs>
        <w:ind w:left="720" w:hanging="360"/>
      </w:pPr>
    </w:lvl>
    <w:lvl w:ilvl="1">
      <w:start w:val="1"/>
      <w:numFmt w:val="upperLetter"/>
      <w:lvlText w:val="%2."/>
      <w:lvlJc w:val="left"/>
      <w:pPr>
        <w:ind w:left="5130" w:hanging="720"/>
      </w:pPr>
      <w:rPr>
        <w:rFonts w:hint="default"/>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1" w15:restartNumberingAfterBreak="0">
    <w:nsid w:val="1D2E1335"/>
    <w:multiLevelType w:val="multilevel"/>
    <w:tmpl w:val="11DCA7B4"/>
    <w:lvl w:ilvl="0">
      <w:start w:val="1"/>
      <w:numFmt w:val="upperLetter"/>
      <w:lvlText w:val="%1."/>
      <w:lvlJc w:val="left"/>
      <w:pPr>
        <w:tabs>
          <w:tab w:val="num" w:pos="720"/>
        </w:tabs>
        <w:ind w:left="720" w:hanging="360"/>
      </w:pPr>
    </w:lvl>
    <w:lvl w:ilvl="1">
      <w:start w:val="1"/>
      <w:numFmt w:val="upperLetter"/>
      <w:lvlText w:val="%2."/>
      <w:lvlJc w:val="left"/>
      <w:pPr>
        <w:ind w:left="5130" w:hanging="720"/>
      </w:pPr>
      <w:rPr>
        <w:rFonts w:hint="default"/>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2" w15:restartNumberingAfterBreak="0">
    <w:nsid w:val="24C60406"/>
    <w:multiLevelType w:val="hybridMultilevel"/>
    <w:tmpl w:val="2F4E2B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1A7B59"/>
    <w:multiLevelType w:val="hybridMultilevel"/>
    <w:tmpl w:val="B670A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1D63E3"/>
    <w:multiLevelType w:val="hybridMultilevel"/>
    <w:tmpl w:val="9EF24676"/>
    <w:lvl w:ilvl="0" w:tplc="7526AB70">
      <w:start w:val="1"/>
      <w:numFmt w:val="upperLetter"/>
      <w:lvlText w:val="%1."/>
      <w:lvlJc w:val="left"/>
      <w:pPr>
        <w:ind w:left="533" w:hanging="394"/>
      </w:pPr>
      <w:rPr>
        <w:b/>
        <w:bCs/>
        <w:spacing w:val="0"/>
        <w:w w:val="99"/>
        <w:lang w:val="en-US" w:eastAsia="en-US" w:bidi="ar-SA"/>
      </w:rPr>
    </w:lvl>
    <w:lvl w:ilvl="1" w:tplc="91C0033A">
      <w:start w:val="1"/>
      <w:numFmt w:val="decimal"/>
      <w:lvlText w:val="%2."/>
      <w:lvlJc w:val="left"/>
      <w:pPr>
        <w:ind w:left="859" w:hanging="361"/>
      </w:pPr>
      <w:rPr>
        <w:rFonts w:ascii="Carlito" w:eastAsia="Carlito" w:hAnsi="Carlito" w:cs="Carlito" w:hint="default"/>
        <w:w w:val="99"/>
        <w:sz w:val="22"/>
        <w:szCs w:val="22"/>
        <w:lang w:val="en-US" w:eastAsia="en-US" w:bidi="ar-SA"/>
      </w:rPr>
    </w:lvl>
    <w:lvl w:ilvl="2" w:tplc="4B5EDCC0">
      <w:start w:val="1"/>
      <w:numFmt w:val="lowerLetter"/>
      <w:lvlText w:val="%3."/>
      <w:lvlJc w:val="left"/>
      <w:pPr>
        <w:ind w:left="1579" w:hanging="360"/>
      </w:pPr>
      <w:rPr>
        <w:rFonts w:ascii="Carlito" w:eastAsia="Carlito" w:hAnsi="Carlito" w:cs="Carlito" w:hint="default"/>
        <w:w w:val="99"/>
        <w:sz w:val="22"/>
        <w:szCs w:val="22"/>
        <w:lang w:val="en-US" w:eastAsia="en-US" w:bidi="ar-SA"/>
      </w:rPr>
    </w:lvl>
    <w:lvl w:ilvl="3" w:tplc="4F0282DA">
      <w:numFmt w:val="bullet"/>
      <w:lvlText w:val="•"/>
      <w:lvlJc w:val="left"/>
      <w:pPr>
        <w:ind w:left="2612" w:hanging="360"/>
      </w:pPr>
      <w:rPr>
        <w:lang w:val="en-US" w:eastAsia="en-US" w:bidi="ar-SA"/>
      </w:rPr>
    </w:lvl>
    <w:lvl w:ilvl="4" w:tplc="69FA0BD8">
      <w:numFmt w:val="bullet"/>
      <w:lvlText w:val="•"/>
      <w:lvlJc w:val="left"/>
      <w:pPr>
        <w:ind w:left="3645" w:hanging="360"/>
      </w:pPr>
      <w:rPr>
        <w:lang w:val="en-US" w:eastAsia="en-US" w:bidi="ar-SA"/>
      </w:rPr>
    </w:lvl>
    <w:lvl w:ilvl="5" w:tplc="DB5E5F14">
      <w:numFmt w:val="bullet"/>
      <w:lvlText w:val="•"/>
      <w:lvlJc w:val="left"/>
      <w:pPr>
        <w:ind w:left="4677" w:hanging="360"/>
      </w:pPr>
      <w:rPr>
        <w:lang w:val="en-US" w:eastAsia="en-US" w:bidi="ar-SA"/>
      </w:rPr>
    </w:lvl>
    <w:lvl w:ilvl="6" w:tplc="E856B4E2">
      <w:numFmt w:val="bullet"/>
      <w:lvlText w:val="•"/>
      <w:lvlJc w:val="left"/>
      <w:pPr>
        <w:ind w:left="5710" w:hanging="360"/>
      </w:pPr>
      <w:rPr>
        <w:lang w:val="en-US" w:eastAsia="en-US" w:bidi="ar-SA"/>
      </w:rPr>
    </w:lvl>
    <w:lvl w:ilvl="7" w:tplc="F4A649F0">
      <w:numFmt w:val="bullet"/>
      <w:lvlText w:val="•"/>
      <w:lvlJc w:val="left"/>
      <w:pPr>
        <w:ind w:left="6742" w:hanging="360"/>
      </w:pPr>
      <w:rPr>
        <w:lang w:val="en-US" w:eastAsia="en-US" w:bidi="ar-SA"/>
      </w:rPr>
    </w:lvl>
    <w:lvl w:ilvl="8" w:tplc="FF5ACA50">
      <w:numFmt w:val="bullet"/>
      <w:lvlText w:val="•"/>
      <w:lvlJc w:val="left"/>
      <w:pPr>
        <w:ind w:left="7775" w:hanging="360"/>
      </w:pPr>
      <w:rPr>
        <w:lang w:val="en-US" w:eastAsia="en-US" w:bidi="ar-SA"/>
      </w:rPr>
    </w:lvl>
  </w:abstractNum>
  <w:abstractNum w:abstractNumId="15" w15:restartNumberingAfterBreak="0">
    <w:nsid w:val="27866BC4"/>
    <w:multiLevelType w:val="multilevel"/>
    <w:tmpl w:val="3634CFE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28F91235"/>
    <w:multiLevelType w:val="hybridMultilevel"/>
    <w:tmpl w:val="8188E0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A431641"/>
    <w:multiLevelType w:val="hybridMultilevel"/>
    <w:tmpl w:val="D1B0CF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D207332"/>
    <w:multiLevelType w:val="multilevel"/>
    <w:tmpl w:val="3634CFE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36F10816"/>
    <w:multiLevelType w:val="hybridMultilevel"/>
    <w:tmpl w:val="62F02BE2"/>
    <w:lvl w:ilvl="0" w:tplc="D22C94C8">
      <w:start w:val="1"/>
      <w:numFmt w:val="bullet"/>
      <w:pStyle w:val="RadioButtonBullet"/>
      <w:lvlText w:val=""/>
      <w:lvlPicBulletId w:val="0"/>
      <w:lvlJc w:val="left"/>
      <w:pPr>
        <w:tabs>
          <w:tab w:val="num" w:pos="720"/>
        </w:tabs>
        <w:ind w:left="720" w:hanging="360"/>
      </w:pPr>
      <w:rPr>
        <w:rFonts w:ascii="Symbol" w:hAnsi="Symbol" w:hint="default"/>
      </w:rPr>
    </w:lvl>
    <w:lvl w:ilvl="1" w:tplc="199004C2">
      <w:start w:val="1"/>
      <w:numFmt w:val="bullet"/>
      <w:lvlText w:val=""/>
      <w:lvlJc w:val="left"/>
      <w:pPr>
        <w:tabs>
          <w:tab w:val="num" w:pos="1440"/>
        </w:tabs>
        <w:ind w:left="1440" w:hanging="360"/>
      </w:pPr>
      <w:rPr>
        <w:rFonts w:ascii="Symbol" w:hAnsi="Symbol" w:hint="default"/>
      </w:rPr>
    </w:lvl>
    <w:lvl w:ilvl="2" w:tplc="F45AB4D0" w:tentative="1">
      <w:start w:val="1"/>
      <w:numFmt w:val="bullet"/>
      <w:lvlText w:val=""/>
      <w:lvlJc w:val="left"/>
      <w:pPr>
        <w:tabs>
          <w:tab w:val="num" w:pos="2160"/>
        </w:tabs>
        <w:ind w:left="2160" w:hanging="360"/>
      </w:pPr>
      <w:rPr>
        <w:rFonts w:ascii="Symbol" w:hAnsi="Symbol" w:hint="default"/>
      </w:rPr>
    </w:lvl>
    <w:lvl w:ilvl="3" w:tplc="08340BBE" w:tentative="1">
      <w:start w:val="1"/>
      <w:numFmt w:val="bullet"/>
      <w:lvlText w:val=""/>
      <w:lvlJc w:val="left"/>
      <w:pPr>
        <w:tabs>
          <w:tab w:val="num" w:pos="2880"/>
        </w:tabs>
        <w:ind w:left="2880" w:hanging="360"/>
      </w:pPr>
      <w:rPr>
        <w:rFonts w:ascii="Symbol" w:hAnsi="Symbol" w:hint="default"/>
      </w:rPr>
    </w:lvl>
    <w:lvl w:ilvl="4" w:tplc="C38683EA" w:tentative="1">
      <w:start w:val="1"/>
      <w:numFmt w:val="bullet"/>
      <w:lvlText w:val=""/>
      <w:lvlJc w:val="left"/>
      <w:pPr>
        <w:tabs>
          <w:tab w:val="num" w:pos="3600"/>
        </w:tabs>
        <w:ind w:left="3600" w:hanging="360"/>
      </w:pPr>
      <w:rPr>
        <w:rFonts w:ascii="Symbol" w:hAnsi="Symbol" w:hint="default"/>
      </w:rPr>
    </w:lvl>
    <w:lvl w:ilvl="5" w:tplc="49D286D4" w:tentative="1">
      <w:start w:val="1"/>
      <w:numFmt w:val="bullet"/>
      <w:lvlText w:val=""/>
      <w:lvlJc w:val="left"/>
      <w:pPr>
        <w:tabs>
          <w:tab w:val="num" w:pos="4320"/>
        </w:tabs>
        <w:ind w:left="4320" w:hanging="360"/>
      </w:pPr>
      <w:rPr>
        <w:rFonts w:ascii="Symbol" w:hAnsi="Symbol" w:hint="default"/>
      </w:rPr>
    </w:lvl>
    <w:lvl w:ilvl="6" w:tplc="DDEC5CF2" w:tentative="1">
      <w:start w:val="1"/>
      <w:numFmt w:val="bullet"/>
      <w:lvlText w:val=""/>
      <w:lvlJc w:val="left"/>
      <w:pPr>
        <w:tabs>
          <w:tab w:val="num" w:pos="5040"/>
        </w:tabs>
        <w:ind w:left="5040" w:hanging="360"/>
      </w:pPr>
      <w:rPr>
        <w:rFonts w:ascii="Symbol" w:hAnsi="Symbol" w:hint="default"/>
      </w:rPr>
    </w:lvl>
    <w:lvl w:ilvl="7" w:tplc="1DE8D87A" w:tentative="1">
      <w:start w:val="1"/>
      <w:numFmt w:val="bullet"/>
      <w:lvlText w:val=""/>
      <w:lvlJc w:val="left"/>
      <w:pPr>
        <w:tabs>
          <w:tab w:val="num" w:pos="5760"/>
        </w:tabs>
        <w:ind w:left="5760" w:hanging="360"/>
      </w:pPr>
      <w:rPr>
        <w:rFonts w:ascii="Symbol" w:hAnsi="Symbol" w:hint="default"/>
      </w:rPr>
    </w:lvl>
    <w:lvl w:ilvl="8" w:tplc="772899E4" w:tentative="1">
      <w:start w:val="1"/>
      <w:numFmt w:val="bullet"/>
      <w:lvlText w:val=""/>
      <w:lvlJc w:val="left"/>
      <w:pPr>
        <w:tabs>
          <w:tab w:val="num" w:pos="6480"/>
        </w:tabs>
        <w:ind w:left="6480" w:hanging="360"/>
      </w:pPr>
      <w:rPr>
        <w:rFonts w:ascii="Symbol" w:hAnsi="Symbol" w:hint="default"/>
      </w:rPr>
    </w:lvl>
  </w:abstractNum>
  <w:abstractNum w:abstractNumId="20" w15:restartNumberingAfterBreak="0">
    <w:nsid w:val="3BCF3704"/>
    <w:multiLevelType w:val="multilevel"/>
    <w:tmpl w:val="93EC588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1" w15:restartNumberingAfterBreak="0">
    <w:nsid w:val="3CD44695"/>
    <w:multiLevelType w:val="hybridMultilevel"/>
    <w:tmpl w:val="29645F12"/>
    <w:lvl w:ilvl="0" w:tplc="C44E5CE4">
      <w:start w:val="1"/>
      <w:numFmt w:val="upperLetter"/>
      <w:lvlText w:val="%1."/>
      <w:lvlJc w:val="left"/>
      <w:pPr>
        <w:ind w:left="396" w:hanging="396"/>
      </w:pPr>
      <w:rPr>
        <w:rFonts w:hint="default"/>
        <w:b/>
        <w:bCs/>
        <w:spacing w:val="0"/>
        <w:w w:val="100"/>
        <w:u w:val="thick" w:color="8DB3E1"/>
        <w:lang w:val="en-US" w:eastAsia="en-US" w:bidi="ar-SA"/>
      </w:rPr>
    </w:lvl>
    <w:lvl w:ilvl="1" w:tplc="F6E44378">
      <w:start w:val="1"/>
      <w:numFmt w:val="decimal"/>
      <w:lvlText w:val="%2."/>
      <w:lvlJc w:val="left"/>
      <w:pPr>
        <w:ind w:left="720" w:hanging="361"/>
      </w:pPr>
      <w:rPr>
        <w:rFonts w:ascii="Calibri" w:eastAsia="Calibri" w:hAnsi="Calibri" w:cs="Calibri" w:hint="default"/>
        <w:w w:val="100"/>
        <w:sz w:val="22"/>
        <w:szCs w:val="22"/>
        <w:lang w:val="en-US" w:eastAsia="en-US" w:bidi="ar-SA"/>
      </w:rPr>
    </w:lvl>
    <w:lvl w:ilvl="2" w:tplc="C6DEA85E">
      <w:start w:val="1"/>
      <w:numFmt w:val="lowerLetter"/>
      <w:lvlText w:val="%3."/>
      <w:lvlJc w:val="left"/>
      <w:pPr>
        <w:ind w:left="1440" w:hanging="360"/>
      </w:pPr>
      <w:rPr>
        <w:rFonts w:ascii="Calibri" w:eastAsia="Calibri" w:hAnsi="Calibri" w:cs="Calibri" w:hint="default"/>
        <w:spacing w:val="-1"/>
        <w:w w:val="100"/>
        <w:sz w:val="22"/>
        <w:szCs w:val="22"/>
        <w:lang w:val="en-US" w:eastAsia="en-US" w:bidi="ar-SA"/>
      </w:rPr>
    </w:lvl>
    <w:lvl w:ilvl="3" w:tplc="8ACAFBEC">
      <w:numFmt w:val="bullet"/>
      <w:lvlText w:val="•"/>
      <w:lvlJc w:val="left"/>
      <w:pPr>
        <w:ind w:left="2472" w:hanging="360"/>
      </w:pPr>
      <w:rPr>
        <w:rFonts w:hint="default"/>
        <w:lang w:val="en-US" w:eastAsia="en-US" w:bidi="ar-SA"/>
      </w:rPr>
    </w:lvl>
    <w:lvl w:ilvl="4" w:tplc="148C8D60">
      <w:numFmt w:val="bullet"/>
      <w:lvlText w:val="•"/>
      <w:lvlJc w:val="left"/>
      <w:pPr>
        <w:ind w:left="3505" w:hanging="360"/>
      </w:pPr>
      <w:rPr>
        <w:rFonts w:hint="default"/>
        <w:lang w:val="en-US" w:eastAsia="en-US" w:bidi="ar-SA"/>
      </w:rPr>
    </w:lvl>
    <w:lvl w:ilvl="5" w:tplc="3BC2DDC4">
      <w:numFmt w:val="bullet"/>
      <w:lvlText w:val="•"/>
      <w:lvlJc w:val="left"/>
      <w:pPr>
        <w:ind w:left="4537" w:hanging="360"/>
      </w:pPr>
      <w:rPr>
        <w:rFonts w:hint="default"/>
        <w:lang w:val="en-US" w:eastAsia="en-US" w:bidi="ar-SA"/>
      </w:rPr>
    </w:lvl>
    <w:lvl w:ilvl="6" w:tplc="49DE61CA">
      <w:numFmt w:val="bullet"/>
      <w:lvlText w:val="•"/>
      <w:lvlJc w:val="left"/>
      <w:pPr>
        <w:ind w:left="5570" w:hanging="360"/>
      </w:pPr>
      <w:rPr>
        <w:rFonts w:hint="default"/>
        <w:lang w:val="en-US" w:eastAsia="en-US" w:bidi="ar-SA"/>
      </w:rPr>
    </w:lvl>
    <w:lvl w:ilvl="7" w:tplc="1A988D48">
      <w:numFmt w:val="bullet"/>
      <w:lvlText w:val="•"/>
      <w:lvlJc w:val="left"/>
      <w:pPr>
        <w:ind w:left="6602" w:hanging="360"/>
      </w:pPr>
      <w:rPr>
        <w:rFonts w:hint="default"/>
        <w:lang w:val="en-US" w:eastAsia="en-US" w:bidi="ar-SA"/>
      </w:rPr>
    </w:lvl>
    <w:lvl w:ilvl="8" w:tplc="87182062">
      <w:numFmt w:val="bullet"/>
      <w:lvlText w:val="•"/>
      <w:lvlJc w:val="left"/>
      <w:pPr>
        <w:ind w:left="7635" w:hanging="360"/>
      </w:pPr>
      <w:rPr>
        <w:rFonts w:hint="default"/>
        <w:lang w:val="en-US" w:eastAsia="en-US" w:bidi="ar-SA"/>
      </w:rPr>
    </w:lvl>
  </w:abstractNum>
  <w:abstractNum w:abstractNumId="22" w15:restartNumberingAfterBreak="0">
    <w:nsid w:val="422844CA"/>
    <w:multiLevelType w:val="hybridMultilevel"/>
    <w:tmpl w:val="3D0C47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23113B8"/>
    <w:multiLevelType w:val="multilevel"/>
    <w:tmpl w:val="EE5E2F2A"/>
    <w:lvl w:ilvl="0">
      <w:start w:val="1"/>
      <w:numFmt w:val="decimal"/>
      <w:lvlText w:val="%1."/>
      <w:lvlJc w:val="left"/>
      <w:pPr>
        <w:tabs>
          <w:tab w:val="num" w:pos="720"/>
        </w:tabs>
        <w:ind w:left="720" w:hanging="360"/>
      </w:pPr>
      <w:rPr>
        <w:rFonts w:hint="default"/>
        <w:sz w:val="16"/>
        <w:szCs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6E32395"/>
    <w:multiLevelType w:val="hybridMultilevel"/>
    <w:tmpl w:val="8188E0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9F3242C"/>
    <w:multiLevelType w:val="hybridMultilevel"/>
    <w:tmpl w:val="D6F2A5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0F33383"/>
    <w:multiLevelType w:val="hybridMultilevel"/>
    <w:tmpl w:val="AA7AB7BA"/>
    <w:lvl w:ilvl="0" w:tplc="FF866FC8">
      <w:start w:val="1"/>
      <w:numFmt w:val="upperLetter"/>
      <w:lvlText w:val="%1."/>
      <w:lvlJc w:val="left"/>
      <w:pPr>
        <w:ind w:left="6334" w:hanging="394"/>
      </w:pPr>
      <w:rPr>
        <w:rFonts w:hint="default"/>
        <w:b/>
        <w:bCs/>
        <w:spacing w:val="0"/>
        <w:w w:val="100"/>
        <w:lang w:val="en-US" w:eastAsia="en-US" w:bidi="ar-SA"/>
      </w:rPr>
    </w:lvl>
    <w:lvl w:ilvl="1" w:tplc="EE5E3D98">
      <w:start w:val="1"/>
      <w:numFmt w:val="decimal"/>
      <w:lvlText w:val="%2."/>
      <w:lvlJc w:val="left"/>
      <w:pPr>
        <w:ind w:left="859" w:hanging="361"/>
      </w:pPr>
      <w:rPr>
        <w:rFonts w:ascii="Calibri" w:eastAsia="Calibri" w:hAnsi="Calibri" w:cs="Calibri" w:hint="default"/>
        <w:w w:val="99"/>
        <w:sz w:val="22"/>
        <w:szCs w:val="22"/>
        <w:lang w:val="en-US" w:eastAsia="en-US" w:bidi="ar-SA"/>
      </w:rPr>
    </w:lvl>
    <w:lvl w:ilvl="2" w:tplc="509CE212">
      <w:start w:val="1"/>
      <w:numFmt w:val="lowerLetter"/>
      <w:lvlText w:val="%3."/>
      <w:lvlJc w:val="left"/>
      <w:pPr>
        <w:ind w:left="1579" w:hanging="360"/>
      </w:pPr>
      <w:rPr>
        <w:rFonts w:ascii="Calibri" w:eastAsia="Calibri" w:hAnsi="Calibri" w:cs="Calibri" w:hint="default"/>
        <w:w w:val="99"/>
        <w:sz w:val="22"/>
        <w:szCs w:val="22"/>
        <w:lang w:val="en-US" w:eastAsia="en-US" w:bidi="ar-SA"/>
      </w:rPr>
    </w:lvl>
    <w:lvl w:ilvl="3" w:tplc="731EE7A2">
      <w:numFmt w:val="bullet"/>
      <w:lvlText w:val="•"/>
      <w:lvlJc w:val="left"/>
      <w:pPr>
        <w:ind w:left="2612" w:hanging="360"/>
      </w:pPr>
      <w:rPr>
        <w:rFonts w:hint="default"/>
        <w:lang w:val="en-US" w:eastAsia="en-US" w:bidi="ar-SA"/>
      </w:rPr>
    </w:lvl>
    <w:lvl w:ilvl="4" w:tplc="F10E61C2">
      <w:numFmt w:val="bullet"/>
      <w:lvlText w:val="•"/>
      <w:lvlJc w:val="left"/>
      <w:pPr>
        <w:ind w:left="3645" w:hanging="360"/>
      </w:pPr>
      <w:rPr>
        <w:rFonts w:hint="default"/>
        <w:lang w:val="en-US" w:eastAsia="en-US" w:bidi="ar-SA"/>
      </w:rPr>
    </w:lvl>
    <w:lvl w:ilvl="5" w:tplc="D19E483A">
      <w:numFmt w:val="bullet"/>
      <w:lvlText w:val="•"/>
      <w:lvlJc w:val="left"/>
      <w:pPr>
        <w:ind w:left="4677" w:hanging="360"/>
      </w:pPr>
      <w:rPr>
        <w:rFonts w:hint="default"/>
        <w:lang w:val="en-US" w:eastAsia="en-US" w:bidi="ar-SA"/>
      </w:rPr>
    </w:lvl>
    <w:lvl w:ilvl="6" w:tplc="26BC49AE">
      <w:numFmt w:val="bullet"/>
      <w:lvlText w:val="•"/>
      <w:lvlJc w:val="left"/>
      <w:pPr>
        <w:ind w:left="5710" w:hanging="360"/>
      </w:pPr>
      <w:rPr>
        <w:rFonts w:hint="default"/>
        <w:lang w:val="en-US" w:eastAsia="en-US" w:bidi="ar-SA"/>
      </w:rPr>
    </w:lvl>
    <w:lvl w:ilvl="7" w:tplc="036A7A34">
      <w:numFmt w:val="bullet"/>
      <w:lvlText w:val="•"/>
      <w:lvlJc w:val="left"/>
      <w:pPr>
        <w:ind w:left="6742" w:hanging="360"/>
      </w:pPr>
      <w:rPr>
        <w:rFonts w:hint="default"/>
        <w:lang w:val="en-US" w:eastAsia="en-US" w:bidi="ar-SA"/>
      </w:rPr>
    </w:lvl>
    <w:lvl w:ilvl="8" w:tplc="BA2482A6">
      <w:numFmt w:val="bullet"/>
      <w:lvlText w:val="•"/>
      <w:lvlJc w:val="left"/>
      <w:pPr>
        <w:ind w:left="7775" w:hanging="360"/>
      </w:pPr>
      <w:rPr>
        <w:rFonts w:hint="default"/>
        <w:lang w:val="en-US" w:eastAsia="en-US" w:bidi="ar-SA"/>
      </w:rPr>
    </w:lvl>
  </w:abstractNum>
  <w:abstractNum w:abstractNumId="27" w15:restartNumberingAfterBreak="0">
    <w:nsid w:val="59A85AED"/>
    <w:multiLevelType w:val="hybridMultilevel"/>
    <w:tmpl w:val="E1AE8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A645C8"/>
    <w:multiLevelType w:val="multilevel"/>
    <w:tmpl w:val="A770E2D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5CCB21CF"/>
    <w:multiLevelType w:val="hybridMultilevel"/>
    <w:tmpl w:val="8188E0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0933857"/>
    <w:multiLevelType w:val="hybridMultilevel"/>
    <w:tmpl w:val="82743DA0"/>
    <w:lvl w:ilvl="0" w:tplc="7FE4F5A6">
      <w:start w:val="1"/>
      <w:numFmt w:val="decimal"/>
      <w:lvlText w:val="%1."/>
      <w:lvlJc w:val="left"/>
      <w:pPr>
        <w:ind w:left="859" w:hanging="361"/>
      </w:pPr>
      <w:rPr>
        <w:rFonts w:ascii="Calibri" w:eastAsia="Calibri" w:hAnsi="Calibri" w:cs="Calibri" w:hint="default"/>
        <w:w w:val="100"/>
        <w:sz w:val="22"/>
        <w:szCs w:val="22"/>
        <w:lang w:val="en-US" w:eastAsia="en-US" w:bidi="ar-SA"/>
      </w:rPr>
    </w:lvl>
    <w:lvl w:ilvl="1" w:tplc="954AB752">
      <w:start w:val="1"/>
      <w:numFmt w:val="upperLetter"/>
      <w:lvlText w:val="%2."/>
      <w:lvlJc w:val="left"/>
      <w:pPr>
        <w:ind w:left="860" w:hanging="360"/>
      </w:pPr>
      <w:rPr>
        <w:rFonts w:ascii="Arial" w:eastAsia="Calibri" w:hAnsi="Arial" w:cs="Arial" w:hint="default"/>
        <w:spacing w:val="-1"/>
        <w:w w:val="100"/>
        <w:sz w:val="18"/>
        <w:szCs w:val="18"/>
        <w:lang w:val="en-US" w:eastAsia="en-US" w:bidi="ar-SA"/>
      </w:rPr>
    </w:lvl>
    <w:lvl w:ilvl="2" w:tplc="54CA4BF6">
      <w:numFmt w:val="bullet"/>
      <w:lvlText w:val="•"/>
      <w:lvlJc w:val="left"/>
      <w:pPr>
        <w:ind w:left="2656" w:hanging="360"/>
      </w:pPr>
      <w:rPr>
        <w:rFonts w:hint="default"/>
        <w:lang w:val="en-US" w:eastAsia="en-US" w:bidi="ar-SA"/>
      </w:rPr>
    </w:lvl>
    <w:lvl w:ilvl="3" w:tplc="88A0DB74">
      <w:numFmt w:val="bullet"/>
      <w:lvlText w:val="•"/>
      <w:lvlJc w:val="left"/>
      <w:pPr>
        <w:ind w:left="3554" w:hanging="360"/>
      </w:pPr>
      <w:rPr>
        <w:rFonts w:hint="default"/>
        <w:lang w:val="en-US" w:eastAsia="en-US" w:bidi="ar-SA"/>
      </w:rPr>
    </w:lvl>
    <w:lvl w:ilvl="4" w:tplc="90CC68A8">
      <w:numFmt w:val="bullet"/>
      <w:lvlText w:val="•"/>
      <w:lvlJc w:val="left"/>
      <w:pPr>
        <w:ind w:left="4452" w:hanging="360"/>
      </w:pPr>
      <w:rPr>
        <w:rFonts w:hint="default"/>
        <w:lang w:val="en-US" w:eastAsia="en-US" w:bidi="ar-SA"/>
      </w:rPr>
    </w:lvl>
    <w:lvl w:ilvl="5" w:tplc="51F466D0">
      <w:numFmt w:val="bullet"/>
      <w:lvlText w:val="•"/>
      <w:lvlJc w:val="left"/>
      <w:pPr>
        <w:ind w:left="5350" w:hanging="360"/>
      </w:pPr>
      <w:rPr>
        <w:rFonts w:hint="default"/>
        <w:lang w:val="en-US" w:eastAsia="en-US" w:bidi="ar-SA"/>
      </w:rPr>
    </w:lvl>
    <w:lvl w:ilvl="6" w:tplc="C5723108">
      <w:numFmt w:val="bullet"/>
      <w:lvlText w:val="•"/>
      <w:lvlJc w:val="left"/>
      <w:pPr>
        <w:ind w:left="6248" w:hanging="360"/>
      </w:pPr>
      <w:rPr>
        <w:rFonts w:hint="default"/>
        <w:lang w:val="en-US" w:eastAsia="en-US" w:bidi="ar-SA"/>
      </w:rPr>
    </w:lvl>
    <w:lvl w:ilvl="7" w:tplc="8ED867B8">
      <w:numFmt w:val="bullet"/>
      <w:lvlText w:val="•"/>
      <w:lvlJc w:val="left"/>
      <w:pPr>
        <w:ind w:left="7146" w:hanging="360"/>
      </w:pPr>
      <w:rPr>
        <w:rFonts w:hint="default"/>
        <w:lang w:val="en-US" w:eastAsia="en-US" w:bidi="ar-SA"/>
      </w:rPr>
    </w:lvl>
    <w:lvl w:ilvl="8" w:tplc="5FA24DCC">
      <w:numFmt w:val="bullet"/>
      <w:lvlText w:val="•"/>
      <w:lvlJc w:val="left"/>
      <w:pPr>
        <w:ind w:left="8044" w:hanging="360"/>
      </w:pPr>
      <w:rPr>
        <w:rFonts w:hint="default"/>
        <w:lang w:val="en-US" w:eastAsia="en-US" w:bidi="ar-SA"/>
      </w:rPr>
    </w:lvl>
  </w:abstractNum>
  <w:abstractNum w:abstractNumId="31" w15:restartNumberingAfterBreak="0">
    <w:nsid w:val="60B97688"/>
    <w:multiLevelType w:val="multilevel"/>
    <w:tmpl w:val="11DCA7B4"/>
    <w:lvl w:ilvl="0">
      <w:start w:val="1"/>
      <w:numFmt w:val="upperLetter"/>
      <w:lvlText w:val="%1."/>
      <w:lvlJc w:val="left"/>
      <w:pPr>
        <w:tabs>
          <w:tab w:val="num" w:pos="720"/>
        </w:tabs>
        <w:ind w:left="720" w:hanging="360"/>
      </w:pPr>
    </w:lvl>
    <w:lvl w:ilvl="1">
      <w:start w:val="1"/>
      <w:numFmt w:val="upperLetter"/>
      <w:lvlText w:val="%2."/>
      <w:lvlJc w:val="left"/>
      <w:pPr>
        <w:ind w:left="5130" w:hanging="720"/>
      </w:pPr>
      <w:rPr>
        <w:rFonts w:hint="default"/>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2" w15:restartNumberingAfterBreak="0">
    <w:nsid w:val="61720CB8"/>
    <w:multiLevelType w:val="hybridMultilevel"/>
    <w:tmpl w:val="53D0D426"/>
    <w:lvl w:ilvl="0" w:tplc="5F9A0240">
      <w:start w:val="1"/>
      <w:numFmt w:val="decimal"/>
      <w:lvlText w:val="%1."/>
      <w:lvlJc w:val="left"/>
      <w:pPr>
        <w:ind w:left="860" w:hanging="361"/>
      </w:pPr>
      <w:rPr>
        <w:rFonts w:ascii="Calibri" w:eastAsia="Calibri" w:hAnsi="Calibri" w:cs="Calibri" w:hint="default"/>
        <w:w w:val="99"/>
        <w:sz w:val="22"/>
        <w:szCs w:val="22"/>
        <w:lang w:val="en-US" w:eastAsia="en-US" w:bidi="ar-SA"/>
      </w:rPr>
    </w:lvl>
    <w:lvl w:ilvl="1" w:tplc="89608756">
      <w:start w:val="1"/>
      <w:numFmt w:val="upperLetter"/>
      <w:lvlText w:val="%2."/>
      <w:lvlJc w:val="left"/>
      <w:pPr>
        <w:ind w:left="860" w:hanging="361"/>
      </w:pPr>
      <w:rPr>
        <w:rFonts w:ascii="Calibri" w:eastAsia="Calibri" w:hAnsi="Calibri" w:cs="Calibri" w:hint="default"/>
        <w:w w:val="99"/>
        <w:sz w:val="22"/>
        <w:szCs w:val="22"/>
        <w:lang w:val="en-US" w:eastAsia="en-US" w:bidi="ar-SA"/>
      </w:rPr>
    </w:lvl>
    <w:lvl w:ilvl="2" w:tplc="8620EC3C">
      <w:numFmt w:val="bullet"/>
      <w:lvlText w:val="•"/>
      <w:lvlJc w:val="left"/>
      <w:pPr>
        <w:ind w:left="2656" w:hanging="361"/>
      </w:pPr>
      <w:rPr>
        <w:rFonts w:hint="default"/>
        <w:lang w:val="en-US" w:eastAsia="en-US" w:bidi="ar-SA"/>
      </w:rPr>
    </w:lvl>
    <w:lvl w:ilvl="3" w:tplc="3856BFF0">
      <w:numFmt w:val="bullet"/>
      <w:lvlText w:val="•"/>
      <w:lvlJc w:val="left"/>
      <w:pPr>
        <w:ind w:left="3554" w:hanging="361"/>
      </w:pPr>
      <w:rPr>
        <w:rFonts w:hint="default"/>
        <w:lang w:val="en-US" w:eastAsia="en-US" w:bidi="ar-SA"/>
      </w:rPr>
    </w:lvl>
    <w:lvl w:ilvl="4" w:tplc="FCF4AB62">
      <w:numFmt w:val="bullet"/>
      <w:lvlText w:val="•"/>
      <w:lvlJc w:val="left"/>
      <w:pPr>
        <w:ind w:left="4452" w:hanging="361"/>
      </w:pPr>
      <w:rPr>
        <w:rFonts w:hint="default"/>
        <w:lang w:val="en-US" w:eastAsia="en-US" w:bidi="ar-SA"/>
      </w:rPr>
    </w:lvl>
    <w:lvl w:ilvl="5" w:tplc="47D2D63E">
      <w:numFmt w:val="bullet"/>
      <w:lvlText w:val="•"/>
      <w:lvlJc w:val="left"/>
      <w:pPr>
        <w:ind w:left="5350" w:hanging="361"/>
      </w:pPr>
      <w:rPr>
        <w:rFonts w:hint="default"/>
        <w:lang w:val="en-US" w:eastAsia="en-US" w:bidi="ar-SA"/>
      </w:rPr>
    </w:lvl>
    <w:lvl w:ilvl="6" w:tplc="9E62B584">
      <w:numFmt w:val="bullet"/>
      <w:lvlText w:val="•"/>
      <w:lvlJc w:val="left"/>
      <w:pPr>
        <w:ind w:left="6248" w:hanging="361"/>
      </w:pPr>
      <w:rPr>
        <w:rFonts w:hint="default"/>
        <w:lang w:val="en-US" w:eastAsia="en-US" w:bidi="ar-SA"/>
      </w:rPr>
    </w:lvl>
    <w:lvl w:ilvl="7" w:tplc="1BBEAFC6">
      <w:numFmt w:val="bullet"/>
      <w:lvlText w:val="•"/>
      <w:lvlJc w:val="left"/>
      <w:pPr>
        <w:ind w:left="7146" w:hanging="361"/>
      </w:pPr>
      <w:rPr>
        <w:rFonts w:hint="default"/>
        <w:lang w:val="en-US" w:eastAsia="en-US" w:bidi="ar-SA"/>
      </w:rPr>
    </w:lvl>
    <w:lvl w:ilvl="8" w:tplc="BB08AB76">
      <w:numFmt w:val="bullet"/>
      <w:lvlText w:val="•"/>
      <w:lvlJc w:val="left"/>
      <w:pPr>
        <w:ind w:left="8044" w:hanging="361"/>
      </w:pPr>
      <w:rPr>
        <w:rFonts w:hint="default"/>
        <w:lang w:val="en-US" w:eastAsia="en-US" w:bidi="ar-SA"/>
      </w:rPr>
    </w:lvl>
  </w:abstractNum>
  <w:abstractNum w:abstractNumId="33" w15:restartNumberingAfterBreak="0">
    <w:nsid w:val="651E6CA2"/>
    <w:multiLevelType w:val="hybridMultilevel"/>
    <w:tmpl w:val="95FA46E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4B4B98"/>
    <w:multiLevelType w:val="hybridMultilevel"/>
    <w:tmpl w:val="7FCE9924"/>
    <w:lvl w:ilvl="0" w:tplc="76D40472">
      <w:numFmt w:val="bullet"/>
      <w:lvlText w:val=""/>
      <w:lvlJc w:val="left"/>
      <w:pPr>
        <w:ind w:left="499" w:hanging="360"/>
      </w:pPr>
      <w:rPr>
        <w:rFonts w:ascii="Symbol" w:eastAsia="Symbol" w:hAnsi="Symbol" w:cs="Symbol" w:hint="default"/>
        <w:w w:val="99"/>
        <w:sz w:val="22"/>
        <w:szCs w:val="22"/>
        <w:lang w:val="en-US" w:eastAsia="en-US" w:bidi="ar-SA"/>
      </w:rPr>
    </w:lvl>
    <w:lvl w:ilvl="1" w:tplc="095A2E06">
      <w:numFmt w:val="bullet"/>
      <w:lvlText w:val="o"/>
      <w:lvlJc w:val="left"/>
      <w:pPr>
        <w:ind w:left="1580" w:hanging="360"/>
      </w:pPr>
      <w:rPr>
        <w:rFonts w:ascii="Courier New" w:eastAsia="Courier New" w:hAnsi="Courier New" w:cs="Courier New" w:hint="default"/>
        <w:w w:val="99"/>
        <w:sz w:val="22"/>
        <w:szCs w:val="22"/>
        <w:lang w:val="en-US" w:eastAsia="en-US" w:bidi="ar-SA"/>
      </w:rPr>
    </w:lvl>
    <w:lvl w:ilvl="2" w:tplc="E6525A18">
      <w:numFmt w:val="bullet"/>
      <w:lvlText w:val="•"/>
      <w:lvlJc w:val="left"/>
      <w:pPr>
        <w:ind w:left="2497" w:hanging="360"/>
      </w:pPr>
      <w:rPr>
        <w:rFonts w:hint="default"/>
        <w:lang w:val="en-US" w:eastAsia="en-US" w:bidi="ar-SA"/>
      </w:rPr>
    </w:lvl>
    <w:lvl w:ilvl="3" w:tplc="CC7AF98E">
      <w:numFmt w:val="bullet"/>
      <w:lvlText w:val="•"/>
      <w:lvlJc w:val="left"/>
      <w:pPr>
        <w:ind w:left="3415" w:hanging="360"/>
      </w:pPr>
      <w:rPr>
        <w:rFonts w:hint="default"/>
        <w:lang w:val="en-US" w:eastAsia="en-US" w:bidi="ar-SA"/>
      </w:rPr>
    </w:lvl>
    <w:lvl w:ilvl="4" w:tplc="870EC9D2">
      <w:numFmt w:val="bullet"/>
      <w:lvlText w:val="•"/>
      <w:lvlJc w:val="left"/>
      <w:pPr>
        <w:ind w:left="4333" w:hanging="360"/>
      </w:pPr>
      <w:rPr>
        <w:rFonts w:hint="default"/>
        <w:lang w:val="en-US" w:eastAsia="en-US" w:bidi="ar-SA"/>
      </w:rPr>
    </w:lvl>
    <w:lvl w:ilvl="5" w:tplc="2488D746">
      <w:numFmt w:val="bullet"/>
      <w:lvlText w:val="•"/>
      <w:lvlJc w:val="left"/>
      <w:pPr>
        <w:ind w:left="5251" w:hanging="360"/>
      </w:pPr>
      <w:rPr>
        <w:rFonts w:hint="default"/>
        <w:lang w:val="en-US" w:eastAsia="en-US" w:bidi="ar-SA"/>
      </w:rPr>
    </w:lvl>
    <w:lvl w:ilvl="6" w:tplc="4C4689B6">
      <w:numFmt w:val="bullet"/>
      <w:lvlText w:val="•"/>
      <w:lvlJc w:val="left"/>
      <w:pPr>
        <w:ind w:left="6168" w:hanging="360"/>
      </w:pPr>
      <w:rPr>
        <w:rFonts w:hint="default"/>
        <w:lang w:val="en-US" w:eastAsia="en-US" w:bidi="ar-SA"/>
      </w:rPr>
    </w:lvl>
    <w:lvl w:ilvl="7" w:tplc="909E73E8">
      <w:numFmt w:val="bullet"/>
      <w:lvlText w:val="•"/>
      <w:lvlJc w:val="left"/>
      <w:pPr>
        <w:ind w:left="7086" w:hanging="360"/>
      </w:pPr>
      <w:rPr>
        <w:rFonts w:hint="default"/>
        <w:lang w:val="en-US" w:eastAsia="en-US" w:bidi="ar-SA"/>
      </w:rPr>
    </w:lvl>
    <w:lvl w:ilvl="8" w:tplc="0DFC01FE">
      <w:numFmt w:val="bullet"/>
      <w:lvlText w:val="•"/>
      <w:lvlJc w:val="left"/>
      <w:pPr>
        <w:ind w:left="8004" w:hanging="360"/>
      </w:pPr>
      <w:rPr>
        <w:rFonts w:hint="default"/>
        <w:lang w:val="en-US" w:eastAsia="en-US" w:bidi="ar-SA"/>
      </w:rPr>
    </w:lvl>
  </w:abstractNum>
  <w:abstractNum w:abstractNumId="35" w15:restartNumberingAfterBreak="0">
    <w:nsid w:val="66CC7F34"/>
    <w:multiLevelType w:val="hybridMultilevel"/>
    <w:tmpl w:val="9F809C7A"/>
    <w:lvl w:ilvl="0" w:tplc="63A63868">
      <w:start w:val="1"/>
      <w:numFmt w:val="bullet"/>
      <w:pStyle w:val="IndNote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83C2488"/>
    <w:multiLevelType w:val="hybridMultilevel"/>
    <w:tmpl w:val="5A40C2A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A60345B"/>
    <w:multiLevelType w:val="hybridMultilevel"/>
    <w:tmpl w:val="07A0DB14"/>
    <w:lvl w:ilvl="0" w:tplc="FC6C7E0C">
      <w:start w:val="1"/>
      <w:numFmt w:val="decimal"/>
      <w:pStyle w:val="BRIRequirement"/>
      <w:lvlText w:val="BRI%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B771132"/>
    <w:multiLevelType w:val="hybridMultilevel"/>
    <w:tmpl w:val="3CFE3A48"/>
    <w:lvl w:ilvl="0" w:tplc="4712037A">
      <w:start w:val="1"/>
      <w:numFmt w:val="decimal"/>
      <w:lvlText w:val="(%1)"/>
      <w:lvlJc w:val="left"/>
      <w:pPr>
        <w:ind w:left="859" w:hanging="361"/>
      </w:pPr>
      <w:rPr>
        <w:rFonts w:hint="default"/>
        <w:color w:val="auto"/>
        <w:w w:val="100"/>
        <w:sz w:val="18"/>
        <w:szCs w:val="18"/>
        <w:lang w:val="en-US" w:eastAsia="en-US" w:bidi="ar-SA"/>
      </w:rPr>
    </w:lvl>
    <w:lvl w:ilvl="1" w:tplc="FFFFFFFF">
      <w:start w:val="1"/>
      <w:numFmt w:val="upperLetter"/>
      <w:lvlText w:val="%2."/>
      <w:lvlJc w:val="left"/>
      <w:pPr>
        <w:ind w:left="860" w:hanging="360"/>
      </w:pPr>
      <w:rPr>
        <w:rFonts w:ascii="Calibri" w:eastAsia="Calibri" w:hAnsi="Calibri" w:cs="Calibri" w:hint="default"/>
        <w:spacing w:val="-1"/>
        <w:w w:val="100"/>
        <w:sz w:val="22"/>
        <w:szCs w:val="22"/>
        <w:lang w:val="en-US" w:eastAsia="en-US" w:bidi="ar-SA"/>
      </w:rPr>
    </w:lvl>
    <w:lvl w:ilvl="2" w:tplc="FFFFFFFF">
      <w:numFmt w:val="bullet"/>
      <w:lvlText w:val="•"/>
      <w:lvlJc w:val="left"/>
      <w:pPr>
        <w:ind w:left="2656" w:hanging="360"/>
      </w:pPr>
      <w:rPr>
        <w:rFonts w:hint="default"/>
        <w:lang w:val="en-US" w:eastAsia="en-US" w:bidi="ar-SA"/>
      </w:rPr>
    </w:lvl>
    <w:lvl w:ilvl="3" w:tplc="FFFFFFFF">
      <w:numFmt w:val="bullet"/>
      <w:lvlText w:val="•"/>
      <w:lvlJc w:val="left"/>
      <w:pPr>
        <w:ind w:left="3554" w:hanging="360"/>
      </w:pPr>
      <w:rPr>
        <w:rFonts w:hint="default"/>
        <w:lang w:val="en-US" w:eastAsia="en-US" w:bidi="ar-SA"/>
      </w:rPr>
    </w:lvl>
    <w:lvl w:ilvl="4" w:tplc="FFFFFFFF">
      <w:numFmt w:val="bullet"/>
      <w:lvlText w:val="•"/>
      <w:lvlJc w:val="left"/>
      <w:pPr>
        <w:ind w:left="4452" w:hanging="360"/>
      </w:pPr>
      <w:rPr>
        <w:rFonts w:hint="default"/>
        <w:lang w:val="en-US" w:eastAsia="en-US" w:bidi="ar-SA"/>
      </w:rPr>
    </w:lvl>
    <w:lvl w:ilvl="5" w:tplc="FFFFFFFF">
      <w:numFmt w:val="bullet"/>
      <w:lvlText w:val="•"/>
      <w:lvlJc w:val="left"/>
      <w:pPr>
        <w:ind w:left="5350" w:hanging="360"/>
      </w:pPr>
      <w:rPr>
        <w:rFonts w:hint="default"/>
        <w:lang w:val="en-US" w:eastAsia="en-US" w:bidi="ar-SA"/>
      </w:rPr>
    </w:lvl>
    <w:lvl w:ilvl="6" w:tplc="FFFFFFFF">
      <w:numFmt w:val="bullet"/>
      <w:lvlText w:val="•"/>
      <w:lvlJc w:val="left"/>
      <w:pPr>
        <w:ind w:left="6248" w:hanging="360"/>
      </w:pPr>
      <w:rPr>
        <w:rFonts w:hint="default"/>
        <w:lang w:val="en-US" w:eastAsia="en-US" w:bidi="ar-SA"/>
      </w:rPr>
    </w:lvl>
    <w:lvl w:ilvl="7" w:tplc="FFFFFFFF">
      <w:numFmt w:val="bullet"/>
      <w:lvlText w:val="•"/>
      <w:lvlJc w:val="left"/>
      <w:pPr>
        <w:ind w:left="7146" w:hanging="360"/>
      </w:pPr>
      <w:rPr>
        <w:rFonts w:hint="default"/>
        <w:lang w:val="en-US" w:eastAsia="en-US" w:bidi="ar-SA"/>
      </w:rPr>
    </w:lvl>
    <w:lvl w:ilvl="8" w:tplc="FFFFFFFF">
      <w:numFmt w:val="bullet"/>
      <w:lvlText w:val="•"/>
      <w:lvlJc w:val="left"/>
      <w:pPr>
        <w:ind w:left="8044" w:hanging="360"/>
      </w:pPr>
      <w:rPr>
        <w:rFonts w:hint="default"/>
        <w:lang w:val="en-US" w:eastAsia="en-US" w:bidi="ar-SA"/>
      </w:rPr>
    </w:lvl>
  </w:abstractNum>
  <w:abstractNum w:abstractNumId="39" w15:restartNumberingAfterBreak="0">
    <w:nsid w:val="741406C8"/>
    <w:multiLevelType w:val="hybridMultilevel"/>
    <w:tmpl w:val="CD528004"/>
    <w:lvl w:ilvl="0" w:tplc="952AF746">
      <w:numFmt w:val="bullet"/>
      <w:lvlText w:val=""/>
      <w:lvlJc w:val="left"/>
      <w:pPr>
        <w:ind w:left="859" w:hanging="360"/>
      </w:pPr>
      <w:rPr>
        <w:rFonts w:ascii="Symbol" w:eastAsia="Symbol" w:hAnsi="Symbol" w:cs="Symbol" w:hint="default"/>
        <w:w w:val="99"/>
        <w:sz w:val="22"/>
        <w:szCs w:val="22"/>
        <w:lang w:val="en-US" w:eastAsia="en-US" w:bidi="ar-SA"/>
      </w:rPr>
    </w:lvl>
    <w:lvl w:ilvl="1" w:tplc="C1B60E1A">
      <w:numFmt w:val="bullet"/>
      <w:lvlText w:val="o"/>
      <w:lvlJc w:val="left"/>
      <w:pPr>
        <w:ind w:left="1579" w:hanging="360"/>
      </w:pPr>
      <w:rPr>
        <w:rFonts w:ascii="Courier New" w:eastAsia="Courier New" w:hAnsi="Courier New" w:cs="Courier New" w:hint="default"/>
        <w:w w:val="99"/>
        <w:sz w:val="22"/>
        <w:szCs w:val="22"/>
        <w:lang w:val="en-US" w:eastAsia="en-US" w:bidi="ar-SA"/>
      </w:rPr>
    </w:lvl>
    <w:lvl w:ilvl="2" w:tplc="3646A906">
      <w:numFmt w:val="bullet"/>
      <w:lvlText w:val="•"/>
      <w:lvlJc w:val="left"/>
      <w:pPr>
        <w:ind w:left="2497" w:hanging="360"/>
      </w:pPr>
      <w:rPr>
        <w:lang w:val="en-US" w:eastAsia="en-US" w:bidi="ar-SA"/>
      </w:rPr>
    </w:lvl>
    <w:lvl w:ilvl="3" w:tplc="E46ECFC6">
      <w:numFmt w:val="bullet"/>
      <w:lvlText w:val="•"/>
      <w:lvlJc w:val="left"/>
      <w:pPr>
        <w:ind w:left="3415" w:hanging="360"/>
      </w:pPr>
      <w:rPr>
        <w:lang w:val="en-US" w:eastAsia="en-US" w:bidi="ar-SA"/>
      </w:rPr>
    </w:lvl>
    <w:lvl w:ilvl="4" w:tplc="5FAE12BE">
      <w:numFmt w:val="bullet"/>
      <w:lvlText w:val="•"/>
      <w:lvlJc w:val="left"/>
      <w:pPr>
        <w:ind w:left="4333" w:hanging="360"/>
      </w:pPr>
      <w:rPr>
        <w:lang w:val="en-US" w:eastAsia="en-US" w:bidi="ar-SA"/>
      </w:rPr>
    </w:lvl>
    <w:lvl w:ilvl="5" w:tplc="574A31BE">
      <w:numFmt w:val="bullet"/>
      <w:lvlText w:val="•"/>
      <w:lvlJc w:val="left"/>
      <w:pPr>
        <w:ind w:left="5251" w:hanging="360"/>
      </w:pPr>
      <w:rPr>
        <w:lang w:val="en-US" w:eastAsia="en-US" w:bidi="ar-SA"/>
      </w:rPr>
    </w:lvl>
    <w:lvl w:ilvl="6" w:tplc="C010D5B6">
      <w:numFmt w:val="bullet"/>
      <w:lvlText w:val="•"/>
      <w:lvlJc w:val="left"/>
      <w:pPr>
        <w:ind w:left="6168" w:hanging="360"/>
      </w:pPr>
      <w:rPr>
        <w:lang w:val="en-US" w:eastAsia="en-US" w:bidi="ar-SA"/>
      </w:rPr>
    </w:lvl>
    <w:lvl w:ilvl="7" w:tplc="462424D8">
      <w:numFmt w:val="bullet"/>
      <w:lvlText w:val="•"/>
      <w:lvlJc w:val="left"/>
      <w:pPr>
        <w:ind w:left="7086" w:hanging="360"/>
      </w:pPr>
      <w:rPr>
        <w:lang w:val="en-US" w:eastAsia="en-US" w:bidi="ar-SA"/>
      </w:rPr>
    </w:lvl>
    <w:lvl w:ilvl="8" w:tplc="C53C2262">
      <w:numFmt w:val="bullet"/>
      <w:lvlText w:val="•"/>
      <w:lvlJc w:val="left"/>
      <w:pPr>
        <w:ind w:left="8004" w:hanging="360"/>
      </w:pPr>
      <w:rPr>
        <w:lang w:val="en-US" w:eastAsia="en-US" w:bidi="ar-SA"/>
      </w:rPr>
    </w:lvl>
  </w:abstractNum>
  <w:abstractNum w:abstractNumId="40" w15:restartNumberingAfterBreak="0">
    <w:nsid w:val="751335C8"/>
    <w:multiLevelType w:val="hybridMultilevel"/>
    <w:tmpl w:val="FAF4F1C4"/>
    <w:lvl w:ilvl="0" w:tplc="AE4ACDC8">
      <w:start w:val="1"/>
      <w:numFmt w:val="decimal"/>
      <w:pStyle w:val="FigureCaption"/>
      <w:lvlText w:val="Figure %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7B23C1A"/>
    <w:multiLevelType w:val="hybridMultilevel"/>
    <w:tmpl w:val="CC462E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153835698">
    <w:abstractNumId w:val="37"/>
  </w:num>
  <w:num w:numId="2" w16cid:durableId="1592162888">
    <w:abstractNumId w:val="19"/>
  </w:num>
  <w:num w:numId="3" w16cid:durableId="1701589992">
    <w:abstractNumId w:val="35"/>
  </w:num>
  <w:num w:numId="4" w16cid:durableId="250937431">
    <w:abstractNumId w:val="40"/>
  </w:num>
  <w:num w:numId="5" w16cid:durableId="167253145">
    <w:abstractNumId w:val="8"/>
  </w:num>
  <w:num w:numId="6" w16cid:durableId="2006201697">
    <w:abstractNumId w:val="5"/>
  </w:num>
  <w:num w:numId="7" w16cid:durableId="382296475">
    <w:abstractNumId w:val="21"/>
  </w:num>
  <w:num w:numId="8" w16cid:durableId="1374648888">
    <w:abstractNumId w:val="30"/>
  </w:num>
  <w:num w:numId="9" w16cid:durableId="953099610">
    <w:abstractNumId w:val="7"/>
  </w:num>
  <w:num w:numId="10" w16cid:durableId="1731414418">
    <w:abstractNumId w:val="0"/>
  </w:num>
  <w:num w:numId="11" w16cid:durableId="560554170">
    <w:abstractNumId w:val="28"/>
  </w:num>
  <w:num w:numId="12" w16cid:durableId="41372163">
    <w:abstractNumId w:val="15"/>
  </w:num>
  <w:num w:numId="13" w16cid:durableId="157355621">
    <w:abstractNumId w:val="18"/>
  </w:num>
  <w:num w:numId="14" w16cid:durableId="1889219522">
    <w:abstractNumId w:val="20"/>
  </w:num>
  <w:num w:numId="15" w16cid:durableId="1779526320">
    <w:abstractNumId w:val="23"/>
  </w:num>
  <w:num w:numId="16" w16cid:durableId="706180342">
    <w:abstractNumId w:val="29"/>
  </w:num>
  <w:num w:numId="17" w16cid:durableId="1333486079">
    <w:abstractNumId w:val="33"/>
  </w:num>
  <w:num w:numId="18" w16cid:durableId="1035277033">
    <w:abstractNumId w:val="17"/>
  </w:num>
  <w:num w:numId="19" w16cid:durableId="464666320">
    <w:abstractNumId w:val="25"/>
  </w:num>
  <w:num w:numId="20" w16cid:durableId="1881355967">
    <w:abstractNumId w:val="22"/>
  </w:num>
  <w:num w:numId="21" w16cid:durableId="1813669967">
    <w:abstractNumId w:val="36"/>
  </w:num>
  <w:num w:numId="22" w16cid:durableId="2082942633">
    <w:abstractNumId w:val="3"/>
  </w:num>
  <w:num w:numId="23" w16cid:durableId="1115949561">
    <w:abstractNumId w:val="12"/>
  </w:num>
  <w:num w:numId="24" w16cid:durableId="1378624996">
    <w:abstractNumId w:val="1"/>
  </w:num>
  <w:num w:numId="25" w16cid:durableId="1497960628">
    <w:abstractNumId w:val="13"/>
  </w:num>
  <w:num w:numId="26" w16cid:durableId="1929998272">
    <w:abstractNumId w:val="27"/>
  </w:num>
  <w:num w:numId="27" w16cid:durableId="1631935123">
    <w:abstractNumId w:val="24"/>
  </w:num>
  <w:num w:numId="28" w16cid:durableId="2106997387">
    <w:abstractNumId w:val="16"/>
  </w:num>
  <w:num w:numId="29" w16cid:durableId="867454467">
    <w:abstractNumId w:val="9"/>
  </w:num>
  <w:num w:numId="30" w16cid:durableId="374163767">
    <w:abstractNumId w:val="31"/>
  </w:num>
  <w:num w:numId="31" w16cid:durableId="2049532">
    <w:abstractNumId w:val="10"/>
  </w:num>
  <w:num w:numId="32" w16cid:durableId="269555981">
    <w:abstractNumId w:val="11"/>
  </w:num>
  <w:num w:numId="33" w16cid:durableId="1883054939">
    <w:abstractNumId w:val="2"/>
    <w:lvlOverride w:ilvl="0">
      <w:startOverride w:val="1"/>
    </w:lvlOverride>
    <w:lvlOverride w:ilvl="1">
      <w:startOverride w:val="1"/>
    </w:lvlOverride>
    <w:lvlOverride w:ilvl="2"/>
    <w:lvlOverride w:ilvl="3"/>
    <w:lvlOverride w:ilvl="4"/>
    <w:lvlOverride w:ilvl="5"/>
    <w:lvlOverride w:ilvl="6"/>
    <w:lvlOverride w:ilvl="7"/>
    <w:lvlOverride w:ilvl="8"/>
  </w:num>
  <w:num w:numId="34" w16cid:durableId="258828675">
    <w:abstractNumId w:val="14"/>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35" w16cid:durableId="250894975">
    <w:abstractNumId w:val="39"/>
  </w:num>
  <w:num w:numId="36" w16cid:durableId="307903304">
    <w:abstractNumId w:val="4"/>
  </w:num>
  <w:num w:numId="37" w16cid:durableId="1946451433">
    <w:abstractNumId w:val="34"/>
  </w:num>
  <w:num w:numId="38" w16cid:durableId="932393885">
    <w:abstractNumId w:val="6"/>
  </w:num>
  <w:num w:numId="39" w16cid:durableId="1475367179">
    <w:abstractNumId w:val="26"/>
  </w:num>
  <w:num w:numId="40" w16cid:durableId="1441219592">
    <w:abstractNumId w:val="32"/>
  </w:num>
  <w:num w:numId="41" w16cid:durableId="1331786823">
    <w:abstractNumId w:val="38"/>
  </w:num>
  <w:num w:numId="42" w16cid:durableId="2094545499">
    <w:abstractNumId w:val="4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669"/>
    <w:rsid w:val="0000024B"/>
    <w:rsid w:val="00000E77"/>
    <w:rsid w:val="0000116E"/>
    <w:rsid w:val="000013E5"/>
    <w:rsid w:val="0000146B"/>
    <w:rsid w:val="00001EAE"/>
    <w:rsid w:val="00002320"/>
    <w:rsid w:val="0000272B"/>
    <w:rsid w:val="00002962"/>
    <w:rsid w:val="00002B25"/>
    <w:rsid w:val="00002D92"/>
    <w:rsid w:val="00002E37"/>
    <w:rsid w:val="000032E5"/>
    <w:rsid w:val="000036C1"/>
    <w:rsid w:val="00003894"/>
    <w:rsid w:val="00004592"/>
    <w:rsid w:val="00004700"/>
    <w:rsid w:val="00004880"/>
    <w:rsid w:val="00004E61"/>
    <w:rsid w:val="0000579A"/>
    <w:rsid w:val="000063AC"/>
    <w:rsid w:val="0000663B"/>
    <w:rsid w:val="00006A25"/>
    <w:rsid w:val="000070D5"/>
    <w:rsid w:val="00010158"/>
    <w:rsid w:val="000105C5"/>
    <w:rsid w:val="00011443"/>
    <w:rsid w:val="000114E3"/>
    <w:rsid w:val="00011778"/>
    <w:rsid w:val="00011B86"/>
    <w:rsid w:val="0001227B"/>
    <w:rsid w:val="000124F7"/>
    <w:rsid w:val="00013138"/>
    <w:rsid w:val="0001550D"/>
    <w:rsid w:val="00015D55"/>
    <w:rsid w:val="0001707D"/>
    <w:rsid w:val="00017940"/>
    <w:rsid w:val="00017BA7"/>
    <w:rsid w:val="00017D15"/>
    <w:rsid w:val="000209D6"/>
    <w:rsid w:val="00020E05"/>
    <w:rsid w:val="0002147B"/>
    <w:rsid w:val="00021AE9"/>
    <w:rsid w:val="000221B3"/>
    <w:rsid w:val="000223EC"/>
    <w:rsid w:val="000227B7"/>
    <w:rsid w:val="00023642"/>
    <w:rsid w:val="00023E62"/>
    <w:rsid w:val="000248C8"/>
    <w:rsid w:val="00024979"/>
    <w:rsid w:val="000251C4"/>
    <w:rsid w:val="000256D1"/>
    <w:rsid w:val="00025AFF"/>
    <w:rsid w:val="00025D8D"/>
    <w:rsid w:val="000277CE"/>
    <w:rsid w:val="00027886"/>
    <w:rsid w:val="0003014D"/>
    <w:rsid w:val="000301BA"/>
    <w:rsid w:val="00030B45"/>
    <w:rsid w:val="00031560"/>
    <w:rsid w:val="00031A91"/>
    <w:rsid w:val="00031C3A"/>
    <w:rsid w:val="00031E3A"/>
    <w:rsid w:val="00032548"/>
    <w:rsid w:val="0003292C"/>
    <w:rsid w:val="00032930"/>
    <w:rsid w:val="00032AC4"/>
    <w:rsid w:val="00032DB1"/>
    <w:rsid w:val="00033474"/>
    <w:rsid w:val="000336AC"/>
    <w:rsid w:val="00033723"/>
    <w:rsid w:val="00034A81"/>
    <w:rsid w:val="000360A5"/>
    <w:rsid w:val="000367A3"/>
    <w:rsid w:val="00036AA4"/>
    <w:rsid w:val="00040BA5"/>
    <w:rsid w:val="00041274"/>
    <w:rsid w:val="000417B4"/>
    <w:rsid w:val="00041E27"/>
    <w:rsid w:val="00041FD3"/>
    <w:rsid w:val="0004359A"/>
    <w:rsid w:val="000437FD"/>
    <w:rsid w:val="00043AAB"/>
    <w:rsid w:val="00043AC9"/>
    <w:rsid w:val="000444E2"/>
    <w:rsid w:val="00044883"/>
    <w:rsid w:val="00044B5C"/>
    <w:rsid w:val="00045F9F"/>
    <w:rsid w:val="00046488"/>
    <w:rsid w:val="00046969"/>
    <w:rsid w:val="00046BF9"/>
    <w:rsid w:val="000477FF"/>
    <w:rsid w:val="00047CB5"/>
    <w:rsid w:val="00051B61"/>
    <w:rsid w:val="000521AB"/>
    <w:rsid w:val="0005247A"/>
    <w:rsid w:val="000526F6"/>
    <w:rsid w:val="00052E15"/>
    <w:rsid w:val="000532EB"/>
    <w:rsid w:val="00053391"/>
    <w:rsid w:val="000533D7"/>
    <w:rsid w:val="00053795"/>
    <w:rsid w:val="00053DFE"/>
    <w:rsid w:val="0005400D"/>
    <w:rsid w:val="000545D2"/>
    <w:rsid w:val="00054985"/>
    <w:rsid w:val="00054A60"/>
    <w:rsid w:val="00054C7A"/>
    <w:rsid w:val="00054FA8"/>
    <w:rsid w:val="000550B2"/>
    <w:rsid w:val="00055BD1"/>
    <w:rsid w:val="00055C7A"/>
    <w:rsid w:val="00055FC7"/>
    <w:rsid w:val="00056350"/>
    <w:rsid w:val="00056758"/>
    <w:rsid w:val="00056F03"/>
    <w:rsid w:val="00057843"/>
    <w:rsid w:val="000578BA"/>
    <w:rsid w:val="0006058A"/>
    <w:rsid w:val="00060ADC"/>
    <w:rsid w:val="0006151E"/>
    <w:rsid w:val="000618B4"/>
    <w:rsid w:val="00061AB2"/>
    <w:rsid w:val="00061DF1"/>
    <w:rsid w:val="00061F73"/>
    <w:rsid w:val="000622A8"/>
    <w:rsid w:val="0006235D"/>
    <w:rsid w:val="000625F8"/>
    <w:rsid w:val="00062BB2"/>
    <w:rsid w:val="00062E68"/>
    <w:rsid w:val="00063136"/>
    <w:rsid w:val="00063CB9"/>
    <w:rsid w:val="000646AE"/>
    <w:rsid w:val="00064809"/>
    <w:rsid w:val="000648D2"/>
    <w:rsid w:val="00064AB6"/>
    <w:rsid w:val="000657A8"/>
    <w:rsid w:val="000657F0"/>
    <w:rsid w:val="000668E0"/>
    <w:rsid w:val="00066BAA"/>
    <w:rsid w:val="00066F3E"/>
    <w:rsid w:val="00067654"/>
    <w:rsid w:val="00067C04"/>
    <w:rsid w:val="00070D9E"/>
    <w:rsid w:val="00071D42"/>
    <w:rsid w:val="00072B99"/>
    <w:rsid w:val="00072BBA"/>
    <w:rsid w:val="00072FEE"/>
    <w:rsid w:val="00073047"/>
    <w:rsid w:val="00073BD7"/>
    <w:rsid w:val="00074237"/>
    <w:rsid w:val="000743D6"/>
    <w:rsid w:val="00074B33"/>
    <w:rsid w:val="000762B0"/>
    <w:rsid w:val="000778C9"/>
    <w:rsid w:val="000802F7"/>
    <w:rsid w:val="000806CC"/>
    <w:rsid w:val="00080D36"/>
    <w:rsid w:val="00080EBD"/>
    <w:rsid w:val="00082667"/>
    <w:rsid w:val="000829BF"/>
    <w:rsid w:val="0008392B"/>
    <w:rsid w:val="00083B68"/>
    <w:rsid w:val="0008402E"/>
    <w:rsid w:val="0008434A"/>
    <w:rsid w:val="000845C1"/>
    <w:rsid w:val="000847AD"/>
    <w:rsid w:val="00084FF1"/>
    <w:rsid w:val="000850E1"/>
    <w:rsid w:val="00085111"/>
    <w:rsid w:val="0008540D"/>
    <w:rsid w:val="00085B13"/>
    <w:rsid w:val="00085C21"/>
    <w:rsid w:val="00085D89"/>
    <w:rsid w:val="000867D7"/>
    <w:rsid w:val="0008752B"/>
    <w:rsid w:val="00087EB9"/>
    <w:rsid w:val="00090132"/>
    <w:rsid w:val="000901D6"/>
    <w:rsid w:val="000903A7"/>
    <w:rsid w:val="00090C2F"/>
    <w:rsid w:val="000915A3"/>
    <w:rsid w:val="00091A40"/>
    <w:rsid w:val="00091DB2"/>
    <w:rsid w:val="000923A7"/>
    <w:rsid w:val="00092636"/>
    <w:rsid w:val="00092E0A"/>
    <w:rsid w:val="00093ACB"/>
    <w:rsid w:val="00094739"/>
    <w:rsid w:val="000948DD"/>
    <w:rsid w:val="00095491"/>
    <w:rsid w:val="00096442"/>
    <w:rsid w:val="0009692C"/>
    <w:rsid w:val="00096A50"/>
    <w:rsid w:val="00096F71"/>
    <w:rsid w:val="00097249"/>
    <w:rsid w:val="000977EB"/>
    <w:rsid w:val="000A01AC"/>
    <w:rsid w:val="000A0593"/>
    <w:rsid w:val="000A1594"/>
    <w:rsid w:val="000A18ED"/>
    <w:rsid w:val="000A1989"/>
    <w:rsid w:val="000A2C83"/>
    <w:rsid w:val="000A2E95"/>
    <w:rsid w:val="000A32F4"/>
    <w:rsid w:val="000A4757"/>
    <w:rsid w:val="000A49CD"/>
    <w:rsid w:val="000A49F7"/>
    <w:rsid w:val="000A4CDC"/>
    <w:rsid w:val="000A4ED6"/>
    <w:rsid w:val="000A4FD8"/>
    <w:rsid w:val="000A5A2E"/>
    <w:rsid w:val="000A66A9"/>
    <w:rsid w:val="000A6CA4"/>
    <w:rsid w:val="000A7001"/>
    <w:rsid w:val="000A7A15"/>
    <w:rsid w:val="000A7D7D"/>
    <w:rsid w:val="000B050E"/>
    <w:rsid w:val="000B0DE4"/>
    <w:rsid w:val="000B10B1"/>
    <w:rsid w:val="000B1A1B"/>
    <w:rsid w:val="000B1F9C"/>
    <w:rsid w:val="000B2819"/>
    <w:rsid w:val="000B29F8"/>
    <w:rsid w:val="000B2A70"/>
    <w:rsid w:val="000B2C26"/>
    <w:rsid w:val="000B2DCB"/>
    <w:rsid w:val="000B3578"/>
    <w:rsid w:val="000B3A11"/>
    <w:rsid w:val="000B3D92"/>
    <w:rsid w:val="000B4405"/>
    <w:rsid w:val="000B4AA4"/>
    <w:rsid w:val="000B547A"/>
    <w:rsid w:val="000B56BA"/>
    <w:rsid w:val="000B5823"/>
    <w:rsid w:val="000B60CA"/>
    <w:rsid w:val="000B64CB"/>
    <w:rsid w:val="000B7132"/>
    <w:rsid w:val="000B7462"/>
    <w:rsid w:val="000C0565"/>
    <w:rsid w:val="000C0900"/>
    <w:rsid w:val="000C1754"/>
    <w:rsid w:val="000C1C56"/>
    <w:rsid w:val="000C2448"/>
    <w:rsid w:val="000C24C2"/>
    <w:rsid w:val="000C2AED"/>
    <w:rsid w:val="000C3180"/>
    <w:rsid w:val="000C3421"/>
    <w:rsid w:val="000C3A20"/>
    <w:rsid w:val="000C45DB"/>
    <w:rsid w:val="000C47B3"/>
    <w:rsid w:val="000C50F5"/>
    <w:rsid w:val="000C52CF"/>
    <w:rsid w:val="000C5A7A"/>
    <w:rsid w:val="000C5B96"/>
    <w:rsid w:val="000C60E1"/>
    <w:rsid w:val="000C6167"/>
    <w:rsid w:val="000C71F1"/>
    <w:rsid w:val="000C7B90"/>
    <w:rsid w:val="000D03F2"/>
    <w:rsid w:val="000D0EE0"/>
    <w:rsid w:val="000D1580"/>
    <w:rsid w:val="000D2287"/>
    <w:rsid w:val="000D289C"/>
    <w:rsid w:val="000D2EA7"/>
    <w:rsid w:val="000D3273"/>
    <w:rsid w:val="000D3CAE"/>
    <w:rsid w:val="000D3DAA"/>
    <w:rsid w:val="000D3ED8"/>
    <w:rsid w:val="000D3EDF"/>
    <w:rsid w:val="000D3F12"/>
    <w:rsid w:val="000D4537"/>
    <w:rsid w:val="000D4C8D"/>
    <w:rsid w:val="000D6C5B"/>
    <w:rsid w:val="000D6EC4"/>
    <w:rsid w:val="000D746C"/>
    <w:rsid w:val="000D79AE"/>
    <w:rsid w:val="000E04D6"/>
    <w:rsid w:val="000E0C95"/>
    <w:rsid w:val="000E0EBC"/>
    <w:rsid w:val="000E1C83"/>
    <w:rsid w:val="000E1FC6"/>
    <w:rsid w:val="000E206D"/>
    <w:rsid w:val="000E23B5"/>
    <w:rsid w:val="000E2A52"/>
    <w:rsid w:val="000E30A8"/>
    <w:rsid w:val="000E33D0"/>
    <w:rsid w:val="000E3445"/>
    <w:rsid w:val="000E3ACC"/>
    <w:rsid w:val="000E4061"/>
    <w:rsid w:val="000E4594"/>
    <w:rsid w:val="000E4B9A"/>
    <w:rsid w:val="000E4EE2"/>
    <w:rsid w:val="000E56FA"/>
    <w:rsid w:val="000E5AAB"/>
    <w:rsid w:val="000E62E5"/>
    <w:rsid w:val="000E6823"/>
    <w:rsid w:val="000E6948"/>
    <w:rsid w:val="000E7E94"/>
    <w:rsid w:val="000F0525"/>
    <w:rsid w:val="000F0806"/>
    <w:rsid w:val="000F0D59"/>
    <w:rsid w:val="000F0FCB"/>
    <w:rsid w:val="000F1792"/>
    <w:rsid w:val="000F1C34"/>
    <w:rsid w:val="000F256B"/>
    <w:rsid w:val="000F2A59"/>
    <w:rsid w:val="000F2A8B"/>
    <w:rsid w:val="000F40CF"/>
    <w:rsid w:val="000F435D"/>
    <w:rsid w:val="000F48BC"/>
    <w:rsid w:val="000F4C46"/>
    <w:rsid w:val="000F4E22"/>
    <w:rsid w:val="000F4F37"/>
    <w:rsid w:val="000F66B8"/>
    <w:rsid w:val="000F670E"/>
    <w:rsid w:val="000F7196"/>
    <w:rsid w:val="000F7399"/>
    <w:rsid w:val="000F76DD"/>
    <w:rsid w:val="000F7A89"/>
    <w:rsid w:val="000F7C7C"/>
    <w:rsid w:val="000F7CF3"/>
    <w:rsid w:val="001011BB"/>
    <w:rsid w:val="0010168C"/>
    <w:rsid w:val="0010170F"/>
    <w:rsid w:val="00101CA5"/>
    <w:rsid w:val="0010203A"/>
    <w:rsid w:val="00102505"/>
    <w:rsid w:val="00102C3C"/>
    <w:rsid w:val="00102F19"/>
    <w:rsid w:val="00102FA3"/>
    <w:rsid w:val="00104B17"/>
    <w:rsid w:val="0010510A"/>
    <w:rsid w:val="00105DC4"/>
    <w:rsid w:val="00105F98"/>
    <w:rsid w:val="001061C0"/>
    <w:rsid w:val="0010670A"/>
    <w:rsid w:val="00106D71"/>
    <w:rsid w:val="00107406"/>
    <w:rsid w:val="0010785B"/>
    <w:rsid w:val="00107F32"/>
    <w:rsid w:val="00107FAE"/>
    <w:rsid w:val="00110328"/>
    <w:rsid w:val="0011074D"/>
    <w:rsid w:val="00110BB6"/>
    <w:rsid w:val="001111BE"/>
    <w:rsid w:val="0011161A"/>
    <w:rsid w:val="001126C3"/>
    <w:rsid w:val="00112F4D"/>
    <w:rsid w:val="00113CE9"/>
    <w:rsid w:val="001142DE"/>
    <w:rsid w:val="0011547F"/>
    <w:rsid w:val="001156D2"/>
    <w:rsid w:val="00115CDA"/>
    <w:rsid w:val="00116D0B"/>
    <w:rsid w:val="00116E25"/>
    <w:rsid w:val="00117490"/>
    <w:rsid w:val="00117588"/>
    <w:rsid w:val="00117696"/>
    <w:rsid w:val="00117952"/>
    <w:rsid w:val="001203FA"/>
    <w:rsid w:val="00120808"/>
    <w:rsid w:val="00121709"/>
    <w:rsid w:val="00122103"/>
    <w:rsid w:val="0012230D"/>
    <w:rsid w:val="00122384"/>
    <w:rsid w:val="001225CB"/>
    <w:rsid w:val="00123D76"/>
    <w:rsid w:val="00123FF7"/>
    <w:rsid w:val="00124025"/>
    <w:rsid w:val="00124A5D"/>
    <w:rsid w:val="00124E6A"/>
    <w:rsid w:val="00124ED5"/>
    <w:rsid w:val="00126039"/>
    <w:rsid w:val="001266CE"/>
    <w:rsid w:val="001267A3"/>
    <w:rsid w:val="00126B45"/>
    <w:rsid w:val="00126ED9"/>
    <w:rsid w:val="00126FF9"/>
    <w:rsid w:val="00127006"/>
    <w:rsid w:val="00127037"/>
    <w:rsid w:val="00127074"/>
    <w:rsid w:val="001270B8"/>
    <w:rsid w:val="001273C6"/>
    <w:rsid w:val="00127B4A"/>
    <w:rsid w:val="00127FEE"/>
    <w:rsid w:val="00130AE9"/>
    <w:rsid w:val="001316B1"/>
    <w:rsid w:val="00131842"/>
    <w:rsid w:val="00131F82"/>
    <w:rsid w:val="001323A5"/>
    <w:rsid w:val="00132EE9"/>
    <w:rsid w:val="001336AE"/>
    <w:rsid w:val="0013422A"/>
    <w:rsid w:val="00134567"/>
    <w:rsid w:val="0013465F"/>
    <w:rsid w:val="0013495C"/>
    <w:rsid w:val="00134C80"/>
    <w:rsid w:val="00134F30"/>
    <w:rsid w:val="00135576"/>
    <w:rsid w:val="00135F0C"/>
    <w:rsid w:val="00136BE2"/>
    <w:rsid w:val="00136C54"/>
    <w:rsid w:val="001378D0"/>
    <w:rsid w:val="00137AD3"/>
    <w:rsid w:val="0014043C"/>
    <w:rsid w:val="00140972"/>
    <w:rsid w:val="00140A8A"/>
    <w:rsid w:val="00141A33"/>
    <w:rsid w:val="00141E29"/>
    <w:rsid w:val="00142056"/>
    <w:rsid w:val="00142117"/>
    <w:rsid w:val="001428A0"/>
    <w:rsid w:val="001430AA"/>
    <w:rsid w:val="001436E0"/>
    <w:rsid w:val="0014399E"/>
    <w:rsid w:val="001445CE"/>
    <w:rsid w:val="00144795"/>
    <w:rsid w:val="001450D9"/>
    <w:rsid w:val="001465F2"/>
    <w:rsid w:val="00146BB0"/>
    <w:rsid w:val="00146C28"/>
    <w:rsid w:val="00146FBA"/>
    <w:rsid w:val="001474EC"/>
    <w:rsid w:val="0014778D"/>
    <w:rsid w:val="00150A68"/>
    <w:rsid w:val="00150B3B"/>
    <w:rsid w:val="00151F97"/>
    <w:rsid w:val="0015313D"/>
    <w:rsid w:val="00153F2D"/>
    <w:rsid w:val="001542AE"/>
    <w:rsid w:val="0015622A"/>
    <w:rsid w:val="00156264"/>
    <w:rsid w:val="00156865"/>
    <w:rsid w:val="0015691B"/>
    <w:rsid w:val="00156C67"/>
    <w:rsid w:val="00156F30"/>
    <w:rsid w:val="001603DE"/>
    <w:rsid w:val="001604F3"/>
    <w:rsid w:val="00160856"/>
    <w:rsid w:val="00160D96"/>
    <w:rsid w:val="001612CB"/>
    <w:rsid w:val="00161D1D"/>
    <w:rsid w:val="001628C0"/>
    <w:rsid w:val="00162F4A"/>
    <w:rsid w:val="001633A0"/>
    <w:rsid w:val="0016350F"/>
    <w:rsid w:val="001638EB"/>
    <w:rsid w:val="00163AF4"/>
    <w:rsid w:val="00163BEE"/>
    <w:rsid w:val="00163FA7"/>
    <w:rsid w:val="001647C7"/>
    <w:rsid w:val="00164AAD"/>
    <w:rsid w:val="00164B78"/>
    <w:rsid w:val="00164E7F"/>
    <w:rsid w:val="00165225"/>
    <w:rsid w:val="0016528C"/>
    <w:rsid w:val="00165467"/>
    <w:rsid w:val="00165B2C"/>
    <w:rsid w:val="00166D00"/>
    <w:rsid w:val="0016730D"/>
    <w:rsid w:val="00167423"/>
    <w:rsid w:val="00167BF7"/>
    <w:rsid w:val="00170A9A"/>
    <w:rsid w:val="001711DC"/>
    <w:rsid w:val="00172058"/>
    <w:rsid w:val="001720C2"/>
    <w:rsid w:val="00172C41"/>
    <w:rsid w:val="00172F58"/>
    <w:rsid w:val="00173186"/>
    <w:rsid w:val="0017335B"/>
    <w:rsid w:val="001739F9"/>
    <w:rsid w:val="00173DFE"/>
    <w:rsid w:val="001744F9"/>
    <w:rsid w:val="00174662"/>
    <w:rsid w:val="00174B9B"/>
    <w:rsid w:val="001750A0"/>
    <w:rsid w:val="00175656"/>
    <w:rsid w:val="001756FB"/>
    <w:rsid w:val="00175845"/>
    <w:rsid w:val="00175D9B"/>
    <w:rsid w:val="00176082"/>
    <w:rsid w:val="00176779"/>
    <w:rsid w:val="001773E7"/>
    <w:rsid w:val="00177BC6"/>
    <w:rsid w:val="00177E7A"/>
    <w:rsid w:val="00177EC7"/>
    <w:rsid w:val="001806EA"/>
    <w:rsid w:val="00181070"/>
    <w:rsid w:val="001829C9"/>
    <w:rsid w:val="00182B26"/>
    <w:rsid w:val="001831D2"/>
    <w:rsid w:val="001835EE"/>
    <w:rsid w:val="00183E9B"/>
    <w:rsid w:val="001843C6"/>
    <w:rsid w:val="00184911"/>
    <w:rsid w:val="001853BF"/>
    <w:rsid w:val="00185BA9"/>
    <w:rsid w:val="00186309"/>
    <w:rsid w:val="0018657A"/>
    <w:rsid w:val="00186964"/>
    <w:rsid w:val="001875AF"/>
    <w:rsid w:val="00190104"/>
    <w:rsid w:val="00191350"/>
    <w:rsid w:val="0019260C"/>
    <w:rsid w:val="00193321"/>
    <w:rsid w:val="00194AD8"/>
    <w:rsid w:val="001955AC"/>
    <w:rsid w:val="001965F5"/>
    <w:rsid w:val="0019671E"/>
    <w:rsid w:val="00196B54"/>
    <w:rsid w:val="00196BEB"/>
    <w:rsid w:val="00196CE6"/>
    <w:rsid w:val="00196F4B"/>
    <w:rsid w:val="001A0637"/>
    <w:rsid w:val="001A0C28"/>
    <w:rsid w:val="001A189D"/>
    <w:rsid w:val="001A1ABA"/>
    <w:rsid w:val="001A2657"/>
    <w:rsid w:val="001A2D6A"/>
    <w:rsid w:val="001A342F"/>
    <w:rsid w:val="001A3539"/>
    <w:rsid w:val="001A3BEB"/>
    <w:rsid w:val="001A4886"/>
    <w:rsid w:val="001A582D"/>
    <w:rsid w:val="001A5EEE"/>
    <w:rsid w:val="001A60EE"/>
    <w:rsid w:val="001A6B81"/>
    <w:rsid w:val="001A6E55"/>
    <w:rsid w:val="001B07D3"/>
    <w:rsid w:val="001B12D3"/>
    <w:rsid w:val="001B1437"/>
    <w:rsid w:val="001B16F4"/>
    <w:rsid w:val="001B1B38"/>
    <w:rsid w:val="001B1E5C"/>
    <w:rsid w:val="001B2FFF"/>
    <w:rsid w:val="001B30DB"/>
    <w:rsid w:val="001B3D85"/>
    <w:rsid w:val="001B43E4"/>
    <w:rsid w:val="001B45DD"/>
    <w:rsid w:val="001B4AF7"/>
    <w:rsid w:val="001B5174"/>
    <w:rsid w:val="001B5210"/>
    <w:rsid w:val="001B560A"/>
    <w:rsid w:val="001B5817"/>
    <w:rsid w:val="001B5AFB"/>
    <w:rsid w:val="001B5CAF"/>
    <w:rsid w:val="001B7525"/>
    <w:rsid w:val="001B75FD"/>
    <w:rsid w:val="001B7C2C"/>
    <w:rsid w:val="001B7E95"/>
    <w:rsid w:val="001C00E2"/>
    <w:rsid w:val="001C05DB"/>
    <w:rsid w:val="001C0D43"/>
    <w:rsid w:val="001C23B6"/>
    <w:rsid w:val="001C2B29"/>
    <w:rsid w:val="001C2BF0"/>
    <w:rsid w:val="001C2E4E"/>
    <w:rsid w:val="001C2FC6"/>
    <w:rsid w:val="001C3129"/>
    <w:rsid w:val="001C34E6"/>
    <w:rsid w:val="001C443D"/>
    <w:rsid w:val="001C46DC"/>
    <w:rsid w:val="001C4828"/>
    <w:rsid w:val="001C4BFE"/>
    <w:rsid w:val="001C6C30"/>
    <w:rsid w:val="001C79FF"/>
    <w:rsid w:val="001C7E55"/>
    <w:rsid w:val="001D000B"/>
    <w:rsid w:val="001D009F"/>
    <w:rsid w:val="001D0860"/>
    <w:rsid w:val="001D16F7"/>
    <w:rsid w:val="001D1A20"/>
    <w:rsid w:val="001D1B71"/>
    <w:rsid w:val="001D21D9"/>
    <w:rsid w:val="001D2E9B"/>
    <w:rsid w:val="001D3C35"/>
    <w:rsid w:val="001D3D0A"/>
    <w:rsid w:val="001D496D"/>
    <w:rsid w:val="001D508C"/>
    <w:rsid w:val="001D508D"/>
    <w:rsid w:val="001D51D9"/>
    <w:rsid w:val="001D55EC"/>
    <w:rsid w:val="001D5841"/>
    <w:rsid w:val="001D5BAF"/>
    <w:rsid w:val="001D5F4A"/>
    <w:rsid w:val="001D677D"/>
    <w:rsid w:val="001D6A0A"/>
    <w:rsid w:val="001D6B3B"/>
    <w:rsid w:val="001D6BA5"/>
    <w:rsid w:val="001D7011"/>
    <w:rsid w:val="001D71B6"/>
    <w:rsid w:val="001E0824"/>
    <w:rsid w:val="001E141D"/>
    <w:rsid w:val="001E1828"/>
    <w:rsid w:val="001E1D92"/>
    <w:rsid w:val="001E2193"/>
    <w:rsid w:val="001E2418"/>
    <w:rsid w:val="001E2749"/>
    <w:rsid w:val="001E2AFB"/>
    <w:rsid w:val="001E2E5A"/>
    <w:rsid w:val="001E2F3E"/>
    <w:rsid w:val="001E430B"/>
    <w:rsid w:val="001E4624"/>
    <w:rsid w:val="001E49B3"/>
    <w:rsid w:val="001E5B13"/>
    <w:rsid w:val="001E5CEA"/>
    <w:rsid w:val="001E6A41"/>
    <w:rsid w:val="001E6FDD"/>
    <w:rsid w:val="001E724E"/>
    <w:rsid w:val="001E733F"/>
    <w:rsid w:val="001E7916"/>
    <w:rsid w:val="001E7CA0"/>
    <w:rsid w:val="001F07A9"/>
    <w:rsid w:val="001F0BFD"/>
    <w:rsid w:val="001F1168"/>
    <w:rsid w:val="001F1275"/>
    <w:rsid w:val="001F165D"/>
    <w:rsid w:val="001F1F11"/>
    <w:rsid w:val="001F2870"/>
    <w:rsid w:val="001F2C34"/>
    <w:rsid w:val="001F2DC7"/>
    <w:rsid w:val="001F32F8"/>
    <w:rsid w:val="001F361D"/>
    <w:rsid w:val="001F3A65"/>
    <w:rsid w:val="001F3A6C"/>
    <w:rsid w:val="001F448F"/>
    <w:rsid w:val="001F4991"/>
    <w:rsid w:val="001F4C9D"/>
    <w:rsid w:val="001F5453"/>
    <w:rsid w:val="001F57DF"/>
    <w:rsid w:val="001F64DB"/>
    <w:rsid w:val="001F6583"/>
    <w:rsid w:val="001F692C"/>
    <w:rsid w:val="001F6A28"/>
    <w:rsid w:val="001F6BAA"/>
    <w:rsid w:val="001F7049"/>
    <w:rsid w:val="001F7C95"/>
    <w:rsid w:val="002002C8"/>
    <w:rsid w:val="00200745"/>
    <w:rsid w:val="00200DF4"/>
    <w:rsid w:val="0020141B"/>
    <w:rsid w:val="00201889"/>
    <w:rsid w:val="00201B4B"/>
    <w:rsid w:val="00202A6D"/>
    <w:rsid w:val="002043C7"/>
    <w:rsid w:val="0020456D"/>
    <w:rsid w:val="002049CF"/>
    <w:rsid w:val="00204FB9"/>
    <w:rsid w:val="00205239"/>
    <w:rsid w:val="0020552B"/>
    <w:rsid w:val="00205E6B"/>
    <w:rsid w:val="00206890"/>
    <w:rsid w:val="00206A65"/>
    <w:rsid w:val="00207D31"/>
    <w:rsid w:val="00210AC6"/>
    <w:rsid w:val="00210D18"/>
    <w:rsid w:val="00210F75"/>
    <w:rsid w:val="0021110D"/>
    <w:rsid w:val="00211617"/>
    <w:rsid w:val="00211DCE"/>
    <w:rsid w:val="00212954"/>
    <w:rsid w:val="00212E92"/>
    <w:rsid w:val="00214263"/>
    <w:rsid w:val="00214749"/>
    <w:rsid w:val="0021481D"/>
    <w:rsid w:val="0021530B"/>
    <w:rsid w:val="00215E33"/>
    <w:rsid w:val="00217F33"/>
    <w:rsid w:val="00220311"/>
    <w:rsid w:val="002203FA"/>
    <w:rsid w:val="0022093F"/>
    <w:rsid w:val="002210FB"/>
    <w:rsid w:val="00221206"/>
    <w:rsid w:val="00221EC9"/>
    <w:rsid w:val="002223BB"/>
    <w:rsid w:val="00222B7B"/>
    <w:rsid w:val="00224107"/>
    <w:rsid w:val="0022535C"/>
    <w:rsid w:val="00225CD5"/>
    <w:rsid w:val="00227DE4"/>
    <w:rsid w:val="00227E23"/>
    <w:rsid w:val="00230E4A"/>
    <w:rsid w:val="00230EE6"/>
    <w:rsid w:val="002318F8"/>
    <w:rsid w:val="002330FF"/>
    <w:rsid w:val="00233191"/>
    <w:rsid w:val="00233230"/>
    <w:rsid w:val="00233913"/>
    <w:rsid w:val="002342E5"/>
    <w:rsid w:val="002349E3"/>
    <w:rsid w:val="002349E5"/>
    <w:rsid w:val="0023537B"/>
    <w:rsid w:val="0023569F"/>
    <w:rsid w:val="002374DE"/>
    <w:rsid w:val="0024014D"/>
    <w:rsid w:val="00240638"/>
    <w:rsid w:val="00241102"/>
    <w:rsid w:val="00241BD0"/>
    <w:rsid w:val="00241E12"/>
    <w:rsid w:val="002423F2"/>
    <w:rsid w:val="00242B5A"/>
    <w:rsid w:val="00242D8A"/>
    <w:rsid w:val="00242F63"/>
    <w:rsid w:val="0024349D"/>
    <w:rsid w:val="0024349E"/>
    <w:rsid w:val="0024351A"/>
    <w:rsid w:val="00243C7D"/>
    <w:rsid w:val="002441FF"/>
    <w:rsid w:val="00244E23"/>
    <w:rsid w:val="002451DC"/>
    <w:rsid w:val="00245261"/>
    <w:rsid w:val="00245835"/>
    <w:rsid w:val="002458C0"/>
    <w:rsid w:val="00245D5D"/>
    <w:rsid w:val="00246915"/>
    <w:rsid w:val="002477AC"/>
    <w:rsid w:val="00247959"/>
    <w:rsid w:val="00250278"/>
    <w:rsid w:val="002507BC"/>
    <w:rsid w:val="00250A97"/>
    <w:rsid w:val="00250BEA"/>
    <w:rsid w:val="00250E0A"/>
    <w:rsid w:val="00251098"/>
    <w:rsid w:val="00251242"/>
    <w:rsid w:val="002518F2"/>
    <w:rsid w:val="00251CC0"/>
    <w:rsid w:val="002522EB"/>
    <w:rsid w:val="002523BB"/>
    <w:rsid w:val="002529C8"/>
    <w:rsid w:val="00253252"/>
    <w:rsid w:val="0025343C"/>
    <w:rsid w:val="002536C1"/>
    <w:rsid w:val="00253975"/>
    <w:rsid w:val="00255E0E"/>
    <w:rsid w:val="0025687D"/>
    <w:rsid w:val="00256998"/>
    <w:rsid w:val="00256FF8"/>
    <w:rsid w:val="002602A9"/>
    <w:rsid w:val="00260D94"/>
    <w:rsid w:val="00260DBA"/>
    <w:rsid w:val="002621F6"/>
    <w:rsid w:val="002623CD"/>
    <w:rsid w:val="00262BC0"/>
    <w:rsid w:val="002639F2"/>
    <w:rsid w:val="00264AC4"/>
    <w:rsid w:val="00264D70"/>
    <w:rsid w:val="002651D2"/>
    <w:rsid w:val="00265DF6"/>
    <w:rsid w:val="00266107"/>
    <w:rsid w:val="002666D1"/>
    <w:rsid w:val="002667EA"/>
    <w:rsid w:val="00267199"/>
    <w:rsid w:val="0026766C"/>
    <w:rsid w:val="002676A2"/>
    <w:rsid w:val="00270239"/>
    <w:rsid w:val="00271656"/>
    <w:rsid w:val="00271E37"/>
    <w:rsid w:val="00273A95"/>
    <w:rsid w:val="002742D7"/>
    <w:rsid w:val="0027466E"/>
    <w:rsid w:val="00274A01"/>
    <w:rsid w:val="002764FB"/>
    <w:rsid w:val="002768DB"/>
    <w:rsid w:val="002772F4"/>
    <w:rsid w:val="00277C0C"/>
    <w:rsid w:val="00277FC9"/>
    <w:rsid w:val="002801CB"/>
    <w:rsid w:val="0028078A"/>
    <w:rsid w:val="00280C06"/>
    <w:rsid w:val="00280FC8"/>
    <w:rsid w:val="0028126A"/>
    <w:rsid w:val="002813C2"/>
    <w:rsid w:val="002816F8"/>
    <w:rsid w:val="00281D27"/>
    <w:rsid w:val="0028232F"/>
    <w:rsid w:val="002824BD"/>
    <w:rsid w:val="002839AD"/>
    <w:rsid w:val="00283A6E"/>
    <w:rsid w:val="00283B9B"/>
    <w:rsid w:val="00283E11"/>
    <w:rsid w:val="002842DB"/>
    <w:rsid w:val="0028448A"/>
    <w:rsid w:val="00284EF7"/>
    <w:rsid w:val="00284FB1"/>
    <w:rsid w:val="0028570E"/>
    <w:rsid w:val="00285DE9"/>
    <w:rsid w:val="00285DF4"/>
    <w:rsid w:val="00285F70"/>
    <w:rsid w:val="002860EA"/>
    <w:rsid w:val="0028638B"/>
    <w:rsid w:val="00286999"/>
    <w:rsid w:val="00286AE2"/>
    <w:rsid w:val="00286BDF"/>
    <w:rsid w:val="00287DAC"/>
    <w:rsid w:val="00287E73"/>
    <w:rsid w:val="002908CD"/>
    <w:rsid w:val="0029150F"/>
    <w:rsid w:val="002916E6"/>
    <w:rsid w:val="00291712"/>
    <w:rsid w:val="00291D97"/>
    <w:rsid w:val="00292349"/>
    <w:rsid w:val="0029351F"/>
    <w:rsid w:val="00293C7E"/>
    <w:rsid w:val="002945EF"/>
    <w:rsid w:val="00294DF7"/>
    <w:rsid w:val="00295C99"/>
    <w:rsid w:val="00296637"/>
    <w:rsid w:val="00296D74"/>
    <w:rsid w:val="00296EF8"/>
    <w:rsid w:val="0029729C"/>
    <w:rsid w:val="002974C4"/>
    <w:rsid w:val="00297652"/>
    <w:rsid w:val="00297710"/>
    <w:rsid w:val="002A09E1"/>
    <w:rsid w:val="002A1641"/>
    <w:rsid w:val="002A19C8"/>
    <w:rsid w:val="002A1EAC"/>
    <w:rsid w:val="002A2503"/>
    <w:rsid w:val="002A2781"/>
    <w:rsid w:val="002A2A1B"/>
    <w:rsid w:val="002A3A93"/>
    <w:rsid w:val="002A4591"/>
    <w:rsid w:val="002A4DA7"/>
    <w:rsid w:val="002A4FB3"/>
    <w:rsid w:val="002A568B"/>
    <w:rsid w:val="002A5ACF"/>
    <w:rsid w:val="002A5C3B"/>
    <w:rsid w:val="002A5E4E"/>
    <w:rsid w:val="002A6E26"/>
    <w:rsid w:val="002A70AC"/>
    <w:rsid w:val="002B0988"/>
    <w:rsid w:val="002B10E9"/>
    <w:rsid w:val="002B14DF"/>
    <w:rsid w:val="002B15AD"/>
    <w:rsid w:val="002B4010"/>
    <w:rsid w:val="002B481B"/>
    <w:rsid w:val="002B4BE3"/>
    <w:rsid w:val="002B4D97"/>
    <w:rsid w:val="002B5631"/>
    <w:rsid w:val="002B646E"/>
    <w:rsid w:val="002B6555"/>
    <w:rsid w:val="002B68F9"/>
    <w:rsid w:val="002B6949"/>
    <w:rsid w:val="002B6965"/>
    <w:rsid w:val="002B7490"/>
    <w:rsid w:val="002B7F41"/>
    <w:rsid w:val="002C02F9"/>
    <w:rsid w:val="002C11D6"/>
    <w:rsid w:val="002C207A"/>
    <w:rsid w:val="002C32D7"/>
    <w:rsid w:val="002C3413"/>
    <w:rsid w:val="002C3D51"/>
    <w:rsid w:val="002C43CF"/>
    <w:rsid w:val="002C5259"/>
    <w:rsid w:val="002C5A1B"/>
    <w:rsid w:val="002C60D5"/>
    <w:rsid w:val="002C68A2"/>
    <w:rsid w:val="002C6B70"/>
    <w:rsid w:val="002C705B"/>
    <w:rsid w:val="002C72EA"/>
    <w:rsid w:val="002C7DA3"/>
    <w:rsid w:val="002D0871"/>
    <w:rsid w:val="002D0922"/>
    <w:rsid w:val="002D0CFA"/>
    <w:rsid w:val="002D145D"/>
    <w:rsid w:val="002D15D3"/>
    <w:rsid w:val="002D1C51"/>
    <w:rsid w:val="002D2499"/>
    <w:rsid w:val="002D30ED"/>
    <w:rsid w:val="002D3265"/>
    <w:rsid w:val="002D3270"/>
    <w:rsid w:val="002D35C2"/>
    <w:rsid w:val="002D3EE6"/>
    <w:rsid w:val="002D41F0"/>
    <w:rsid w:val="002D492B"/>
    <w:rsid w:val="002D4D55"/>
    <w:rsid w:val="002D57DA"/>
    <w:rsid w:val="002D597B"/>
    <w:rsid w:val="002D5ED8"/>
    <w:rsid w:val="002D6889"/>
    <w:rsid w:val="002D6F4D"/>
    <w:rsid w:val="002D71EA"/>
    <w:rsid w:val="002D75C7"/>
    <w:rsid w:val="002D7A24"/>
    <w:rsid w:val="002D7AD6"/>
    <w:rsid w:val="002D7B2A"/>
    <w:rsid w:val="002E00D1"/>
    <w:rsid w:val="002E02A9"/>
    <w:rsid w:val="002E0BFD"/>
    <w:rsid w:val="002E0D74"/>
    <w:rsid w:val="002E111A"/>
    <w:rsid w:val="002E1710"/>
    <w:rsid w:val="002E1751"/>
    <w:rsid w:val="002E1E70"/>
    <w:rsid w:val="002E346C"/>
    <w:rsid w:val="002E4104"/>
    <w:rsid w:val="002E456C"/>
    <w:rsid w:val="002E49AA"/>
    <w:rsid w:val="002E4D4F"/>
    <w:rsid w:val="002E5136"/>
    <w:rsid w:val="002E52B9"/>
    <w:rsid w:val="002E66C4"/>
    <w:rsid w:val="002E69D1"/>
    <w:rsid w:val="002E763A"/>
    <w:rsid w:val="002E7868"/>
    <w:rsid w:val="002F0129"/>
    <w:rsid w:val="002F088C"/>
    <w:rsid w:val="002F09C5"/>
    <w:rsid w:val="002F0F0A"/>
    <w:rsid w:val="002F0F0E"/>
    <w:rsid w:val="002F1CFB"/>
    <w:rsid w:val="002F1D27"/>
    <w:rsid w:val="002F2379"/>
    <w:rsid w:val="002F3163"/>
    <w:rsid w:val="002F364A"/>
    <w:rsid w:val="002F44F9"/>
    <w:rsid w:val="002F5568"/>
    <w:rsid w:val="002F5F54"/>
    <w:rsid w:val="002F6CA7"/>
    <w:rsid w:val="002F6CB6"/>
    <w:rsid w:val="002F7D07"/>
    <w:rsid w:val="00300258"/>
    <w:rsid w:val="003005A6"/>
    <w:rsid w:val="003008E2"/>
    <w:rsid w:val="00300CF4"/>
    <w:rsid w:val="00301FD0"/>
    <w:rsid w:val="00302CA6"/>
    <w:rsid w:val="00302CD0"/>
    <w:rsid w:val="003031B5"/>
    <w:rsid w:val="0030359D"/>
    <w:rsid w:val="0030500A"/>
    <w:rsid w:val="00305357"/>
    <w:rsid w:val="003053C8"/>
    <w:rsid w:val="00305458"/>
    <w:rsid w:val="00306032"/>
    <w:rsid w:val="0030619F"/>
    <w:rsid w:val="0030668A"/>
    <w:rsid w:val="003066D7"/>
    <w:rsid w:val="003068D4"/>
    <w:rsid w:val="003069AE"/>
    <w:rsid w:val="00306A86"/>
    <w:rsid w:val="00306CEA"/>
    <w:rsid w:val="00306E3B"/>
    <w:rsid w:val="00306EB6"/>
    <w:rsid w:val="0030752F"/>
    <w:rsid w:val="003077CF"/>
    <w:rsid w:val="00307895"/>
    <w:rsid w:val="00310357"/>
    <w:rsid w:val="00310483"/>
    <w:rsid w:val="00310D4A"/>
    <w:rsid w:val="003111B9"/>
    <w:rsid w:val="003112BE"/>
    <w:rsid w:val="00311355"/>
    <w:rsid w:val="00312480"/>
    <w:rsid w:val="00312732"/>
    <w:rsid w:val="00312C1A"/>
    <w:rsid w:val="0031316A"/>
    <w:rsid w:val="0031327B"/>
    <w:rsid w:val="003132AE"/>
    <w:rsid w:val="003133B4"/>
    <w:rsid w:val="003136FD"/>
    <w:rsid w:val="003138F9"/>
    <w:rsid w:val="0031445F"/>
    <w:rsid w:val="00314A86"/>
    <w:rsid w:val="00315173"/>
    <w:rsid w:val="00315747"/>
    <w:rsid w:val="00315E88"/>
    <w:rsid w:val="00316138"/>
    <w:rsid w:val="0031684C"/>
    <w:rsid w:val="00317888"/>
    <w:rsid w:val="00317C9F"/>
    <w:rsid w:val="00317D36"/>
    <w:rsid w:val="003205A2"/>
    <w:rsid w:val="00320A06"/>
    <w:rsid w:val="00320AC3"/>
    <w:rsid w:val="00320F23"/>
    <w:rsid w:val="00321497"/>
    <w:rsid w:val="003217D2"/>
    <w:rsid w:val="00321982"/>
    <w:rsid w:val="00321ED3"/>
    <w:rsid w:val="003229FA"/>
    <w:rsid w:val="00322EB5"/>
    <w:rsid w:val="00323BDD"/>
    <w:rsid w:val="00324430"/>
    <w:rsid w:val="00324615"/>
    <w:rsid w:val="00325944"/>
    <w:rsid w:val="003263F1"/>
    <w:rsid w:val="00326814"/>
    <w:rsid w:val="00326B5B"/>
    <w:rsid w:val="00326C0B"/>
    <w:rsid w:val="00330231"/>
    <w:rsid w:val="003308B8"/>
    <w:rsid w:val="00331137"/>
    <w:rsid w:val="00331CBC"/>
    <w:rsid w:val="00332054"/>
    <w:rsid w:val="003321D1"/>
    <w:rsid w:val="00332397"/>
    <w:rsid w:val="0033239B"/>
    <w:rsid w:val="00332E23"/>
    <w:rsid w:val="00333FD4"/>
    <w:rsid w:val="0033429D"/>
    <w:rsid w:val="00334953"/>
    <w:rsid w:val="00334EAB"/>
    <w:rsid w:val="00334EF8"/>
    <w:rsid w:val="00335139"/>
    <w:rsid w:val="003356F1"/>
    <w:rsid w:val="00335D2A"/>
    <w:rsid w:val="00340115"/>
    <w:rsid w:val="003403B4"/>
    <w:rsid w:val="0034074E"/>
    <w:rsid w:val="0034094E"/>
    <w:rsid w:val="00341650"/>
    <w:rsid w:val="00342627"/>
    <w:rsid w:val="0034266C"/>
    <w:rsid w:val="00343E21"/>
    <w:rsid w:val="00344A5B"/>
    <w:rsid w:val="00344AE0"/>
    <w:rsid w:val="003452DA"/>
    <w:rsid w:val="0034558C"/>
    <w:rsid w:val="00345912"/>
    <w:rsid w:val="00345B60"/>
    <w:rsid w:val="00345EDF"/>
    <w:rsid w:val="003464CD"/>
    <w:rsid w:val="00346510"/>
    <w:rsid w:val="00346807"/>
    <w:rsid w:val="00346D66"/>
    <w:rsid w:val="00346E9D"/>
    <w:rsid w:val="00347516"/>
    <w:rsid w:val="00347F04"/>
    <w:rsid w:val="003501E6"/>
    <w:rsid w:val="0035126E"/>
    <w:rsid w:val="00351CE7"/>
    <w:rsid w:val="00351FA8"/>
    <w:rsid w:val="003521AD"/>
    <w:rsid w:val="003522C0"/>
    <w:rsid w:val="00352769"/>
    <w:rsid w:val="00352E68"/>
    <w:rsid w:val="003532E2"/>
    <w:rsid w:val="00353EB1"/>
    <w:rsid w:val="00353FEA"/>
    <w:rsid w:val="003542D6"/>
    <w:rsid w:val="00354CA9"/>
    <w:rsid w:val="003569A0"/>
    <w:rsid w:val="003601CD"/>
    <w:rsid w:val="00360734"/>
    <w:rsid w:val="003608F9"/>
    <w:rsid w:val="00360CD9"/>
    <w:rsid w:val="00360DD6"/>
    <w:rsid w:val="00361018"/>
    <w:rsid w:val="0036124B"/>
    <w:rsid w:val="00361CFA"/>
    <w:rsid w:val="003622F1"/>
    <w:rsid w:val="00362834"/>
    <w:rsid w:val="003628FE"/>
    <w:rsid w:val="00363327"/>
    <w:rsid w:val="00363FF5"/>
    <w:rsid w:val="0036658D"/>
    <w:rsid w:val="00366764"/>
    <w:rsid w:val="003704E3"/>
    <w:rsid w:val="00370A28"/>
    <w:rsid w:val="00371D57"/>
    <w:rsid w:val="00371FAA"/>
    <w:rsid w:val="0037212A"/>
    <w:rsid w:val="003721DA"/>
    <w:rsid w:val="00372D83"/>
    <w:rsid w:val="00372DF8"/>
    <w:rsid w:val="0037347F"/>
    <w:rsid w:val="00373699"/>
    <w:rsid w:val="00373CF8"/>
    <w:rsid w:val="00373F78"/>
    <w:rsid w:val="0037431B"/>
    <w:rsid w:val="00374399"/>
    <w:rsid w:val="0037493F"/>
    <w:rsid w:val="0037506A"/>
    <w:rsid w:val="0037560A"/>
    <w:rsid w:val="00376262"/>
    <w:rsid w:val="003763A1"/>
    <w:rsid w:val="003768E2"/>
    <w:rsid w:val="00377473"/>
    <w:rsid w:val="0037760E"/>
    <w:rsid w:val="003803E0"/>
    <w:rsid w:val="0038054C"/>
    <w:rsid w:val="003805D3"/>
    <w:rsid w:val="003809AF"/>
    <w:rsid w:val="00380B36"/>
    <w:rsid w:val="003817A7"/>
    <w:rsid w:val="003817C0"/>
    <w:rsid w:val="0038191F"/>
    <w:rsid w:val="003819CC"/>
    <w:rsid w:val="00381B0C"/>
    <w:rsid w:val="0038290A"/>
    <w:rsid w:val="00382D8D"/>
    <w:rsid w:val="00382F22"/>
    <w:rsid w:val="003830A8"/>
    <w:rsid w:val="00384541"/>
    <w:rsid w:val="00384797"/>
    <w:rsid w:val="00385049"/>
    <w:rsid w:val="00385214"/>
    <w:rsid w:val="003856C4"/>
    <w:rsid w:val="003864B1"/>
    <w:rsid w:val="00386623"/>
    <w:rsid w:val="00387F2F"/>
    <w:rsid w:val="003900C7"/>
    <w:rsid w:val="003902D5"/>
    <w:rsid w:val="00390746"/>
    <w:rsid w:val="00390CF9"/>
    <w:rsid w:val="00391C58"/>
    <w:rsid w:val="00391C9B"/>
    <w:rsid w:val="00392198"/>
    <w:rsid w:val="003929E1"/>
    <w:rsid w:val="00392D78"/>
    <w:rsid w:val="00393264"/>
    <w:rsid w:val="00395064"/>
    <w:rsid w:val="0039534D"/>
    <w:rsid w:val="003953C1"/>
    <w:rsid w:val="00395B6C"/>
    <w:rsid w:val="00395F8F"/>
    <w:rsid w:val="003968A6"/>
    <w:rsid w:val="00396BA3"/>
    <w:rsid w:val="0039793B"/>
    <w:rsid w:val="003A07F8"/>
    <w:rsid w:val="003A1055"/>
    <w:rsid w:val="003A10AE"/>
    <w:rsid w:val="003A2176"/>
    <w:rsid w:val="003A2612"/>
    <w:rsid w:val="003A32A9"/>
    <w:rsid w:val="003A32DA"/>
    <w:rsid w:val="003A34C1"/>
    <w:rsid w:val="003A380D"/>
    <w:rsid w:val="003A3D26"/>
    <w:rsid w:val="003A3DF1"/>
    <w:rsid w:val="003A4027"/>
    <w:rsid w:val="003A42F7"/>
    <w:rsid w:val="003A4653"/>
    <w:rsid w:val="003A4794"/>
    <w:rsid w:val="003A481F"/>
    <w:rsid w:val="003A4A57"/>
    <w:rsid w:val="003A4C7C"/>
    <w:rsid w:val="003A4D11"/>
    <w:rsid w:val="003A4D17"/>
    <w:rsid w:val="003A51A7"/>
    <w:rsid w:val="003A5280"/>
    <w:rsid w:val="003A5585"/>
    <w:rsid w:val="003A5701"/>
    <w:rsid w:val="003A6167"/>
    <w:rsid w:val="003A652D"/>
    <w:rsid w:val="003A67B1"/>
    <w:rsid w:val="003A6862"/>
    <w:rsid w:val="003A6BD9"/>
    <w:rsid w:val="003A6D3A"/>
    <w:rsid w:val="003A7B67"/>
    <w:rsid w:val="003A7D48"/>
    <w:rsid w:val="003B08A2"/>
    <w:rsid w:val="003B0BF4"/>
    <w:rsid w:val="003B0C91"/>
    <w:rsid w:val="003B0F8E"/>
    <w:rsid w:val="003B1111"/>
    <w:rsid w:val="003B1933"/>
    <w:rsid w:val="003B2B5E"/>
    <w:rsid w:val="003B30B3"/>
    <w:rsid w:val="003B3666"/>
    <w:rsid w:val="003B3E5C"/>
    <w:rsid w:val="003B41C7"/>
    <w:rsid w:val="003B496A"/>
    <w:rsid w:val="003B4CAA"/>
    <w:rsid w:val="003B5C91"/>
    <w:rsid w:val="003B5D58"/>
    <w:rsid w:val="003B5FA0"/>
    <w:rsid w:val="003B6047"/>
    <w:rsid w:val="003B64C0"/>
    <w:rsid w:val="003B692F"/>
    <w:rsid w:val="003B693F"/>
    <w:rsid w:val="003B6DEA"/>
    <w:rsid w:val="003B6ECC"/>
    <w:rsid w:val="003B7250"/>
    <w:rsid w:val="003B7835"/>
    <w:rsid w:val="003B79B9"/>
    <w:rsid w:val="003B7A6C"/>
    <w:rsid w:val="003B7E92"/>
    <w:rsid w:val="003C01AC"/>
    <w:rsid w:val="003C04A9"/>
    <w:rsid w:val="003C0975"/>
    <w:rsid w:val="003C0D77"/>
    <w:rsid w:val="003C0FEC"/>
    <w:rsid w:val="003C10E1"/>
    <w:rsid w:val="003C1852"/>
    <w:rsid w:val="003C1943"/>
    <w:rsid w:val="003C2214"/>
    <w:rsid w:val="003C2B5C"/>
    <w:rsid w:val="003C2E92"/>
    <w:rsid w:val="003C308E"/>
    <w:rsid w:val="003C32EE"/>
    <w:rsid w:val="003C4506"/>
    <w:rsid w:val="003C450C"/>
    <w:rsid w:val="003C4DB4"/>
    <w:rsid w:val="003C4E4D"/>
    <w:rsid w:val="003C5308"/>
    <w:rsid w:val="003C587C"/>
    <w:rsid w:val="003C62D9"/>
    <w:rsid w:val="003C6438"/>
    <w:rsid w:val="003C6D1D"/>
    <w:rsid w:val="003C6E27"/>
    <w:rsid w:val="003C6F87"/>
    <w:rsid w:val="003C7251"/>
    <w:rsid w:val="003C776C"/>
    <w:rsid w:val="003D02CD"/>
    <w:rsid w:val="003D2651"/>
    <w:rsid w:val="003D332D"/>
    <w:rsid w:val="003D3787"/>
    <w:rsid w:val="003D436D"/>
    <w:rsid w:val="003D4EC0"/>
    <w:rsid w:val="003D506A"/>
    <w:rsid w:val="003D5D06"/>
    <w:rsid w:val="003D5FD3"/>
    <w:rsid w:val="003D61B5"/>
    <w:rsid w:val="003D7F56"/>
    <w:rsid w:val="003E05D8"/>
    <w:rsid w:val="003E11AE"/>
    <w:rsid w:val="003E1D8E"/>
    <w:rsid w:val="003E28EB"/>
    <w:rsid w:val="003E3939"/>
    <w:rsid w:val="003E3AED"/>
    <w:rsid w:val="003E3B30"/>
    <w:rsid w:val="003E44E5"/>
    <w:rsid w:val="003E45D7"/>
    <w:rsid w:val="003E4D6F"/>
    <w:rsid w:val="003E53BB"/>
    <w:rsid w:val="003E54EB"/>
    <w:rsid w:val="003E551D"/>
    <w:rsid w:val="003E5A6B"/>
    <w:rsid w:val="003E65F5"/>
    <w:rsid w:val="003E69BA"/>
    <w:rsid w:val="003E7287"/>
    <w:rsid w:val="003E7437"/>
    <w:rsid w:val="003E7EE9"/>
    <w:rsid w:val="003E7FC1"/>
    <w:rsid w:val="003F088A"/>
    <w:rsid w:val="003F0F5F"/>
    <w:rsid w:val="003F1034"/>
    <w:rsid w:val="003F1EF0"/>
    <w:rsid w:val="003F3EA5"/>
    <w:rsid w:val="003F4461"/>
    <w:rsid w:val="003F4A0E"/>
    <w:rsid w:val="003F4D08"/>
    <w:rsid w:val="003F589D"/>
    <w:rsid w:val="003F58AF"/>
    <w:rsid w:val="003F5B6E"/>
    <w:rsid w:val="003F63C0"/>
    <w:rsid w:val="003F6728"/>
    <w:rsid w:val="003F6F4E"/>
    <w:rsid w:val="00400C56"/>
    <w:rsid w:val="00400F0F"/>
    <w:rsid w:val="004010B8"/>
    <w:rsid w:val="0040136C"/>
    <w:rsid w:val="00401663"/>
    <w:rsid w:val="0040181B"/>
    <w:rsid w:val="00401924"/>
    <w:rsid w:val="0040197F"/>
    <w:rsid w:val="00401C77"/>
    <w:rsid w:val="00401CBF"/>
    <w:rsid w:val="004021BD"/>
    <w:rsid w:val="00402838"/>
    <w:rsid w:val="00402E87"/>
    <w:rsid w:val="0040325C"/>
    <w:rsid w:val="00403A29"/>
    <w:rsid w:val="004043E9"/>
    <w:rsid w:val="00404967"/>
    <w:rsid w:val="00404B50"/>
    <w:rsid w:val="00404D7E"/>
    <w:rsid w:val="00405D30"/>
    <w:rsid w:val="004067B5"/>
    <w:rsid w:val="004067BC"/>
    <w:rsid w:val="00406814"/>
    <w:rsid w:val="00406B81"/>
    <w:rsid w:val="004070B7"/>
    <w:rsid w:val="004078AA"/>
    <w:rsid w:val="004108FE"/>
    <w:rsid w:val="00410D98"/>
    <w:rsid w:val="00410E20"/>
    <w:rsid w:val="00412179"/>
    <w:rsid w:val="00413366"/>
    <w:rsid w:val="0041365C"/>
    <w:rsid w:val="00413C81"/>
    <w:rsid w:val="004143CB"/>
    <w:rsid w:val="004147AC"/>
    <w:rsid w:val="0041488C"/>
    <w:rsid w:val="00414CDE"/>
    <w:rsid w:val="00414E3B"/>
    <w:rsid w:val="00414FEA"/>
    <w:rsid w:val="00415272"/>
    <w:rsid w:val="0041564F"/>
    <w:rsid w:val="00415684"/>
    <w:rsid w:val="00415802"/>
    <w:rsid w:val="004158DD"/>
    <w:rsid w:val="00415998"/>
    <w:rsid w:val="00415C11"/>
    <w:rsid w:val="00415FE9"/>
    <w:rsid w:val="0041625C"/>
    <w:rsid w:val="00416463"/>
    <w:rsid w:val="004165DC"/>
    <w:rsid w:val="00416B0F"/>
    <w:rsid w:val="00416FE7"/>
    <w:rsid w:val="0041712E"/>
    <w:rsid w:val="004201D8"/>
    <w:rsid w:val="00420950"/>
    <w:rsid w:val="00420F2A"/>
    <w:rsid w:val="004216A9"/>
    <w:rsid w:val="00421CA3"/>
    <w:rsid w:val="00421D14"/>
    <w:rsid w:val="00421FA5"/>
    <w:rsid w:val="004226FE"/>
    <w:rsid w:val="00422FBD"/>
    <w:rsid w:val="00423047"/>
    <w:rsid w:val="00423D5F"/>
    <w:rsid w:val="0042434D"/>
    <w:rsid w:val="00424E9C"/>
    <w:rsid w:val="00426EC6"/>
    <w:rsid w:val="00427176"/>
    <w:rsid w:val="00427682"/>
    <w:rsid w:val="004300A1"/>
    <w:rsid w:val="004301DA"/>
    <w:rsid w:val="00430527"/>
    <w:rsid w:val="00430C55"/>
    <w:rsid w:val="00430E26"/>
    <w:rsid w:val="00431920"/>
    <w:rsid w:val="00431DA5"/>
    <w:rsid w:val="00432187"/>
    <w:rsid w:val="004337B0"/>
    <w:rsid w:val="00433A7A"/>
    <w:rsid w:val="00433E14"/>
    <w:rsid w:val="00433F76"/>
    <w:rsid w:val="00433FB5"/>
    <w:rsid w:val="0043415F"/>
    <w:rsid w:val="00434298"/>
    <w:rsid w:val="004348BB"/>
    <w:rsid w:val="00434915"/>
    <w:rsid w:val="0043553A"/>
    <w:rsid w:val="00435568"/>
    <w:rsid w:val="00435E51"/>
    <w:rsid w:val="0043678A"/>
    <w:rsid w:val="004369B2"/>
    <w:rsid w:val="00437204"/>
    <w:rsid w:val="00437C25"/>
    <w:rsid w:val="00440955"/>
    <w:rsid w:val="00440EFA"/>
    <w:rsid w:val="004410A6"/>
    <w:rsid w:val="00441578"/>
    <w:rsid w:val="00441FB4"/>
    <w:rsid w:val="004422B4"/>
    <w:rsid w:val="0044260C"/>
    <w:rsid w:val="004427EB"/>
    <w:rsid w:val="00442906"/>
    <w:rsid w:val="00442B92"/>
    <w:rsid w:val="00442D9C"/>
    <w:rsid w:val="00443376"/>
    <w:rsid w:val="00443406"/>
    <w:rsid w:val="004435DE"/>
    <w:rsid w:val="00444A9D"/>
    <w:rsid w:val="00445640"/>
    <w:rsid w:val="00445B98"/>
    <w:rsid w:val="00445DF0"/>
    <w:rsid w:val="004462E1"/>
    <w:rsid w:val="00446423"/>
    <w:rsid w:val="00446689"/>
    <w:rsid w:val="00447067"/>
    <w:rsid w:val="0044716A"/>
    <w:rsid w:val="00450059"/>
    <w:rsid w:val="004502CD"/>
    <w:rsid w:val="004505AF"/>
    <w:rsid w:val="00450DE8"/>
    <w:rsid w:val="00450F98"/>
    <w:rsid w:val="004515C2"/>
    <w:rsid w:val="004518AF"/>
    <w:rsid w:val="00451D7E"/>
    <w:rsid w:val="00452273"/>
    <w:rsid w:val="004529BD"/>
    <w:rsid w:val="00453FF2"/>
    <w:rsid w:val="004540D9"/>
    <w:rsid w:val="004542FA"/>
    <w:rsid w:val="00455806"/>
    <w:rsid w:val="00455889"/>
    <w:rsid w:val="00455A8E"/>
    <w:rsid w:val="00455B5B"/>
    <w:rsid w:val="00456A1A"/>
    <w:rsid w:val="00456EB4"/>
    <w:rsid w:val="00456FF8"/>
    <w:rsid w:val="004577C1"/>
    <w:rsid w:val="00457F04"/>
    <w:rsid w:val="00460298"/>
    <w:rsid w:val="004611C1"/>
    <w:rsid w:val="004611C5"/>
    <w:rsid w:val="004613BA"/>
    <w:rsid w:val="0046146E"/>
    <w:rsid w:val="00461B4B"/>
    <w:rsid w:val="00461CA6"/>
    <w:rsid w:val="00461E1F"/>
    <w:rsid w:val="00462483"/>
    <w:rsid w:val="004625A7"/>
    <w:rsid w:val="004625E9"/>
    <w:rsid w:val="00462678"/>
    <w:rsid w:val="0046281F"/>
    <w:rsid w:val="00462D2D"/>
    <w:rsid w:val="00463D01"/>
    <w:rsid w:val="00463E03"/>
    <w:rsid w:val="004640B3"/>
    <w:rsid w:val="00464512"/>
    <w:rsid w:val="00464A9D"/>
    <w:rsid w:val="0046603A"/>
    <w:rsid w:val="0046611E"/>
    <w:rsid w:val="00466646"/>
    <w:rsid w:val="00467140"/>
    <w:rsid w:val="004671FF"/>
    <w:rsid w:val="00467711"/>
    <w:rsid w:val="004704F3"/>
    <w:rsid w:val="004706F6"/>
    <w:rsid w:val="0047086A"/>
    <w:rsid w:val="00470EEA"/>
    <w:rsid w:val="004713D1"/>
    <w:rsid w:val="00472013"/>
    <w:rsid w:val="00472138"/>
    <w:rsid w:val="004721B2"/>
    <w:rsid w:val="004725E6"/>
    <w:rsid w:val="0047313F"/>
    <w:rsid w:val="0047379E"/>
    <w:rsid w:val="00474848"/>
    <w:rsid w:val="00474DB4"/>
    <w:rsid w:val="00475E2D"/>
    <w:rsid w:val="0047630E"/>
    <w:rsid w:val="00476460"/>
    <w:rsid w:val="00476584"/>
    <w:rsid w:val="004765BA"/>
    <w:rsid w:val="00476EA2"/>
    <w:rsid w:val="0047749E"/>
    <w:rsid w:val="004777CA"/>
    <w:rsid w:val="0048004B"/>
    <w:rsid w:val="00480083"/>
    <w:rsid w:val="00480185"/>
    <w:rsid w:val="004801D4"/>
    <w:rsid w:val="00480944"/>
    <w:rsid w:val="00480A1F"/>
    <w:rsid w:val="00480C58"/>
    <w:rsid w:val="0048106A"/>
    <w:rsid w:val="00481476"/>
    <w:rsid w:val="00481536"/>
    <w:rsid w:val="0048173D"/>
    <w:rsid w:val="004827B2"/>
    <w:rsid w:val="00482A0C"/>
    <w:rsid w:val="00482C3B"/>
    <w:rsid w:val="00482C64"/>
    <w:rsid w:val="004838A4"/>
    <w:rsid w:val="00483A7E"/>
    <w:rsid w:val="00483ABB"/>
    <w:rsid w:val="00483CEE"/>
    <w:rsid w:val="00483FA7"/>
    <w:rsid w:val="00484670"/>
    <w:rsid w:val="0048481F"/>
    <w:rsid w:val="00484C42"/>
    <w:rsid w:val="00484E18"/>
    <w:rsid w:val="004855E0"/>
    <w:rsid w:val="00485942"/>
    <w:rsid w:val="00486160"/>
    <w:rsid w:val="0048675D"/>
    <w:rsid w:val="004871E4"/>
    <w:rsid w:val="00487CBD"/>
    <w:rsid w:val="00487DD1"/>
    <w:rsid w:val="00487F39"/>
    <w:rsid w:val="00490F6A"/>
    <w:rsid w:val="00491141"/>
    <w:rsid w:val="0049134B"/>
    <w:rsid w:val="00491ED9"/>
    <w:rsid w:val="00492332"/>
    <w:rsid w:val="00492339"/>
    <w:rsid w:val="00492994"/>
    <w:rsid w:val="004939D7"/>
    <w:rsid w:val="004944F8"/>
    <w:rsid w:val="00494CD6"/>
    <w:rsid w:val="004955D2"/>
    <w:rsid w:val="00495BB6"/>
    <w:rsid w:val="00496EF6"/>
    <w:rsid w:val="00496FEA"/>
    <w:rsid w:val="0049743B"/>
    <w:rsid w:val="00497579"/>
    <w:rsid w:val="00497C4D"/>
    <w:rsid w:val="00497DE4"/>
    <w:rsid w:val="004A074D"/>
    <w:rsid w:val="004A13F5"/>
    <w:rsid w:val="004A15B3"/>
    <w:rsid w:val="004A1709"/>
    <w:rsid w:val="004A1894"/>
    <w:rsid w:val="004A22EC"/>
    <w:rsid w:val="004A3038"/>
    <w:rsid w:val="004A336A"/>
    <w:rsid w:val="004A33CD"/>
    <w:rsid w:val="004A38B9"/>
    <w:rsid w:val="004A3F07"/>
    <w:rsid w:val="004A463F"/>
    <w:rsid w:val="004A4803"/>
    <w:rsid w:val="004A4E9A"/>
    <w:rsid w:val="004A6352"/>
    <w:rsid w:val="004A74D2"/>
    <w:rsid w:val="004B0B07"/>
    <w:rsid w:val="004B0B1D"/>
    <w:rsid w:val="004B0DD6"/>
    <w:rsid w:val="004B197E"/>
    <w:rsid w:val="004B1FD2"/>
    <w:rsid w:val="004B292A"/>
    <w:rsid w:val="004B2960"/>
    <w:rsid w:val="004B2A77"/>
    <w:rsid w:val="004B2C2D"/>
    <w:rsid w:val="004B3695"/>
    <w:rsid w:val="004B3B4A"/>
    <w:rsid w:val="004B3E74"/>
    <w:rsid w:val="004B3F40"/>
    <w:rsid w:val="004B3FD9"/>
    <w:rsid w:val="004B6512"/>
    <w:rsid w:val="004B69B2"/>
    <w:rsid w:val="004B728F"/>
    <w:rsid w:val="004B75EC"/>
    <w:rsid w:val="004B782D"/>
    <w:rsid w:val="004B79A1"/>
    <w:rsid w:val="004B7A7A"/>
    <w:rsid w:val="004B7D0D"/>
    <w:rsid w:val="004C00EE"/>
    <w:rsid w:val="004C070C"/>
    <w:rsid w:val="004C1866"/>
    <w:rsid w:val="004C2776"/>
    <w:rsid w:val="004C2C08"/>
    <w:rsid w:val="004C33EB"/>
    <w:rsid w:val="004C36E3"/>
    <w:rsid w:val="004C3FF1"/>
    <w:rsid w:val="004C4033"/>
    <w:rsid w:val="004C45C6"/>
    <w:rsid w:val="004C462E"/>
    <w:rsid w:val="004C47BE"/>
    <w:rsid w:val="004C56BB"/>
    <w:rsid w:val="004C6B21"/>
    <w:rsid w:val="004C6D9C"/>
    <w:rsid w:val="004C6EDC"/>
    <w:rsid w:val="004C6F4C"/>
    <w:rsid w:val="004C74B7"/>
    <w:rsid w:val="004C794B"/>
    <w:rsid w:val="004C7EF3"/>
    <w:rsid w:val="004D0044"/>
    <w:rsid w:val="004D0C68"/>
    <w:rsid w:val="004D0C88"/>
    <w:rsid w:val="004D0D91"/>
    <w:rsid w:val="004D12C4"/>
    <w:rsid w:val="004D13EA"/>
    <w:rsid w:val="004D1EAB"/>
    <w:rsid w:val="004D257E"/>
    <w:rsid w:val="004D25AB"/>
    <w:rsid w:val="004D2E91"/>
    <w:rsid w:val="004D364A"/>
    <w:rsid w:val="004D402E"/>
    <w:rsid w:val="004D4249"/>
    <w:rsid w:val="004D494B"/>
    <w:rsid w:val="004D4A0F"/>
    <w:rsid w:val="004D5775"/>
    <w:rsid w:val="004D5948"/>
    <w:rsid w:val="004D595F"/>
    <w:rsid w:val="004D61A8"/>
    <w:rsid w:val="004D7133"/>
    <w:rsid w:val="004D796B"/>
    <w:rsid w:val="004D7C38"/>
    <w:rsid w:val="004D7FBF"/>
    <w:rsid w:val="004E0578"/>
    <w:rsid w:val="004E0F0B"/>
    <w:rsid w:val="004E1324"/>
    <w:rsid w:val="004E1360"/>
    <w:rsid w:val="004E1471"/>
    <w:rsid w:val="004E1996"/>
    <w:rsid w:val="004E1F08"/>
    <w:rsid w:val="004E1F6F"/>
    <w:rsid w:val="004E2151"/>
    <w:rsid w:val="004E2885"/>
    <w:rsid w:val="004E39F9"/>
    <w:rsid w:val="004E4050"/>
    <w:rsid w:val="004E420B"/>
    <w:rsid w:val="004E499F"/>
    <w:rsid w:val="004E4B8A"/>
    <w:rsid w:val="004E51BB"/>
    <w:rsid w:val="004E5B01"/>
    <w:rsid w:val="004E5C74"/>
    <w:rsid w:val="004E67B3"/>
    <w:rsid w:val="004E7413"/>
    <w:rsid w:val="004E75B4"/>
    <w:rsid w:val="004E76FC"/>
    <w:rsid w:val="004F019B"/>
    <w:rsid w:val="004F01F7"/>
    <w:rsid w:val="004F03C3"/>
    <w:rsid w:val="004F0C02"/>
    <w:rsid w:val="004F0C1C"/>
    <w:rsid w:val="004F1386"/>
    <w:rsid w:val="004F1449"/>
    <w:rsid w:val="004F2245"/>
    <w:rsid w:val="004F237D"/>
    <w:rsid w:val="004F2A22"/>
    <w:rsid w:val="004F2EB8"/>
    <w:rsid w:val="004F348D"/>
    <w:rsid w:val="004F3650"/>
    <w:rsid w:val="004F3929"/>
    <w:rsid w:val="004F3B41"/>
    <w:rsid w:val="004F4016"/>
    <w:rsid w:val="004F4564"/>
    <w:rsid w:val="004F50E1"/>
    <w:rsid w:val="004F53DE"/>
    <w:rsid w:val="004F5ED8"/>
    <w:rsid w:val="004F64DD"/>
    <w:rsid w:val="004F6533"/>
    <w:rsid w:val="004F665A"/>
    <w:rsid w:val="004F7427"/>
    <w:rsid w:val="004F7463"/>
    <w:rsid w:val="004F7699"/>
    <w:rsid w:val="00500171"/>
    <w:rsid w:val="005003A6"/>
    <w:rsid w:val="005004AB"/>
    <w:rsid w:val="005018AB"/>
    <w:rsid w:val="00501909"/>
    <w:rsid w:val="00501910"/>
    <w:rsid w:val="005019C1"/>
    <w:rsid w:val="005024FD"/>
    <w:rsid w:val="00502D8B"/>
    <w:rsid w:val="0050331E"/>
    <w:rsid w:val="005033CE"/>
    <w:rsid w:val="00503555"/>
    <w:rsid w:val="00503F0A"/>
    <w:rsid w:val="00504107"/>
    <w:rsid w:val="00504599"/>
    <w:rsid w:val="00504809"/>
    <w:rsid w:val="00505DBD"/>
    <w:rsid w:val="00505F18"/>
    <w:rsid w:val="0050677F"/>
    <w:rsid w:val="00506D13"/>
    <w:rsid w:val="00507464"/>
    <w:rsid w:val="005079FD"/>
    <w:rsid w:val="00507A51"/>
    <w:rsid w:val="00507F92"/>
    <w:rsid w:val="0051067B"/>
    <w:rsid w:val="00510E64"/>
    <w:rsid w:val="005115D6"/>
    <w:rsid w:val="0051170F"/>
    <w:rsid w:val="00511AB2"/>
    <w:rsid w:val="00511C1D"/>
    <w:rsid w:val="005120D4"/>
    <w:rsid w:val="0051385A"/>
    <w:rsid w:val="0051396A"/>
    <w:rsid w:val="00513985"/>
    <w:rsid w:val="00514367"/>
    <w:rsid w:val="0051535C"/>
    <w:rsid w:val="005155CD"/>
    <w:rsid w:val="00515E61"/>
    <w:rsid w:val="00517594"/>
    <w:rsid w:val="00517622"/>
    <w:rsid w:val="005179CD"/>
    <w:rsid w:val="005179F5"/>
    <w:rsid w:val="0052033B"/>
    <w:rsid w:val="00520631"/>
    <w:rsid w:val="0052083F"/>
    <w:rsid w:val="00520DDF"/>
    <w:rsid w:val="005213C4"/>
    <w:rsid w:val="0052187D"/>
    <w:rsid w:val="00521EAE"/>
    <w:rsid w:val="005224A0"/>
    <w:rsid w:val="00522995"/>
    <w:rsid w:val="00522BEA"/>
    <w:rsid w:val="00523375"/>
    <w:rsid w:val="005235BF"/>
    <w:rsid w:val="00523B67"/>
    <w:rsid w:val="00523D06"/>
    <w:rsid w:val="00523F25"/>
    <w:rsid w:val="00523F73"/>
    <w:rsid w:val="005246CC"/>
    <w:rsid w:val="00525505"/>
    <w:rsid w:val="00525A27"/>
    <w:rsid w:val="00525B5D"/>
    <w:rsid w:val="0052615D"/>
    <w:rsid w:val="00526A64"/>
    <w:rsid w:val="00526DC0"/>
    <w:rsid w:val="0052703F"/>
    <w:rsid w:val="0053066F"/>
    <w:rsid w:val="00530769"/>
    <w:rsid w:val="00530F27"/>
    <w:rsid w:val="005319BD"/>
    <w:rsid w:val="00531E54"/>
    <w:rsid w:val="00531ED7"/>
    <w:rsid w:val="005322B8"/>
    <w:rsid w:val="005322E8"/>
    <w:rsid w:val="0053266B"/>
    <w:rsid w:val="00532F94"/>
    <w:rsid w:val="005331BB"/>
    <w:rsid w:val="00533B0C"/>
    <w:rsid w:val="005340E9"/>
    <w:rsid w:val="005342DE"/>
    <w:rsid w:val="00534663"/>
    <w:rsid w:val="00534829"/>
    <w:rsid w:val="005349F9"/>
    <w:rsid w:val="00534F0F"/>
    <w:rsid w:val="00535855"/>
    <w:rsid w:val="005360D3"/>
    <w:rsid w:val="00536266"/>
    <w:rsid w:val="00536818"/>
    <w:rsid w:val="00536947"/>
    <w:rsid w:val="00536B0B"/>
    <w:rsid w:val="00536F59"/>
    <w:rsid w:val="00537221"/>
    <w:rsid w:val="00537D53"/>
    <w:rsid w:val="005401F3"/>
    <w:rsid w:val="00540D24"/>
    <w:rsid w:val="00540D34"/>
    <w:rsid w:val="0054138E"/>
    <w:rsid w:val="00541F19"/>
    <w:rsid w:val="005426B7"/>
    <w:rsid w:val="005430ED"/>
    <w:rsid w:val="005440A4"/>
    <w:rsid w:val="005446B0"/>
    <w:rsid w:val="005448AE"/>
    <w:rsid w:val="005459A8"/>
    <w:rsid w:val="00545FA0"/>
    <w:rsid w:val="00546143"/>
    <w:rsid w:val="005473C2"/>
    <w:rsid w:val="00547A80"/>
    <w:rsid w:val="005506F0"/>
    <w:rsid w:val="0055088F"/>
    <w:rsid w:val="00550D9A"/>
    <w:rsid w:val="005510B1"/>
    <w:rsid w:val="00551459"/>
    <w:rsid w:val="00551785"/>
    <w:rsid w:val="00551A71"/>
    <w:rsid w:val="005527CB"/>
    <w:rsid w:val="00552927"/>
    <w:rsid w:val="00552C72"/>
    <w:rsid w:val="00553544"/>
    <w:rsid w:val="0055371A"/>
    <w:rsid w:val="00553A47"/>
    <w:rsid w:val="00553ADE"/>
    <w:rsid w:val="00553B49"/>
    <w:rsid w:val="005542B2"/>
    <w:rsid w:val="00554311"/>
    <w:rsid w:val="00555729"/>
    <w:rsid w:val="005566A3"/>
    <w:rsid w:val="00556E45"/>
    <w:rsid w:val="005573B3"/>
    <w:rsid w:val="005573BB"/>
    <w:rsid w:val="00557804"/>
    <w:rsid w:val="00557A02"/>
    <w:rsid w:val="00557A50"/>
    <w:rsid w:val="00557D06"/>
    <w:rsid w:val="00561042"/>
    <w:rsid w:val="0056196B"/>
    <w:rsid w:val="00561FD9"/>
    <w:rsid w:val="005622AB"/>
    <w:rsid w:val="005628D2"/>
    <w:rsid w:val="0056360C"/>
    <w:rsid w:val="0056363D"/>
    <w:rsid w:val="005643BD"/>
    <w:rsid w:val="00564BFF"/>
    <w:rsid w:val="00564D95"/>
    <w:rsid w:val="0056509A"/>
    <w:rsid w:val="005658C5"/>
    <w:rsid w:val="00565970"/>
    <w:rsid w:val="005660E2"/>
    <w:rsid w:val="0056613A"/>
    <w:rsid w:val="0056654D"/>
    <w:rsid w:val="00566725"/>
    <w:rsid w:val="00566C03"/>
    <w:rsid w:val="005677D4"/>
    <w:rsid w:val="00570930"/>
    <w:rsid w:val="00570C07"/>
    <w:rsid w:val="00571344"/>
    <w:rsid w:val="00571A0D"/>
    <w:rsid w:val="00571EAB"/>
    <w:rsid w:val="0057259D"/>
    <w:rsid w:val="005727D4"/>
    <w:rsid w:val="00573021"/>
    <w:rsid w:val="005735FC"/>
    <w:rsid w:val="00573616"/>
    <w:rsid w:val="00573F6C"/>
    <w:rsid w:val="00574623"/>
    <w:rsid w:val="00574BB1"/>
    <w:rsid w:val="00574BBB"/>
    <w:rsid w:val="00574BEC"/>
    <w:rsid w:val="00575688"/>
    <w:rsid w:val="005756A5"/>
    <w:rsid w:val="0057598D"/>
    <w:rsid w:val="00575F02"/>
    <w:rsid w:val="00576498"/>
    <w:rsid w:val="005765DB"/>
    <w:rsid w:val="00580044"/>
    <w:rsid w:val="00580134"/>
    <w:rsid w:val="00581EB2"/>
    <w:rsid w:val="00582103"/>
    <w:rsid w:val="0058254D"/>
    <w:rsid w:val="00582880"/>
    <w:rsid w:val="00582C08"/>
    <w:rsid w:val="00582C70"/>
    <w:rsid w:val="0058315D"/>
    <w:rsid w:val="00583185"/>
    <w:rsid w:val="0058374D"/>
    <w:rsid w:val="00584123"/>
    <w:rsid w:val="00584668"/>
    <w:rsid w:val="00585959"/>
    <w:rsid w:val="00585BC2"/>
    <w:rsid w:val="005867E7"/>
    <w:rsid w:val="00586AB8"/>
    <w:rsid w:val="00586C93"/>
    <w:rsid w:val="005873EB"/>
    <w:rsid w:val="00587A22"/>
    <w:rsid w:val="00590296"/>
    <w:rsid w:val="00590F88"/>
    <w:rsid w:val="005913D1"/>
    <w:rsid w:val="00591597"/>
    <w:rsid w:val="00591864"/>
    <w:rsid w:val="0059249C"/>
    <w:rsid w:val="00592E75"/>
    <w:rsid w:val="0059425A"/>
    <w:rsid w:val="005945C8"/>
    <w:rsid w:val="00595193"/>
    <w:rsid w:val="00595FD8"/>
    <w:rsid w:val="00596EBD"/>
    <w:rsid w:val="00596F4D"/>
    <w:rsid w:val="00596F83"/>
    <w:rsid w:val="0059735F"/>
    <w:rsid w:val="00597BC3"/>
    <w:rsid w:val="005A08D0"/>
    <w:rsid w:val="005A1138"/>
    <w:rsid w:val="005A18E0"/>
    <w:rsid w:val="005A19DB"/>
    <w:rsid w:val="005A2F23"/>
    <w:rsid w:val="005A2FC0"/>
    <w:rsid w:val="005A338D"/>
    <w:rsid w:val="005A36A2"/>
    <w:rsid w:val="005A3C12"/>
    <w:rsid w:val="005A4830"/>
    <w:rsid w:val="005A486A"/>
    <w:rsid w:val="005A4E0A"/>
    <w:rsid w:val="005A4FB1"/>
    <w:rsid w:val="005A54B6"/>
    <w:rsid w:val="005A54E0"/>
    <w:rsid w:val="005A75AD"/>
    <w:rsid w:val="005A79B9"/>
    <w:rsid w:val="005A7BC0"/>
    <w:rsid w:val="005A7D62"/>
    <w:rsid w:val="005A7E6C"/>
    <w:rsid w:val="005B0A78"/>
    <w:rsid w:val="005B0B58"/>
    <w:rsid w:val="005B188F"/>
    <w:rsid w:val="005B3B4E"/>
    <w:rsid w:val="005B4004"/>
    <w:rsid w:val="005B5169"/>
    <w:rsid w:val="005B51B2"/>
    <w:rsid w:val="005B53EB"/>
    <w:rsid w:val="005B5CC2"/>
    <w:rsid w:val="005B5E66"/>
    <w:rsid w:val="005B5F0A"/>
    <w:rsid w:val="005B63EF"/>
    <w:rsid w:val="005B66AD"/>
    <w:rsid w:val="005B6725"/>
    <w:rsid w:val="005B79CA"/>
    <w:rsid w:val="005B7C50"/>
    <w:rsid w:val="005B7DDF"/>
    <w:rsid w:val="005C0F96"/>
    <w:rsid w:val="005C202C"/>
    <w:rsid w:val="005C280E"/>
    <w:rsid w:val="005C29F8"/>
    <w:rsid w:val="005C2BA4"/>
    <w:rsid w:val="005C362A"/>
    <w:rsid w:val="005C3BB5"/>
    <w:rsid w:val="005C3DF6"/>
    <w:rsid w:val="005C4208"/>
    <w:rsid w:val="005C4311"/>
    <w:rsid w:val="005C50DB"/>
    <w:rsid w:val="005C6000"/>
    <w:rsid w:val="005C6BF5"/>
    <w:rsid w:val="005C6DCB"/>
    <w:rsid w:val="005C7E7C"/>
    <w:rsid w:val="005D0690"/>
    <w:rsid w:val="005D18BE"/>
    <w:rsid w:val="005D27F7"/>
    <w:rsid w:val="005D296B"/>
    <w:rsid w:val="005D2BAC"/>
    <w:rsid w:val="005D2BDF"/>
    <w:rsid w:val="005D2DDB"/>
    <w:rsid w:val="005D3F8B"/>
    <w:rsid w:val="005D4362"/>
    <w:rsid w:val="005D5131"/>
    <w:rsid w:val="005D5508"/>
    <w:rsid w:val="005D604C"/>
    <w:rsid w:val="005D6713"/>
    <w:rsid w:val="005D6D24"/>
    <w:rsid w:val="005D6EB4"/>
    <w:rsid w:val="005D7714"/>
    <w:rsid w:val="005E00AD"/>
    <w:rsid w:val="005E0303"/>
    <w:rsid w:val="005E05A2"/>
    <w:rsid w:val="005E0706"/>
    <w:rsid w:val="005E1087"/>
    <w:rsid w:val="005E127B"/>
    <w:rsid w:val="005E2440"/>
    <w:rsid w:val="005E34E0"/>
    <w:rsid w:val="005E5083"/>
    <w:rsid w:val="005E59DB"/>
    <w:rsid w:val="005E6AE6"/>
    <w:rsid w:val="005E70DD"/>
    <w:rsid w:val="005E7410"/>
    <w:rsid w:val="005E751A"/>
    <w:rsid w:val="005F00C3"/>
    <w:rsid w:val="005F0A05"/>
    <w:rsid w:val="005F0D3B"/>
    <w:rsid w:val="005F1C33"/>
    <w:rsid w:val="005F28F5"/>
    <w:rsid w:val="005F2D87"/>
    <w:rsid w:val="005F2FF9"/>
    <w:rsid w:val="005F3399"/>
    <w:rsid w:val="005F408F"/>
    <w:rsid w:val="005F442C"/>
    <w:rsid w:val="005F5010"/>
    <w:rsid w:val="005F5514"/>
    <w:rsid w:val="005F55A1"/>
    <w:rsid w:val="005F5EDD"/>
    <w:rsid w:val="005F5FE9"/>
    <w:rsid w:val="005F6116"/>
    <w:rsid w:val="005F61B8"/>
    <w:rsid w:val="005F6328"/>
    <w:rsid w:val="005F7457"/>
    <w:rsid w:val="005F7CB9"/>
    <w:rsid w:val="00600C5D"/>
    <w:rsid w:val="00600E15"/>
    <w:rsid w:val="006016F5"/>
    <w:rsid w:val="00601806"/>
    <w:rsid w:val="00602A2C"/>
    <w:rsid w:val="00602C4C"/>
    <w:rsid w:val="0060363C"/>
    <w:rsid w:val="00603B42"/>
    <w:rsid w:val="00604657"/>
    <w:rsid w:val="00605029"/>
    <w:rsid w:val="006051E8"/>
    <w:rsid w:val="0060541C"/>
    <w:rsid w:val="00605930"/>
    <w:rsid w:val="00605B96"/>
    <w:rsid w:val="00606346"/>
    <w:rsid w:val="006066C2"/>
    <w:rsid w:val="00606705"/>
    <w:rsid w:val="006073AD"/>
    <w:rsid w:val="006078CF"/>
    <w:rsid w:val="006104B2"/>
    <w:rsid w:val="006122DB"/>
    <w:rsid w:val="00612978"/>
    <w:rsid w:val="00612B24"/>
    <w:rsid w:val="006133A3"/>
    <w:rsid w:val="00613CEA"/>
    <w:rsid w:val="00613D6A"/>
    <w:rsid w:val="006148DA"/>
    <w:rsid w:val="00614B2B"/>
    <w:rsid w:val="00614E43"/>
    <w:rsid w:val="00615548"/>
    <w:rsid w:val="00615BD0"/>
    <w:rsid w:val="006164AF"/>
    <w:rsid w:val="006164C9"/>
    <w:rsid w:val="00616510"/>
    <w:rsid w:val="00616AB4"/>
    <w:rsid w:val="00616AF8"/>
    <w:rsid w:val="00616BA4"/>
    <w:rsid w:val="00616E19"/>
    <w:rsid w:val="00617714"/>
    <w:rsid w:val="00617B8B"/>
    <w:rsid w:val="00617F81"/>
    <w:rsid w:val="00620267"/>
    <w:rsid w:val="006203BF"/>
    <w:rsid w:val="00620A1E"/>
    <w:rsid w:val="006210B5"/>
    <w:rsid w:val="006217DF"/>
    <w:rsid w:val="00621E9E"/>
    <w:rsid w:val="006221A4"/>
    <w:rsid w:val="00622F65"/>
    <w:rsid w:val="006234B7"/>
    <w:rsid w:val="00623954"/>
    <w:rsid w:val="00625011"/>
    <w:rsid w:val="00625882"/>
    <w:rsid w:val="00625DA1"/>
    <w:rsid w:val="00625E3A"/>
    <w:rsid w:val="00626739"/>
    <w:rsid w:val="006267C0"/>
    <w:rsid w:val="006279F2"/>
    <w:rsid w:val="006301A1"/>
    <w:rsid w:val="00630925"/>
    <w:rsid w:val="006309D0"/>
    <w:rsid w:val="00630A49"/>
    <w:rsid w:val="00630DF5"/>
    <w:rsid w:val="006315A8"/>
    <w:rsid w:val="006318FB"/>
    <w:rsid w:val="00631963"/>
    <w:rsid w:val="00631A85"/>
    <w:rsid w:val="0063215B"/>
    <w:rsid w:val="00632372"/>
    <w:rsid w:val="006327F7"/>
    <w:rsid w:val="00632E65"/>
    <w:rsid w:val="00633044"/>
    <w:rsid w:val="006332DC"/>
    <w:rsid w:val="006335E9"/>
    <w:rsid w:val="0063426D"/>
    <w:rsid w:val="006342FA"/>
    <w:rsid w:val="0063434A"/>
    <w:rsid w:val="00634AD8"/>
    <w:rsid w:val="00635026"/>
    <w:rsid w:val="00635660"/>
    <w:rsid w:val="006357C5"/>
    <w:rsid w:val="006359CF"/>
    <w:rsid w:val="00635E50"/>
    <w:rsid w:val="00636061"/>
    <w:rsid w:val="0063655B"/>
    <w:rsid w:val="00636B0E"/>
    <w:rsid w:val="006376ED"/>
    <w:rsid w:val="00637BE2"/>
    <w:rsid w:val="00637C47"/>
    <w:rsid w:val="006407B2"/>
    <w:rsid w:val="00640F04"/>
    <w:rsid w:val="00641023"/>
    <w:rsid w:val="00641149"/>
    <w:rsid w:val="0064117D"/>
    <w:rsid w:val="006414D9"/>
    <w:rsid w:val="00641893"/>
    <w:rsid w:val="00641AC8"/>
    <w:rsid w:val="00641F99"/>
    <w:rsid w:val="0064217C"/>
    <w:rsid w:val="006424B2"/>
    <w:rsid w:val="00642FF1"/>
    <w:rsid w:val="00642FFD"/>
    <w:rsid w:val="0064369A"/>
    <w:rsid w:val="00643D78"/>
    <w:rsid w:val="00644A3A"/>
    <w:rsid w:val="00644AC8"/>
    <w:rsid w:val="0064501C"/>
    <w:rsid w:val="00645750"/>
    <w:rsid w:val="006457D1"/>
    <w:rsid w:val="00646642"/>
    <w:rsid w:val="00646E42"/>
    <w:rsid w:val="006470C4"/>
    <w:rsid w:val="0064716E"/>
    <w:rsid w:val="0064778E"/>
    <w:rsid w:val="006478FC"/>
    <w:rsid w:val="006479A2"/>
    <w:rsid w:val="00647F29"/>
    <w:rsid w:val="00650385"/>
    <w:rsid w:val="00650524"/>
    <w:rsid w:val="00650873"/>
    <w:rsid w:val="00650E5B"/>
    <w:rsid w:val="00651E83"/>
    <w:rsid w:val="00652135"/>
    <w:rsid w:val="006536FF"/>
    <w:rsid w:val="00653B49"/>
    <w:rsid w:val="00653D42"/>
    <w:rsid w:val="006543C8"/>
    <w:rsid w:val="0065474E"/>
    <w:rsid w:val="00654A4B"/>
    <w:rsid w:val="0065503C"/>
    <w:rsid w:val="006550C3"/>
    <w:rsid w:val="006555C2"/>
    <w:rsid w:val="00655C91"/>
    <w:rsid w:val="00655F47"/>
    <w:rsid w:val="0065643A"/>
    <w:rsid w:val="00657135"/>
    <w:rsid w:val="00660173"/>
    <w:rsid w:val="006603CA"/>
    <w:rsid w:val="006618C8"/>
    <w:rsid w:val="006620B0"/>
    <w:rsid w:val="006620F3"/>
    <w:rsid w:val="00662806"/>
    <w:rsid w:val="00664D35"/>
    <w:rsid w:val="00665097"/>
    <w:rsid w:val="00665E2F"/>
    <w:rsid w:val="00665E66"/>
    <w:rsid w:val="00666042"/>
    <w:rsid w:val="00667704"/>
    <w:rsid w:val="00667B66"/>
    <w:rsid w:val="00670C09"/>
    <w:rsid w:val="00671E7A"/>
    <w:rsid w:val="006728F7"/>
    <w:rsid w:val="00672CF2"/>
    <w:rsid w:val="00672EE9"/>
    <w:rsid w:val="006736C1"/>
    <w:rsid w:val="006737FF"/>
    <w:rsid w:val="00673813"/>
    <w:rsid w:val="00674187"/>
    <w:rsid w:val="006746B1"/>
    <w:rsid w:val="006748D9"/>
    <w:rsid w:val="00674A5C"/>
    <w:rsid w:val="0067614F"/>
    <w:rsid w:val="00676225"/>
    <w:rsid w:val="00676431"/>
    <w:rsid w:val="006765F7"/>
    <w:rsid w:val="0067663D"/>
    <w:rsid w:val="006766B1"/>
    <w:rsid w:val="00676950"/>
    <w:rsid w:val="006771AA"/>
    <w:rsid w:val="00677BB1"/>
    <w:rsid w:val="00677C8C"/>
    <w:rsid w:val="006800AF"/>
    <w:rsid w:val="00680330"/>
    <w:rsid w:val="00680720"/>
    <w:rsid w:val="00681631"/>
    <w:rsid w:val="00681B2A"/>
    <w:rsid w:val="00681BA6"/>
    <w:rsid w:val="006822BE"/>
    <w:rsid w:val="006833AD"/>
    <w:rsid w:val="00683CF6"/>
    <w:rsid w:val="00684B51"/>
    <w:rsid w:val="00684EE4"/>
    <w:rsid w:val="00685039"/>
    <w:rsid w:val="006856E6"/>
    <w:rsid w:val="00685BA9"/>
    <w:rsid w:val="00686ABE"/>
    <w:rsid w:val="00686D7F"/>
    <w:rsid w:val="00686E2E"/>
    <w:rsid w:val="006879FA"/>
    <w:rsid w:val="006904CC"/>
    <w:rsid w:val="006905C9"/>
    <w:rsid w:val="00690A61"/>
    <w:rsid w:val="00690AC9"/>
    <w:rsid w:val="00691390"/>
    <w:rsid w:val="00691ABA"/>
    <w:rsid w:val="0069207F"/>
    <w:rsid w:val="00692B95"/>
    <w:rsid w:val="006936D7"/>
    <w:rsid w:val="006938D2"/>
    <w:rsid w:val="00693A7B"/>
    <w:rsid w:val="00694372"/>
    <w:rsid w:val="00694A39"/>
    <w:rsid w:val="00694EEA"/>
    <w:rsid w:val="00695A84"/>
    <w:rsid w:val="00695D78"/>
    <w:rsid w:val="00696E62"/>
    <w:rsid w:val="0069727E"/>
    <w:rsid w:val="006972BA"/>
    <w:rsid w:val="006973EB"/>
    <w:rsid w:val="00697434"/>
    <w:rsid w:val="006A01BD"/>
    <w:rsid w:val="006A02EA"/>
    <w:rsid w:val="006A08B4"/>
    <w:rsid w:val="006A11BE"/>
    <w:rsid w:val="006A28DE"/>
    <w:rsid w:val="006A36C0"/>
    <w:rsid w:val="006A3AA9"/>
    <w:rsid w:val="006A3B84"/>
    <w:rsid w:val="006A417F"/>
    <w:rsid w:val="006A44D8"/>
    <w:rsid w:val="006A451B"/>
    <w:rsid w:val="006A4596"/>
    <w:rsid w:val="006A5203"/>
    <w:rsid w:val="006A5881"/>
    <w:rsid w:val="006A72FD"/>
    <w:rsid w:val="006A7CCA"/>
    <w:rsid w:val="006A7DB5"/>
    <w:rsid w:val="006B0D68"/>
    <w:rsid w:val="006B0F30"/>
    <w:rsid w:val="006B0FD9"/>
    <w:rsid w:val="006B10DC"/>
    <w:rsid w:val="006B14AD"/>
    <w:rsid w:val="006B15E1"/>
    <w:rsid w:val="006B1FFB"/>
    <w:rsid w:val="006B23FB"/>
    <w:rsid w:val="006B33AE"/>
    <w:rsid w:val="006B39BD"/>
    <w:rsid w:val="006B4436"/>
    <w:rsid w:val="006B48EA"/>
    <w:rsid w:val="006B4CA9"/>
    <w:rsid w:val="006B4D98"/>
    <w:rsid w:val="006B5083"/>
    <w:rsid w:val="006B5750"/>
    <w:rsid w:val="006B7031"/>
    <w:rsid w:val="006B75A3"/>
    <w:rsid w:val="006C0729"/>
    <w:rsid w:val="006C0CA1"/>
    <w:rsid w:val="006C25C4"/>
    <w:rsid w:val="006C2704"/>
    <w:rsid w:val="006C28CF"/>
    <w:rsid w:val="006C3252"/>
    <w:rsid w:val="006C3322"/>
    <w:rsid w:val="006C3A3D"/>
    <w:rsid w:val="006C3B7E"/>
    <w:rsid w:val="006C4BB8"/>
    <w:rsid w:val="006C4DA7"/>
    <w:rsid w:val="006C4F90"/>
    <w:rsid w:val="006C575D"/>
    <w:rsid w:val="006C58FD"/>
    <w:rsid w:val="006C6111"/>
    <w:rsid w:val="006C6B39"/>
    <w:rsid w:val="006C6D4D"/>
    <w:rsid w:val="006C7125"/>
    <w:rsid w:val="006D0A52"/>
    <w:rsid w:val="006D117B"/>
    <w:rsid w:val="006D16E4"/>
    <w:rsid w:val="006D1A2B"/>
    <w:rsid w:val="006D20B0"/>
    <w:rsid w:val="006D21A8"/>
    <w:rsid w:val="006D3BD7"/>
    <w:rsid w:val="006D437F"/>
    <w:rsid w:val="006D44DC"/>
    <w:rsid w:val="006D4F8F"/>
    <w:rsid w:val="006D5982"/>
    <w:rsid w:val="006D5A8B"/>
    <w:rsid w:val="006D5C56"/>
    <w:rsid w:val="006D5DC4"/>
    <w:rsid w:val="006D5E8D"/>
    <w:rsid w:val="006D5ECB"/>
    <w:rsid w:val="006D650D"/>
    <w:rsid w:val="006D685F"/>
    <w:rsid w:val="006D7047"/>
    <w:rsid w:val="006D741F"/>
    <w:rsid w:val="006D77A0"/>
    <w:rsid w:val="006D7D0C"/>
    <w:rsid w:val="006D7F77"/>
    <w:rsid w:val="006E0CC6"/>
    <w:rsid w:val="006E1738"/>
    <w:rsid w:val="006E1A87"/>
    <w:rsid w:val="006E2B53"/>
    <w:rsid w:val="006E2BBB"/>
    <w:rsid w:val="006E2D94"/>
    <w:rsid w:val="006E3226"/>
    <w:rsid w:val="006E3F55"/>
    <w:rsid w:val="006E4B85"/>
    <w:rsid w:val="006E52F6"/>
    <w:rsid w:val="006E5A3F"/>
    <w:rsid w:val="006E5AE4"/>
    <w:rsid w:val="006E60EA"/>
    <w:rsid w:val="006E6280"/>
    <w:rsid w:val="006F0B24"/>
    <w:rsid w:val="006F0FFF"/>
    <w:rsid w:val="006F1DE4"/>
    <w:rsid w:val="006F2250"/>
    <w:rsid w:val="006F2592"/>
    <w:rsid w:val="006F2A7D"/>
    <w:rsid w:val="006F3531"/>
    <w:rsid w:val="006F391E"/>
    <w:rsid w:val="006F3C93"/>
    <w:rsid w:val="006F4307"/>
    <w:rsid w:val="006F4BF7"/>
    <w:rsid w:val="006F5957"/>
    <w:rsid w:val="006F6351"/>
    <w:rsid w:val="006F6B8F"/>
    <w:rsid w:val="0070083E"/>
    <w:rsid w:val="00700E96"/>
    <w:rsid w:val="00700FD9"/>
    <w:rsid w:val="00701B5B"/>
    <w:rsid w:val="00702A40"/>
    <w:rsid w:val="00702CFF"/>
    <w:rsid w:val="00703FA0"/>
    <w:rsid w:val="00704B70"/>
    <w:rsid w:val="00704C17"/>
    <w:rsid w:val="00704E6A"/>
    <w:rsid w:val="007057AB"/>
    <w:rsid w:val="007059B2"/>
    <w:rsid w:val="007072DC"/>
    <w:rsid w:val="00707AF3"/>
    <w:rsid w:val="00707D22"/>
    <w:rsid w:val="0071007C"/>
    <w:rsid w:val="0071022D"/>
    <w:rsid w:val="007104B6"/>
    <w:rsid w:val="00710CAA"/>
    <w:rsid w:val="00711473"/>
    <w:rsid w:val="007122B2"/>
    <w:rsid w:val="007123A2"/>
    <w:rsid w:val="00712877"/>
    <w:rsid w:val="007134D3"/>
    <w:rsid w:val="007135ED"/>
    <w:rsid w:val="0071385D"/>
    <w:rsid w:val="00713B92"/>
    <w:rsid w:val="007146BE"/>
    <w:rsid w:val="00714F02"/>
    <w:rsid w:val="00715CA8"/>
    <w:rsid w:val="00715E1E"/>
    <w:rsid w:val="007164C1"/>
    <w:rsid w:val="00716EB9"/>
    <w:rsid w:val="00717580"/>
    <w:rsid w:val="00717710"/>
    <w:rsid w:val="00720099"/>
    <w:rsid w:val="007200FD"/>
    <w:rsid w:val="0072060C"/>
    <w:rsid w:val="00720AC8"/>
    <w:rsid w:val="00721FDA"/>
    <w:rsid w:val="007227E3"/>
    <w:rsid w:val="007239EC"/>
    <w:rsid w:val="00723A08"/>
    <w:rsid w:val="007243CE"/>
    <w:rsid w:val="00724BCB"/>
    <w:rsid w:val="00724E03"/>
    <w:rsid w:val="00724EC4"/>
    <w:rsid w:val="00724F2E"/>
    <w:rsid w:val="00725433"/>
    <w:rsid w:val="007257BA"/>
    <w:rsid w:val="00725955"/>
    <w:rsid w:val="00725A32"/>
    <w:rsid w:val="007262AD"/>
    <w:rsid w:val="007270F5"/>
    <w:rsid w:val="00727644"/>
    <w:rsid w:val="00727E58"/>
    <w:rsid w:val="007303FE"/>
    <w:rsid w:val="0073090D"/>
    <w:rsid w:val="00730C62"/>
    <w:rsid w:val="007312B2"/>
    <w:rsid w:val="00731E72"/>
    <w:rsid w:val="0073226E"/>
    <w:rsid w:val="007327EA"/>
    <w:rsid w:val="00733048"/>
    <w:rsid w:val="007341C1"/>
    <w:rsid w:val="00734221"/>
    <w:rsid w:val="0073456C"/>
    <w:rsid w:val="0073461B"/>
    <w:rsid w:val="007350F7"/>
    <w:rsid w:val="007362A1"/>
    <w:rsid w:val="00736620"/>
    <w:rsid w:val="00736AE6"/>
    <w:rsid w:val="00736E83"/>
    <w:rsid w:val="00737087"/>
    <w:rsid w:val="00740CBC"/>
    <w:rsid w:val="007413DC"/>
    <w:rsid w:val="0074189E"/>
    <w:rsid w:val="007419A9"/>
    <w:rsid w:val="007419E3"/>
    <w:rsid w:val="00741A36"/>
    <w:rsid w:val="00742A9D"/>
    <w:rsid w:val="00742DCB"/>
    <w:rsid w:val="00742E14"/>
    <w:rsid w:val="00742F8B"/>
    <w:rsid w:val="00743643"/>
    <w:rsid w:val="00743759"/>
    <w:rsid w:val="00743EED"/>
    <w:rsid w:val="00744152"/>
    <w:rsid w:val="0074473E"/>
    <w:rsid w:val="0074520E"/>
    <w:rsid w:val="00745BF1"/>
    <w:rsid w:val="0074762E"/>
    <w:rsid w:val="00747DFB"/>
    <w:rsid w:val="007504AA"/>
    <w:rsid w:val="00750CD5"/>
    <w:rsid w:val="00751BFA"/>
    <w:rsid w:val="007524CC"/>
    <w:rsid w:val="007529F4"/>
    <w:rsid w:val="00752BAF"/>
    <w:rsid w:val="00752D76"/>
    <w:rsid w:val="00752EFE"/>
    <w:rsid w:val="00752FA3"/>
    <w:rsid w:val="0075451F"/>
    <w:rsid w:val="007545B3"/>
    <w:rsid w:val="00755AF7"/>
    <w:rsid w:val="0075626F"/>
    <w:rsid w:val="00756827"/>
    <w:rsid w:val="00756ABA"/>
    <w:rsid w:val="00756B33"/>
    <w:rsid w:val="00757054"/>
    <w:rsid w:val="00757B8A"/>
    <w:rsid w:val="00757D21"/>
    <w:rsid w:val="0076014E"/>
    <w:rsid w:val="007605BB"/>
    <w:rsid w:val="00760C8C"/>
    <w:rsid w:val="007617A4"/>
    <w:rsid w:val="00762DE8"/>
    <w:rsid w:val="0076314D"/>
    <w:rsid w:val="007631DD"/>
    <w:rsid w:val="00763780"/>
    <w:rsid w:val="007637D6"/>
    <w:rsid w:val="007639D7"/>
    <w:rsid w:val="00763C24"/>
    <w:rsid w:val="00763F84"/>
    <w:rsid w:val="00764DDE"/>
    <w:rsid w:val="00764FE1"/>
    <w:rsid w:val="00767A2B"/>
    <w:rsid w:val="007703CC"/>
    <w:rsid w:val="00770816"/>
    <w:rsid w:val="007709B9"/>
    <w:rsid w:val="00770AF9"/>
    <w:rsid w:val="0077120F"/>
    <w:rsid w:val="007717C9"/>
    <w:rsid w:val="0077223E"/>
    <w:rsid w:val="0077257F"/>
    <w:rsid w:val="00773230"/>
    <w:rsid w:val="0077340A"/>
    <w:rsid w:val="00773D70"/>
    <w:rsid w:val="00773DD2"/>
    <w:rsid w:val="007742F1"/>
    <w:rsid w:val="00774726"/>
    <w:rsid w:val="00774972"/>
    <w:rsid w:val="00774A11"/>
    <w:rsid w:val="00774A90"/>
    <w:rsid w:val="00774DE0"/>
    <w:rsid w:val="00775686"/>
    <w:rsid w:val="00775716"/>
    <w:rsid w:val="007757B1"/>
    <w:rsid w:val="00775845"/>
    <w:rsid w:val="007765EF"/>
    <w:rsid w:val="007767D3"/>
    <w:rsid w:val="00776DD1"/>
    <w:rsid w:val="00776F26"/>
    <w:rsid w:val="0077712B"/>
    <w:rsid w:val="0077753E"/>
    <w:rsid w:val="00777946"/>
    <w:rsid w:val="007800BD"/>
    <w:rsid w:val="00780340"/>
    <w:rsid w:val="0078056F"/>
    <w:rsid w:val="00780CF3"/>
    <w:rsid w:val="00781112"/>
    <w:rsid w:val="007816D8"/>
    <w:rsid w:val="00781C0F"/>
    <w:rsid w:val="007822E4"/>
    <w:rsid w:val="007822FD"/>
    <w:rsid w:val="00782606"/>
    <w:rsid w:val="0078269B"/>
    <w:rsid w:val="007827D9"/>
    <w:rsid w:val="00782979"/>
    <w:rsid w:val="00782B5F"/>
    <w:rsid w:val="00782EC8"/>
    <w:rsid w:val="00782FB6"/>
    <w:rsid w:val="00783479"/>
    <w:rsid w:val="00783F1A"/>
    <w:rsid w:val="00784854"/>
    <w:rsid w:val="0078491F"/>
    <w:rsid w:val="0078546F"/>
    <w:rsid w:val="00785672"/>
    <w:rsid w:val="00785806"/>
    <w:rsid w:val="0078594A"/>
    <w:rsid w:val="007870F8"/>
    <w:rsid w:val="007874BB"/>
    <w:rsid w:val="00787AEB"/>
    <w:rsid w:val="007905E6"/>
    <w:rsid w:val="007917AE"/>
    <w:rsid w:val="00791C5F"/>
    <w:rsid w:val="00791DEB"/>
    <w:rsid w:val="007925C6"/>
    <w:rsid w:val="0079360D"/>
    <w:rsid w:val="00794672"/>
    <w:rsid w:val="00794931"/>
    <w:rsid w:val="00794A41"/>
    <w:rsid w:val="007950D4"/>
    <w:rsid w:val="007953D7"/>
    <w:rsid w:val="007954D3"/>
    <w:rsid w:val="00795995"/>
    <w:rsid w:val="00795E9E"/>
    <w:rsid w:val="00796266"/>
    <w:rsid w:val="00796DC0"/>
    <w:rsid w:val="007A00C1"/>
    <w:rsid w:val="007A0221"/>
    <w:rsid w:val="007A1398"/>
    <w:rsid w:val="007A1B2A"/>
    <w:rsid w:val="007A2822"/>
    <w:rsid w:val="007A35E2"/>
    <w:rsid w:val="007A3964"/>
    <w:rsid w:val="007A3A34"/>
    <w:rsid w:val="007A467C"/>
    <w:rsid w:val="007A470E"/>
    <w:rsid w:val="007A59A7"/>
    <w:rsid w:val="007A5B01"/>
    <w:rsid w:val="007A5B63"/>
    <w:rsid w:val="007A5BA6"/>
    <w:rsid w:val="007A5EC1"/>
    <w:rsid w:val="007A62B9"/>
    <w:rsid w:val="007A6310"/>
    <w:rsid w:val="007A644D"/>
    <w:rsid w:val="007A6818"/>
    <w:rsid w:val="007A715D"/>
    <w:rsid w:val="007A7E81"/>
    <w:rsid w:val="007A7E93"/>
    <w:rsid w:val="007B0A26"/>
    <w:rsid w:val="007B1221"/>
    <w:rsid w:val="007B1B7E"/>
    <w:rsid w:val="007B1DB7"/>
    <w:rsid w:val="007B2B8D"/>
    <w:rsid w:val="007B35BE"/>
    <w:rsid w:val="007B46BF"/>
    <w:rsid w:val="007B5383"/>
    <w:rsid w:val="007B6017"/>
    <w:rsid w:val="007B61E6"/>
    <w:rsid w:val="007B69ED"/>
    <w:rsid w:val="007B6B98"/>
    <w:rsid w:val="007B7736"/>
    <w:rsid w:val="007B78ED"/>
    <w:rsid w:val="007B7ACE"/>
    <w:rsid w:val="007B7D25"/>
    <w:rsid w:val="007C0107"/>
    <w:rsid w:val="007C0E6F"/>
    <w:rsid w:val="007C139C"/>
    <w:rsid w:val="007C1AC4"/>
    <w:rsid w:val="007C1BCF"/>
    <w:rsid w:val="007C1FC9"/>
    <w:rsid w:val="007C2607"/>
    <w:rsid w:val="007C29FA"/>
    <w:rsid w:val="007C2ABB"/>
    <w:rsid w:val="007C2BE4"/>
    <w:rsid w:val="007C3C89"/>
    <w:rsid w:val="007C3E25"/>
    <w:rsid w:val="007C4262"/>
    <w:rsid w:val="007C4B0E"/>
    <w:rsid w:val="007C5CB2"/>
    <w:rsid w:val="007C66BF"/>
    <w:rsid w:val="007C67E2"/>
    <w:rsid w:val="007C7971"/>
    <w:rsid w:val="007C7DFF"/>
    <w:rsid w:val="007C7E17"/>
    <w:rsid w:val="007D01BC"/>
    <w:rsid w:val="007D100A"/>
    <w:rsid w:val="007D1137"/>
    <w:rsid w:val="007D116C"/>
    <w:rsid w:val="007D12EA"/>
    <w:rsid w:val="007D156B"/>
    <w:rsid w:val="007D168C"/>
    <w:rsid w:val="007D219D"/>
    <w:rsid w:val="007D2F92"/>
    <w:rsid w:val="007D374D"/>
    <w:rsid w:val="007D3D18"/>
    <w:rsid w:val="007D3F55"/>
    <w:rsid w:val="007D4253"/>
    <w:rsid w:val="007D433F"/>
    <w:rsid w:val="007D435F"/>
    <w:rsid w:val="007D527A"/>
    <w:rsid w:val="007D5D8B"/>
    <w:rsid w:val="007D5FA6"/>
    <w:rsid w:val="007D64C9"/>
    <w:rsid w:val="007D6635"/>
    <w:rsid w:val="007D6BB1"/>
    <w:rsid w:val="007D755C"/>
    <w:rsid w:val="007D798F"/>
    <w:rsid w:val="007D7A20"/>
    <w:rsid w:val="007E0A04"/>
    <w:rsid w:val="007E10E7"/>
    <w:rsid w:val="007E1738"/>
    <w:rsid w:val="007E1791"/>
    <w:rsid w:val="007E1833"/>
    <w:rsid w:val="007E2779"/>
    <w:rsid w:val="007E3073"/>
    <w:rsid w:val="007E3B19"/>
    <w:rsid w:val="007E4314"/>
    <w:rsid w:val="007E4572"/>
    <w:rsid w:val="007E4BE9"/>
    <w:rsid w:val="007E4BF2"/>
    <w:rsid w:val="007E5038"/>
    <w:rsid w:val="007E57D2"/>
    <w:rsid w:val="007E58E3"/>
    <w:rsid w:val="007E5E5B"/>
    <w:rsid w:val="007E6407"/>
    <w:rsid w:val="007E6810"/>
    <w:rsid w:val="007E6F97"/>
    <w:rsid w:val="007E6F9F"/>
    <w:rsid w:val="007E7764"/>
    <w:rsid w:val="007E77D6"/>
    <w:rsid w:val="007E7C36"/>
    <w:rsid w:val="007E7D2A"/>
    <w:rsid w:val="007F0425"/>
    <w:rsid w:val="007F0944"/>
    <w:rsid w:val="007F0969"/>
    <w:rsid w:val="007F0C33"/>
    <w:rsid w:val="007F0C5F"/>
    <w:rsid w:val="007F0CEC"/>
    <w:rsid w:val="007F10E6"/>
    <w:rsid w:val="007F1174"/>
    <w:rsid w:val="007F11D7"/>
    <w:rsid w:val="007F1383"/>
    <w:rsid w:val="007F15BC"/>
    <w:rsid w:val="007F164B"/>
    <w:rsid w:val="007F1D12"/>
    <w:rsid w:val="007F1DA7"/>
    <w:rsid w:val="007F1F79"/>
    <w:rsid w:val="007F2313"/>
    <w:rsid w:val="007F24E2"/>
    <w:rsid w:val="007F2DDE"/>
    <w:rsid w:val="007F337D"/>
    <w:rsid w:val="007F3B1A"/>
    <w:rsid w:val="007F3BA1"/>
    <w:rsid w:val="007F41FD"/>
    <w:rsid w:val="007F44A9"/>
    <w:rsid w:val="007F4592"/>
    <w:rsid w:val="007F5071"/>
    <w:rsid w:val="007F50EE"/>
    <w:rsid w:val="007F53F1"/>
    <w:rsid w:val="007F5604"/>
    <w:rsid w:val="007F6192"/>
    <w:rsid w:val="007F6756"/>
    <w:rsid w:val="007F67A9"/>
    <w:rsid w:val="007F67C7"/>
    <w:rsid w:val="007F6AFF"/>
    <w:rsid w:val="007F7063"/>
    <w:rsid w:val="007F7E44"/>
    <w:rsid w:val="007F7FF8"/>
    <w:rsid w:val="00802665"/>
    <w:rsid w:val="00802A46"/>
    <w:rsid w:val="00803155"/>
    <w:rsid w:val="00803CFD"/>
    <w:rsid w:val="00803FBB"/>
    <w:rsid w:val="0080439F"/>
    <w:rsid w:val="008043A8"/>
    <w:rsid w:val="00805DD3"/>
    <w:rsid w:val="00805F54"/>
    <w:rsid w:val="00806AE6"/>
    <w:rsid w:val="00806C75"/>
    <w:rsid w:val="008078DE"/>
    <w:rsid w:val="00807AD3"/>
    <w:rsid w:val="008108AC"/>
    <w:rsid w:val="008115FD"/>
    <w:rsid w:val="00811A99"/>
    <w:rsid w:val="00811B13"/>
    <w:rsid w:val="008137CC"/>
    <w:rsid w:val="0081430E"/>
    <w:rsid w:val="00814341"/>
    <w:rsid w:val="008149EF"/>
    <w:rsid w:val="008151EC"/>
    <w:rsid w:val="00815B9B"/>
    <w:rsid w:val="00816065"/>
    <w:rsid w:val="00817042"/>
    <w:rsid w:val="008174C3"/>
    <w:rsid w:val="00820441"/>
    <w:rsid w:val="008206CE"/>
    <w:rsid w:val="00820751"/>
    <w:rsid w:val="00820AD0"/>
    <w:rsid w:val="0082130B"/>
    <w:rsid w:val="00821BA2"/>
    <w:rsid w:val="008221C1"/>
    <w:rsid w:val="008227D4"/>
    <w:rsid w:val="00823232"/>
    <w:rsid w:val="00823A32"/>
    <w:rsid w:val="00823B4C"/>
    <w:rsid w:val="0082411F"/>
    <w:rsid w:val="00824D00"/>
    <w:rsid w:val="00825455"/>
    <w:rsid w:val="00825520"/>
    <w:rsid w:val="0082560D"/>
    <w:rsid w:val="0082568C"/>
    <w:rsid w:val="0082574D"/>
    <w:rsid w:val="00825D03"/>
    <w:rsid w:val="00825F7C"/>
    <w:rsid w:val="00826A26"/>
    <w:rsid w:val="00826CF1"/>
    <w:rsid w:val="00826D36"/>
    <w:rsid w:val="00827192"/>
    <w:rsid w:val="00827EE7"/>
    <w:rsid w:val="00827FF4"/>
    <w:rsid w:val="00830159"/>
    <w:rsid w:val="00830178"/>
    <w:rsid w:val="00831025"/>
    <w:rsid w:val="00831752"/>
    <w:rsid w:val="00831B93"/>
    <w:rsid w:val="00831CDE"/>
    <w:rsid w:val="0083260B"/>
    <w:rsid w:val="008327A8"/>
    <w:rsid w:val="00832807"/>
    <w:rsid w:val="00832D0E"/>
    <w:rsid w:val="0083356C"/>
    <w:rsid w:val="00833727"/>
    <w:rsid w:val="0083390E"/>
    <w:rsid w:val="00833FDC"/>
    <w:rsid w:val="008345E5"/>
    <w:rsid w:val="0083466B"/>
    <w:rsid w:val="0083484B"/>
    <w:rsid w:val="00834A7C"/>
    <w:rsid w:val="00834FE5"/>
    <w:rsid w:val="0083500D"/>
    <w:rsid w:val="00835297"/>
    <w:rsid w:val="00835A6C"/>
    <w:rsid w:val="00835CCC"/>
    <w:rsid w:val="00835EAD"/>
    <w:rsid w:val="00835F30"/>
    <w:rsid w:val="00836687"/>
    <w:rsid w:val="008375EB"/>
    <w:rsid w:val="00837E94"/>
    <w:rsid w:val="0084082F"/>
    <w:rsid w:val="00841302"/>
    <w:rsid w:val="00841CCE"/>
    <w:rsid w:val="008438DC"/>
    <w:rsid w:val="00843E0F"/>
    <w:rsid w:val="008446B4"/>
    <w:rsid w:val="00844ADE"/>
    <w:rsid w:val="00844FD2"/>
    <w:rsid w:val="00845096"/>
    <w:rsid w:val="00845242"/>
    <w:rsid w:val="00845C0C"/>
    <w:rsid w:val="00846055"/>
    <w:rsid w:val="0084674B"/>
    <w:rsid w:val="008469C7"/>
    <w:rsid w:val="00846D41"/>
    <w:rsid w:val="00846E78"/>
    <w:rsid w:val="0084727C"/>
    <w:rsid w:val="0084736E"/>
    <w:rsid w:val="008474CD"/>
    <w:rsid w:val="00847776"/>
    <w:rsid w:val="00847916"/>
    <w:rsid w:val="00847C4D"/>
    <w:rsid w:val="008500C1"/>
    <w:rsid w:val="00850BB0"/>
    <w:rsid w:val="0085119E"/>
    <w:rsid w:val="00851CC5"/>
    <w:rsid w:val="00851D2C"/>
    <w:rsid w:val="00851F98"/>
    <w:rsid w:val="008521F9"/>
    <w:rsid w:val="00852263"/>
    <w:rsid w:val="00852D5E"/>
    <w:rsid w:val="0085317B"/>
    <w:rsid w:val="0085328E"/>
    <w:rsid w:val="00853F0A"/>
    <w:rsid w:val="0085462C"/>
    <w:rsid w:val="008546BE"/>
    <w:rsid w:val="0085496F"/>
    <w:rsid w:val="00854A7F"/>
    <w:rsid w:val="008555F3"/>
    <w:rsid w:val="00855879"/>
    <w:rsid w:val="0085627F"/>
    <w:rsid w:val="00856344"/>
    <w:rsid w:val="008567C0"/>
    <w:rsid w:val="00856A9E"/>
    <w:rsid w:val="00856B0E"/>
    <w:rsid w:val="00856BA3"/>
    <w:rsid w:val="00856C4E"/>
    <w:rsid w:val="00856DE7"/>
    <w:rsid w:val="008579DB"/>
    <w:rsid w:val="00857B7C"/>
    <w:rsid w:val="00857C39"/>
    <w:rsid w:val="00857E4F"/>
    <w:rsid w:val="00861035"/>
    <w:rsid w:val="008610A8"/>
    <w:rsid w:val="00861D31"/>
    <w:rsid w:val="00861FBA"/>
    <w:rsid w:val="0086206B"/>
    <w:rsid w:val="00862248"/>
    <w:rsid w:val="008626F6"/>
    <w:rsid w:val="00862AC4"/>
    <w:rsid w:val="00862B20"/>
    <w:rsid w:val="00862B39"/>
    <w:rsid w:val="00862DA1"/>
    <w:rsid w:val="008637F8"/>
    <w:rsid w:val="0086391F"/>
    <w:rsid w:val="008639A1"/>
    <w:rsid w:val="008644AD"/>
    <w:rsid w:val="008645AD"/>
    <w:rsid w:val="00864A46"/>
    <w:rsid w:val="00864D12"/>
    <w:rsid w:val="00864E23"/>
    <w:rsid w:val="00864F0F"/>
    <w:rsid w:val="008652F1"/>
    <w:rsid w:val="00865331"/>
    <w:rsid w:val="008657CA"/>
    <w:rsid w:val="00865DD5"/>
    <w:rsid w:val="0086649A"/>
    <w:rsid w:val="008667B9"/>
    <w:rsid w:val="00866B4D"/>
    <w:rsid w:val="00866DC4"/>
    <w:rsid w:val="008676CB"/>
    <w:rsid w:val="00870121"/>
    <w:rsid w:val="0087093B"/>
    <w:rsid w:val="00870B5A"/>
    <w:rsid w:val="00870D14"/>
    <w:rsid w:val="0087115E"/>
    <w:rsid w:val="0087130D"/>
    <w:rsid w:val="008716CB"/>
    <w:rsid w:val="0087186A"/>
    <w:rsid w:val="008719C4"/>
    <w:rsid w:val="0087345D"/>
    <w:rsid w:val="00873713"/>
    <w:rsid w:val="00874387"/>
    <w:rsid w:val="0087456C"/>
    <w:rsid w:val="00875068"/>
    <w:rsid w:val="008751D3"/>
    <w:rsid w:val="008756B3"/>
    <w:rsid w:val="00876394"/>
    <w:rsid w:val="008765AB"/>
    <w:rsid w:val="00876657"/>
    <w:rsid w:val="00876C35"/>
    <w:rsid w:val="00876D2A"/>
    <w:rsid w:val="00877012"/>
    <w:rsid w:val="00877614"/>
    <w:rsid w:val="00877D81"/>
    <w:rsid w:val="00880550"/>
    <w:rsid w:val="0088093A"/>
    <w:rsid w:val="00881450"/>
    <w:rsid w:val="008815F1"/>
    <w:rsid w:val="008816C1"/>
    <w:rsid w:val="00881D3B"/>
    <w:rsid w:val="008826C6"/>
    <w:rsid w:val="00883322"/>
    <w:rsid w:val="00883F13"/>
    <w:rsid w:val="008841EE"/>
    <w:rsid w:val="00884FD4"/>
    <w:rsid w:val="00885C35"/>
    <w:rsid w:val="00886A21"/>
    <w:rsid w:val="00886FCF"/>
    <w:rsid w:val="0088758A"/>
    <w:rsid w:val="008877E3"/>
    <w:rsid w:val="008878CC"/>
    <w:rsid w:val="00887C29"/>
    <w:rsid w:val="0089046C"/>
    <w:rsid w:val="00890AC9"/>
    <w:rsid w:val="00891F3E"/>
    <w:rsid w:val="00892DD7"/>
    <w:rsid w:val="00892FF3"/>
    <w:rsid w:val="0089330B"/>
    <w:rsid w:val="00893497"/>
    <w:rsid w:val="008942E7"/>
    <w:rsid w:val="00894709"/>
    <w:rsid w:val="00894F9B"/>
    <w:rsid w:val="00895550"/>
    <w:rsid w:val="00895AA2"/>
    <w:rsid w:val="00897094"/>
    <w:rsid w:val="00897286"/>
    <w:rsid w:val="00897563"/>
    <w:rsid w:val="00897815"/>
    <w:rsid w:val="008A0549"/>
    <w:rsid w:val="008A0F62"/>
    <w:rsid w:val="008A2090"/>
    <w:rsid w:val="008A2533"/>
    <w:rsid w:val="008A28C4"/>
    <w:rsid w:val="008A36B7"/>
    <w:rsid w:val="008A3934"/>
    <w:rsid w:val="008A3DC6"/>
    <w:rsid w:val="008A4E4A"/>
    <w:rsid w:val="008A4FB7"/>
    <w:rsid w:val="008A517B"/>
    <w:rsid w:val="008A5402"/>
    <w:rsid w:val="008A54C8"/>
    <w:rsid w:val="008A663E"/>
    <w:rsid w:val="008A6DCA"/>
    <w:rsid w:val="008A6FBA"/>
    <w:rsid w:val="008A791B"/>
    <w:rsid w:val="008A793F"/>
    <w:rsid w:val="008B00F3"/>
    <w:rsid w:val="008B048F"/>
    <w:rsid w:val="008B08DA"/>
    <w:rsid w:val="008B0C67"/>
    <w:rsid w:val="008B0DB0"/>
    <w:rsid w:val="008B1088"/>
    <w:rsid w:val="008B248E"/>
    <w:rsid w:val="008B2598"/>
    <w:rsid w:val="008B3D39"/>
    <w:rsid w:val="008B4009"/>
    <w:rsid w:val="008B4956"/>
    <w:rsid w:val="008B52D1"/>
    <w:rsid w:val="008B532F"/>
    <w:rsid w:val="008B600B"/>
    <w:rsid w:val="008B60E2"/>
    <w:rsid w:val="008B6511"/>
    <w:rsid w:val="008B7475"/>
    <w:rsid w:val="008B7787"/>
    <w:rsid w:val="008B7DF5"/>
    <w:rsid w:val="008C070D"/>
    <w:rsid w:val="008C0F61"/>
    <w:rsid w:val="008C26A6"/>
    <w:rsid w:val="008C34A2"/>
    <w:rsid w:val="008C3525"/>
    <w:rsid w:val="008C390F"/>
    <w:rsid w:val="008C436C"/>
    <w:rsid w:val="008C49E3"/>
    <w:rsid w:val="008C4BD5"/>
    <w:rsid w:val="008C56EE"/>
    <w:rsid w:val="008C5922"/>
    <w:rsid w:val="008C5FD7"/>
    <w:rsid w:val="008C688A"/>
    <w:rsid w:val="008D012E"/>
    <w:rsid w:val="008D0823"/>
    <w:rsid w:val="008D09A7"/>
    <w:rsid w:val="008D0CC6"/>
    <w:rsid w:val="008D194B"/>
    <w:rsid w:val="008D1AC8"/>
    <w:rsid w:val="008D1F5C"/>
    <w:rsid w:val="008D24E3"/>
    <w:rsid w:val="008D2663"/>
    <w:rsid w:val="008D2829"/>
    <w:rsid w:val="008D3349"/>
    <w:rsid w:val="008D3482"/>
    <w:rsid w:val="008D3484"/>
    <w:rsid w:val="008D369E"/>
    <w:rsid w:val="008D3817"/>
    <w:rsid w:val="008D433F"/>
    <w:rsid w:val="008D49D7"/>
    <w:rsid w:val="008D4DFC"/>
    <w:rsid w:val="008D51A7"/>
    <w:rsid w:val="008D584B"/>
    <w:rsid w:val="008D5D5F"/>
    <w:rsid w:val="008D66A2"/>
    <w:rsid w:val="008D6AA4"/>
    <w:rsid w:val="008D794C"/>
    <w:rsid w:val="008E0D19"/>
    <w:rsid w:val="008E16F9"/>
    <w:rsid w:val="008E1C65"/>
    <w:rsid w:val="008E1C6D"/>
    <w:rsid w:val="008E2491"/>
    <w:rsid w:val="008E2621"/>
    <w:rsid w:val="008E31C4"/>
    <w:rsid w:val="008E3ECC"/>
    <w:rsid w:val="008E4335"/>
    <w:rsid w:val="008E6410"/>
    <w:rsid w:val="008E64EB"/>
    <w:rsid w:val="008E6658"/>
    <w:rsid w:val="008E69AC"/>
    <w:rsid w:val="008E6F00"/>
    <w:rsid w:val="008E7AF3"/>
    <w:rsid w:val="008E7B87"/>
    <w:rsid w:val="008F0291"/>
    <w:rsid w:val="008F1F71"/>
    <w:rsid w:val="008F26D4"/>
    <w:rsid w:val="008F3F33"/>
    <w:rsid w:val="008F44BD"/>
    <w:rsid w:val="008F4B6F"/>
    <w:rsid w:val="008F4C82"/>
    <w:rsid w:val="008F4E37"/>
    <w:rsid w:val="008F4F89"/>
    <w:rsid w:val="008F540C"/>
    <w:rsid w:val="008F5415"/>
    <w:rsid w:val="008F56AC"/>
    <w:rsid w:val="008F5DB7"/>
    <w:rsid w:val="008F7306"/>
    <w:rsid w:val="00900744"/>
    <w:rsid w:val="009008F2"/>
    <w:rsid w:val="00900A11"/>
    <w:rsid w:val="009012D4"/>
    <w:rsid w:val="0090140E"/>
    <w:rsid w:val="009016E8"/>
    <w:rsid w:val="00901F75"/>
    <w:rsid w:val="00902308"/>
    <w:rsid w:val="009023AD"/>
    <w:rsid w:val="00902431"/>
    <w:rsid w:val="009026F3"/>
    <w:rsid w:val="009028CA"/>
    <w:rsid w:val="00903774"/>
    <w:rsid w:val="0090388A"/>
    <w:rsid w:val="0090412A"/>
    <w:rsid w:val="00904E40"/>
    <w:rsid w:val="00905040"/>
    <w:rsid w:val="00905291"/>
    <w:rsid w:val="00906600"/>
    <w:rsid w:val="009068F2"/>
    <w:rsid w:val="00907A35"/>
    <w:rsid w:val="009100F6"/>
    <w:rsid w:val="00910446"/>
    <w:rsid w:val="009104FF"/>
    <w:rsid w:val="00910610"/>
    <w:rsid w:val="0091098C"/>
    <w:rsid w:val="00910E15"/>
    <w:rsid w:val="00911671"/>
    <w:rsid w:val="0091199B"/>
    <w:rsid w:val="00911AA1"/>
    <w:rsid w:val="00911C9C"/>
    <w:rsid w:val="00911F8E"/>
    <w:rsid w:val="009122B6"/>
    <w:rsid w:val="009134E5"/>
    <w:rsid w:val="00913A33"/>
    <w:rsid w:val="00914535"/>
    <w:rsid w:val="00915D46"/>
    <w:rsid w:val="00915FBE"/>
    <w:rsid w:val="00916835"/>
    <w:rsid w:val="00916E70"/>
    <w:rsid w:val="009170DE"/>
    <w:rsid w:val="009172F2"/>
    <w:rsid w:val="009176D0"/>
    <w:rsid w:val="00917E2C"/>
    <w:rsid w:val="00920AEA"/>
    <w:rsid w:val="00921789"/>
    <w:rsid w:val="009228C1"/>
    <w:rsid w:val="00923BD9"/>
    <w:rsid w:val="00923F2E"/>
    <w:rsid w:val="00924DCE"/>
    <w:rsid w:val="00925847"/>
    <w:rsid w:val="00925B2E"/>
    <w:rsid w:val="00925E33"/>
    <w:rsid w:val="00926328"/>
    <w:rsid w:val="00926A7F"/>
    <w:rsid w:val="00927B26"/>
    <w:rsid w:val="00927E4D"/>
    <w:rsid w:val="0093014E"/>
    <w:rsid w:val="00930263"/>
    <w:rsid w:val="00930BAA"/>
    <w:rsid w:val="009315A3"/>
    <w:rsid w:val="00931748"/>
    <w:rsid w:val="00931A25"/>
    <w:rsid w:val="0093332A"/>
    <w:rsid w:val="009333BB"/>
    <w:rsid w:val="0093381B"/>
    <w:rsid w:val="009340E3"/>
    <w:rsid w:val="0093456C"/>
    <w:rsid w:val="009349AB"/>
    <w:rsid w:val="00934DC4"/>
    <w:rsid w:val="009353C7"/>
    <w:rsid w:val="0093562B"/>
    <w:rsid w:val="009356C1"/>
    <w:rsid w:val="00935B96"/>
    <w:rsid w:val="00936827"/>
    <w:rsid w:val="009369B1"/>
    <w:rsid w:val="00936C53"/>
    <w:rsid w:val="00937A74"/>
    <w:rsid w:val="00937C4F"/>
    <w:rsid w:val="009404D6"/>
    <w:rsid w:val="009408C2"/>
    <w:rsid w:val="009415EB"/>
    <w:rsid w:val="009418D8"/>
    <w:rsid w:val="00941BB7"/>
    <w:rsid w:val="0094300A"/>
    <w:rsid w:val="00943314"/>
    <w:rsid w:val="009437E9"/>
    <w:rsid w:val="00943A67"/>
    <w:rsid w:val="00943CE1"/>
    <w:rsid w:val="00943EFA"/>
    <w:rsid w:val="009447A3"/>
    <w:rsid w:val="00944B78"/>
    <w:rsid w:val="00944C45"/>
    <w:rsid w:val="00944E51"/>
    <w:rsid w:val="00944FB4"/>
    <w:rsid w:val="00945274"/>
    <w:rsid w:val="00945596"/>
    <w:rsid w:val="00945A25"/>
    <w:rsid w:val="00945B39"/>
    <w:rsid w:val="0094658B"/>
    <w:rsid w:val="00946982"/>
    <w:rsid w:val="0094735E"/>
    <w:rsid w:val="0094743F"/>
    <w:rsid w:val="00947C07"/>
    <w:rsid w:val="00950161"/>
    <w:rsid w:val="009511A5"/>
    <w:rsid w:val="00951443"/>
    <w:rsid w:val="0095159B"/>
    <w:rsid w:val="00951A0A"/>
    <w:rsid w:val="00951F6F"/>
    <w:rsid w:val="00952078"/>
    <w:rsid w:val="009520B1"/>
    <w:rsid w:val="00952244"/>
    <w:rsid w:val="00952282"/>
    <w:rsid w:val="009526B8"/>
    <w:rsid w:val="0095288C"/>
    <w:rsid w:val="00953081"/>
    <w:rsid w:val="0095471A"/>
    <w:rsid w:val="00954EDD"/>
    <w:rsid w:val="009550A6"/>
    <w:rsid w:val="0095537B"/>
    <w:rsid w:val="009553C6"/>
    <w:rsid w:val="00955FDB"/>
    <w:rsid w:val="0095611C"/>
    <w:rsid w:val="00956236"/>
    <w:rsid w:val="009567E3"/>
    <w:rsid w:val="009569B8"/>
    <w:rsid w:val="00956BFB"/>
    <w:rsid w:val="00956DB0"/>
    <w:rsid w:val="00956DFE"/>
    <w:rsid w:val="00956F82"/>
    <w:rsid w:val="0095745C"/>
    <w:rsid w:val="00957E03"/>
    <w:rsid w:val="00960F94"/>
    <w:rsid w:val="009611F2"/>
    <w:rsid w:val="009615EC"/>
    <w:rsid w:val="009616A9"/>
    <w:rsid w:val="00961E1B"/>
    <w:rsid w:val="009620B1"/>
    <w:rsid w:val="0096257C"/>
    <w:rsid w:val="00963870"/>
    <w:rsid w:val="00963E16"/>
    <w:rsid w:val="00964467"/>
    <w:rsid w:val="00964A72"/>
    <w:rsid w:val="00964AF5"/>
    <w:rsid w:val="00965B71"/>
    <w:rsid w:val="00965F4F"/>
    <w:rsid w:val="00966232"/>
    <w:rsid w:val="00966ECC"/>
    <w:rsid w:val="00966ED1"/>
    <w:rsid w:val="00967488"/>
    <w:rsid w:val="009676BE"/>
    <w:rsid w:val="009702B6"/>
    <w:rsid w:val="009705DF"/>
    <w:rsid w:val="0097078D"/>
    <w:rsid w:val="0097089F"/>
    <w:rsid w:val="009709BF"/>
    <w:rsid w:val="0097168D"/>
    <w:rsid w:val="00972124"/>
    <w:rsid w:val="00972442"/>
    <w:rsid w:val="009725F4"/>
    <w:rsid w:val="00972BC8"/>
    <w:rsid w:val="0097308E"/>
    <w:rsid w:val="00973669"/>
    <w:rsid w:val="0097445D"/>
    <w:rsid w:val="00975876"/>
    <w:rsid w:val="00976DF1"/>
    <w:rsid w:val="00977C1B"/>
    <w:rsid w:val="00977D0D"/>
    <w:rsid w:val="0098003F"/>
    <w:rsid w:val="009821AF"/>
    <w:rsid w:val="00982A58"/>
    <w:rsid w:val="00983370"/>
    <w:rsid w:val="00983B46"/>
    <w:rsid w:val="00983FE2"/>
    <w:rsid w:val="00984301"/>
    <w:rsid w:val="009844B5"/>
    <w:rsid w:val="0098478C"/>
    <w:rsid w:val="00985234"/>
    <w:rsid w:val="00985987"/>
    <w:rsid w:val="00986037"/>
    <w:rsid w:val="00986244"/>
    <w:rsid w:val="00987611"/>
    <w:rsid w:val="00987BD2"/>
    <w:rsid w:val="009901EF"/>
    <w:rsid w:val="009906FC"/>
    <w:rsid w:val="0099146F"/>
    <w:rsid w:val="00991685"/>
    <w:rsid w:val="009926E2"/>
    <w:rsid w:val="00992A44"/>
    <w:rsid w:val="00992ACE"/>
    <w:rsid w:val="009934CE"/>
    <w:rsid w:val="00993705"/>
    <w:rsid w:val="00993DC2"/>
    <w:rsid w:val="0099447D"/>
    <w:rsid w:val="009945C3"/>
    <w:rsid w:val="0099500B"/>
    <w:rsid w:val="00995398"/>
    <w:rsid w:val="00995441"/>
    <w:rsid w:val="00995737"/>
    <w:rsid w:val="00995D3B"/>
    <w:rsid w:val="00995E40"/>
    <w:rsid w:val="00996297"/>
    <w:rsid w:val="00996DD5"/>
    <w:rsid w:val="009973AB"/>
    <w:rsid w:val="009976D0"/>
    <w:rsid w:val="00997807"/>
    <w:rsid w:val="00997B72"/>
    <w:rsid w:val="00997FCA"/>
    <w:rsid w:val="009A02AB"/>
    <w:rsid w:val="009A1058"/>
    <w:rsid w:val="009A15FD"/>
    <w:rsid w:val="009A16E4"/>
    <w:rsid w:val="009A221D"/>
    <w:rsid w:val="009A2965"/>
    <w:rsid w:val="009A331A"/>
    <w:rsid w:val="009A378E"/>
    <w:rsid w:val="009A41A0"/>
    <w:rsid w:val="009A4BAC"/>
    <w:rsid w:val="009A5641"/>
    <w:rsid w:val="009A58F2"/>
    <w:rsid w:val="009A62A4"/>
    <w:rsid w:val="009A6BE8"/>
    <w:rsid w:val="009A70E0"/>
    <w:rsid w:val="009A755E"/>
    <w:rsid w:val="009A7A16"/>
    <w:rsid w:val="009A7C65"/>
    <w:rsid w:val="009B02BC"/>
    <w:rsid w:val="009B0761"/>
    <w:rsid w:val="009B0853"/>
    <w:rsid w:val="009B0B39"/>
    <w:rsid w:val="009B0EF0"/>
    <w:rsid w:val="009B122B"/>
    <w:rsid w:val="009B1384"/>
    <w:rsid w:val="009B1F40"/>
    <w:rsid w:val="009B2617"/>
    <w:rsid w:val="009B2B72"/>
    <w:rsid w:val="009B3481"/>
    <w:rsid w:val="009B37A2"/>
    <w:rsid w:val="009B3D8D"/>
    <w:rsid w:val="009B4257"/>
    <w:rsid w:val="009B4FDA"/>
    <w:rsid w:val="009B5A0F"/>
    <w:rsid w:val="009B5D3A"/>
    <w:rsid w:val="009B6143"/>
    <w:rsid w:val="009B6586"/>
    <w:rsid w:val="009B6C2A"/>
    <w:rsid w:val="009B739A"/>
    <w:rsid w:val="009B76C5"/>
    <w:rsid w:val="009B78C5"/>
    <w:rsid w:val="009B7EAA"/>
    <w:rsid w:val="009C0E2A"/>
    <w:rsid w:val="009C1AEB"/>
    <w:rsid w:val="009C2B83"/>
    <w:rsid w:val="009C394A"/>
    <w:rsid w:val="009C3CCF"/>
    <w:rsid w:val="009C4E7A"/>
    <w:rsid w:val="009C5632"/>
    <w:rsid w:val="009C5AE7"/>
    <w:rsid w:val="009C5D81"/>
    <w:rsid w:val="009C60CE"/>
    <w:rsid w:val="009C613A"/>
    <w:rsid w:val="009C6495"/>
    <w:rsid w:val="009C65E9"/>
    <w:rsid w:val="009C66EA"/>
    <w:rsid w:val="009C74BD"/>
    <w:rsid w:val="009C74D2"/>
    <w:rsid w:val="009C7F16"/>
    <w:rsid w:val="009D0D68"/>
    <w:rsid w:val="009D0E53"/>
    <w:rsid w:val="009D1412"/>
    <w:rsid w:val="009D2511"/>
    <w:rsid w:val="009D292D"/>
    <w:rsid w:val="009D2AD3"/>
    <w:rsid w:val="009D378C"/>
    <w:rsid w:val="009D3860"/>
    <w:rsid w:val="009D3F56"/>
    <w:rsid w:val="009D4123"/>
    <w:rsid w:val="009D44B9"/>
    <w:rsid w:val="009D5850"/>
    <w:rsid w:val="009D58C7"/>
    <w:rsid w:val="009D67BD"/>
    <w:rsid w:val="009D70F6"/>
    <w:rsid w:val="009D72C2"/>
    <w:rsid w:val="009D7F96"/>
    <w:rsid w:val="009D7F9E"/>
    <w:rsid w:val="009E026B"/>
    <w:rsid w:val="009E097D"/>
    <w:rsid w:val="009E147E"/>
    <w:rsid w:val="009E186D"/>
    <w:rsid w:val="009E2199"/>
    <w:rsid w:val="009E28A5"/>
    <w:rsid w:val="009E3512"/>
    <w:rsid w:val="009E385A"/>
    <w:rsid w:val="009E38AF"/>
    <w:rsid w:val="009E39EA"/>
    <w:rsid w:val="009E4023"/>
    <w:rsid w:val="009E40E1"/>
    <w:rsid w:val="009E470F"/>
    <w:rsid w:val="009E58E6"/>
    <w:rsid w:val="009E5C7A"/>
    <w:rsid w:val="009E693B"/>
    <w:rsid w:val="009E6C1A"/>
    <w:rsid w:val="009E7699"/>
    <w:rsid w:val="009F104E"/>
    <w:rsid w:val="009F2D7B"/>
    <w:rsid w:val="009F3208"/>
    <w:rsid w:val="009F53DD"/>
    <w:rsid w:val="009F5EEA"/>
    <w:rsid w:val="009F6292"/>
    <w:rsid w:val="009F6331"/>
    <w:rsid w:val="009F64D5"/>
    <w:rsid w:val="009F69E7"/>
    <w:rsid w:val="009F6B1E"/>
    <w:rsid w:val="009F6D6C"/>
    <w:rsid w:val="009F6E02"/>
    <w:rsid w:val="009F764E"/>
    <w:rsid w:val="009F79A2"/>
    <w:rsid w:val="00A003EF"/>
    <w:rsid w:val="00A006FE"/>
    <w:rsid w:val="00A00E1D"/>
    <w:rsid w:val="00A017B3"/>
    <w:rsid w:val="00A018D4"/>
    <w:rsid w:val="00A01C3F"/>
    <w:rsid w:val="00A02020"/>
    <w:rsid w:val="00A02FAD"/>
    <w:rsid w:val="00A032E1"/>
    <w:rsid w:val="00A03745"/>
    <w:rsid w:val="00A03EFA"/>
    <w:rsid w:val="00A06AB0"/>
    <w:rsid w:val="00A06EFB"/>
    <w:rsid w:val="00A07887"/>
    <w:rsid w:val="00A07910"/>
    <w:rsid w:val="00A10323"/>
    <w:rsid w:val="00A104F8"/>
    <w:rsid w:val="00A10548"/>
    <w:rsid w:val="00A11125"/>
    <w:rsid w:val="00A117F6"/>
    <w:rsid w:val="00A11BD4"/>
    <w:rsid w:val="00A11CDC"/>
    <w:rsid w:val="00A12592"/>
    <w:rsid w:val="00A12797"/>
    <w:rsid w:val="00A12915"/>
    <w:rsid w:val="00A12B68"/>
    <w:rsid w:val="00A12F48"/>
    <w:rsid w:val="00A134AA"/>
    <w:rsid w:val="00A13555"/>
    <w:rsid w:val="00A13E00"/>
    <w:rsid w:val="00A13F7C"/>
    <w:rsid w:val="00A148BB"/>
    <w:rsid w:val="00A14932"/>
    <w:rsid w:val="00A14AEA"/>
    <w:rsid w:val="00A14B5D"/>
    <w:rsid w:val="00A14DB4"/>
    <w:rsid w:val="00A15C8A"/>
    <w:rsid w:val="00A15D41"/>
    <w:rsid w:val="00A171A9"/>
    <w:rsid w:val="00A17ED1"/>
    <w:rsid w:val="00A20096"/>
    <w:rsid w:val="00A202E9"/>
    <w:rsid w:val="00A20411"/>
    <w:rsid w:val="00A20643"/>
    <w:rsid w:val="00A224F8"/>
    <w:rsid w:val="00A225C5"/>
    <w:rsid w:val="00A22677"/>
    <w:rsid w:val="00A22761"/>
    <w:rsid w:val="00A23301"/>
    <w:rsid w:val="00A23384"/>
    <w:rsid w:val="00A237A4"/>
    <w:rsid w:val="00A251C4"/>
    <w:rsid w:val="00A256F6"/>
    <w:rsid w:val="00A25BE9"/>
    <w:rsid w:val="00A27325"/>
    <w:rsid w:val="00A2794A"/>
    <w:rsid w:val="00A27AD7"/>
    <w:rsid w:val="00A30602"/>
    <w:rsid w:val="00A30828"/>
    <w:rsid w:val="00A3100D"/>
    <w:rsid w:val="00A31711"/>
    <w:rsid w:val="00A31E8A"/>
    <w:rsid w:val="00A328F2"/>
    <w:rsid w:val="00A32A5E"/>
    <w:rsid w:val="00A33464"/>
    <w:rsid w:val="00A33668"/>
    <w:rsid w:val="00A338F4"/>
    <w:rsid w:val="00A33C81"/>
    <w:rsid w:val="00A34633"/>
    <w:rsid w:val="00A34F69"/>
    <w:rsid w:val="00A3674D"/>
    <w:rsid w:val="00A37231"/>
    <w:rsid w:val="00A37AF1"/>
    <w:rsid w:val="00A40EE2"/>
    <w:rsid w:val="00A429E0"/>
    <w:rsid w:val="00A42BA4"/>
    <w:rsid w:val="00A430B5"/>
    <w:rsid w:val="00A432F3"/>
    <w:rsid w:val="00A4449C"/>
    <w:rsid w:val="00A44506"/>
    <w:rsid w:val="00A447E0"/>
    <w:rsid w:val="00A44B7A"/>
    <w:rsid w:val="00A44BD9"/>
    <w:rsid w:val="00A4503C"/>
    <w:rsid w:val="00A45E9F"/>
    <w:rsid w:val="00A46274"/>
    <w:rsid w:val="00A46BF2"/>
    <w:rsid w:val="00A46DE5"/>
    <w:rsid w:val="00A47064"/>
    <w:rsid w:val="00A47134"/>
    <w:rsid w:val="00A479A0"/>
    <w:rsid w:val="00A47C7A"/>
    <w:rsid w:val="00A5046C"/>
    <w:rsid w:val="00A51737"/>
    <w:rsid w:val="00A51AE0"/>
    <w:rsid w:val="00A51FF7"/>
    <w:rsid w:val="00A526BE"/>
    <w:rsid w:val="00A5296C"/>
    <w:rsid w:val="00A52ABB"/>
    <w:rsid w:val="00A52D97"/>
    <w:rsid w:val="00A533A0"/>
    <w:rsid w:val="00A540E9"/>
    <w:rsid w:val="00A5422F"/>
    <w:rsid w:val="00A54544"/>
    <w:rsid w:val="00A55DCE"/>
    <w:rsid w:val="00A5601C"/>
    <w:rsid w:val="00A561FA"/>
    <w:rsid w:val="00A5643E"/>
    <w:rsid w:val="00A564E2"/>
    <w:rsid w:val="00A56893"/>
    <w:rsid w:val="00A56F73"/>
    <w:rsid w:val="00A5723B"/>
    <w:rsid w:val="00A57F1B"/>
    <w:rsid w:val="00A6034E"/>
    <w:rsid w:val="00A6073D"/>
    <w:rsid w:val="00A60743"/>
    <w:rsid w:val="00A60C3E"/>
    <w:rsid w:val="00A60DE4"/>
    <w:rsid w:val="00A619BE"/>
    <w:rsid w:val="00A6295C"/>
    <w:rsid w:val="00A62987"/>
    <w:rsid w:val="00A62D75"/>
    <w:rsid w:val="00A62E72"/>
    <w:rsid w:val="00A63347"/>
    <w:rsid w:val="00A63608"/>
    <w:rsid w:val="00A63636"/>
    <w:rsid w:val="00A63D66"/>
    <w:rsid w:val="00A6458D"/>
    <w:rsid w:val="00A64677"/>
    <w:rsid w:val="00A64749"/>
    <w:rsid w:val="00A651F2"/>
    <w:rsid w:val="00A6567C"/>
    <w:rsid w:val="00A658E3"/>
    <w:rsid w:val="00A65A94"/>
    <w:rsid w:val="00A65B1B"/>
    <w:rsid w:val="00A66715"/>
    <w:rsid w:val="00A66738"/>
    <w:rsid w:val="00A66ACC"/>
    <w:rsid w:val="00A66F53"/>
    <w:rsid w:val="00A6742B"/>
    <w:rsid w:val="00A67B64"/>
    <w:rsid w:val="00A70277"/>
    <w:rsid w:val="00A70E62"/>
    <w:rsid w:val="00A7106F"/>
    <w:rsid w:val="00A7143A"/>
    <w:rsid w:val="00A71F5F"/>
    <w:rsid w:val="00A725EA"/>
    <w:rsid w:val="00A72CD9"/>
    <w:rsid w:val="00A73054"/>
    <w:rsid w:val="00A73454"/>
    <w:rsid w:val="00A7412C"/>
    <w:rsid w:val="00A741CC"/>
    <w:rsid w:val="00A74AAC"/>
    <w:rsid w:val="00A74CC1"/>
    <w:rsid w:val="00A7519F"/>
    <w:rsid w:val="00A76EDE"/>
    <w:rsid w:val="00A770C1"/>
    <w:rsid w:val="00A770F6"/>
    <w:rsid w:val="00A77AB3"/>
    <w:rsid w:val="00A77DF9"/>
    <w:rsid w:val="00A80FEB"/>
    <w:rsid w:val="00A81191"/>
    <w:rsid w:val="00A813AC"/>
    <w:rsid w:val="00A813DA"/>
    <w:rsid w:val="00A814DE"/>
    <w:rsid w:val="00A81C51"/>
    <w:rsid w:val="00A8257D"/>
    <w:rsid w:val="00A8311A"/>
    <w:rsid w:val="00A8322F"/>
    <w:rsid w:val="00A83C7C"/>
    <w:rsid w:val="00A843B7"/>
    <w:rsid w:val="00A84871"/>
    <w:rsid w:val="00A84FF8"/>
    <w:rsid w:val="00A850D2"/>
    <w:rsid w:val="00A85449"/>
    <w:rsid w:val="00A86055"/>
    <w:rsid w:val="00A862C3"/>
    <w:rsid w:val="00A86385"/>
    <w:rsid w:val="00A8656A"/>
    <w:rsid w:val="00A869E9"/>
    <w:rsid w:val="00A870D1"/>
    <w:rsid w:val="00A8716C"/>
    <w:rsid w:val="00A875D2"/>
    <w:rsid w:val="00A87820"/>
    <w:rsid w:val="00A87A9D"/>
    <w:rsid w:val="00A90581"/>
    <w:rsid w:val="00A90691"/>
    <w:rsid w:val="00A90921"/>
    <w:rsid w:val="00A90E71"/>
    <w:rsid w:val="00A911BE"/>
    <w:rsid w:val="00A91457"/>
    <w:rsid w:val="00A91AFF"/>
    <w:rsid w:val="00A92650"/>
    <w:rsid w:val="00A928D3"/>
    <w:rsid w:val="00A92AAD"/>
    <w:rsid w:val="00A92B80"/>
    <w:rsid w:val="00A93979"/>
    <w:rsid w:val="00A947D9"/>
    <w:rsid w:val="00A94C55"/>
    <w:rsid w:val="00A95280"/>
    <w:rsid w:val="00A95316"/>
    <w:rsid w:val="00A95CF9"/>
    <w:rsid w:val="00A96962"/>
    <w:rsid w:val="00A96A21"/>
    <w:rsid w:val="00A97229"/>
    <w:rsid w:val="00A97899"/>
    <w:rsid w:val="00A97A84"/>
    <w:rsid w:val="00AA010F"/>
    <w:rsid w:val="00AA04BD"/>
    <w:rsid w:val="00AA0A55"/>
    <w:rsid w:val="00AA0D04"/>
    <w:rsid w:val="00AA0DB3"/>
    <w:rsid w:val="00AA1152"/>
    <w:rsid w:val="00AA1D7A"/>
    <w:rsid w:val="00AA23BD"/>
    <w:rsid w:val="00AA265C"/>
    <w:rsid w:val="00AA2BB8"/>
    <w:rsid w:val="00AA3109"/>
    <w:rsid w:val="00AA3787"/>
    <w:rsid w:val="00AA378C"/>
    <w:rsid w:val="00AA3A28"/>
    <w:rsid w:val="00AA3A41"/>
    <w:rsid w:val="00AA46D2"/>
    <w:rsid w:val="00AA4DAF"/>
    <w:rsid w:val="00AA4F85"/>
    <w:rsid w:val="00AA52A3"/>
    <w:rsid w:val="00AA55EE"/>
    <w:rsid w:val="00AA588F"/>
    <w:rsid w:val="00AA66B9"/>
    <w:rsid w:val="00AA68A8"/>
    <w:rsid w:val="00AA6D22"/>
    <w:rsid w:val="00AA6D68"/>
    <w:rsid w:val="00AA76F1"/>
    <w:rsid w:val="00AB001D"/>
    <w:rsid w:val="00AB08B1"/>
    <w:rsid w:val="00AB0D6A"/>
    <w:rsid w:val="00AB11D3"/>
    <w:rsid w:val="00AB11F1"/>
    <w:rsid w:val="00AB200C"/>
    <w:rsid w:val="00AB20DA"/>
    <w:rsid w:val="00AB260E"/>
    <w:rsid w:val="00AB2A39"/>
    <w:rsid w:val="00AB38B4"/>
    <w:rsid w:val="00AB39FB"/>
    <w:rsid w:val="00AB3E77"/>
    <w:rsid w:val="00AB41E9"/>
    <w:rsid w:val="00AB484C"/>
    <w:rsid w:val="00AB4BBB"/>
    <w:rsid w:val="00AB4C33"/>
    <w:rsid w:val="00AB4D3F"/>
    <w:rsid w:val="00AB4F35"/>
    <w:rsid w:val="00AB4FE1"/>
    <w:rsid w:val="00AB527A"/>
    <w:rsid w:val="00AB559A"/>
    <w:rsid w:val="00AB61CB"/>
    <w:rsid w:val="00AB6240"/>
    <w:rsid w:val="00AB6873"/>
    <w:rsid w:val="00AB7284"/>
    <w:rsid w:val="00AB7E25"/>
    <w:rsid w:val="00AC0646"/>
    <w:rsid w:val="00AC08FB"/>
    <w:rsid w:val="00AC10EE"/>
    <w:rsid w:val="00AC1418"/>
    <w:rsid w:val="00AC161E"/>
    <w:rsid w:val="00AC165B"/>
    <w:rsid w:val="00AC185D"/>
    <w:rsid w:val="00AC2111"/>
    <w:rsid w:val="00AC23D5"/>
    <w:rsid w:val="00AC3342"/>
    <w:rsid w:val="00AC4C6C"/>
    <w:rsid w:val="00AC53A7"/>
    <w:rsid w:val="00AC5AA5"/>
    <w:rsid w:val="00AC64F8"/>
    <w:rsid w:val="00AC68F1"/>
    <w:rsid w:val="00AC79E3"/>
    <w:rsid w:val="00AC7BB6"/>
    <w:rsid w:val="00AC7DF9"/>
    <w:rsid w:val="00AD0017"/>
    <w:rsid w:val="00AD07C2"/>
    <w:rsid w:val="00AD0841"/>
    <w:rsid w:val="00AD0E97"/>
    <w:rsid w:val="00AD16DC"/>
    <w:rsid w:val="00AD1B29"/>
    <w:rsid w:val="00AD1F69"/>
    <w:rsid w:val="00AD2361"/>
    <w:rsid w:val="00AD282D"/>
    <w:rsid w:val="00AD2C8C"/>
    <w:rsid w:val="00AD2F85"/>
    <w:rsid w:val="00AD3ABC"/>
    <w:rsid w:val="00AD3C71"/>
    <w:rsid w:val="00AD4883"/>
    <w:rsid w:val="00AD5583"/>
    <w:rsid w:val="00AD631B"/>
    <w:rsid w:val="00AD6891"/>
    <w:rsid w:val="00AD6DA0"/>
    <w:rsid w:val="00AD7470"/>
    <w:rsid w:val="00AD75EE"/>
    <w:rsid w:val="00AE01D5"/>
    <w:rsid w:val="00AE0C10"/>
    <w:rsid w:val="00AE129E"/>
    <w:rsid w:val="00AE1917"/>
    <w:rsid w:val="00AE1972"/>
    <w:rsid w:val="00AE1DB6"/>
    <w:rsid w:val="00AE232C"/>
    <w:rsid w:val="00AE237C"/>
    <w:rsid w:val="00AE25E2"/>
    <w:rsid w:val="00AE2880"/>
    <w:rsid w:val="00AE3220"/>
    <w:rsid w:val="00AE46E7"/>
    <w:rsid w:val="00AE4DAB"/>
    <w:rsid w:val="00AE5A55"/>
    <w:rsid w:val="00AE621D"/>
    <w:rsid w:val="00AE6466"/>
    <w:rsid w:val="00AE64F4"/>
    <w:rsid w:val="00AE6A81"/>
    <w:rsid w:val="00AE6D30"/>
    <w:rsid w:val="00AE6D3B"/>
    <w:rsid w:val="00AE712C"/>
    <w:rsid w:val="00AE72CC"/>
    <w:rsid w:val="00AE77A9"/>
    <w:rsid w:val="00AE7F29"/>
    <w:rsid w:val="00AE7FC9"/>
    <w:rsid w:val="00AF101A"/>
    <w:rsid w:val="00AF12E4"/>
    <w:rsid w:val="00AF1C1C"/>
    <w:rsid w:val="00AF205E"/>
    <w:rsid w:val="00AF230A"/>
    <w:rsid w:val="00AF29CA"/>
    <w:rsid w:val="00AF2BDA"/>
    <w:rsid w:val="00AF30E8"/>
    <w:rsid w:val="00AF30F0"/>
    <w:rsid w:val="00AF3687"/>
    <w:rsid w:val="00AF385B"/>
    <w:rsid w:val="00AF550B"/>
    <w:rsid w:val="00AF5649"/>
    <w:rsid w:val="00AF574F"/>
    <w:rsid w:val="00AF5AFB"/>
    <w:rsid w:val="00AF6970"/>
    <w:rsid w:val="00AF7190"/>
    <w:rsid w:val="00AF7AD6"/>
    <w:rsid w:val="00B00A11"/>
    <w:rsid w:val="00B00ED0"/>
    <w:rsid w:val="00B0123F"/>
    <w:rsid w:val="00B01978"/>
    <w:rsid w:val="00B01B15"/>
    <w:rsid w:val="00B02670"/>
    <w:rsid w:val="00B02904"/>
    <w:rsid w:val="00B02B95"/>
    <w:rsid w:val="00B02C5F"/>
    <w:rsid w:val="00B02FC5"/>
    <w:rsid w:val="00B032DE"/>
    <w:rsid w:val="00B03F1D"/>
    <w:rsid w:val="00B042E6"/>
    <w:rsid w:val="00B049D2"/>
    <w:rsid w:val="00B062C6"/>
    <w:rsid w:val="00B06902"/>
    <w:rsid w:val="00B06A84"/>
    <w:rsid w:val="00B06C3E"/>
    <w:rsid w:val="00B07423"/>
    <w:rsid w:val="00B07427"/>
    <w:rsid w:val="00B0742B"/>
    <w:rsid w:val="00B07818"/>
    <w:rsid w:val="00B07CBA"/>
    <w:rsid w:val="00B10E2D"/>
    <w:rsid w:val="00B12152"/>
    <w:rsid w:val="00B1280F"/>
    <w:rsid w:val="00B128EE"/>
    <w:rsid w:val="00B139EE"/>
    <w:rsid w:val="00B14008"/>
    <w:rsid w:val="00B14519"/>
    <w:rsid w:val="00B14746"/>
    <w:rsid w:val="00B1488E"/>
    <w:rsid w:val="00B14E9C"/>
    <w:rsid w:val="00B14FA1"/>
    <w:rsid w:val="00B15367"/>
    <w:rsid w:val="00B15707"/>
    <w:rsid w:val="00B15FA1"/>
    <w:rsid w:val="00B16422"/>
    <w:rsid w:val="00B1652C"/>
    <w:rsid w:val="00B16562"/>
    <w:rsid w:val="00B16A26"/>
    <w:rsid w:val="00B17288"/>
    <w:rsid w:val="00B20541"/>
    <w:rsid w:val="00B20856"/>
    <w:rsid w:val="00B20988"/>
    <w:rsid w:val="00B20D5E"/>
    <w:rsid w:val="00B21404"/>
    <w:rsid w:val="00B21923"/>
    <w:rsid w:val="00B2403F"/>
    <w:rsid w:val="00B240EA"/>
    <w:rsid w:val="00B2484B"/>
    <w:rsid w:val="00B2497F"/>
    <w:rsid w:val="00B2510D"/>
    <w:rsid w:val="00B25A9D"/>
    <w:rsid w:val="00B26417"/>
    <w:rsid w:val="00B27947"/>
    <w:rsid w:val="00B302AC"/>
    <w:rsid w:val="00B30403"/>
    <w:rsid w:val="00B3121C"/>
    <w:rsid w:val="00B315F0"/>
    <w:rsid w:val="00B32291"/>
    <w:rsid w:val="00B32CC7"/>
    <w:rsid w:val="00B336CD"/>
    <w:rsid w:val="00B33BA6"/>
    <w:rsid w:val="00B3462E"/>
    <w:rsid w:val="00B34CD5"/>
    <w:rsid w:val="00B34D52"/>
    <w:rsid w:val="00B34EE6"/>
    <w:rsid w:val="00B35FEC"/>
    <w:rsid w:val="00B37700"/>
    <w:rsid w:val="00B37C74"/>
    <w:rsid w:val="00B37FB3"/>
    <w:rsid w:val="00B408EE"/>
    <w:rsid w:val="00B40D82"/>
    <w:rsid w:val="00B40DE1"/>
    <w:rsid w:val="00B42223"/>
    <w:rsid w:val="00B4298B"/>
    <w:rsid w:val="00B42C5F"/>
    <w:rsid w:val="00B42E51"/>
    <w:rsid w:val="00B43785"/>
    <w:rsid w:val="00B43D31"/>
    <w:rsid w:val="00B446FF"/>
    <w:rsid w:val="00B45AFC"/>
    <w:rsid w:val="00B45B73"/>
    <w:rsid w:val="00B45F00"/>
    <w:rsid w:val="00B461E1"/>
    <w:rsid w:val="00B46259"/>
    <w:rsid w:val="00B46857"/>
    <w:rsid w:val="00B47068"/>
    <w:rsid w:val="00B476A3"/>
    <w:rsid w:val="00B47D91"/>
    <w:rsid w:val="00B5018E"/>
    <w:rsid w:val="00B50241"/>
    <w:rsid w:val="00B504A8"/>
    <w:rsid w:val="00B505CD"/>
    <w:rsid w:val="00B50C91"/>
    <w:rsid w:val="00B50F8A"/>
    <w:rsid w:val="00B51029"/>
    <w:rsid w:val="00B51C5C"/>
    <w:rsid w:val="00B51E62"/>
    <w:rsid w:val="00B5226C"/>
    <w:rsid w:val="00B5246B"/>
    <w:rsid w:val="00B5350E"/>
    <w:rsid w:val="00B5360D"/>
    <w:rsid w:val="00B54174"/>
    <w:rsid w:val="00B54491"/>
    <w:rsid w:val="00B54904"/>
    <w:rsid w:val="00B55C2D"/>
    <w:rsid w:val="00B56D0B"/>
    <w:rsid w:val="00B5712D"/>
    <w:rsid w:val="00B5766A"/>
    <w:rsid w:val="00B57976"/>
    <w:rsid w:val="00B60990"/>
    <w:rsid w:val="00B61941"/>
    <w:rsid w:val="00B61DC4"/>
    <w:rsid w:val="00B63617"/>
    <w:rsid w:val="00B6413B"/>
    <w:rsid w:val="00B645B3"/>
    <w:rsid w:val="00B648A2"/>
    <w:rsid w:val="00B654C1"/>
    <w:rsid w:val="00B659D3"/>
    <w:rsid w:val="00B65C2C"/>
    <w:rsid w:val="00B67038"/>
    <w:rsid w:val="00B670C4"/>
    <w:rsid w:val="00B67F4C"/>
    <w:rsid w:val="00B67FFE"/>
    <w:rsid w:val="00B7068F"/>
    <w:rsid w:val="00B70C7F"/>
    <w:rsid w:val="00B70F12"/>
    <w:rsid w:val="00B70FBF"/>
    <w:rsid w:val="00B71866"/>
    <w:rsid w:val="00B725C2"/>
    <w:rsid w:val="00B72A16"/>
    <w:rsid w:val="00B72CF0"/>
    <w:rsid w:val="00B73485"/>
    <w:rsid w:val="00B742B0"/>
    <w:rsid w:val="00B74D9F"/>
    <w:rsid w:val="00B75CC1"/>
    <w:rsid w:val="00B7653B"/>
    <w:rsid w:val="00B7679B"/>
    <w:rsid w:val="00B76E91"/>
    <w:rsid w:val="00B771D7"/>
    <w:rsid w:val="00B801B2"/>
    <w:rsid w:val="00B8225C"/>
    <w:rsid w:val="00B8277D"/>
    <w:rsid w:val="00B82897"/>
    <w:rsid w:val="00B82D3F"/>
    <w:rsid w:val="00B831A9"/>
    <w:rsid w:val="00B83857"/>
    <w:rsid w:val="00B84348"/>
    <w:rsid w:val="00B847D9"/>
    <w:rsid w:val="00B84B06"/>
    <w:rsid w:val="00B85251"/>
    <w:rsid w:val="00B853CC"/>
    <w:rsid w:val="00B8653C"/>
    <w:rsid w:val="00B866EE"/>
    <w:rsid w:val="00B86E84"/>
    <w:rsid w:val="00B86E85"/>
    <w:rsid w:val="00B8751C"/>
    <w:rsid w:val="00B87F36"/>
    <w:rsid w:val="00B9048A"/>
    <w:rsid w:val="00B90835"/>
    <w:rsid w:val="00B91C11"/>
    <w:rsid w:val="00B91D2A"/>
    <w:rsid w:val="00B92C38"/>
    <w:rsid w:val="00B930FA"/>
    <w:rsid w:val="00B94815"/>
    <w:rsid w:val="00B954DC"/>
    <w:rsid w:val="00B9739D"/>
    <w:rsid w:val="00B97669"/>
    <w:rsid w:val="00BA0429"/>
    <w:rsid w:val="00BA0A2B"/>
    <w:rsid w:val="00BA0C99"/>
    <w:rsid w:val="00BA0CEE"/>
    <w:rsid w:val="00BA0CFF"/>
    <w:rsid w:val="00BA1C32"/>
    <w:rsid w:val="00BA1C69"/>
    <w:rsid w:val="00BA2104"/>
    <w:rsid w:val="00BA25C6"/>
    <w:rsid w:val="00BA27B0"/>
    <w:rsid w:val="00BA2D86"/>
    <w:rsid w:val="00BA4780"/>
    <w:rsid w:val="00BA480A"/>
    <w:rsid w:val="00BA4863"/>
    <w:rsid w:val="00BA5482"/>
    <w:rsid w:val="00BA55AE"/>
    <w:rsid w:val="00BA56C8"/>
    <w:rsid w:val="00BA576B"/>
    <w:rsid w:val="00BA57AA"/>
    <w:rsid w:val="00BA663F"/>
    <w:rsid w:val="00BA66ED"/>
    <w:rsid w:val="00BA687C"/>
    <w:rsid w:val="00BA709E"/>
    <w:rsid w:val="00BA70F9"/>
    <w:rsid w:val="00BB0038"/>
    <w:rsid w:val="00BB05C2"/>
    <w:rsid w:val="00BB06EF"/>
    <w:rsid w:val="00BB07A1"/>
    <w:rsid w:val="00BB08CD"/>
    <w:rsid w:val="00BB0D13"/>
    <w:rsid w:val="00BB2745"/>
    <w:rsid w:val="00BB32F3"/>
    <w:rsid w:val="00BB377B"/>
    <w:rsid w:val="00BB3D2D"/>
    <w:rsid w:val="00BB3E12"/>
    <w:rsid w:val="00BB48E9"/>
    <w:rsid w:val="00BB4BB2"/>
    <w:rsid w:val="00BB4FD7"/>
    <w:rsid w:val="00BB504D"/>
    <w:rsid w:val="00BB56EB"/>
    <w:rsid w:val="00BB57F4"/>
    <w:rsid w:val="00BB5945"/>
    <w:rsid w:val="00BB6859"/>
    <w:rsid w:val="00BB76D3"/>
    <w:rsid w:val="00BB79DA"/>
    <w:rsid w:val="00BB7BC9"/>
    <w:rsid w:val="00BB7FC0"/>
    <w:rsid w:val="00BC060A"/>
    <w:rsid w:val="00BC0656"/>
    <w:rsid w:val="00BC0C42"/>
    <w:rsid w:val="00BC110E"/>
    <w:rsid w:val="00BC114A"/>
    <w:rsid w:val="00BC1EF1"/>
    <w:rsid w:val="00BC2850"/>
    <w:rsid w:val="00BC4159"/>
    <w:rsid w:val="00BC4655"/>
    <w:rsid w:val="00BC469C"/>
    <w:rsid w:val="00BC545C"/>
    <w:rsid w:val="00BC56ED"/>
    <w:rsid w:val="00BC5CA0"/>
    <w:rsid w:val="00BC62E7"/>
    <w:rsid w:val="00BC65B2"/>
    <w:rsid w:val="00BC6811"/>
    <w:rsid w:val="00BC682D"/>
    <w:rsid w:val="00BC6FE3"/>
    <w:rsid w:val="00BC727A"/>
    <w:rsid w:val="00BC72AD"/>
    <w:rsid w:val="00BC7C04"/>
    <w:rsid w:val="00BD0303"/>
    <w:rsid w:val="00BD0401"/>
    <w:rsid w:val="00BD08ED"/>
    <w:rsid w:val="00BD181F"/>
    <w:rsid w:val="00BD18C1"/>
    <w:rsid w:val="00BD1E3E"/>
    <w:rsid w:val="00BD1F7F"/>
    <w:rsid w:val="00BD2E91"/>
    <w:rsid w:val="00BD3654"/>
    <w:rsid w:val="00BD399A"/>
    <w:rsid w:val="00BD39CA"/>
    <w:rsid w:val="00BD39E7"/>
    <w:rsid w:val="00BD3B5B"/>
    <w:rsid w:val="00BD516D"/>
    <w:rsid w:val="00BD528E"/>
    <w:rsid w:val="00BD5633"/>
    <w:rsid w:val="00BD6926"/>
    <w:rsid w:val="00BD7229"/>
    <w:rsid w:val="00BD7718"/>
    <w:rsid w:val="00BE002A"/>
    <w:rsid w:val="00BE00F4"/>
    <w:rsid w:val="00BE028C"/>
    <w:rsid w:val="00BE0EEF"/>
    <w:rsid w:val="00BE1439"/>
    <w:rsid w:val="00BE2255"/>
    <w:rsid w:val="00BE22A7"/>
    <w:rsid w:val="00BE23B1"/>
    <w:rsid w:val="00BE2F38"/>
    <w:rsid w:val="00BE3411"/>
    <w:rsid w:val="00BE38AA"/>
    <w:rsid w:val="00BE3901"/>
    <w:rsid w:val="00BE4067"/>
    <w:rsid w:val="00BE4D0D"/>
    <w:rsid w:val="00BE4D98"/>
    <w:rsid w:val="00BE57DD"/>
    <w:rsid w:val="00BE7103"/>
    <w:rsid w:val="00BE77D8"/>
    <w:rsid w:val="00BE7D2E"/>
    <w:rsid w:val="00BF006D"/>
    <w:rsid w:val="00BF04FB"/>
    <w:rsid w:val="00BF1740"/>
    <w:rsid w:val="00BF1CCA"/>
    <w:rsid w:val="00BF232E"/>
    <w:rsid w:val="00BF2D9E"/>
    <w:rsid w:val="00BF2EE2"/>
    <w:rsid w:val="00BF313B"/>
    <w:rsid w:val="00BF340D"/>
    <w:rsid w:val="00BF3511"/>
    <w:rsid w:val="00BF45F7"/>
    <w:rsid w:val="00BF4690"/>
    <w:rsid w:val="00BF4699"/>
    <w:rsid w:val="00BF5EAB"/>
    <w:rsid w:val="00BF661F"/>
    <w:rsid w:val="00BF6CBD"/>
    <w:rsid w:val="00BF7575"/>
    <w:rsid w:val="00C0025D"/>
    <w:rsid w:val="00C00BAC"/>
    <w:rsid w:val="00C01339"/>
    <w:rsid w:val="00C0191E"/>
    <w:rsid w:val="00C01C38"/>
    <w:rsid w:val="00C01DEB"/>
    <w:rsid w:val="00C01F99"/>
    <w:rsid w:val="00C02480"/>
    <w:rsid w:val="00C02692"/>
    <w:rsid w:val="00C029A3"/>
    <w:rsid w:val="00C02FF5"/>
    <w:rsid w:val="00C03650"/>
    <w:rsid w:val="00C03CB4"/>
    <w:rsid w:val="00C04118"/>
    <w:rsid w:val="00C041AB"/>
    <w:rsid w:val="00C04582"/>
    <w:rsid w:val="00C05F06"/>
    <w:rsid w:val="00C05FF0"/>
    <w:rsid w:val="00C069CB"/>
    <w:rsid w:val="00C06B8F"/>
    <w:rsid w:val="00C06D5A"/>
    <w:rsid w:val="00C07414"/>
    <w:rsid w:val="00C07BAA"/>
    <w:rsid w:val="00C10675"/>
    <w:rsid w:val="00C10A6D"/>
    <w:rsid w:val="00C11E87"/>
    <w:rsid w:val="00C12079"/>
    <w:rsid w:val="00C12403"/>
    <w:rsid w:val="00C12AD6"/>
    <w:rsid w:val="00C12B69"/>
    <w:rsid w:val="00C133FC"/>
    <w:rsid w:val="00C136D3"/>
    <w:rsid w:val="00C13A4D"/>
    <w:rsid w:val="00C13FB5"/>
    <w:rsid w:val="00C1411B"/>
    <w:rsid w:val="00C14200"/>
    <w:rsid w:val="00C144E3"/>
    <w:rsid w:val="00C146B3"/>
    <w:rsid w:val="00C149D9"/>
    <w:rsid w:val="00C14D48"/>
    <w:rsid w:val="00C15355"/>
    <w:rsid w:val="00C16040"/>
    <w:rsid w:val="00C163A8"/>
    <w:rsid w:val="00C1733F"/>
    <w:rsid w:val="00C17A08"/>
    <w:rsid w:val="00C17A3B"/>
    <w:rsid w:val="00C17DB1"/>
    <w:rsid w:val="00C203BC"/>
    <w:rsid w:val="00C20C52"/>
    <w:rsid w:val="00C20F76"/>
    <w:rsid w:val="00C21BFD"/>
    <w:rsid w:val="00C227BD"/>
    <w:rsid w:val="00C22B92"/>
    <w:rsid w:val="00C2395D"/>
    <w:rsid w:val="00C239D6"/>
    <w:rsid w:val="00C246CA"/>
    <w:rsid w:val="00C24A43"/>
    <w:rsid w:val="00C24E83"/>
    <w:rsid w:val="00C2539C"/>
    <w:rsid w:val="00C25623"/>
    <w:rsid w:val="00C259F9"/>
    <w:rsid w:val="00C25A87"/>
    <w:rsid w:val="00C25BF2"/>
    <w:rsid w:val="00C25D8B"/>
    <w:rsid w:val="00C25EE1"/>
    <w:rsid w:val="00C2635F"/>
    <w:rsid w:val="00C2729D"/>
    <w:rsid w:val="00C273B0"/>
    <w:rsid w:val="00C278DD"/>
    <w:rsid w:val="00C27EAE"/>
    <w:rsid w:val="00C300B2"/>
    <w:rsid w:val="00C317C5"/>
    <w:rsid w:val="00C3192D"/>
    <w:rsid w:val="00C31AE4"/>
    <w:rsid w:val="00C325A5"/>
    <w:rsid w:val="00C33434"/>
    <w:rsid w:val="00C33ED6"/>
    <w:rsid w:val="00C3418C"/>
    <w:rsid w:val="00C346FC"/>
    <w:rsid w:val="00C34B5F"/>
    <w:rsid w:val="00C34C0E"/>
    <w:rsid w:val="00C34F6D"/>
    <w:rsid w:val="00C3520A"/>
    <w:rsid w:val="00C35527"/>
    <w:rsid w:val="00C35777"/>
    <w:rsid w:val="00C35EDD"/>
    <w:rsid w:val="00C362C0"/>
    <w:rsid w:val="00C36523"/>
    <w:rsid w:val="00C36625"/>
    <w:rsid w:val="00C36C23"/>
    <w:rsid w:val="00C371F7"/>
    <w:rsid w:val="00C37CAE"/>
    <w:rsid w:val="00C408F8"/>
    <w:rsid w:val="00C40B77"/>
    <w:rsid w:val="00C40E4D"/>
    <w:rsid w:val="00C42020"/>
    <w:rsid w:val="00C426A6"/>
    <w:rsid w:val="00C42944"/>
    <w:rsid w:val="00C429D7"/>
    <w:rsid w:val="00C42ACB"/>
    <w:rsid w:val="00C43AB2"/>
    <w:rsid w:val="00C43AD8"/>
    <w:rsid w:val="00C43EA6"/>
    <w:rsid w:val="00C445F6"/>
    <w:rsid w:val="00C44A80"/>
    <w:rsid w:val="00C44DA9"/>
    <w:rsid w:val="00C460B8"/>
    <w:rsid w:val="00C469A5"/>
    <w:rsid w:val="00C470E8"/>
    <w:rsid w:val="00C47BD1"/>
    <w:rsid w:val="00C47E1D"/>
    <w:rsid w:val="00C50290"/>
    <w:rsid w:val="00C50978"/>
    <w:rsid w:val="00C516D2"/>
    <w:rsid w:val="00C519FB"/>
    <w:rsid w:val="00C51C7C"/>
    <w:rsid w:val="00C51F60"/>
    <w:rsid w:val="00C5316F"/>
    <w:rsid w:val="00C5413F"/>
    <w:rsid w:val="00C55A80"/>
    <w:rsid w:val="00C55B98"/>
    <w:rsid w:val="00C56D79"/>
    <w:rsid w:val="00C56E77"/>
    <w:rsid w:val="00C56EE8"/>
    <w:rsid w:val="00C5703A"/>
    <w:rsid w:val="00C570AA"/>
    <w:rsid w:val="00C570D2"/>
    <w:rsid w:val="00C57490"/>
    <w:rsid w:val="00C5757B"/>
    <w:rsid w:val="00C579FF"/>
    <w:rsid w:val="00C613F4"/>
    <w:rsid w:val="00C61B83"/>
    <w:rsid w:val="00C61C2E"/>
    <w:rsid w:val="00C62665"/>
    <w:rsid w:val="00C62A09"/>
    <w:rsid w:val="00C62E1E"/>
    <w:rsid w:val="00C63075"/>
    <w:rsid w:val="00C644F5"/>
    <w:rsid w:val="00C65D57"/>
    <w:rsid w:val="00C66181"/>
    <w:rsid w:val="00C663C3"/>
    <w:rsid w:val="00C7010E"/>
    <w:rsid w:val="00C70716"/>
    <w:rsid w:val="00C71446"/>
    <w:rsid w:val="00C71F0B"/>
    <w:rsid w:val="00C72024"/>
    <w:rsid w:val="00C723F9"/>
    <w:rsid w:val="00C72C4A"/>
    <w:rsid w:val="00C73A67"/>
    <w:rsid w:val="00C73A6F"/>
    <w:rsid w:val="00C73AC1"/>
    <w:rsid w:val="00C74568"/>
    <w:rsid w:val="00C74691"/>
    <w:rsid w:val="00C748B0"/>
    <w:rsid w:val="00C74928"/>
    <w:rsid w:val="00C74ADE"/>
    <w:rsid w:val="00C74DA6"/>
    <w:rsid w:val="00C74E3D"/>
    <w:rsid w:val="00C74EEA"/>
    <w:rsid w:val="00C75449"/>
    <w:rsid w:val="00C75C3F"/>
    <w:rsid w:val="00C75DB4"/>
    <w:rsid w:val="00C766CC"/>
    <w:rsid w:val="00C76811"/>
    <w:rsid w:val="00C77356"/>
    <w:rsid w:val="00C773D6"/>
    <w:rsid w:val="00C773DB"/>
    <w:rsid w:val="00C7780C"/>
    <w:rsid w:val="00C77920"/>
    <w:rsid w:val="00C77D8E"/>
    <w:rsid w:val="00C80666"/>
    <w:rsid w:val="00C80869"/>
    <w:rsid w:val="00C80CA6"/>
    <w:rsid w:val="00C814C0"/>
    <w:rsid w:val="00C81DA9"/>
    <w:rsid w:val="00C81FBD"/>
    <w:rsid w:val="00C82076"/>
    <w:rsid w:val="00C82955"/>
    <w:rsid w:val="00C83443"/>
    <w:rsid w:val="00C836AB"/>
    <w:rsid w:val="00C83769"/>
    <w:rsid w:val="00C84957"/>
    <w:rsid w:val="00C86149"/>
    <w:rsid w:val="00C86164"/>
    <w:rsid w:val="00C863C4"/>
    <w:rsid w:val="00C87801"/>
    <w:rsid w:val="00C87B9E"/>
    <w:rsid w:val="00C90152"/>
    <w:rsid w:val="00C910BC"/>
    <w:rsid w:val="00C91B94"/>
    <w:rsid w:val="00C91F30"/>
    <w:rsid w:val="00C9207A"/>
    <w:rsid w:val="00C92EE4"/>
    <w:rsid w:val="00C93BC7"/>
    <w:rsid w:val="00C94146"/>
    <w:rsid w:val="00C947E2"/>
    <w:rsid w:val="00C9488E"/>
    <w:rsid w:val="00C94EBD"/>
    <w:rsid w:val="00C94F56"/>
    <w:rsid w:val="00C95094"/>
    <w:rsid w:val="00C9549F"/>
    <w:rsid w:val="00C958EA"/>
    <w:rsid w:val="00C95C84"/>
    <w:rsid w:val="00C95D2E"/>
    <w:rsid w:val="00C960B4"/>
    <w:rsid w:val="00C96236"/>
    <w:rsid w:val="00C96339"/>
    <w:rsid w:val="00C96D4C"/>
    <w:rsid w:val="00C96D95"/>
    <w:rsid w:val="00C96E5D"/>
    <w:rsid w:val="00C96EFF"/>
    <w:rsid w:val="00C973D4"/>
    <w:rsid w:val="00CA0009"/>
    <w:rsid w:val="00CA0148"/>
    <w:rsid w:val="00CA0EFE"/>
    <w:rsid w:val="00CA1448"/>
    <w:rsid w:val="00CA14C2"/>
    <w:rsid w:val="00CA15B6"/>
    <w:rsid w:val="00CA1CD9"/>
    <w:rsid w:val="00CA1E5A"/>
    <w:rsid w:val="00CA26F4"/>
    <w:rsid w:val="00CA2834"/>
    <w:rsid w:val="00CA2A29"/>
    <w:rsid w:val="00CA32B2"/>
    <w:rsid w:val="00CA3B2F"/>
    <w:rsid w:val="00CA3C56"/>
    <w:rsid w:val="00CA41C7"/>
    <w:rsid w:val="00CA4E1D"/>
    <w:rsid w:val="00CA5009"/>
    <w:rsid w:val="00CA539F"/>
    <w:rsid w:val="00CA5B28"/>
    <w:rsid w:val="00CA5CDB"/>
    <w:rsid w:val="00CA62E8"/>
    <w:rsid w:val="00CA64BC"/>
    <w:rsid w:val="00CA6970"/>
    <w:rsid w:val="00CA6B0F"/>
    <w:rsid w:val="00CA7F35"/>
    <w:rsid w:val="00CB0A72"/>
    <w:rsid w:val="00CB0E6B"/>
    <w:rsid w:val="00CB13C6"/>
    <w:rsid w:val="00CB1813"/>
    <w:rsid w:val="00CB1D10"/>
    <w:rsid w:val="00CB2050"/>
    <w:rsid w:val="00CB20E5"/>
    <w:rsid w:val="00CB252D"/>
    <w:rsid w:val="00CB3489"/>
    <w:rsid w:val="00CB348D"/>
    <w:rsid w:val="00CB34A2"/>
    <w:rsid w:val="00CB39E0"/>
    <w:rsid w:val="00CB3A6E"/>
    <w:rsid w:val="00CB3E88"/>
    <w:rsid w:val="00CB419D"/>
    <w:rsid w:val="00CB482B"/>
    <w:rsid w:val="00CB48A5"/>
    <w:rsid w:val="00CB505C"/>
    <w:rsid w:val="00CB50DD"/>
    <w:rsid w:val="00CB5840"/>
    <w:rsid w:val="00CB6049"/>
    <w:rsid w:val="00CB69D6"/>
    <w:rsid w:val="00CB6E4F"/>
    <w:rsid w:val="00CB6E91"/>
    <w:rsid w:val="00CB76BB"/>
    <w:rsid w:val="00CB7DBA"/>
    <w:rsid w:val="00CC003C"/>
    <w:rsid w:val="00CC0BE8"/>
    <w:rsid w:val="00CC1061"/>
    <w:rsid w:val="00CC1276"/>
    <w:rsid w:val="00CC15AB"/>
    <w:rsid w:val="00CC190A"/>
    <w:rsid w:val="00CC1FBF"/>
    <w:rsid w:val="00CC2002"/>
    <w:rsid w:val="00CC2244"/>
    <w:rsid w:val="00CC2356"/>
    <w:rsid w:val="00CC2963"/>
    <w:rsid w:val="00CC2BC9"/>
    <w:rsid w:val="00CC3094"/>
    <w:rsid w:val="00CC30ED"/>
    <w:rsid w:val="00CC3891"/>
    <w:rsid w:val="00CC3A85"/>
    <w:rsid w:val="00CC3C4A"/>
    <w:rsid w:val="00CC3DFD"/>
    <w:rsid w:val="00CC3F24"/>
    <w:rsid w:val="00CC407C"/>
    <w:rsid w:val="00CC415E"/>
    <w:rsid w:val="00CC42A7"/>
    <w:rsid w:val="00CC489E"/>
    <w:rsid w:val="00CC4BE1"/>
    <w:rsid w:val="00CC5450"/>
    <w:rsid w:val="00CC6131"/>
    <w:rsid w:val="00CC625A"/>
    <w:rsid w:val="00CC634E"/>
    <w:rsid w:val="00CC640E"/>
    <w:rsid w:val="00CC6FD4"/>
    <w:rsid w:val="00CC7263"/>
    <w:rsid w:val="00CC7D57"/>
    <w:rsid w:val="00CD0295"/>
    <w:rsid w:val="00CD061F"/>
    <w:rsid w:val="00CD1B50"/>
    <w:rsid w:val="00CD2DF5"/>
    <w:rsid w:val="00CD44AE"/>
    <w:rsid w:val="00CD47F9"/>
    <w:rsid w:val="00CD49D9"/>
    <w:rsid w:val="00CD511E"/>
    <w:rsid w:val="00CD5C7D"/>
    <w:rsid w:val="00CD5D37"/>
    <w:rsid w:val="00CD73D9"/>
    <w:rsid w:val="00CE0C40"/>
    <w:rsid w:val="00CE0C68"/>
    <w:rsid w:val="00CE0E64"/>
    <w:rsid w:val="00CE10DF"/>
    <w:rsid w:val="00CE11E6"/>
    <w:rsid w:val="00CE1CE8"/>
    <w:rsid w:val="00CE230E"/>
    <w:rsid w:val="00CE23A6"/>
    <w:rsid w:val="00CE2572"/>
    <w:rsid w:val="00CE25F8"/>
    <w:rsid w:val="00CE2D39"/>
    <w:rsid w:val="00CE5122"/>
    <w:rsid w:val="00CE5723"/>
    <w:rsid w:val="00CE585C"/>
    <w:rsid w:val="00CE59CE"/>
    <w:rsid w:val="00CE5A76"/>
    <w:rsid w:val="00CE5AB0"/>
    <w:rsid w:val="00CE6132"/>
    <w:rsid w:val="00CE61F3"/>
    <w:rsid w:val="00CE6207"/>
    <w:rsid w:val="00CE625C"/>
    <w:rsid w:val="00CE6EB0"/>
    <w:rsid w:val="00CE6EF5"/>
    <w:rsid w:val="00CE7596"/>
    <w:rsid w:val="00CE7DAF"/>
    <w:rsid w:val="00CE7EB2"/>
    <w:rsid w:val="00CF090D"/>
    <w:rsid w:val="00CF0910"/>
    <w:rsid w:val="00CF0A73"/>
    <w:rsid w:val="00CF0A94"/>
    <w:rsid w:val="00CF0AF1"/>
    <w:rsid w:val="00CF103B"/>
    <w:rsid w:val="00CF24A4"/>
    <w:rsid w:val="00CF25EE"/>
    <w:rsid w:val="00CF2696"/>
    <w:rsid w:val="00CF26EB"/>
    <w:rsid w:val="00CF2823"/>
    <w:rsid w:val="00CF289A"/>
    <w:rsid w:val="00CF3BA8"/>
    <w:rsid w:val="00CF4807"/>
    <w:rsid w:val="00CF57A2"/>
    <w:rsid w:val="00CF6742"/>
    <w:rsid w:val="00CF723B"/>
    <w:rsid w:val="00CF7466"/>
    <w:rsid w:val="00CF78D5"/>
    <w:rsid w:val="00CF7D45"/>
    <w:rsid w:val="00D001D3"/>
    <w:rsid w:val="00D002E6"/>
    <w:rsid w:val="00D00430"/>
    <w:rsid w:val="00D00A45"/>
    <w:rsid w:val="00D0106A"/>
    <w:rsid w:val="00D01281"/>
    <w:rsid w:val="00D01C0F"/>
    <w:rsid w:val="00D020C1"/>
    <w:rsid w:val="00D021B8"/>
    <w:rsid w:val="00D03701"/>
    <w:rsid w:val="00D03A42"/>
    <w:rsid w:val="00D03ABE"/>
    <w:rsid w:val="00D03B1F"/>
    <w:rsid w:val="00D04044"/>
    <w:rsid w:val="00D04150"/>
    <w:rsid w:val="00D0432D"/>
    <w:rsid w:val="00D0481B"/>
    <w:rsid w:val="00D048BC"/>
    <w:rsid w:val="00D04B1F"/>
    <w:rsid w:val="00D05754"/>
    <w:rsid w:val="00D05A64"/>
    <w:rsid w:val="00D06420"/>
    <w:rsid w:val="00D067E6"/>
    <w:rsid w:val="00D068BA"/>
    <w:rsid w:val="00D0701F"/>
    <w:rsid w:val="00D0754F"/>
    <w:rsid w:val="00D0796B"/>
    <w:rsid w:val="00D07A59"/>
    <w:rsid w:val="00D07B24"/>
    <w:rsid w:val="00D07E18"/>
    <w:rsid w:val="00D113C6"/>
    <w:rsid w:val="00D11478"/>
    <w:rsid w:val="00D11730"/>
    <w:rsid w:val="00D11A66"/>
    <w:rsid w:val="00D11AB4"/>
    <w:rsid w:val="00D124AA"/>
    <w:rsid w:val="00D12506"/>
    <w:rsid w:val="00D13592"/>
    <w:rsid w:val="00D147BB"/>
    <w:rsid w:val="00D14A03"/>
    <w:rsid w:val="00D14A1B"/>
    <w:rsid w:val="00D15531"/>
    <w:rsid w:val="00D1596B"/>
    <w:rsid w:val="00D159BF"/>
    <w:rsid w:val="00D15AA1"/>
    <w:rsid w:val="00D15CCA"/>
    <w:rsid w:val="00D15D44"/>
    <w:rsid w:val="00D1639C"/>
    <w:rsid w:val="00D16519"/>
    <w:rsid w:val="00D16730"/>
    <w:rsid w:val="00D20CBF"/>
    <w:rsid w:val="00D2159F"/>
    <w:rsid w:val="00D21EAA"/>
    <w:rsid w:val="00D22496"/>
    <w:rsid w:val="00D224A3"/>
    <w:rsid w:val="00D22710"/>
    <w:rsid w:val="00D2417D"/>
    <w:rsid w:val="00D244B8"/>
    <w:rsid w:val="00D259F9"/>
    <w:rsid w:val="00D25CBC"/>
    <w:rsid w:val="00D25D65"/>
    <w:rsid w:val="00D261D9"/>
    <w:rsid w:val="00D2643C"/>
    <w:rsid w:val="00D2679D"/>
    <w:rsid w:val="00D26AFC"/>
    <w:rsid w:val="00D27663"/>
    <w:rsid w:val="00D2768C"/>
    <w:rsid w:val="00D300B3"/>
    <w:rsid w:val="00D31507"/>
    <w:rsid w:val="00D318C8"/>
    <w:rsid w:val="00D31CB1"/>
    <w:rsid w:val="00D31E59"/>
    <w:rsid w:val="00D32975"/>
    <w:rsid w:val="00D33675"/>
    <w:rsid w:val="00D33B36"/>
    <w:rsid w:val="00D342B0"/>
    <w:rsid w:val="00D34C54"/>
    <w:rsid w:val="00D34C6B"/>
    <w:rsid w:val="00D35A49"/>
    <w:rsid w:val="00D35C1B"/>
    <w:rsid w:val="00D362C5"/>
    <w:rsid w:val="00D37503"/>
    <w:rsid w:val="00D37BF0"/>
    <w:rsid w:val="00D37CB4"/>
    <w:rsid w:val="00D40505"/>
    <w:rsid w:val="00D40767"/>
    <w:rsid w:val="00D40CCF"/>
    <w:rsid w:val="00D412A0"/>
    <w:rsid w:val="00D41665"/>
    <w:rsid w:val="00D42114"/>
    <w:rsid w:val="00D42148"/>
    <w:rsid w:val="00D427E8"/>
    <w:rsid w:val="00D43287"/>
    <w:rsid w:val="00D43659"/>
    <w:rsid w:val="00D43B22"/>
    <w:rsid w:val="00D43C4D"/>
    <w:rsid w:val="00D43D13"/>
    <w:rsid w:val="00D43DCF"/>
    <w:rsid w:val="00D44007"/>
    <w:rsid w:val="00D44A9B"/>
    <w:rsid w:val="00D44E98"/>
    <w:rsid w:val="00D475B5"/>
    <w:rsid w:val="00D47756"/>
    <w:rsid w:val="00D47EAB"/>
    <w:rsid w:val="00D505B7"/>
    <w:rsid w:val="00D50738"/>
    <w:rsid w:val="00D50AC2"/>
    <w:rsid w:val="00D50DBC"/>
    <w:rsid w:val="00D5103B"/>
    <w:rsid w:val="00D51519"/>
    <w:rsid w:val="00D5193F"/>
    <w:rsid w:val="00D52478"/>
    <w:rsid w:val="00D533A5"/>
    <w:rsid w:val="00D534B7"/>
    <w:rsid w:val="00D54096"/>
    <w:rsid w:val="00D558DA"/>
    <w:rsid w:val="00D5642C"/>
    <w:rsid w:val="00D56EC4"/>
    <w:rsid w:val="00D57811"/>
    <w:rsid w:val="00D57BA5"/>
    <w:rsid w:val="00D60294"/>
    <w:rsid w:val="00D60B20"/>
    <w:rsid w:val="00D60B5F"/>
    <w:rsid w:val="00D60F2F"/>
    <w:rsid w:val="00D61A9B"/>
    <w:rsid w:val="00D62058"/>
    <w:rsid w:val="00D632C7"/>
    <w:rsid w:val="00D63489"/>
    <w:rsid w:val="00D63BC8"/>
    <w:rsid w:val="00D6417A"/>
    <w:rsid w:val="00D64954"/>
    <w:rsid w:val="00D6512E"/>
    <w:rsid w:val="00D65D0A"/>
    <w:rsid w:val="00D6602F"/>
    <w:rsid w:val="00D6658E"/>
    <w:rsid w:val="00D66C6D"/>
    <w:rsid w:val="00D6748C"/>
    <w:rsid w:val="00D708DA"/>
    <w:rsid w:val="00D70BA4"/>
    <w:rsid w:val="00D718AE"/>
    <w:rsid w:val="00D719BF"/>
    <w:rsid w:val="00D72031"/>
    <w:rsid w:val="00D7220A"/>
    <w:rsid w:val="00D72986"/>
    <w:rsid w:val="00D733C3"/>
    <w:rsid w:val="00D74080"/>
    <w:rsid w:val="00D740F0"/>
    <w:rsid w:val="00D74CAD"/>
    <w:rsid w:val="00D751F6"/>
    <w:rsid w:val="00D752A3"/>
    <w:rsid w:val="00D75351"/>
    <w:rsid w:val="00D75CFE"/>
    <w:rsid w:val="00D76A05"/>
    <w:rsid w:val="00D76EC9"/>
    <w:rsid w:val="00D77305"/>
    <w:rsid w:val="00D775C5"/>
    <w:rsid w:val="00D77DD2"/>
    <w:rsid w:val="00D80788"/>
    <w:rsid w:val="00D80AB4"/>
    <w:rsid w:val="00D81639"/>
    <w:rsid w:val="00D82204"/>
    <w:rsid w:val="00D825E5"/>
    <w:rsid w:val="00D827BA"/>
    <w:rsid w:val="00D82883"/>
    <w:rsid w:val="00D82CD4"/>
    <w:rsid w:val="00D82CF3"/>
    <w:rsid w:val="00D8338E"/>
    <w:rsid w:val="00D83829"/>
    <w:rsid w:val="00D8388A"/>
    <w:rsid w:val="00D83B2D"/>
    <w:rsid w:val="00D84540"/>
    <w:rsid w:val="00D84A0A"/>
    <w:rsid w:val="00D84F8A"/>
    <w:rsid w:val="00D853AE"/>
    <w:rsid w:val="00D85879"/>
    <w:rsid w:val="00D85F7F"/>
    <w:rsid w:val="00D8608C"/>
    <w:rsid w:val="00D8678D"/>
    <w:rsid w:val="00D867D0"/>
    <w:rsid w:val="00D86855"/>
    <w:rsid w:val="00D86ED8"/>
    <w:rsid w:val="00D8749C"/>
    <w:rsid w:val="00D87B4B"/>
    <w:rsid w:val="00D90B7C"/>
    <w:rsid w:val="00D91F0C"/>
    <w:rsid w:val="00D92169"/>
    <w:rsid w:val="00D92237"/>
    <w:rsid w:val="00D92356"/>
    <w:rsid w:val="00D92399"/>
    <w:rsid w:val="00D93381"/>
    <w:rsid w:val="00D93415"/>
    <w:rsid w:val="00D9421D"/>
    <w:rsid w:val="00D9422C"/>
    <w:rsid w:val="00D95BF2"/>
    <w:rsid w:val="00D95C14"/>
    <w:rsid w:val="00D96393"/>
    <w:rsid w:val="00D96E31"/>
    <w:rsid w:val="00D97289"/>
    <w:rsid w:val="00D97A9A"/>
    <w:rsid w:val="00D97ACF"/>
    <w:rsid w:val="00D97E60"/>
    <w:rsid w:val="00DA0126"/>
    <w:rsid w:val="00DA052D"/>
    <w:rsid w:val="00DA0B69"/>
    <w:rsid w:val="00DA0D8C"/>
    <w:rsid w:val="00DA173C"/>
    <w:rsid w:val="00DA1829"/>
    <w:rsid w:val="00DA2081"/>
    <w:rsid w:val="00DA2B33"/>
    <w:rsid w:val="00DA3157"/>
    <w:rsid w:val="00DA3835"/>
    <w:rsid w:val="00DA3C7A"/>
    <w:rsid w:val="00DA4C4C"/>
    <w:rsid w:val="00DA541B"/>
    <w:rsid w:val="00DA561D"/>
    <w:rsid w:val="00DA5BC6"/>
    <w:rsid w:val="00DA5E82"/>
    <w:rsid w:val="00DA65FF"/>
    <w:rsid w:val="00DA71BF"/>
    <w:rsid w:val="00DA79C9"/>
    <w:rsid w:val="00DA7FAE"/>
    <w:rsid w:val="00DB05D9"/>
    <w:rsid w:val="00DB0A73"/>
    <w:rsid w:val="00DB1150"/>
    <w:rsid w:val="00DB129D"/>
    <w:rsid w:val="00DB1363"/>
    <w:rsid w:val="00DB1776"/>
    <w:rsid w:val="00DB19F9"/>
    <w:rsid w:val="00DB20BC"/>
    <w:rsid w:val="00DB2393"/>
    <w:rsid w:val="00DB2B16"/>
    <w:rsid w:val="00DB2E4E"/>
    <w:rsid w:val="00DB3324"/>
    <w:rsid w:val="00DB3B9E"/>
    <w:rsid w:val="00DB3EC5"/>
    <w:rsid w:val="00DB457F"/>
    <w:rsid w:val="00DB497E"/>
    <w:rsid w:val="00DB4B81"/>
    <w:rsid w:val="00DB4E16"/>
    <w:rsid w:val="00DB5FF7"/>
    <w:rsid w:val="00DB62B8"/>
    <w:rsid w:val="00DB635A"/>
    <w:rsid w:val="00DB6F36"/>
    <w:rsid w:val="00DB7205"/>
    <w:rsid w:val="00DB7BA1"/>
    <w:rsid w:val="00DC09CA"/>
    <w:rsid w:val="00DC263A"/>
    <w:rsid w:val="00DC27BE"/>
    <w:rsid w:val="00DC2AF4"/>
    <w:rsid w:val="00DC2CB5"/>
    <w:rsid w:val="00DC4B6C"/>
    <w:rsid w:val="00DC4D0F"/>
    <w:rsid w:val="00DC52E1"/>
    <w:rsid w:val="00DC5500"/>
    <w:rsid w:val="00DC5AC2"/>
    <w:rsid w:val="00DC5C6F"/>
    <w:rsid w:val="00DC66BA"/>
    <w:rsid w:val="00DC67BC"/>
    <w:rsid w:val="00DC7262"/>
    <w:rsid w:val="00DC7E05"/>
    <w:rsid w:val="00DD051F"/>
    <w:rsid w:val="00DD0974"/>
    <w:rsid w:val="00DD0D7F"/>
    <w:rsid w:val="00DD0DB1"/>
    <w:rsid w:val="00DD108F"/>
    <w:rsid w:val="00DD1157"/>
    <w:rsid w:val="00DD1311"/>
    <w:rsid w:val="00DD1346"/>
    <w:rsid w:val="00DD1B01"/>
    <w:rsid w:val="00DD1D55"/>
    <w:rsid w:val="00DD2023"/>
    <w:rsid w:val="00DD20DA"/>
    <w:rsid w:val="00DD2119"/>
    <w:rsid w:val="00DD2761"/>
    <w:rsid w:val="00DD2A90"/>
    <w:rsid w:val="00DD2A9F"/>
    <w:rsid w:val="00DD32CC"/>
    <w:rsid w:val="00DD3719"/>
    <w:rsid w:val="00DD3830"/>
    <w:rsid w:val="00DD397E"/>
    <w:rsid w:val="00DD4294"/>
    <w:rsid w:val="00DD4E25"/>
    <w:rsid w:val="00DD5B7A"/>
    <w:rsid w:val="00DD5DC6"/>
    <w:rsid w:val="00DD6165"/>
    <w:rsid w:val="00DD62B9"/>
    <w:rsid w:val="00DD65BB"/>
    <w:rsid w:val="00DD6B4A"/>
    <w:rsid w:val="00DD6BA8"/>
    <w:rsid w:val="00DD6D47"/>
    <w:rsid w:val="00DD7917"/>
    <w:rsid w:val="00DD7CEF"/>
    <w:rsid w:val="00DE01CB"/>
    <w:rsid w:val="00DE0E25"/>
    <w:rsid w:val="00DE0FC6"/>
    <w:rsid w:val="00DE189A"/>
    <w:rsid w:val="00DE1E11"/>
    <w:rsid w:val="00DE26B3"/>
    <w:rsid w:val="00DE2E22"/>
    <w:rsid w:val="00DE39DE"/>
    <w:rsid w:val="00DE3B9C"/>
    <w:rsid w:val="00DE45A5"/>
    <w:rsid w:val="00DE45AB"/>
    <w:rsid w:val="00DE4615"/>
    <w:rsid w:val="00DE4B04"/>
    <w:rsid w:val="00DE5045"/>
    <w:rsid w:val="00DE50D6"/>
    <w:rsid w:val="00DE5141"/>
    <w:rsid w:val="00DE58A0"/>
    <w:rsid w:val="00DE58DB"/>
    <w:rsid w:val="00DE5B71"/>
    <w:rsid w:val="00DE6F62"/>
    <w:rsid w:val="00DE73FB"/>
    <w:rsid w:val="00DF14E7"/>
    <w:rsid w:val="00DF14F8"/>
    <w:rsid w:val="00DF1529"/>
    <w:rsid w:val="00DF2103"/>
    <w:rsid w:val="00DF232D"/>
    <w:rsid w:val="00DF29F7"/>
    <w:rsid w:val="00DF2D3A"/>
    <w:rsid w:val="00DF30F0"/>
    <w:rsid w:val="00DF34E4"/>
    <w:rsid w:val="00DF3F83"/>
    <w:rsid w:val="00DF4C35"/>
    <w:rsid w:val="00DF570E"/>
    <w:rsid w:val="00DF5951"/>
    <w:rsid w:val="00DF5DC9"/>
    <w:rsid w:val="00DF60AA"/>
    <w:rsid w:val="00DF63A7"/>
    <w:rsid w:val="00DF64AF"/>
    <w:rsid w:val="00DF64D2"/>
    <w:rsid w:val="00DF6698"/>
    <w:rsid w:val="00DF6E30"/>
    <w:rsid w:val="00DF7022"/>
    <w:rsid w:val="00DF719B"/>
    <w:rsid w:val="00DF7992"/>
    <w:rsid w:val="00DF79E4"/>
    <w:rsid w:val="00E00A9A"/>
    <w:rsid w:val="00E0207A"/>
    <w:rsid w:val="00E023E6"/>
    <w:rsid w:val="00E02C35"/>
    <w:rsid w:val="00E02FFE"/>
    <w:rsid w:val="00E0321D"/>
    <w:rsid w:val="00E039A5"/>
    <w:rsid w:val="00E049BD"/>
    <w:rsid w:val="00E06BC3"/>
    <w:rsid w:val="00E06D3C"/>
    <w:rsid w:val="00E075CA"/>
    <w:rsid w:val="00E101A7"/>
    <w:rsid w:val="00E104F3"/>
    <w:rsid w:val="00E10C16"/>
    <w:rsid w:val="00E1124C"/>
    <w:rsid w:val="00E119B0"/>
    <w:rsid w:val="00E11B8F"/>
    <w:rsid w:val="00E11BB1"/>
    <w:rsid w:val="00E122C9"/>
    <w:rsid w:val="00E1239A"/>
    <w:rsid w:val="00E1259A"/>
    <w:rsid w:val="00E13243"/>
    <w:rsid w:val="00E1330D"/>
    <w:rsid w:val="00E13B95"/>
    <w:rsid w:val="00E14CF0"/>
    <w:rsid w:val="00E14EEE"/>
    <w:rsid w:val="00E16198"/>
    <w:rsid w:val="00E16243"/>
    <w:rsid w:val="00E1624B"/>
    <w:rsid w:val="00E168EE"/>
    <w:rsid w:val="00E16C42"/>
    <w:rsid w:val="00E1723E"/>
    <w:rsid w:val="00E17503"/>
    <w:rsid w:val="00E17EA4"/>
    <w:rsid w:val="00E17F49"/>
    <w:rsid w:val="00E2006D"/>
    <w:rsid w:val="00E20418"/>
    <w:rsid w:val="00E2096F"/>
    <w:rsid w:val="00E20E93"/>
    <w:rsid w:val="00E21107"/>
    <w:rsid w:val="00E211BF"/>
    <w:rsid w:val="00E21412"/>
    <w:rsid w:val="00E21598"/>
    <w:rsid w:val="00E22104"/>
    <w:rsid w:val="00E22454"/>
    <w:rsid w:val="00E22486"/>
    <w:rsid w:val="00E22739"/>
    <w:rsid w:val="00E227F0"/>
    <w:rsid w:val="00E22993"/>
    <w:rsid w:val="00E229A0"/>
    <w:rsid w:val="00E230CB"/>
    <w:rsid w:val="00E236E4"/>
    <w:rsid w:val="00E23E25"/>
    <w:rsid w:val="00E23F69"/>
    <w:rsid w:val="00E244B9"/>
    <w:rsid w:val="00E2469C"/>
    <w:rsid w:val="00E24CF9"/>
    <w:rsid w:val="00E24FDD"/>
    <w:rsid w:val="00E25159"/>
    <w:rsid w:val="00E253F1"/>
    <w:rsid w:val="00E25577"/>
    <w:rsid w:val="00E2583D"/>
    <w:rsid w:val="00E258AA"/>
    <w:rsid w:val="00E25AC1"/>
    <w:rsid w:val="00E26040"/>
    <w:rsid w:val="00E26466"/>
    <w:rsid w:val="00E27116"/>
    <w:rsid w:val="00E27408"/>
    <w:rsid w:val="00E27FCF"/>
    <w:rsid w:val="00E3160B"/>
    <w:rsid w:val="00E31D6F"/>
    <w:rsid w:val="00E31E0B"/>
    <w:rsid w:val="00E31E29"/>
    <w:rsid w:val="00E32882"/>
    <w:rsid w:val="00E32B9B"/>
    <w:rsid w:val="00E3369B"/>
    <w:rsid w:val="00E34AB7"/>
    <w:rsid w:val="00E34CDC"/>
    <w:rsid w:val="00E361E1"/>
    <w:rsid w:val="00E366C8"/>
    <w:rsid w:val="00E368B4"/>
    <w:rsid w:val="00E36EAB"/>
    <w:rsid w:val="00E37144"/>
    <w:rsid w:val="00E37375"/>
    <w:rsid w:val="00E37592"/>
    <w:rsid w:val="00E37FDF"/>
    <w:rsid w:val="00E4039F"/>
    <w:rsid w:val="00E4112E"/>
    <w:rsid w:val="00E414DC"/>
    <w:rsid w:val="00E418E6"/>
    <w:rsid w:val="00E428BD"/>
    <w:rsid w:val="00E43292"/>
    <w:rsid w:val="00E4333D"/>
    <w:rsid w:val="00E4371F"/>
    <w:rsid w:val="00E444AA"/>
    <w:rsid w:val="00E44845"/>
    <w:rsid w:val="00E448E9"/>
    <w:rsid w:val="00E44FC4"/>
    <w:rsid w:val="00E46206"/>
    <w:rsid w:val="00E46F61"/>
    <w:rsid w:val="00E47413"/>
    <w:rsid w:val="00E47C30"/>
    <w:rsid w:val="00E50C0E"/>
    <w:rsid w:val="00E5168B"/>
    <w:rsid w:val="00E5212B"/>
    <w:rsid w:val="00E52466"/>
    <w:rsid w:val="00E52597"/>
    <w:rsid w:val="00E526FC"/>
    <w:rsid w:val="00E52CF6"/>
    <w:rsid w:val="00E53761"/>
    <w:rsid w:val="00E53870"/>
    <w:rsid w:val="00E538FF"/>
    <w:rsid w:val="00E539AB"/>
    <w:rsid w:val="00E54407"/>
    <w:rsid w:val="00E54DDA"/>
    <w:rsid w:val="00E54F53"/>
    <w:rsid w:val="00E55491"/>
    <w:rsid w:val="00E5628F"/>
    <w:rsid w:val="00E56DE3"/>
    <w:rsid w:val="00E57771"/>
    <w:rsid w:val="00E57C92"/>
    <w:rsid w:val="00E60622"/>
    <w:rsid w:val="00E6079D"/>
    <w:rsid w:val="00E614E8"/>
    <w:rsid w:val="00E6158C"/>
    <w:rsid w:val="00E619AC"/>
    <w:rsid w:val="00E626FE"/>
    <w:rsid w:val="00E63DBA"/>
    <w:rsid w:val="00E6417D"/>
    <w:rsid w:val="00E64BF3"/>
    <w:rsid w:val="00E65E32"/>
    <w:rsid w:val="00E65E64"/>
    <w:rsid w:val="00E66E30"/>
    <w:rsid w:val="00E67387"/>
    <w:rsid w:val="00E67B35"/>
    <w:rsid w:val="00E70266"/>
    <w:rsid w:val="00E702C2"/>
    <w:rsid w:val="00E706BB"/>
    <w:rsid w:val="00E70AFA"/>
    <w:rsid w:val="00E7109D"/>
    <w:rsid w:val="00E718ED"/>
    <w:rsid w:val="00E71B5C"/>
    <w:rsid w:val="00E722D0"/>
    <w:rsid w:val="00E726E2"/>
    <w:rsid w:val="00E7292D"/>
    <w:rsid w:val="00E73CA5"/>
    <w:rsid w:val="00E743A4"/>
    <w:rsid w:val="00E74AAB"/>
    <w:rsid w:val="00E75248"/>
    <w:rsid w:val="00E759E6"/>
    <w:rsid w:val="00E75EC1"/>
    <w:rsid w:val="00E7608E"/>
    <w:rsid w:val="00E76192"/>
    <w:rsid w:val="00E76B1A"/>
    <w:rsid w:val="00E778FF"/>
    <w:rsid w:val="00E804F0"/>
    <w:rsid w:val="00E8090F"/>
    <w:rsid w:val="00E80C37"/>
    <w:rsid w:val="00E80C6A"/>
    <w:rsid w:val="00E81362"/>
    <w:rsid w:val="00E81485"/>
    <w:rsid w:val="00E8170D"/>
    <w:rsid w:val="00E81924"/>
    <w:rsid w:val="00E81A23"/>
    <w:rsid w:val="00E827E9"/>
    <w:rsid w:val="00E82857"/>
    <w:rsid w:val="00E82D58"/>
    <w:rsid w:val="00E8357D"/>
    <w:rsid w:val="00E84077"/>
    <w:rsid w:val="00E841F1"/>
    <w:rsid w:val="00E8430B"/>
    <w:rsid w:val="00E84BDF"/>
    <w:rsid w:val="00E8514E"/>
    <w:rsid w:val="00E86165"/>
    <w:rsid w:val="00E8627A"/>
    <w:rsid w:val="00E866D0"/>
    <w:rsid w:val="00E870F7"/>
    <w:rsid w:val="00E877AC"/>
    <w:rsid w:val="00E87854"/>
    <w:rsid w:val="00E878D3"/>
    <w:rsid w:val="00E87D62"/>
    <w:rsid w:val="00E90DE9"/>
    <w:rsid w:val="00E9110B"/>
    <w:rsid w:val="00E91363"/>
    <w:rsid w:val="00E91570"/>
    <w:rsid w:val="00E91F8B"/>
    <w:rsid w:val="00E928DD"/>
    <w:rsid w:val="00E92EFB"/>
    <w:rsid w:val="00E93DFE"/>
    <w:rsid w:val="00E946D9"/>
    <w:rsid w:val="00E956A8"/>
    <w:rsid w:val="00E959A2"/>
    <w:rsid w:val="00E95FA9"/>
    <w:rsid w:val="00E95FBF"/>
    <w:rsid w:val="00E97863"/>
    <w:rsid w:val="00E97CD6"/>
    <w:rsid w:val="00EA0264"/>
    <w:rsid w:val="00EA0390"/>
    <w:rsid w:val="00EA0E37"/>
    <w:rsid w:val="00EA1474"/>
    <w:rsid w:val="00EA2918"/>
    <w:rsid w:val="00EA2C74"/>
    <w:rsid w:val="00EA355A"/>
    <w:rsid w:val="00EA3E3C"/>
    <w:rsid w:val="00EA3E48"/>
    <w:rsid w:val="00EA41B8"/>
    <w:rsid w:val="00EA4406"/>
    <w:rsid w:val="00EA4DAA"/>
    <w:rsid w:val="00EA5A14"/>
    <w:rsid w:val="00EA5BA9"/>
    <w:rsid w:val="00EA5D59"/>
    <w:rsid w:val="00EA656F"/>
    <w:rsid w:val="00EA65BC"/>
    <w:rsid w:val="00EA6A17"/>
    <w:rsid w:val="00EA71C0"/>
    <w:rsid w:val="00EA72EC"/>
    <w:rsid w:val="00EA78D0"/>
    <w:rsid w:val="00EB0146"/>
    <w:rsid w:val="00EB057F"/>
    <w:rsid w:val="00EB12DE"/>
    <w:rsid w:val="00EB16F4"/>
    <w:rsid w:val="00EB1E77"/>
    <w:rsid w:val="00EB2405"/>
    <w:rsid w:val="00EB2BB1"/>
    <w:rsid w:val="00EB2CCE"/>
    <w:rsid w:val="00EB351D"/>
    <w:rsid w:val="00EB381C"/>
    <w:rsid w:val="00EB3A29"/>
    <w:rsid w:val="00EB41ED"/>
    <w:rsid w:val="00EB4DCB"/>
    <w:rsid w:val="00EB5120"/>
    <w:rsid w:val="00EB5483"/>
    <w:rsid w:val="00EB6900"/>
    <w:rsid w:val="00EB6BAA"/>
    <w:rsid w:val="00EB6C1F"/>
    <w:rsid w:val="00EB6D2B"/>
    <w:rsid w:val="00EB70E3"/>
    <w:rsid w:val="00EB73B5"/>
    <w:rsid w:val="00EB7555"/>
    <w:rsid w:val="00EB7CAF"/>
    <w:rsid w:val="00EC00A5"/>
    <w:rsid w:val="00EC0636"/>
    <w:rsid w:val="00EC083A"/>
    <w:rsid w:val="00EC0A63"/>
    <w:rsid w:val="00EC0BBB"/>
    <w:rsid w:val="00EC0EDB"/>
    <w:rsid w:val="00EC0F6D"/>
    <w:rsid w:val="00EC1064"/>
    <w:rsid w:val="00EC14BE"/>
    <w:rsid w:val="00EC1707"/>
    <w:rsid w:val="00EC174C"/>
    <w:rsid w:val="00EC1ED8"/>
    <w:rsid w:val="00EC2237"/>
    <w:rsid w:val="00EC2977"/>
    <w:rsid w:val="00EC3DD9"/>
    <w:rsid w:val="00EC46E4"/>
    <w:rsid w:val="00EC4AD3"/>
    <w:rsid w:val="00EC5281"/>
    <w:rsid w:val="00EC5920"/>
    <w:rsid w:val="00EC5A65"/>
    <w:rsid w:val="00EC5F63"/>
    <w:rsid w:val="00EC61AC"/>
    <w:rsid w:val="00EC63A2"/>
    <w:rsid w:val="00ED0065"/>
    <w:rsid w:val="00ED08F3"/>
    <w:rsid w:val="00ED0C6A"/>
    <w:rsid w:val="00ED0DDE"/>
    <w:rsid w:val="00ED152D"/>
    <w:rsid w:val="00ED1949"/>
    <w:rsid w:val="00ED197C"/>
    <w:rsid w:val="00ED2552"/>
    <w:rsid w:val="00ED272C"/>
    <w:rsid w:val="00ED2DDD"/>
    <w:rsid w:val="00ED485F"/>
    <w:rsid w:val="00ED4930"/>
    <w:rsid w:val="00ED4CBB"/>
    <w:rsid w:val="00ED5509"/>
    <w:rsid w:val="00ED55AA"/>
    <w:rsid w:val="00ED55B7"/>
    <w:rsid w:val="00ED5FCE"/>
    <w:rsid w:val="00ED64DE"/>
    <w:rsid w:val="00ED6638"/>
    <w:rsid w:val="00ED6E79"/>
    <w:rsid w:val="00ED712A"/>
    <w:rsid w:val="00ED71A6"/>
    <w:rsid w:val="00ED7F00"/>
    <w:rsid w:val="00EE0028"/>
    <w:rsid w:val="00EE0221"/>
    <w:rsid w:val="00EE03CC"/>
    <w:rsid w:val="00EE051F"/>
    <w:rsid w:val="00EE05B7"/>
    <w:rsid w:val="00EE0C65"/>
    <w:rsid w:val="00EE1282"/>
    <w:rsid w:val="00EE1817"/>
    <w:rsid w:val="00EE1BB8"/>
    <w:rsid w:val="00EE1DD1"/>
    <w:rsid w:val="00EE1FC9"/>
    <w:rsid w:val="00EE2245"/>
    <w:rsid w:val="00EE25F9"/>
    <w:rsid w:val="00EE29AF"/>
    <w:rsid w:val="00EE3463"/>
    <w:rsid w:val="00EE37EE"/>
    <w:rsid w:val="00EE39A4"/>
    <w:rsid w:val="00EE4B59"/>
    <w:rsid w:val="00EE50A8"/>
    <w:rsid w:val="00EE53B9"/>
    <w:rsid w:val="00EE6372"/>
    <w:rsid w:val="00EE7829"/>
    <w:rsid w:val="00EF0279"/>
    <w:rsid w:val="00EF0629"/>
    <w:rsid w:val="00EF09DF"/>
    <w:rsid w:val="00EF0D49"/>
    <w:rsid w:val="00EF1594"/>
    <w:rsid w:val="00EF1C23"/>
    <w:rsid w:val="00EF269C"/>
    <w:rsid w:val="00EF3463"/>
    <w:rsid w:val="00EF36A1"/>
    <w:rsid w:val="00EF389F"/>
    <w:rsid w:val="00EF40A9"/>
    <w:rsid w:val="00EF4251"/>
    <w:rsid w:val="00EF4A6B"/>
    <w:rsid w:val="00EF4CAF"/>
    <w:rsid w:val="00EF4E00"/>
    <w:rsid w:val="00EF540A"/>
    <w:rsid w:val="00EF6405"/>
    <w:rsid w:val="00EF719E"/>
    <w:rsid w:val="00EF76FE"/>
    <w:rsid w:val="00F0064D"/>
    <w:rsid w:val="00F006BC"/>
    <w:rsid w:val="00F0087F"/>
    <w:rsid w:val="00F00C37"/>
    <w:rsid w:val="00F00C86"/>
    <w:rsid w:val="00F01005"/>
    <w:rsid w:val="00F0119D"/>
    <w:rsid w:val="00F020B0"/>
    <w:rsid w:val="00F02F41"/>
    <w:rsid w:val="00F03088"/>
    <w:rsid w:val="00F0433A"/>
    <w:rsid w:val="00F044BF"/>
    <w:rsid w:val="00F04643"/>
    <w:rsid w:val="00F0577A"/>
    <w:rsid w:val="00F0619B"/>
    <w:rsid w:val="00F06B73"/>
    <w:rsid w:val="00F06EF8"/>
    <w:rsid w:val="00F07728"/>
    <w:rsid w:val="00F10A73"/>
    <w:rsid w:val="00F11145"/>
    <w:rsid w:val="00F11700"/>
    <w:rsid w:val="00F118CF"/>
    <w:rsid w:val="00F11F45"/>
    <w:rsid w:val="00F120EC"/>
    <w:rsid w:val="00F12496"/>
    <w:rsid w:val="00F12DC0"/>
    <w:rsid w:val="00F147FA"/>
    <w:rsid w:val="00F1486B"/>
    <w:rsid w:val="00F14D0B"/>
    <w:rsid w:val="00F14FC6"/>
    <w:rsid w:val="00F159F8"/>
    <w:rsid w:val="00F15AA8"/>
    <w:rsid w:val="00F15D77"/>
    <w:rsid w:val="00F17D5E"/>
    <w:rsid w:val="00F20369"/>
    <w:rsid w:val="00F20899"/>
    <w:rsid w:val="00F20E57"/>
    <w:rsid w:val="00F21273"/>
    <w:rsid w:val="00F217F9"/>
    <w:rsid w:val="00F21D64"/>
    <w:rsid w:val="00F21EFC"/>
    <w:rsid w:val="00F2262B"/>
    <w:rsid w:val="00F22C4F"/>
    <w:rsid w:val="00F23BFE"/>
    <w:rsid w:val="00F2456C"/>
    <w:rsid w:val="00F24C95"/>
    <w:rsid w:val="00F25138"/>
    <w:rsid w:val="00F2548E"/>
    <w:rsid w:val="00F25965"/>
    <w:rsid w:val="00F2704B"/>
    <w:rsid w:val="00F302A0"/>
    <w:rsid w:val="00F3080C"/>
    <w:rsid w:val="00F31AD8"/>
    <w:rsid w:val="00F32751"/>
    <w:rsid w:val="00F339CE"/>
    <w:rsid w:val="00F33E76"/>
    <w:rsid w:val="00F342F9"/>
    <w:rsid w:val="00F345C3"/>
    <w:rsid w:val="00F3469B"/>
    <w:rsid w:val="00F348B2"/>
    <w:rsid w:val="00F35125"/>
    <w:rsid w:val="00F3516E"/>
    <w:rsid w:val="00F35FBD"/>
    <w:rsid w:val="00F366A6"/>
    <w:rsid w:val="00F37764"/>
    <w:rsid w:val="00F37F91"/>
    <w:rsid w:val="00F4021E"/>
    <w:rsid w:val="00F40692"/>
    <w:rsid w:val="00F4071F"/>
    <w:rsid w:val="00F40C9F"/>
    <w:rsid w:val="00F4118B"/>
    <w:rsid w:val="00F4192A"/>
    <w:rsid w:val="00F41DFF"/>
    <w:rsid w:val="00F42179"/>
    <w:rsid w:val="00F42995"/>
    <w:rsid w:val="00F42F4E"/>
    <w:rsid w:val="00F44379"/>
    <w:rsid w:val="00F45348"/>
    <w:rsid w:val="00F45CB7"/>
    <w:rsid w:val="00F46B76"/>
    <w:rsid w:val="00F46CC4"/>
    <w:rsid w:val="00F46F21"/>
    <w:rsid w:val="00F47996"/>
    <w:rsid w:val="00F47E58"/>
    <w:rsid w:val="00F50527"/>
    <w:rsid w:val="00F507BE"/>
    <w:rsid w:val="00F50C82"/>
    <w:rsid w:val="00F50F62"/>
    <w:rsid w:val="00F51011"/>
    <w:rsid w:val="00F5126C"/>
    <w:rsid w:val="00F52ED5"/>
    <w:rsid w:val="00F5303D"/>
    <w:rsid w:val="00F5382A"/>
    <w:rsid w:val="00F5391D"/>
    <w:rsid w:val="00F5435D"/>
    <w:rsid w:val="00F54A50"/>
    <w:rsid w:val="00F54F47"/>
    <w:rsid w:val="00F54FAA"/>
    <w:rsid w:val="00F55079"/>
    <w:rsid w:val="00F55896"/>
    <w:rsid w:val="00F55CF9"/>
    <w:rsid w:val="00F56834"/>
    <w:rsid w:val="00F56A8F"/>
    <w:rsid w:val="00F56C00"/>
    <w:rsid w:val="00F571EB"/>
    <w:rsid w:val="00F617DC"/>
    <w:rsid w:val="00F61BCF"/>
    <w:rsid w:val="00F621BD"/>
    <w:rsid w:val="00F627C0"/>
    <w:rsid w:val="00F6348D"/>
    <w:rsid w:val="00F63955"/>
    <w:rsid w:val="00F63A75"/>
    <w:rsid w:val="00F640BF"/>
    <w:rsid w:val="00F6415A"/>
    <w:rsid w:val="00F64753"/>
    <w:rsid w:val="00F64FB0"/>
    <w:rsid w:val="00F651BC"/>
    <w:rsid w:val="00F67165"/>
    <w:rsid w:val="00F672DF"/>
    <w:rsid w:val="00F67894"/>
    <w:rsid w:val="00F67CCA"/>
    <w:rsid w:val="00F67FA4"/>
    <w:rsid w:val="00F7071C"/>
    <w:rsid w:val="00F70B2D"/>
    <w:rsid w:val="00F70B9C"/>
    <w:rsid w:val="00F719E6"/>
    <w:rsid w:val="00F72908"/>
    <w:rsid w:val="00F72E24"/>
    <w:rsid w:val="00F74CF3"/>
    <w:rsid w:val="00F74E2A"/>
    <w:rsid w:val="00F7539A"/>
    <w:rsid w:val="00F754D5"/>
    <w:rsid w:val="00F75864"/>
    <w:rsid w:val="00F76251"/>
    <w:rsid w:val="00F7673F"/>
    <w:rsid w:val="00F76DDA"/>
    <w:rsid w:val="00F76FE8"/>
    <w:rsid w:val="00F8015F"/>
    <w:rsid w:val="00F80505"/>
    <w:rsid w:val="00F807FB"/>
    <w:rsid w:val="00F80C71"/>
    <w:rsid w:val="00F812BA"/>
    <w:rsid w:val="00F82595"/>
    <w:rsid w:val="00F829C9"/>
    <w:rsid w:val="00F83228"/>
    <w:rsid w:val="00F833A2"/>
    <w:rsid w:val="00F834C1"/>
    <w:rsid w:val="00F83727"/>
    <w:rsid w:val="00F84A82"/>
    <w:rsid w:val="00F84DDE"/>
    <w:rsid w:val="00F85593"/>
    <w:rsid w:val="00F857BB"/>
    <w:rsid w:val="00F858FA"/>
    <w:rsid w:val="00F85F5C"/>
    <w:rsid w:val="00F8685E"/>
    <w:rsid w:val="00F86861"/>
    <w:rsid w:val="00F869D6"/>
    <w:rsid w:val="00F86C32"/>
    <w:rsid w:val="00F872DC"/>
    <w:rsid w:val="00F8799A"/>
    <w:rsid w:val="00F87EA4"/>
    <w:rsid w:val="00F9062E"/>
    <w:rsid w:val="00F90636"/>
    <w:rsid w:val="00F908BE"/>
    <w:rsid w:val="00F90DEE"/>
    <w:rsid w:val="00F914B4"/>
    <w:rsid w:val="00F91D32"/>
    <w:rsid w:val="00F92785"/>
    <w:rsid w:val="00F94783"/>
    <w:rsid w:val="00F9524E"/>
    <w:rsid w:val="00F95AA3"/>
    <w:rsid w:val="00F95B43"/>
    <w:rsid w:val="00F95BD7"/>
    <w:rsid w:val="00F95FEA"/>
    <w:rsid w:val="00F960AD"/>
    <w:rsid w:val="00F96489"/>
    <w:rsid w:val="00F964E8"/>
    <w:rsid w:val="00F968CB"/>
    <w:rsid w:val="00F970BA"/>
    <w:rsid w:val="00F97124"/>
    <w:rsid w:val="00F9713C"/>
    <w:rsid w:val="00F97C17"/>
    <w:rsid w:val="00F97FAF"/>
    <w:rsid w:val="00FA002A"/>
    <w:rsid w:val="00FA1420"/>
    <w:rsid w:val="00FA2553"/>
    <w:rsid w:val="00FA318E"/>
    <w:rsid w:val="00FA3375"/>
    <w:rsid w:val="00FA33C9"/>
    <w:rsid w:val="00FA3AFB"/>
    <w:rsid w:val="00FA45A1"/>
    <w:rsid w:val="00FA4AAF"/>
    <w:rsid w:val="00FA5B65"/>
    <w:rsid w:val="00FA5E02"/>
    <w:rsid w:val="00FA5F04"/>
    <w:rsid w:val="00FA62A2"/>
    <w:rsid w:val="00FA69B8"/>
    <w:rsid w:val="00FA6C7B"/>
    <w:rsid w:val="00FA6CA0"/>
    <w:rsid w:val="00FA72A0"/>
    <w:rsid w:val="00FA7580"/>
    <w:rsid w:val="00FB0D0A"/>
    <w:rsid w:val="00FB1048"/>
    <w:rsid w:val="00FB146D"/>
    <w:rsid w:val="00FB1F1C"/>
    <w:rsid w:val="00FB221D"/>
    <w:rsid w:val="00FB2D29"/>
    <w:rsid w:val="00FB30A1"/>
    <w:rsid w:val="00FB31DD"/>
    <w:rsid w:val="00FB32A4"/>
    <w:rsid w:val="00FB3CF2"/>
    <w:rsid w:val="00FB3F34"/>
    <w:rsid w:val="00FB4692"/>
    <w:rsid w:val="00FB47B4"/>
    <w:rsid w:val="00FB4B8E"/>
    <w:rsid w:val="00FB4E79"/>
    <w:rsid w:val="00FB51A3"/>
    <w:rsid w:val="00FB520B"/>
    <w:rsid w:val="00FB52E0"/>
    <w:rsid w:val="00FB5342"/>
    <w:rsid w:val="00FB6462"/>
    <w:rsid w:val="00FB6BFE"/>
    <w:rsid w:val="00FB6E80"/>
    <w:rsid w:val="00FB785D"/>
    <w:rsid w:val="00FC001D"/>
    <w:rsid w:val="00FC0108"/>
    <w:rsid w:val="00FC0549"/>
    <w:rsid w:val="00FC083E"/>
    <w:rsid w:val="00FC08A3"/>
    <w:rsid w:val="00FC0AC7"/>
    <w:rsid w:val="00FC11C1"/>
    <w:rsid w:val="00FC1251"/>
    <w:rsid w:val="00FC15D4"/>
    <w:rsid w:val="00FC1AA8"/>
    <w:rsid w:val="00FC1ADC"/>
    <w:rsid w:val="00FC2B12"/>
    <w:rsid w:val="00FC42B7"/>
    <w:rsid w:val="00FC4B93"/>
    <w:rsid w:val="00FC5451"/>
    <w:rsid w:val="00FC5650"/>
    <w:rsid w:val="00FC5979"/>
    <w:rsid w:val="00FC74CA"/>
    <w:rsid w:val="00FC75A5"/>
    <w:rsid w:val="00FC769C"/>
    <w:rsid w:val="00FC7D76"/>
    <w:rsid w:val="00FC7E3A"/>
    <w:rsid w:val="00FD03DA"/>
    <w:rsid w:val="00FD059E"/>
    <w:rsid w:val="00FD0CE4"/>
    <w:rsid w:val="00FD17E9"/>
    <w:rsid w:val="00FD2AC4"/>
    <w:rsid w:val="00FD4802"/>
    <w:rsid w:val="00FD4A6F"/>
    <w:rsid w:val="00FD4B29"/>
    <w:rsid w:val="00FD4FDD"/>
    <w:rsid w:val="00FD5357"/>
    <w:rsid w:val="00FD5602"/>
    <w:rsid w:val="00FD5C75"/>
    <w:rsid w:val="00FD6C9B"/>
    <w:rsid w:val="00FD7A8D"/>
    <w:rsid w:val="00FD7DD8"/>
    <w:rsid w:val="00FD7F65"/>
    <w:rsid w:val="00FE02B2"/>
    <w:rsid w:val="00FE0565"/>
    <w:rsid w:val="00FE0F05"/>
    <w:rsid w:val="00FE1118"/>
    <w:rsid w:val="00FE122D"/>
    <w:rsid w:val="00FE1B3A"/>
    <w:rsid w:val="00FE2056"/>
    <w:rsid w:val="00FE2066"/>
    <w:rsid w:val="00FE27FA"/>
    <w:rsid w:val="00FE4015"/>
    <w:rsid w:val="00FE4661"/>
    <w:rsid w:val="00FE51E3"/>
    <w:rsid w:val="00FE5C1F"/>
    <w:rsid w:val="00FE6398"/>
    <w:rsid w:val="00FE661F"/>
    <w:rsid w:val="00FE68B6"/>
    <w:rsid w:val="00FE6F1B"/>
    <w:rsid w:val="00FE7611"/>
    <w:rsid w:val="00FE783A"/>
    <w:rsid w:val="00FE7D29"/>
    <w:rsid w:val="00FF026D"/>
    <w:rsid w:val="00FF0DB8"/>
    <w:rsid w:val="00FF10AB"/>
    <w:rsid w:val="00FF155B"/>
    <w:rsid w:val="00FF2166"/>
    <w:rsid w:val="00FF244B"/>
    <w:rsid w:val="00FF260A"/>
    <w:rsid w:val="00FF3F3A"/>
    <w:rsid w:val="00FF46E3"/>
    <w:rsid w:val="00FF5474"/>
    <w:rsid w:val="00FF54D0"/>
    <w:rsid w:val="00FF5FFF"/>
    <w:rsid w:val="00FF6FF6"/>
    <w:rsid w:val="00FF7204"/>
    <w:rsid w:val="00FF79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2"/>
    </o:shapelayout>
  </w:shapeDefaults>
  <w:decimalSymbol w:val="."/>
  <w:listSeparator w:val=","/>
  <w14:docId w14:val="29840278"/>
  <w15:docId w15:val="{5C3F68FD-D9AD-417D-BCBB-3997486E0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65B2"/>
    <w:pPr>
      <w:spacing w:before="60" w:after="60" w:line="240" w:lineRule="auto"/>
    </w:pPr>
    <w:rPr>
      <w:rFonts w:ascii="Arial" w:hAnsi="Arial"/>
      <w:sz w:val="16"/>
    </w:rPr>
  </w:style>
  <w:style w:type="paragraph" w:styleId="Heading1">
    <w:name w:val="heading 1"/>
    <w:basedOn w:val="Normal"/>
    <w:next w:val="Normal"/>
    <w:link w:val="Heading1Char"/>
    <w:uiPriority w:val="9"/>
    <w:qFormat/>
    <w:rsid w:val="00D01281"/>
    <w:pPr>
      <w:keepNext/>
      <w:keepLines/>
      <w:spacing w:before="240" w:after="0"/>
      <w:outlineLvl w:val="0"/>
    </w:pPr>
    <w:rPr>
      <w:rFonts w:eastAsiaTheme="majorEastAsia" w:cstheme="majorBidi"/>
      <w:b/>
      <w:bCs/>
      <w:sz w:val="20"/>
      <w:szCs w:val="28"/>
    </w:rPr>
  </w:style>
  <w:style w:type="paragraph" w:styleId="Heading2">
    <w:name w:val="heading 2"/>
    <w:basedOn w:val="Normal"/>
    <w:next w:val="Normal"/>
    <w:link w:val="Heading2Char"/>
    <w:uiPriority w:val="9"/>
    <w:unhideWhenUsed/>
    <w:qFormat/>
    <w:rsid w:val="008645AD"/>
    <w:pPr>
      <w:keepNext/>
      <w:keepLines/>
      <w:spacing w:before="240" w:after="0"/>
      <w:outlineLvl w:val="1"/>
    </w:pPr>
    <w:rPr>
      <w:rFonts w:eastAsiaTheme="majorEastAsia" w:cstheme="majorBidi"/>
      <w:b/>
      <w:bCs/>
      <w:sz w:val="20"/>
      <w:szCs w:val="26"/>
    </w:rPr>
  </w:style>
  <w:style w:type="paragraph" w:styleId="Heading3">
    <w:name w:val="heading 3"/>
    <w:basedOn w:val="Normal"/>
    <w:next w:val="Normal"/>
    <w:link w:val="Heading3Char"/>
    <w:uiPriority w:val="9"/>
    <w:unhideWhenUsed/>
    <w:qFormat/>
    <w:rsid w:val="00371FAA"/>
    <w:pPr>
      <w:keepNext/>
      <w:keepLines/>
      <w:spacing w:before="240" w:after="0"/>
      <w:outlineLvl w:val="2"/>
    </w:pPr>
    <w:rPr>
      <w:rFonts w:eastAsiaTheme="majorEastAsia" w:cstheme="majorBidi"/>
      <w:b/>
      <w:bCs/>
      <w:sz w:val="20"/>
    </w:rPr>
  </w:style>
  <w:style w:type="paragraph" w:styleId="Heading4">
    <w:name w:val="heading 4"/>
    <w:basedOn w:val="Normal"/>
    <w:next w:val="Normal"/>
    <w:link w:val="Heading4Char"/>
    <w:uiPriority w:val="9"/>
    <w:unhideWhenUsed/>
    <w:qFormat/>
    <w:rsid w:val="00371FAA"/>
    <w:pPr>
      <w:keepNext/>
      <w:keepLines/>
      <w:spacing w:before="40" w:after="0"/>
      <w:outlineLvl w:val="3"/>
    </w:pPr>
    <w:rPr>
      <w:rFonts w:eastAsiaTheme="majorEastAsia" w:cstheme="majorBidi"/>
      <w:b/>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1281"/>
    <w:rPr>
      <w:rFonts w:ascii="Arial" w:eastAsiaTheme="majorEastAsia" w:hAnsi="Arial" w:cstheme="majorBidi"/>
      <w:b/>
      <w:bCs/>
      <w:sz w:val="20"/>
      <w:szCs w:val="28"/>
    </w:rPr>
  </w:style>
  <w:style w:type="character" w:customStyle="1" w:styleId="Heading2Char">
    <w:name w:val="Heading 2 Char"/>
    <w:basedOn w:val="DefaultParagraphFont"/>
    <w:link w:val="Heading2"/>
    <w:uiPriority w:val="9"/>
    <w:rsid w:val="008645AD"/>
    <w:rPr>
      <w:rFonts w:ascii="Arial" w:eastAsiaTheme="majorEastAsia" w:hAnsi="Arial" w:cstheme="majorBidi"/>
      <w:b/>
      <w:bCs/>
      <w:sz w:val="20"/>
      <w:szCs w:val="26"/>
    </w:rPr>
  </w:style>
  <w:style w:type="character" w:customStyle="1" w:styleId="Heading3Char">
    <w:name w:val="Heading 3 Char"/>
    <w:basedOn w:val="DefaultParagraphFont"/>
    <w:link w:val="Heading3"/>
    <w:uiPriority w:val="9"/>
    <w:rsid w:val="00371FAA"/>
    <w:rPr>
      <w:rFonts w:ascii="Arial" w:eastAsiaTheme="majorEastAsia" w:hAnsi="Arial" w:cstheme="majorBidi"/>
      <w:b/>
      <w:bCs/>
      <w:sz w:val="20"/>
    </w:rPr>
  </w:style>
  <w:style w:type="table" w:styleId="TableGrid">
    <w:name w:val="Table Grid"/>
    <w:basedOn w:val="TableNormal"/>
    <w:uiPriority w:val="59"/>
    <w:rsid w:val="00B976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97669"/>
    <w:pPr>
      <w:spacing w:after="0"/>
    </w:pPr>
    <w:rPr>
      <w:rFonts w:ascii="Tahoma" w:hAnsi="Tahoma" w:cs="Tahoma"/>
      <w:szCs w:val="16"/>
    </w:rPr>
  </w:style>
  <w:style w:type="character" w:customStyle="1" w:styleId="BalloonTextChar">
    <w:name w:val="Balloon Text Char"/>
    <w:basedOn w:val="DefaultParagraphFont"/>
    <w:link w:val="BalloonText"/>
    <w:uiPriority w:val="99"/>
    <w:semiHidden/>
    <w:rsid w:val="00B97669"/>
    <w:rPr>
      <w:rFonts w:ascii="Tahoma" w:hAnsi="Tahoma" w:cs="Tahoma"/>
      <w:sz w:val="16"/>
      <w:szCs w:val="16"/>
    </w:rPr>
  </w:style>
  <w:style w:type="paragraph" w:styleId="Header">
    <w:name w:val="header"/>
    <w:basedOn w:val="Normal"/>
    <w:link w:val="HeaderChar"/>
    <w:uiPriority w:val="99"/>
    <w:rsid w:val="00E02FFE"/>
    <w:pPr>
      <w:tabs>
        <w:tab w:val="center" w:pos="4320"/>
        <w:tab w:val="right" w:pos="8640"/>
      </w:tabs>
      <w:spacing w:after="0"/>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E02FFE"/>
    <w:rPr>
      <w:rFonts w:ascii="Times New Roman" w:eastAsia="Times New Roman" w:hAnsi="Times New Roman" w:cs="Times New Roman"/>
      <w:sz w:val="24"/>
      <w:szCs w:val="24"/>
    </w:rPr>
  </w:style>
  <w:style w:type="paragraph" w:customStyle="1" w:styleId="Default">
    <w:name w:val="Default"/>
    <w:rsid w:val="00E02FFE"/>
    <w:pPr>
      <w:autoSpaceDE w:val="0"/>
      <w:autoSpaceDN w:val="0"/>
      <w:adjustRightInd w:val="0"/>
      <w:spacing w:after="0" w:line="240" w:lineRule="auto"/>
    </w:pPr>
    <w:rPr>
      <w:rFonts w:ascii="Arial" w:eastAsia="Times New Roman" w:hAnsi="Arial" w:cs="Arial"/>
      <w:color w:val="000000"/>
      <w:sz w:val="24"/>
      <w:szCs w:val="24"/>
    </w:rPr>
  </w:style>
  <w:style w:type="paragraph" w:styleId="Title">
    <w:name w:val="Title"/>
    <w:basedOn w:val="Normal"/>
    <w:next w:val="Normal"/>
    <w:link w:val="TitleChar"/>
    <w:uiPriority w:val="10"/>
    <w:qFormat/>
    <w:rsid w:val="00690AC9"/>
    <w:pPr>
      <w:pBdr>
        <w:top w:val="single" w:sz="8" w:space="1" w:color="4F81BD" w:themeColor="accent1"/>
        <w:bottom w:val="single" w:sz="8" w:space="4" w:color="4F81BD" w:themeColor="accent1"/>
      </w:pBdr>
      <w:spacing w:before="360" w:after="120"/>
      <w:contextualSpacing/>
    </w:pPr>
    <w:rPr>
      <w:rFonts w:asciiTheme="majorHAnsi" w:eastAsiaTheme="majorEastAsia" w:hAnsiTheme="majorHAnsi" w:cstheme="majorBidi"/>
      <w:color w:val="17365D" w:themeColor="text2" w:themeShade="BF"/>
      <w:spacing w:val="5"/>
      <w:kern w:val="28"/>
      <w:sz w:val="32"/>
      <w:szCs w:val="52"/>
    </w:rPr>
  </w:style>
  <w:style w:type="character" w:customStyle="1" w:styleId="TitleChar">
    <w:name w:val="Title Char"/>
    <w:basedOn w:val="DefaultParagraphFont"/>
    <w:link w:val="Title"/>
    <w:uiPriority w:val="10"/>
    <w:rsid w:val="00690AC9"/>
    <w:rPr>
      <w:rFonts w:asciiTheme="majorHAnsi" w:eastAsiaTheme="majorEastAsia" w:hAnsiTheme="majorHAnsi" w:cstheme="majorBidi"/>
      <w:color w:val="17365D" w:themeColor="text2" w:themeShade="BF"/>
      <w:spacing w:val="5"/>
      <w:kern w:val="28"/>
      <w:sz w:val="32"/>
      <w:szCs w:val="52"/>
    </w:rPr>
  </w:style>
  <w:style w:type="paragraph" w:styleId="Subtitle">
    <w:name w:val="Subtitle"/>
    <w:basedOn w:val="Normal"/>
    <w:next w:val="Normal"/>
    <w:link w:val="SubtitleChar"/>
    <w:uiPriority w:val="11"/>
    <w:qFormat/>
    <w:rsid w:val="00E02FF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02FFE"/>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1"/>
    <w:qFormat/>
    <w:rsid w:val="0041365C"/>
    <w:pPr>
      <w:ind w:left="720"/>
      <w:contextualSpacing/>
    </w:pPr>
  </w:style>
  <w:style w:type="paragraph" w:styleId="Footer">
    <w:name w:val="footer"/>
    <w:basedOn w:val="Normal"/>
    <w:link w:val="FooterChar"/>
    <w:uiPriority w:val="99"/>
    <w:unhideWhenUsed/>
    <w:rsid w:val="000802F7"/>
    <w:pPr>
      <w:tabs>
        <w:tab w:val="center" w:pos="4680"/>
        <w:tab w:val="right" w:pos="9360"/>
      </w:tabs>
      <w:spacing w:before="0" w:after="0"/>
    </w:pPr>
  </w:style>
  <w:style w:type="character" w:customStyle="1" w:styleId="FooterChar">
    <w:name w:val="Footer Char"/>
    <w:basedOn w:val="DefaultParagraphFont"/>
    <w:link w:val="Footer"/>
    <w:uiPriority w:val="99"/>
    <w:rsid w:val="000802F7"/>
  </w:style>
  <w:style w:type="character" w:styleId="CommentReference">
    <w:name w:val="annotation reference"/>
    <w:basedOn w:val="DefaultParagraphFont"/>
    <w:uiPriority w:val="99"/>
    <w:unhideWhenUsed/>
    <w:rsid w:val="001D7011"/>
    <w:rPr>
      <w:sz w:val="16"/>
      <w:szCs w:val="16"/>
    </w:rPr>
  </w:style>
  <w:style w:type="paragraph" w:styleId="CommentText">
    <w:name w:val="annotation text"/>
    <w:basedOn w:val="Normal"/>
    <w:link w:val="CommentTextChar"/>
    <w:uiPriority w:val="99"/>
    <w:unhideWhenUsed/>
    <w:rsid w:val="001D7011"/>
    <w:rPr>
      <w:sz w:val="20"/>
      <w:szCs w:val="20"/>
    </w:rPr>
  </w:style>
  <w:style w:type="character" w:customStyle="1" w:styleId="CommentTextChar">
    <w:name w:val="Comment Text Char"/>
    <w:basedOn w:val="DefaultParagraphFont"/>
    <w:link w:val="CommentText"/>
    <w:uiPriority w:val="99"/>
    <w:rsid w:val="001D7011"/>
    <w:rPr>
      <w:sz w:val="20"/>
      <w:szCs w:val="20"/>
    </w:rPr>
  </w:style>
  <w:style w:type="paragraph" w:styleId="CommentSubject">
    <w:name w:val="annotation subject"/>
    <w:basedOn w:val="CommentText"/>
    <w:next w:val="CommentText"/>
    <w:link w:val="CommentSubjectChar"/>
    <w:uiPriority w:val="99"/>
    <w:semiHidden/>
    <w:unhideWhenUsed/>
    <w:rsid w:val="001D7011"/>
    <w:rPr>
      <w:b/>
      <w:bCs/>
    </w:rPr>
  </w:style>
  <w:style w:type="character" w:customStyle="1" w:styleId="CommentSubjectChar">
    <w:name w:val="Comment Subject Char"/>
    <w:basedOn w:val="CommentTextChar"/>
    <w:link w:val="CommentSubject"/>
    <w:uiPriority w:val="99"/>
    <w:semiHidden/>
    <w:rsid w:val="001D7011"/>
    <w:rPr>
      <w:b/>
      <w:bCs/>
      <w:sz w:val="20"/>
      <w:szCs w:val="20"/>
    </w:rPr>
  </w:style>
  <w:style w:type="character" w:styleId="Hyperlink">
    <w:name w:val="Hyperlink"/>
    <w:basedOn w:val="DefaultParagraphFont"/>
    <w:uiPriority w:val="99"/>
    <w:unhideWhenUsed/>
    <w:rsid w:val="00CC2356"/>
    <w:rPr>
      <w:color w:val="0000FF" w:themeColor="hyperlink"/>
      <w:u w:val="single"/>
    </w:rPr>
  </w:style>
  <w:style w:type="paragraph" w:styleId="FootnoteText">
    <w:name w:val="footnote text"/>
    <w:basedOn w:val="Normal"/>
    <w:link w:val="FootnoteTextChar"/>
    <w:uiPriority w:val="99"/>
    <w:semiHidden/>
    <w:unhideWhenUsed/>
    <w:rsid w:val="006D5E8D"/>
    <w:pPr>
      <w:spacing w:before="0" w:after="0"/>
    </w:pPr>
    <w:rPr>
      <w:sz w:val="20"/>
      <w:szCs w:val="20"/>
    </w:rPr>
  </w:style>
  <w:style w:type="character" w:customStyle="1" w:styleId="FootnoteTextChar">
    <w:name w:val="Footnote Text Char"/>
    <w:basedOn w:val="DefaultParagraphFont"/>
    <w:link w:val="FootnoteText"/>
    <w:uiPriority w:val="99"/>
    <w:semiHidden/>
    <w:rsid w:val="006D5E8D"/>
    <w:rPr>
      <w:sz w:val="20"/>
      <w:szCs w:val="20"/>
    </w:rPr>
  </w:style>
  <w:style w:type="character" w:styleId="FootnoteReference">
    <w:name w:val="footnote reference"/>
    <w:basedOn w:val="DefaultParagraphFont"/>
    <w:uiPriority w:val="99"/>
    <w:unhideWhenUsed/>
    <w:rsid w:val="006D5E8D"/>
    <w:rPr>
      <w:vertAlign w:val="superscript"/>
    </w:rPr>
  </w:style>
  <w:style w:type="paragraph" w:styleId="TOCHeading">
    <w:name w:val="TOC Heading"/>
    <w:basedOn w:val="Heading1"/>
    <w:next w:val="Normal"/>
    <w:uiPriority w:val="39"/>
    <w:unhideWhenUsed/>
    <w:qFormat/>
    <w:rsid w:val="00D21EAA"/>
    <w:pPr>
      <w:spacing w:line="259" w:lineRule="auto"/>
      <w:outlineLvl w:val="9"/>
    </w:pPr>
    <w:rPr>
      <w:b w:val="0"/>
      <w:bCs w:val="0"/>
      <w:sz w:val="32"/>
      <w:szCs w:val="32"/>
    </w:rPr>
  </w:style>
  <w:style w:type="paragraph" w:styleId="TOC1">
    <w:name w:val="toc 1"/>
    <w:basedOn w:val="Normal"/>
    <w:next w:val="Normal"/>
    <w:autoRedefine/>
    <w:uiPriority w:val="39"/>
    <w:unhideWhenUsed/>
    <w:rsid w:val="006B7031"/>
    <w:pPr>
      <w:tabs>
        <w:tab w:val="right" w:leader="dot" w:pos="10790"/>
      </w:tabs>
      <w:spacing w:before="120" w:after="0"/>
    </w:pPr>
  </w:style>
  <w:style w:type="paragraph" w:styleId="TOC2">
    <w:name w:val="toc 2"/>
    <w:basedOn w:val="Normal"/>
    <w:next w:val="Normal"/>
    <w:autoRedefine/>
    <w:uiPriority w:val="39"/>
    <w:unhideWhenUsed/>
    <w:rsid w:val="006B7031"/>
    <w:pPr>
      <w:spacing w:before="0" w:after="0"/>
      <w:ind w:left="216"/>
    </w:pPr>
  </w:style>
  <w:style w:type="paragraph" w:customStyle="1" w:styleId="PropNorm">
    <w:name w:val="PropNorm"/>
    <w:link w:val="PropNormChar"/>
    <w:rsid w:val="00441FB4"/>
    <w:pPr>
      <w:spacing w:after="180" w:line="240" w:lineRule="auto"/>
    </w:pPr>
    <w:rPr>
      <w:rFonts w:ascii="Times New Roman" w:eastAsia="Times New Roman" w:hAnsi="Times New Roman" w:cs="Times New Roman"/>
      <w:sz w:val="24"/>
      <w:szCs w:val="20"/>
    </w:rPr>
  </w:style>
  <w:style w:type="character" w:customStyle="1" w:styleId="PropNormChar">
    <w:name w:val="PropNorm Char"/>
    <w:basedOn w:val="DefaultParagraphFont"/>
    <w:link w:val="PropNorm"/>
    <w:locked/>
    <w:rsid w:val="00441FB4"/>
    <w:rPr>
      <w:rFonts w:ascii="Times New Roman" w:eastAsia="Times New Roman" w:hAnsi="Times New Roman" w:cs="Times New Roman"/>
      <w:sz w:val="24"/>
      <w:szCs w:val="20"/>
    </w:rPr>
  </w:style>
  <w:style w:type="paragraph" w:styleId="TOAHeading">
    <w:name w:val="toa heading"/>
    <w:basedOn w:val="Normal"/>
    <w:next w:val="Normal"/>
    <w:semiHidden/>
    <w:rsid w:val="00441FB4"/>
    <w:pPr>
      <w:tabs>
        <w:tab w:val="right" w:pos="9360"/>
      </w:tabs>
      <w:suppressAutoHyphens/>
      <w:spacing w:after="240"/>
    </w:pPr>
    <w:rPr>
      <w:rFonts w:ascii="Times New Roman" w:eastAsia="Times New Roman" w:hAnsi="Times New Roman" w:cs="Times New Roman"/>
      <w:szCs w:val="20"/>
    </w:rPr>
  </w:style>
  <w:style w:type="paragraph" w:customStyle="1" w:styleId="Technical4">
    <w:name w:val="Technical 4"/>
    <w:rsid w:val="00441FB4"/>
    <w:pPr>
      <w:tabs>
        <w:tab w:val="left" w:pos="-720"/>
      </w:tabs>
      <w:suppressAutoHyphens/>
      <w:spacing w:after="0" w:line="240" w:lineRule="auto"/>
    </w:pPr>
    <w:rPr>
      <w:rFonts w:ascii="Times New Roman" w:eastAsia="Times New Roman" w:hAnsi="Times New Roman" w:cs="Times New Roman"/>
      <w:b/>
      <w:sz w:val="24"/>
      <w:szCs w:val="20"/>
    </w:rPr>
  </w:style>
  <w:style w:type="paragraph" w:customStyle="1" w:styleId="BRIRequirement">
    <w:name w:val="BRI Requirement"/>
    <w:basedOn w:val="Normal"/>
    <w:qFormat/>
    <w:rsid w:val="00441FB4"/>
    <w:pPr>
      <w:numPr>
        <w:numId w:val="1"/>
      </w:numPr>
      <w:contextualSpacing/>
    </w:pPr>
  </w:style>
  <w:style w:type="character" w:styleId="PlaceholderText">
    <w:name w:val="Placeholder Text"/>
    <w:basedOn w:val="DefaultParagraphFont"/>
    <w:uiPriority w:val="99"/>
    <w:semiHidden/>
    <w:rsid w:val="00F0619B"/>
    <w:rPr>
      <w:color w:val="808080"/>
    </w:rPr>
  </w:style>
  <w:style w:type="paragraph" w:customStyle="1" w:styleId="CRIRequirement">
    <w:name w:val="CRI Requirement"/>
    <w:basedOn w:val="Normal"/>
    <w:qFormat/>
    <w:rsid w:val="000923A7"/>
    <w:pPr>
      <w:ind w:left="720" w:hanging="720"/>
      <w:contextualSpacing/>
    </w:pPr>
  </w:style>
  <w:style w:type="paragraph" w:customStyle="1" w:styleId="BCIRequirement">
    <w:name w:val="BCI Requirement"/>
    <w:basedOn w:val="Normal"/>
    <w:qFormat/>
    <w:rsid w:val="00D03701"/>
    <w:pPr>
      <w:ind w:left="720" w:hanging="720"/>
      <w:contextualSpacing/>
    </w:pPr>
  </w:style>
  <w:style w:type="paragraph" w:customStyle="1" w:styleId="RadioButtonBullet">
    <w:name w:val="Radio Button Bullet"/>
    <w:basedOn w:val="ListParagraph"/>
    <w:qFormat/>
    <w:rsid w:val="00D03701"/>
    <w:pPr>
      <w:numPr>
        <w:numId w:val="2"/>
      </w:numPr>
    </w:pPr>
  </w:style>
  <w:style w:type="paragraph" w:customStyle="1" w:styleId="Title-notfirst">
    <w:name w:val="Title - not first"/>
    <w:basedOn w:val="Title"/>
    <w:qFormat/>
    <w:rsid w:val="00D03701"/>
    <w:pPr>
      <w:spacing w:before="60"/>
    </w:pPr>
  </w:style>
  <w:style w:type="paragraph" w:customStyle="1" w:styleId="IndNoteBullet">
    <w:name w:val="Ind Note Bullet"/>
    <w:basedOn w:val="Default"/>
    <w:qFormat/>
    <w:rsid w:val="00D03701"/>
    <w:pPr>
      <w:numPr>
        <w:numId w:val="3"/>
      </w:numPr>
      <w:ind w:left="360"/>
    </w:pPr>
    <w:rPr>
      <w:rFonts w:asciiTheme="minorHAnsi" w:hAnsiTheme="minorHAnsi"/>
      <w:color w:val="auto"/>
      <w:sz w:val="20"/>
      <w:szCs w:val="20"/>
    </w:rPr>
  </w:style>
  <w:style w:type="paragraph" w:customStyle="1" w:styleId="Figure">
    <w:name w:val="Figure"/>
    <w:basedOn w:val="Normal"/>
    <w:next w:val="Normal"/>
    <w:qFormat/>
    <w:rsid w:val="00D03701"/>
    <w:pPr>
      <w:spacing w:before="0" w:after="0"/>
      <w:jc w:val="center"/>
    </w:pPr>
    <w:rPr>
      <w:noProof/>
    </w:rPr>
  </w:style>
  <w:style w:type="paragraph" w:customStyle="1" w:styleId="FigureCaption">
    <w:name w:val="Figure Caption"/>
    <w:basedOn w:val="Figure"/>
    <w:next w:val="Normal"/>
    <w:qFormat/>
    <w:rsid w:val="00D03701"/>
    <w:pPr>
      <w:numPr>
        <w:numId w:val="4"/>
      </w:numPr>
      <w:spacing w:after="240"/>
      <w:ind w:left="360"/>
    </w:pPr>
    <w:rPr>
      <w:b/>
      <w:i/>
      <w:sz w:val="20"/>
    </w:rPr>
  </w:style>
  <w:style w:type="paragraph" w:customStyle="1" w:styleId="SysNote">
    <w:name w:val="SysNote"/>
    <w:basedOn w:val="Normal"/>
    <w:link w:val="SysNoteChar"/>
    <w:qFormat/>
    <w:rsid w:val="009D3860"/>
    <w:rPr>
      <w:i/>
    </w:rPr>
  </w:style>
  <w:style w:type="character" w:customStyle="1" w:styleId="SysNoteChar">
    <w:name w:val="SysNote Char"/>
    <w:basedOn w:val="DefaultParagraphFont"/>
    <w:link w:val="SysNote"/>
    <w:rsid w:val="009D3860"/>
    <w:rPr>
      <w:i/>
    </w:rPr>
  </w:style>
  <w:style w:type="paragraph" w:customStyle="1" w:styleId="Explanation">
    <w:name w:val="Explanation"/>
    <w:basedOn w:val="Normal"/>
    <w:qFormat/>
    <w:rsid w:val="004502CD"/>
    <w:rPr>
      <w:i/>
      <w:color w:val="5F497A" w:themeColor="accent4" w:themeShade="BF"/>
    </w:rPr>
  </w:style>
  <w:style w:type="paragraph" w:styleId="NormalWeb">
    <w:name w:val="Normal (Web)"/>
    <w:basedOn w:val="Normal"/>
    <w:uiPriority w:val="99"/>
    <w:unhideWhenUsed/>
    <w:rsid w:val="005F5514"/>
    <w:pPr>
      <w:spacing w:before="100" w:beforeAutospacing="1" w:after="100" w:afterAutospacing="1"/>
    </w:pPr>
    <w:rPr>
      <w:rFonts w:ascii="Times New Roman" w:eastAsia="Times New Roman" w:hAnsi="Times New Roman" w:cs="Times New Roman"/>
      <w:sz w:val="24"/>
      <w:szCs w:val="24"/>
    </w:rPr>
  </w:style>
  <w:style w:type="paragraph" w:customStyle="1" w:styleId="panel-header">
    <w:name w:val="panel-header"/>
    <w:basedOn w:val="Normal"/>
    <w:rsid w:val="00553544"/>
    <w:pPr>
      <w:spacing w:before="100" w:beforeAutospacing="1" w:after="100" w:afterAutospacing="1"/>
    </w:pPr>
    <w:rPr>
      <w:rFonts w:ascii="Times New Roman" w:eastAsia="Times New Roman" w:hAnsi="Times New Roman" w:cs="Times New Roman"/>
      <w:sz w:val="24"/>
      <w:szCs w:val="24"/>
    </w:rPr>
  </w:style>
  <w:style w:type="character" w:customStyle="1" w:styleId="panel-sub">
    <w:name w:val="panel-sub"/>
    <w:basedOn w:val="DefaultParagraphFont"/>
    <w:rsid w:val="008751D3"/>
  </w:style>
  <w:style w:type="paragraph" w:customStyle="1" w:styleId="panel-sub1">
    <w:name w:val="panel-sub1"/>
    <w:basedOn w:val="Normal"/>
    <w:rsid w:val="008751D3"/>
    <w:pPr>
      <w:spacing w:before="100" w:beforeAutospacing="1" w:after="100" w:afterAutospacing="1"/>
    </w:pPr>
    <w:rPr>
      <w:rFonts w:ascii="Times New Roman" w:eastAsia="Times New Roman" w:hAnsi="Times New Roman" w:cs="Times New Roman"/>
      <w:sz w:val="24"/>
      <w:szCs w:val="24"/>
    </w:rPr>
  </w:style>
  <w:style w:type="paragraph" w:customStyle="1" w:styleId="panel-paragraph">
    <w:name w:val="panel-paragraph"/>
    <w:basedOn w:val="Normal"/>
    <w:rsid w:val="00B67038"/>
    <w:pPr>
      <w:spacing w:before="100" w:beforeAutospacing="1" w:after="100" w:afterAutospacing="1"/>
    </w:pPr>
    <w:rPr>
      <w:rFonts w:ascii="Times New Roman" w:eastAsia="Times New Roman" w:hAnsi="Times New Roman" w:cs="Times New Roman"/>
      <w:sz w:val="24"/>
      <w:szCs w:val="24"/>
    </w:rPr>
  </w:style>
  <w:style w:type="paragraph" w:customStyle="1" w:styleId="instruction-heading">
    <w:name w:val="instruction-heading"/>
    <w:basedOn w:val="Normal"/>
    <w:rsid w:val="00A7519F"/>
    <w:pPr>
      <w:spacing w:before="100" w:beforeAutospacing="1" w:after="100" w:afterAutospacing="1"/>
    </w:pPr>
    <w:rPr>
      <w:rFonts w:ascii="Times New Roman" w:eastAsia="Times New Roman" w:hAnsi="Times New Roman" w:cs="Times New Roman"/>
      <w:sz w:val="24"/>
      <w:szCs w:val="24"/>
    </w:rPr>
  </w:style>
  <w:style w:type="paragraph" w:customStyle="1" w:styleId="Bold">
    <w:name w:val="Bold"/>
    <w:basedOn w:val="Normal"/>
    <w:qFormat/>
    <w:rsid w:val="00A20411"/>
    <w:pPr>
      <w:keepNext/>
      <w:spacing w:after="0"/>
    </w:pPr>
    <w:rPr>
      <w:b/>
    </w:rPr>
  </w:style>
  <w:style w:type="paragraph" w:customStyle="1" w:styleId="Italic">
    <w:name w:val="Italic"/>
    <w:basedOn w:val="Normal"/>
    <w:next w:val="Normal"/>
    <w:qFormat/>
    <w:rsid w:val="007D435F"/>
    <w:pPr>
      <w:keepNext/>
    </w:pPr>
    <w:rPr>
      <w:i/>
    </w:rPr>
  </w:style>
  <w:style w:type="paragraph" w:customStyle="1" w:styleId="indicator-section-title">
    <w:name w:val="indicator-section-title"/>
    <w:basedOn w:val="Normal"/>
    <w:rsid w:val="00C960B4"/>
    <w:pPr>
      <w:spacing w:before="100" w:beforeAutospacing="1" w:after="100" w:afterAutospacing="1"/>
    </w:pPr>
    <w:rPr>
      <w:rFonts w:ascii="Times New Roman" w:eastAsia="Times New Roman" w:hAnsi="Times New Roman" w:cs="Times New Roman"/>
      <w:sz w:val="24"/>
      <w:szCs w:val="24"/>
    </w:rPr>
  </w:style>
  <w:style w:type="paragraph" w:styleId="Revision">
    <w:name w:val="Revision"/>
    <w:hidden/>
    <w:uiPriority w:val="99"/>
    <w:semiHidden/>
    <w:rsid w:val="000C24C2"/>
    <w:pPr>
      <w:spacing w:after="0" w:line="240" w:lineRule="auto"/>
    </w:pPr>
  </w:style>
  <w:style w:type="character" w:customStyle="1" w:styleId="Heading4Char">
    <w:name w:val="Heading 4 Char"/>
    <w:basedOn w:val="DefaultParagraphFont"/>
    <w:link w:val="Heading4"/>
    <w:uiPriority w:val="9"/>
    <w:rsid w:val="00371FAA"/>
    <w:rPr>
      <w:rFonts w:ascii="Arial" w:eastAsiaTheme="majorEastAsia" w:hAnsi="Arial" w:cstheme="majorBidi"/>
      <w:b/>
      <w:iCs/>
      <w:sz w:val="20"/>
    </w:rPr>
  </w:style>
  <w:style w:type="paragraph" w:customStyle="1" w:styleId="Subhed">
    <w:name w:val="Subhed"/>
    <w:basedOn w:val="Bold"/>
    <w:qFormat/>
    <w:rsid w:val="00120808"/>
    <w:rPr>
      <w:rFonts w:cs="Arial"/>
      <w:szCs w:val="16"/>
    </w:rPr>
  </w:style>
  <w:style w:type="character" w:styleId="Strong">
    <w:name w:val="Strong"/>
    <w:basedOn w:val="DefaultParagraphFont"/>
    <w:uiPriority w:val="22"/>
    <w:qFormat/>
    <w:rsid w:val="00B8653C"/>
    <w:rPr>
      <w:b/>
      <w:bCs/>
    </w:rPr>
  </w:style>
  <w:style w:type="paragraph" w:styleId="NoSpacing">
    <w:name w:val="No Spacing"/>
    <w:uiPriority w:val="1"/>
    <w:qFormat/>
    <w:rsid w:val="00EE0028"/>
    <w:pPr>
      <w:spacing w:after="0" w:line="240" w:lineRule="auto"/>
    </w:pPr>
  </w:style>
  <w:style w:type="paragraph" w:customStyle="1" w:styleId="TableHead">
    <w:name w:val="Table Head"/>
    <w:basedOn w:val="Normal"/>
    <w:qFormat/>
    <w:rsid w:val="009569B8"/>
    <w:pPr>
      <w:jc w:val="center"/>
    </w:pPr>
    <w:rPr>
      <w:rFonts w:cs="Arial"/>
      <w:b/>
      <w:szCs w:val="16"/>
    </w:rPr>
  </w:style>
  <w:style w:type="paragraph" w:customStyle="1" w:styleId="Numbering">
    <w:name w:val="Numbering"/>
    <w:basedOn w:val="Normal"/>
    <w:qFormat/>
    <w:rsid w:val="0093562B"/>
    <w:pPr>
      <w:spacing w:before="0" w:after="0"/>
    </w:pPr>
    <w:rPr>
      <w:rFonts w:eastAsia="Times New Roman" w:cs="Arial"/>
      <w:color w:val="222222"/>
      <w:szCs w:val="16"/>
    </w:rPr>
  </w:style>
  <w:style w:type="table" w:customStyle="1" w:styleId="TableGrid1">
    <w:name w:val="Table Grid1"/>
    <w:basedOn w:val="TableNormal"/>
    <w:next w:val="TableGrid"/>
    <w:uiPriority w:val="59"/>
    <w:rsid w:val="000B28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BE0EEF"/>
    <w:rPr>
      <w:i/>
      <w:iCs/>
    </w:rPr>
  </w:style>
  <w:style w:type="paragraph" w:customStyle="1" w:styleId="msonormal0">
    <w:name w:val="msonormal"/>
    <w:basedOn w:val="Normal"/>
    <w:rsid w:val="00BE0EEF"/>
    <w:pPr>
      <w:spacing w:before="100" w:beforeAutospacing="1" w:after="100" w:afterAutospacing="1"/>
    </w:pPr>
    <w:rPr>
      <w:rFonts w:ascii="Times New Roman" w:eastAsia="Times New Roman" w:hAnsi="Times New Roman" w:cs="Times New Roman"/>
      <w:sz w:val="24"/>
      <w:szCs w:val="24"/>
    </w:rPr>
  </w:style>
  <w:style w:type="paragraph" w:styleId="BodyText">
    <w:name w:val="Body Text"/>
    <w:basedOn w:val="Normal"/>
    <w:link w:val="BodyTextChar"/>
    <w:uiPriority w:val="1"/>
    <w:unhideWhenUsed/>
    <w:qFormat/>
    <w:rsid w:val="00BE0EEF"/>
    <w:pPr>
      <w:widowControl w:val="0"/>
      <w:autoSpaceDE w:val="0"/>
      <w:autoSpaceDN w:val="0"/>
      <w:spacing w:before="0" w:after="0"/>
    </w:pPr>
    <w:rPr>
      <w:rFonts w:ascii="Carlito" w:eastAsia="Carlito" w:hAnsi="Carlito" w:cs="Carlito"/>
      <w:sz w:val="22"/>
    </w:rPr>
  </w:style>
  <w:style w:type="character" w:customStyle="1" w:styleId="BodyTextChar">
    <w:name w:val="Body Text Char"/>
    <w:basedOn w:val="DefaultParagraphFont"/>
    <w:link w:val="BodyText"/>
    <w:uiPriority w:val="1"/>
    <w:rsid w:val="00BE0EEF"/>
    <w:rPr>
      <w:rFonts w:ascii="Carlito" w:eastAsia="Carlito" w:hAnsi="Carlito" w:cs="Carlito"/>
    </w:rPr>
  </w:style>
  <w:style w:type="paragraph" w:customStyle="1" w:styleId="TableParagraph">
    <w:name w:val="Table Paragraph"/>
    <w:basedOn w:val="Normal"/>
    <w:uiPriority w:val="1"/>
    <w:qFormat/>
    <w:rsid w:val="00BE0EEF"/>
    <w:pPr>
      <w:widowControl w:val="0"/>
      <w:autoSpaceDE w:val="0"/>
      <w:autoSpaceDN w:val="0"/>
      <w:spacing w:before="29" w:after="0"/>
      <w:ind w:left="101" w:right="100"/>
      <w:jc w:val="center"/>
    </w:pPr>
    <w:rPr>
      <w:rFonts w:ascii="Carlito" w:eastAsia="Carlito" w:hAnsi="Carlito" w:cs="Carlito"/>
      <w:sz w:val="22"/>
    </w:rPr>
  </w:style>
  <w:style w:type="character" w:styleId="FollowedHyperlink">
    <w:name w:val="FollowedHyperlink"/>
    <w:basedOn w:val="DefaultParagraphFont"/>
    <w:uiPriority w:val="99"/>
    <w:semiHidden/>
    <w:unhideWhenUsed/>
    <w:rsid w:val="00BE0EEF"/>
    <w:rPr>
      <w:color w:val="800080"/>
      <w:u w:val="single"/>
    </w:rPr>
  </w:style>
  <w:style w:type="table" w:styleId="LightGrid-Accent1">
    <w:name w:val="Light Grid Accent 1"/>
    <w:basedOn w:val="TableNormal"/>
    <w:uiPriority w:val="62"/>
    <w:rsid w:val="00BE0EE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stTable2">
    <w:name w:val="List Table 2"/>
    <w:basedOn w:val="TableNormal"/>
    <w:uiPriority w:val="47"/>
    <w:rsid w:val="00BE0EEF"/>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PlainTable1">
    <w:name w:val="Plain Table 1"/>
    <w:basedOn w:val="TableNormal"/>
    <w:uiPriority w:val="41"/>
    <w:rsid w:val="00BE0EE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3-Accent5">
    <w:name w:val="Grid Table 3 Accent 5"/>
    <w:basedOn w:val="TableNormal"/>
    <w:uiPriority w:val="48"/>
    <w:rsid w:val="00480A1F"/>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paragraph" w:styleId="EndnoteText">
    <w:name w:val="endnote text"/>
    <w:basedOn w:val="Normal"/>
    <w:link w:val="EndnoteTextChar"/>
    <w:uiPriority w:val="99"/>
    <w:semiHidden/>
    <w:unhideWhenUsed/>
    <w:rsid w:val="00A47134"/>
    <w:pPr>
      <w:spacing w:before="0" w:after="0"/>
    </w:pPr>
    <w:rPr>
      <w:sz w:val="20"/>
      <w:szCs w:val="20"/>
    </w:rPr>
  </w:style>
  <w:style w:type="character" w:customStyle="1" w:styleId="EndnoteTextChar">
    <w:name w:val="Endnote Text Char"/>
    <w:basedOn w:val="DefaultParagraphFont"/>
    <w:link w:val="EndnoteText"/>
    <w:uiPriority w:val="99"/>
    <w:semiHidden/>
    <w:rsid w:val="00A47134"/>
    <w:rPr>
      <w:rFonts w:ascii="Arial" w:hAnsi="Arial"/>
      <w:sz w:val="20"/>
      <w:szCs w:val="20"/>
    </w:rPr>
  </w:style>
  <w:style w:type="character" w:styleId="EndnoteReference">
    <w:name w:val="endnote reference"/>
    <w:basedOn w:val="DefaultParagraphFont"/>
    <w:uiPriority w:val="99"/>
    <w:semiHidden/>
    <w:unhideWhenUsed/>
    <w:rsid w:val="00A47134"/>
    <w:rPr>
      <w:vertAlign w:val="superscript"/>
    </w:rPr>
  </w:style>
  <w:style w:type="character" w:styleId="UnresolvedMention">
    <w:name w:val="Unresolved Mention"/>
    <w:basedOn w:val="DefaultParagraphFont"/>
    <w:uiPriority w:val="99"/>
    <w:semiHidden/>
    <w:unhideWhenUsed/>
    <w:rsid w:val="00501909"/>
    <w:rPr>
      <w:color w:val="605E5C"/>
      <w:shd w:val="clear" w:color="auto" w:fill="E1DFDD"/>
    </w:rPr>
  </w:style>
  <w:style w:type="character" w:customStyle="1" w:styleId="ui-provider">
    <w:name w:val="ui-provider"/>
    <w:basedOn w:val="DefaultParagraphFont"/>
    <w:rsid w:val="006F0B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98878">
      <w:bodyDiv w:val="1"/>
      <w:marLeft w:val="0"/>
      <w:marRight w:val="0"/>
      <w:marTop w:val="0"/>
      <w:marBottom w:val="0"/>
      <w:divBdr>
        <w:top w:val="none" w:sz="0" w:space="0" w:color="auto"/>
        <w:left w:val="none" w:sz="0" w:space="0" w:color="auto"/>
        <w:bottom w:val="none" w:sz="0" w:space="0" w:color="auto"/>
        <w:right w:val="none" w:sz="0" w:space="0" w:color="auto"/>
      </w:divBdr>
    </w:div>
    <w:div w:id="33582676">
      <w:bodyDiv w:val="1"/>
      <w:marLeft w:val="0"/>
      <w:marRight w:val="0"/>
      <w:marTop w:val="0"/>
      <w:marBottom w:val="0"/>
      <w:divBdr>
        <w:top w:val="none" w:sz="0" w:space="0" w:color="auto"/>
        <w:left w:val="none" w:sz="0" w:space="0" w:color="auto"/>
        <w:bottom w:val="none" w:sz="0" w:space="0" w:color="auto"/>
        <w:right w:val="none" w:sz="0" w:space="0" w:color="auto"/>
      </w:divBdr>
    </w:div>
    <w:div w:id="66614295">
      <w:bodyDiv w:val="1"/>
      <w:marLeft w:val="0"/>
      <w:marRight w:val="0"/>
      <w:marTop w:val="0"/>
      <w:marBottom w:val="0"/>
      <w:divBdr>
        <w:top w:val="none" w:sz="0" w:space="0" w:color="auto"/>
        <w:left w:val="none" w:sz="0" w:space="0" w:color="auto"/>
        <w:bottom w:val="none" w:sz="0" w:space="0" w:color="auto"/>
        <w:right w:val="none" w:sz="0" w:space="0" w:color="auto"/>
      </w:divBdr>
      <w:divsChild>
        <w:div w:id="1664039907">
          <w:marLeft w:val="0"/>
          <w:marRight w:val="0"/>
          <w:marTop w:val="0"/>
          <w:marBottom w:val="0"/>
          <w:divBdr>
            <w:top w:val="none" w:sz="0" w:space="0" w:color="auto"/>
            <w:left w:val="none" w:sz="0" w:space="0" w:color="auto"/>
            <w:bottom w:val="none" w:sz="0" w:space="0" w:color="auto"/>
            <w:right w:val="none" w:sz="0" w:space="0" w:color="auto"/>
          </w:divBdr>
        </w:div>
      </w:divsChild>
    </w:div>
    <w:div w:id="73865556">
      <w:bodyDiv w:val="1"/>
      <w:marLeft w:val="0"/>
      <w:marRight w:val="0"/>
      <w:marTop w:val="0"/>
      <w:marBottom w:val="0"/>
      <w:divBdr>
        <w:top w:val="none" w:sz="0" w:space="0" w:color="auto"/>
        <w:left w:val="none" w:sz="0" w:space="0" w:color="auto"/>
        <w:bottom w:val="none" w:sz="0" w:space="0" w:color="auto"/>
        <w:right w:val="none" w:sz="0" w:space="0" w:color="auto"/>
      </w:divBdr>
    </w:div>
    <w:div w:id="183831830">
      <w:bodyDiv w:val="1"/>
      <w:marLeft w:val="0"/>
      <w:marRight w:val="0"/>
      <w:marTop w:val="0"/>
      <w:marBottom w:val="0"/>
      <w:divBdr>
        <w:top w:val="none" w:sz="0" w:space="0" w:color="auto"/>
        <w:left w:val="none" w:sz="0" w:space="0" w:color="auto"/>
        <w:bottom w:val="none" w:sz="0" w:space="0" w:color="auto"/>
        <w:right w:val="none" w:sz="0" w:space="0" w:color="auto"/>
      </w:divBdr>
    </w:div>
    <w:div w:id="220336243">
      <w:bodyDiv w:val="1"/>
      <w:marLeft w:val="0"/>
      <w:marRight w:val="0"/>
      <w:marTop w:val="0"/>
      <w:marBottom w:val="0"/>
      <w:divBdr>
        <w:top w:val="none" w:sz="0" w:space="0" w:color="auto"/>
        <w:left w:val="none" w:sz="0" w:space="0" w:color="auto"/>
        <w:bottom w:val="none" w:sz="0" w:space="0" w:color="auto"/>
        <w:right w:val="none" w:sz="0" w:space="0" w:color="auto"/>
      </w:divBdr>
    </w:div>
    <w:div w:id="246109840">
      <w:bodyDiv w:val="1"/>
      <w:marLeft w:val="0"/>
      <w:marRight w:val="0"/>
      <w:marTop w:val="0"/>
      <w:marBottom w:val="0"/>
      <w:divBdr>
        <w:top w:val="none" w:sz="0" w:space="0" w:color="auto"/>
        <w:left w:val="none" w:sz="0" w:space="0" w:color="auto"/>
        <w:bottom w:val="none" w:sz="0" w:space="0" w:color="auto"/>
        <w:right w:val="none" w:sz="0" w:space="0" w:color="auto"/>
      </w:divBdr>
    </w:div>
    <w:div w:id="257836862">
      <w:bodyDiv w:val="1"/>
      <w:marLeft w:val="0"/>
      <w:marRight w:val="0"/>
      <w:marTop w:val="0"/>
      <w:marBottom w:val="0"/>
      <w:divBdr>
        <w:top w:val="none" w:sz="0" w:space="0" w:color="auto"/>
        <w:left w:val="none" w:sz="0" w:space="0" w:color="auto"/>
        <w:bottom w:val="none" w:sz="0" w:space="0" w:color="auto"/>
        <w:right w:val="none" w:sz="0" w:space="0" w:color="auto"/>
      </w:divBdr>
    </w:div>
    <w:div w:id="264505258">
      <w:bodyDiv w:val="1"/>
      <w:marLeft w:val="0"/>
      <w:marRight w:val="0"/>
      <w:marTop w:val="0"/>
      <w:marBottom w:val="0"/>
      <w:divBdr>
        <w:top w:val="none" w:sz="0" w:space="0" w:color="auto"/>
        <w:left w:val="none" w:sz="0" w:space="0" w:color="auto"/>
        <w:bottom w:val="none" w:sz="0" w:space="0" w:color="auto"/>
        <w:right w:val="none" w:sz="0" w:space="0" w:color="auto"/>
      </w:divBdr>
      <w:divsChild>
        <w:div w:id="2020041191">
          <w:marLeft w:val="0"/>
          <w:marRight w:val="0"/>
          <w:marTop w:val="0"/>
          <w:marBottom w:val="150"/>
          <w:divBdr>
            <w:top w:val="none" w:sz="0" w:space="0" w:color="auto"/>
            <w:left w:val="none" w:sz="0" w:space="0" w:color="auto"/>
            <w:bottom w:val="none" w:sz="0" w:space="0" w:color="auto"/>
            <w:right w:val="none" w:sz="0" w:space="0" w:color="auto"/>
          </w:divBdr>
        </w:div>
        <w:div w:id="1898078886">
          <w:marLeft w:val="0"/>
          <w:marRight w:val="0"/>
          <w:marTop w:val="0"/>
          <w:marBottom w:val="150"/>
          <w:divBdr>
            <w:top w:val="none" w:sz="0" w:space="0" w:color="auto"/>
            <w:left w:val="none" w:sz="0" w:space="0" w:color="auto"/>
            <w:bottom w:val="none" w:sz="0" w:space="0" w:color="auto"/>
            <w:right w:val="none" w:sz="0" w:space="0" w:color="auto"/>
          </w:divBdr>
        </w:div>
      </w:divsChild>
    </w:div>
    <w:div w:id="269122146">
      <w:bodyDiv w:val="1"/>
      <w:marLeft w:val="0"/>
      <w:marRight w:val="0"/>
      <w:marTop w:val="0"/>
      <w:marBottom w:val="0"/>
      <w:divBdr>
        <w:top w:val="none" w:sz="0" w:space="0" w:color="auto"/>
        <w:left w:val="none" w:sz="0" w:space="0" w:color="auto"/>
        <w:bottom w:val="none" w:sz="0" w:space="0" w:color="auto"/>
        <w:right w:val="none" w:sz="0" w:space="0" w:color="auto"/>
      </w:divBdr>
    </w:div>
    <w:div w:id="288322446">
      <w:bodyDiv w:val="1"/>
      <w:marLeft w:val="0"/>
      <w:marRight w:val="0"/>
      <w:marTop w:val="0"/>
      <w:marBottom w:val="0"/>
      <w:divBdr>
        <w:top w:val="none" w:sz="0" w:space="0" w:color="auto"/>
        <w:left w:val="none" w:sz="0" w:space="0" w:color="auto"/>
        <w:bottom w:val="none" w:sz="0" w:space="0" w:color="auto"/>
        <w:right w:val="none" w:sz="0" w:space="0" w:color="auto"/>
      </w:divBdr>
    </w:div>
    <w:div w:id="331032465">
      <w:bodyDiv w:val="1"/>
      <w:marLeft w:val="0"/>
      <w:marRight w:val="0"/>
      <w:marTop w:val="0"/>
      <w:marBottom w:val="0"/>
      <w:divBdr>
        <w:top w:val="none" w:sz="0" w:space="0" w:color="auto"/>
        <w:left w:val="none" w:sz="0" w:space="0" w:color="auto"/>
        <w:bottom w:val="none" w:sz="0" w:space="0" w:color="auto"/>
        <w:right w:val="none" w:sz="0" w:space="0" w:color="auto"/>
      </w:divBdr>
    </w:div>
    <w:div w:id="343824430">
      <w:bodyDiv w:val="1"/>
      <w:marLeft w:val="0"/>
      <w:marRight w:val="0"/>
      <w:marTop w:val="0"/>
      <w:marBottom w:val="0"/>
      <w:divBdr>
        <w:top w:val="none" w:sz="0" w:space="0" w:color="auto"/>
        <w:left w:val="none" w:sz="0" w:space="0" w:color="auto"/>
        <w:bottom w:val="none" w:sz="0" w:space="0" w:color="auto"/>
        <w:right w:val="none" w:sz="0" w:space="0" w:color="auto"/>
      </w:divBdr>
      <w:divsChild>
        <w:div w:id="1092167359">
          <w:marLeft w:val="0"/>
          <w:marRight w:val="0"/>
          <w:marTop w:val="0"/>
          <w:marBottom w:val="210"/>
          <w:divBdr>
            <w:top w:val="none" w:sz="0" w:space="0" w:color="auto"/>
            <w:left w:val="none" w:sz="0" w:space="0" w:color="auto"/>
            <w:bottom w:val="none" w:sz="0" w:space="0" w:color="auto"/>
            <w:right w:val="none" w:sz="0" w:space="0" w:color="auto"/>
          </w:divBdr>
        </w:div>
        <w:div w:id="308442762">
          <w:marLeft w:val="0"/>
          <w:marRight w:val="0"/>
          <w:marTop w:val="0"/>
          <w:marBottom w:val="210"/>
          <w:divBdr>
            <w:top w:val="none" w:sz="0" w:space="0" w:color="auto"/>
            <w:left w:val="none" w:sz="0" w:space="0" w:color="auto"/>
            <w:bottom w:val="none" w:sz="0" w:space="0" w:color="auto"/>
            <w:right w:val="none" w:sz="0" w:space="0" w:color="auto"/>
          </w:divBdr>
        </w:div>
        <w:div w:id="296957980">
          <w:marLeft w:val="0"/>
          <w:marRight w:val="0"/>
          <w:marTop w:val="0"/>
          <w:marBottom w:val="210"/>
          <w:divBdr>
            <w:top w:val="none" w:sz="0" w:space="0" w:color="auto"/>
            <w:left w:val="none" w:sz="0" w:space="0" w:color="auto"/>
            <w:bottom w:val="none" w:sz="0" w:space="0" w:color="auto"/>
            <w:right w:val="none" w:sz="0" w:space="0" w:color="auto"/>
          </w:divBdr>
        </w:div>
        <w:div w:id="289673781">
          <w:marLeft w:val="0"/>
          <w:marRight w:val="0"/>
          <w:marTop w:val="0"/>
          <w:marBottom w:val="210"/>
          <w:divBdr>
            <w:top w:val="none" w:sz="0" w:space="0" w:color="auto"/>
            <w:left w:val="none" w:sz="0" w:space="0" w:color="auto"/>
            <w:bottom w:val="none" w:sz="0" w:space="0" w:color="auto"/>
            <w:right w:val="none" w:sz="0" w:space="0" w:color="auto"/>
          </w:divBdr>
        </w:div>
      </w:divsChild>
    </w:div>
    <w:div w:id="353579608">
      <w:bodyDiv w:val="1"/>
      <w:marLeft w:val="0"/>
      <w:marRight w:val="0"/>
      <w:marTop w:val="0"/>
      <w:marBottom w:val="0"/>
      <w:divBdr>
        <w:top w:val="none" w:sz="0" w:space="0" w:color="auto"/>
        <w:left w:val="none" w:sz="0" w:space="0" w:color="auto"/>
        <w:bottom w:val="none" w:sz="0" w:space="0" w:color="auto"/>
        <w:right w:val="none" w:sz="0" w:space="0" w:color="auto"/>
      </w:divBdr>
    </w:div>
    <w:div w:id="380713603">
      <w:bodyDiv w:val="1"/>
      <w:marLeft w:val="0"/>
      <w:marRight w:val="0"/>
      <w:marTop w:val="0"/>
      <w:marBottom w:val="0"/>
      <w:divBdr>
        <w:top w:val="none" w:sz="0" w:space="0" w:color="auto"/>
        <w:left w:val="none" w:sz="0" w:space="0" w:color="auto"/>
        <w:bottom w:val="none" w:sz="0" w:space="0" w:color="auto"/>
        <w:right w:val="none" w:sz="0" w:space="0" w:color="auto"/>
      </w:divBdr>
    </w:div>
    <w:div w:id="393163176">
      <w:bodyDiv w:val="1"/>
      <w:marLeft w:val="0"/>
      <w:marRight w:val="0"/>
      <w:marTop w:val="0"/>
      <w:marBottom w:val="0"/>
      <w:divBdr>
        <w:top w:val="none" w:sz="0" w:space="0" w:color="auto"/>
        <w:left w:val="none" w:sz="0" w:space="0" w:color="auto"/>
        <w:bottom w:val="none" w:sz="0" w:space="0" w:color="auto"/>
        <w:right w:val="none" w:sz="0" w:space="0" w:color="auto"/>
      </w:divBdr>
    </w:div>
    <w:div w:id="407192773">
      <w:bodyDiv w:val="1"/>
      <w:marLeft w:val="0"/>
      <w:marRight w:val="0"/>
      <w:marTop w:val="0"/>
      <w:marBottom w:val="0"/>
      <w:divBdr>
        <w:top w:val="none" w:sz="0" w:space="0" w:color="auto"/>
        <w:left w:val="none" w:sz="0" w:space="0" w:color="auto"/>
        <w:bottom w:val="none" w:sz="0" w:space="0" w:color="auto"/>
        <w:right w:val="none" w:sz="0" w:space="0" w:color="auto"/>
      </w:divBdr>
    </w:div>
    <w:div w:id="413747464">
      <w:bodyDiv w:val="1"/>
      <w:marLeft w:val="0"/>
      <w:marRight w:val="0"/>
      <w:marTop w:val="0"/>
      <w:marBottom w:val="0"/>
      <w:divBdr>
        <w:top w:val="none" w:sz="0" w:space="0" w:color="auto"/>
        <w:left w:val="none" w:sz="0" w:space="0" w:color="auto"/>
        <w:bottom w:val="none" w:sz="0" w:space="0" w:color="auto"/>
        <w:right w:val="none" w:sz="0" w:space="0" w:color="auto"/>
      </w:divBdr>
    </w:div>
    <w:div w:id="428965040">
      <w:bodyDiv w:val="1"/>
      <w:marLeft w:val="0"/>
      <w:marRight w:val="0"/>
      <w:marTop w:val="0"/>
      <w:marBottom w:val="0"/>
      <w:divBdr>
        <w:top w:val="none" w:sz="0" w:space="0" w:color="auto"/>
        <w:left w:val="none" w:sz="0" w:space="0" w:color="auto"/>
        <w:bottom w:val="none" w:sz="0" w:space="0" w:color="auto"/>
        <w:right w:val="none" w:sz="0" w:space="0" w:color="auto"/>
      </w:divBdr>
      <w:divsChild>
        <w:div w:id="28116490">
          <w:marLeft w:val="0"/>
          <w:marRight w:val="0"/>
          <w:marTop w:val="0"/>
          <w:marBottom w:val="150"/>
          <w:divBdr>
            <w:top w:val="none" w:sz="0" w:space="0" w:color="auto"/>
            <w:left w:val="none" w:sz="0" w:space="0" w:color="auto"/>
            <w:bottom w:val="none" w:sz="0" w:space="0" w:color="auto"/>
            <w:right w:val="none" w:sz="0" w:space="0" w:color="auto"/>
          </w:divBdr>
        </w:div>
        <w:div w:id="774641537">
          <w:marLeft w:val="0"/>
          <w:marRight w:val="0"/>
          <w:marTop w:val="0"/>
          <w:marBottom w:val="150"/>
          <w:divBdr>
            <w:top w:val="none" w:sz="0" w:space="0" w:color="auto"/>
            <w:left w:val="none" w:sz="0" w:space="0" w:color="auto"/>
            <w:bottom w:val="none" w:sz="0" w:space="0" w:color="auto"/>
            <w:right w:val="none" w:sz="0" w:space="0" w:color="auto"/>
          </w:divBdr>
        </w:div>
        <w:div w:id="817460730">
          <w:marLeft w:val="0"/>
          <w:marRight w:val="0"/>
          <w:marTop w:val="0"/>
          <w:marBottom w:val="600"/>
          <w:divBdr>
            <w:top w:val="none" w:sz="0" w:space="0" w:color="auto"/>
            <w:left w:val="none" w:sz="0" w:space="0" w:color="auto"/>
            <w:bottom w:val="none" w:sz="0" w:space="0" w:color="auto"/>
            <w:right w:val="none" w:sz="0" w:space="0" w:color="auto"/>
          </w:divBdr>
        </w:div>
      </w:divsChild>
    </w:div>
    <w:div w:id="452943263">
      <w:bodyDiv w:val="1"/>
      <w:marLeft w:val="0"/>
      <w:marRight w:val="0"/>
      <w:marTop w:val="0"/>
      <w:marBottom w:val="0"/>
      <w:divBdr>
        <w:top w:val="none" w:sz="0" w:space="0" w:color="auto"/>
        <w:left w:val="none" w:sz="0" w:space="0" w:color="auto"/>
        <w:bottom w:val="none" w:sz="0" w:space="0" w:color="auto"/>
        <w:right w:val="none" w:sz="0" w:space="0" w:color="auto"/>
      </w:divBdr>
    </w:div>
    <w:div w:id="462816014">
      <w:bodyDiv w:val="1"/>
      <w:marLeft w:val="0"/>
      <w:marRight w:val="0"/>
      <w:marTop w:val="0"/>
      <w:marBottom w:val="0"/>
      <w:divBdr>
        <w:top w:val="none" w:sz="0" w:space="0" w:color="auto"/>
        <w:left w:val="none" w:sz="0" w:space="0" w:color="auto"/>
        <w:bottom w:val="none" w:sz="0" w:space="0" w:color="auto"/>
        <w:right w:val="none" w:sz="0" w:space="0" w:color="auto"/>
      </w:divBdr>
    </w:div>
    <w:div w:id="471408565">
      <w:bodyDiv w:val="1"/>
      <w:marLeft w:val="0"/>
      <w:marRight w:val="0"/>
      <w:marTop w:val="0"/>
      <w:marBottom w:val="0"/>
      <w:divBdr>
        <w:top w:val="none" w:sz="0" w:space="0" w:color="auto"/>
        <w:left w:val="none" w:sz="0" w:space="0" w:color="auto"/>
        <w:bottom w:val="none" w:sz="0" w:space="0" w:color="auto"/>
        <w:right w:val="none" w:sz="0" w:space="0" w:color="auto"/>
      </w:divBdr>
    </w:div>
    <w:div w:id="516042901">
      <w:bodyDiv w:val="1"/>
      <w:marLeft w:val="0"/>
      <w:marRight w:val="0"/>
      <w:marTop w:val="0"/>
      <w:marBottom w:val="0"/>
      <w:divBdr>
        <w:top w:val="none" w:sz="0" w:space="0" w:color="auto"/>
        <w:left w:val="none" w:sz="0" w:space="0" w:color="auto"/>
        <w:bottom w:val="none" w:sz="0" w:space="0" w:color="auto"/>
        <w:right w:val="none" w:sz="0" w:space="0" w:color="auto"/>
      </w:divBdr>
    </w:div>
    <w:div w:id="544684300">
      <w:bodyDiv w:val="1"/>
      <w:marLeft w:val="0"/>
      <w:marRight w:val="0"/>
      <w:marTop w:val="0"/>
      <w:marBottom w:val="0"/>
      <w:divBdr>
        <w:top w:val="none" w:sz="0" w:space="0" w:color="auto"/>
        <w:left w:val="none" w:sz="0" w:space="0" w:color="auto"/>
        <w:bottom w:val="none" w:sz="0" w:space="0" w:color="auto"/>
        <w:right w:val="none" w:sz="0" w:space="0" w:color="auto"/>
      </w:divBdr>
    </w:div>
    <w:div w:id="546917993">
      <w:bodyDiv w:val="1"/>
      <w:marLeft w:val="0"/>
      <w:marRight w:val="0"/>
      <w:marTop w:val="0"/>
      <w:marBottom w:val="0"/>
      <w:divBdr>
        <w:top w:val="none" w:sz="0" w:space="0" w:color="auto"/>
        <w:left w:val="none" w:sz="0" w:space="0" w:color="auto"/>
        <w:bottom w:val="none" w:sz="0" w:space="0" w:color="auto"/>
        <w:right w:val="none" w:sz="0" w:space="0" w:color="auto"/>
      </w:divBdr>
      <w:divsChild>
        <w:div w:id="138767312">
          <w:marLeft w:val="0"/>
          <w:marRight w:val="0"/>
          <w:marTop w:val="0"/>
          <w:marBottom w:val="150"/>
          <w:divBdr>
            <w:top w:val="none" w:sz="0" w:space="0" w:color="auto"/>
            <w:left w:val="none" w:sz="0" w:space="0" w:color="auto"/>
            <w:bottom w:val="none" w:sz="0" w:space="0" w:color="auto"/>
            <w:right w:val="none" w:sz="0" w:space="0" w:color="auto"/>
          </w:divBdr>
        </w:div>
        <w:div w:id="809245715">
          <w:marLeft w:val="0"/>
          <w:marRight w:val="0"/>
          <w:marTop w:val="0"/>
          <w:marBottom w:val="150"/>
          <w:divBdr>
            <w:top w:val="none" w:sz="0" w:space="0" w:color="auto"/>
            <w:left w:val="none" w:sz="0" w:space="0" w:color="auto"/>
            <w:bottom w:val="none" w:sz="0" w:space="0" w:color="auto"/>
            <w:right w:val="none" w:sz="0" w:space="0" w:color="auto"/>
          </w:divBdr>
        </w:div>
      </w:divsChild>
    </w:div>
    <w:div w:id="589579102">
      <w:bodyDiv w:val="1"/>
      <w:marLeft w:val="0"/>
      <w:marRight w:val="0"/>
      <w:marTop w:val="0"/>
      <w:marBottom w:val="0"/>
      <w:divBdr>
        <w:top w:val="none" w:sz="0" w:space="0" w:color="auto"/>
        <w:left w:val="none" w:sz="0" w:space="0" w:color="auto"/>
        <w:bottom w:val="none" w:sz="0" w:space="0" w:color="auto"/>
        <w:right w:val="none" w:sz="0" w:space="0" w:color="auto"/>
      </w:divBdr>
    </w:div>
    <w:div w:id="599142207">
      <w:bodyDiv w:val="1"/>
      <w:marLeft w:val="0"/>
      <w:marRight w:val="0"/>
      <w:marTop w:val="0"/>
      <w:marBottom w:val="0"/>
      <w:divBdr>
        <w:top w:val="none" w:sz="0" w:space="0" w:color="auto"/>
        <w:left w:val="none" w:sz="0" w:space="0" w:color="auto"/>
        <w:bottom w:val="none" w:sz="0" w:space="0" w:color="auto"/>
        <w:right w:val="none" w:sz="0" w:space="0" w:color="auto"/>
      </w:divBdr>
    </w:div>
    <w:div w:id="625159589">
      <w:bodyDiv w:val="1"/>
      <w:marLeft w:val="0"/>
      <w:marRight w:val="0"/>
      <w:marTop w:val="0"/>
      <w:marBottom w:val="0"/>
      <w:divBdr>
        <w:top w:val="none" w:sz="0" w:space="0" w:color="auto"/>
        <w:left w:val="none" w:sz="0" w:space="0" w:color="auto"/>
        <w:bottom w:val="none" w:sz="0" w:space="0" w:color="auto"/>
        <w:right w:val="none" w:sz="0" w:space="0" w:color="auto"/>
      </w:divBdr>
    </w:div>
    <w:div w:id="642584735">
      <w:bodyDiv w:val="1"/>
      <w:marLeft w:val="0"/>
      <w:marRight w:val="0"/>
      <w:marTop w:val="0"/>
      <w:marBottom w:val="0"/>
      <w:divBdr>
        <w:top w:val="none" w:sz="0" w:space="0" w:color="auto"/>
        <w:left w:val="none" w:sz="0" w:space="0" w:color="auto"/>
        <w:bottom w:val="none" w:sz="0" w:space="0" w:color="auto"/>
        <w:right w:val="none" w:sz="0" w:space="0" w:color="auto"/>
      </w:divBdr>
    </w:div>
    <w:div w:id="720909749">
      <w:bodyDiv w:val="1"/>
      <w:marLeft w:val="0"/>
      <w:marRight w:val="0"/>
      <w:marTop w:val="0"/>
      <w:marBottom w:val="0"/>
      <w:divBdr>
        <w:top w:val="none" w:sz="0" w:space="0" w:color="auto"/>
        <w:left w:val="none" w:sz="0" w:space="0" w:color="auto"/>
        <w:bottom w:val="none" w:sz="0" w:space="0" w:color="auto"/>
        <w:right w:val="none" w:sz="0" w:space="0" w:color="auto"/>
      </w:divBdr>
    </w:div>
    <w:div w:id="770859703">
      <w:bodyDiv w:val="1"/>
      <w:marLeft w:val="0"/>
      <w:marRight w:val="0"/>
      <w:marTop w:val="0"/>
      <w:marBottom w:val="0"/>
      <w:divBdr>
        <w:top w:val="none" w:sz="0" w:space="0" w:color="auto"/>
        <w:left w:val="none" w:sz="0" w:space="0" w:color="auto"/>
        <w:bottom w:val="none" w:sz="0" w:space="0" w:color="auto"/>
        <w:right w:val="none" w:sz="0" w:space="0" w:color="auto"/>
      </w:divBdr>
    </w:div>
    <w:div w:id="886331777">
      <w:bodyDiv w:val="1"/>
      <w:marLeft w:val="0"/>
      <w:marRight w:val="0"/>
      <w:marTop w:val="0"/>
      <w:marBottom w:val="0"/>
      <w:divBdr>
        <w:top w:val="none" w:sz="0" w:space="0" w:color="auto"/>
        <w:left w:val="none" w:sz="0" w:space="0" w:color="auto"/>
        <w:bottom w:val="none" w:sz="0" w:space="0" w:color="auto"/>
        <w:right w:val="none" w:sz="0" w:space="0" w:color="auto"/>
      </w:divBdr>
    </w:div>
    <w:div w:id="922296269">
      <w:bodyDiv w:val="1"/>
      <w:marLeft w:val="0"/>
      <w:marRight w:val="0"/>
      <w:marTop w:val="0"/>
      <w:marBottom w:val="0"/>
      <w:divBdr>
        <w:top w:val="none" w:sz="0" w:space="0" w:color="auto"/>
        <w:left w:val="none" w:sz="0" w:space="0" w:color="auto"/>
        <w:bottom w:val="none" w:sz="0" w:space="0" w:color="auto"/>
        <w:right w:val="none" w:sz="0" w:space="0" w:color="auto"/>
      </w:divBdr>
    </w:div>
    <w:div w:id="982778362">
      <w:bodyDiv w:val="1"/>
      <w:marLeft w:val="0"/>
      <w:marRight w:val="0"/>
      <w:marTop w:val="0"/>
      <w:marBottom w:val="0"/>
      <w:divBdr>
        <w:top w:val="none" w:sz="0" w:space="0" w:color="auto"/>
        <w:left w:val="none" w:sz="0" w:space="0" w:color="auto"/>
        <w:bottom w:val="none" w:sz="0" w:space="0" w:color="auto"/>
        <w:right w:val="none" w:sz="0" w:space="0" w:color="auto"/>
      </w:divBdr>
      <w:divsChild>
        <w:div w:id="805707046">
          <w:marLeft w:val="0"/>
          <w:marRight w:val="0"/>
          <w:marTop w:val="0"/>
          <w:marBottom w:val="210"/>
          <w:divBdr>
            <w:top w:val="none" w:sz="0" w:space="0" w:color="auto"/>
            <w:left w:val="none" w:sz="0" w:space="0" w:color="auto"/>
            <w:bottom w:val="none" w:sz="0" w:space="0" w:color="auto"/>
            <w:right w:val="none" w:sz="0" w:space="0" w:color="auto"/>
          </w:divBdr>
        </w:div>
        <w:div w:id="1207450279">
          <w:marLeft w:val="0"/>
          <w:marRight w:val="0"/>
          <w:marTop w:val="0"/>
          <w:marBottom w:val="210"/>
          <w:divBdr>
            <w:top w:val="none" w:sz="0" w:space="0" w:color="auto"/>
            <w:left w:val="none" w:sz="0" w:space="0" w:color="auto"/>
            <w:bottom w:val="none" w:sz="0" w:space="0" w:color="auto"/>
            <w:right w:val="none" w:sz="0" w:space="0" w:color="auto"/>
          </w:divBdr>
        </w:div>
        <w:div w:id="676611782">
          <w:marLeft w:val="0"/>
          <w:marRight w:val="0"/>
          <w:marTop w:val="0"/>
          <w:marBottom w:val="210"/>
          <w:divBdr>
            <w:top w:val="none" w:sz="0" w:space="0" w:color="auto"/>
            <w:left w:val="none" w:sz="0" w:space="0" w:color="auto"/>
            <w:bottom w:val="none" w:sz="0" w:space="0" w:color="auto"/>
            <w:right w:val="none" w:sz="0" w:space="0" w:color="auto"/>
          </w:divBdr>
        </w:div>
      </w:divsChild>
    </w:div>
    <w:div w:id="986087305">
      <w:bodyDiv w:val="1"/>
      <w:marLeft w:val="0"/>
      <w:marRight w:val="0"/>
      <w:marTop w:val="0"/>
      <w:marBottom w:val="0"/>
      <w:divBdr>
        <w:top w:val="none" w:sz="0" w:space="0" w:color="auto"/>
        <w:left w:val="none" w:sz="0" w:space="0" w:color="auto"/>
        <w:bottom w:val="none" w:sz="0" w:space="0" w:color="auto"/>
        <w:right w:val="none" w:sz="0" w:space="0" w:color="auto"/>
      </w:divBdr>
      <w:divsChild>
        <w:div w:id="751465934">
          <w:marLeft w:val="0"/>
          <w:marRight w:val="0"/>
          <w:marTop w:val="75"/>
          <w:marBottom w:val="75"/>
          <w:divBdr>
            <w:top w:val="none" w:sz="0" w:space="0" w:color="auto"/>
            <w:left w:val="none" w:sz="0" w:space="0" w:color="auto"/>
            <w:bottom w:val="none" w:sz="0" w:space="0" w:color="auto"/>
            <w:right w:val="none" w:sz="0" w:space="0" w:color="auto"/>
          </w:divBdr>
        </w:div>
        <w:div w:id="185751529">
          <w:marLeft w:val="0"/>
          <w:marRight w:val="0"/>
          <w:marTop w:val="75"/>
          <w:marBottom w:val="225"/>
          <w:divBdr>
            <w:top w:val="none" w:sz="0" w:space="0" w:color="auto"/>
            <w:left w:val="none" w:sz="0" w:space="0" w:color="auto"/>
            <w:bottom w:val="none" w:sz="0" w:space="0" w:color="auto"/>
            <w:right w:val="none" w:sz="0" w:space="0" w:color="auto"/>
          </w:divBdr>
        </w:div>
      </w:divsChild>
    </w:div>
    <w:div w:id="990327768">
      <w:bodyDiv w:val="1"/>
      <w:marLeft w:val="0"/>
      <w:marRight w:val="0"/>
      <w:marTop w:val="0"/>
      <w:marBottom w:val="0"/>
      <w:divBdr>
        <w:top w:val="none" w:sz="0" w:space="0" w:color="auto"/>
        <w:left w:val="none" w:sz="0" w:space="0" w:color="auto"/>
        <w:bottom w:val="none" w:sz="0" w:space="0" w:color="auto"/>
        <w:right w:val="none" w:sz="0" w:space="0" w:color="auto"/>
      </w:divBdr>
    </w:div>
    <w:div w:id="1003824234">
      <w:bodyDiv w:val="1"/>
      <w:marLeft w:val="0"/>
      <w:marRight w:val="0"/>
      <w:marTop w:val="0"/>
      <w:marBottom w:val="0"/>
      <w:divBdr>
        <w:top w:val="none" w:sz="0" w:space="0" w:color="auto"/>
        <w:left w:val="none" w:sz="0" w:space="0" w:color="auto"/>
        <w:bottom w:val="none" w:sz="0" w:space="0" w:color="auto"/>
        <w:right w:val="none" w:sz="0" w:space="0" w:color="auto"/>
      </w:divBdr>
    </w:div>
    <w:div w:id="1012027449">
      <w:bodyDiv w:val="1"/>
      <w:marLeft w:val="0"/>
      <w:marRight w:val="0"/>
      <w:marTop w:val="0"/>
      <w:marBottom w:val="0"/>
      <w:divBdr>
        <w:top w:val="none" w:sz="0" w:space="0" w:color="auto"/>
        <w:left w:val="none" w:sz="0" w:space="0" w:color="auto"/>
        <w:bottom w:val="none" w:sz="0" w:space="0" w:color="auto"/>
        <w:right w:val="none" w:sz="0" w:space="0" w:color="auto"/>
      </w:divBdr>
      <w:divsChild>
        <w:div w:id="1955480511">
          <w:marLeft w:val="0"/>
          <w:marRight w:val="0"/>
          <w:marTop w:val="0"/>
          <w:marBottom w:val="150"/>
          <w:divBdr>
            <w:top w:val="none" w:sz="0" w:space="0" w:color="auto"/>
            <w:left w:val="none" w:sz="0" w:space="0" w:color="auto"/>
            <w:bottom w:val="none" w:sz="0" w:space="0" w:color="auto"/>
            <w:right w:val="none" w:sz="0" w:space="0" w:color="auto"/>
          </w:divBdr>
        </w:div>
        <w:div w:id="94712170">
          <w:marLeft w:val="0"/>
          <w:marRight w:val="0"/>
          <w:marTop w:val="0"/>
          <w:marBottom w:val="150"/>
          <w:divBdr>
            <w:top w:val="none" w:sz="0" w:space="0" w:color="auto"/>
            <w:left w:val="none" w:sz="0" w:space="0" w:color="auto"/>
            <w:bottom w:val="none" w:sz="0" w:space="0" w:color="auto"/>
            <w:right w:val="none" w:sz="0" w:space="0" w:color="auto"/>
          </w:divBdr>
        </w:div>
      </w:divsChild>
    </w:div>
    <w:div w:id="1076242646">
      <w:bodyDiv w:val="1"/>
      <w:marLeft w:val="0"/>
      <w:marRight w:val="0"/>
      <w:marTop w:val="0"/>
      <w:marBottom w:val="0"/>
      <w:divBdr>
        <w:top w:val="none" w:sz="0" w:space="0" w:color="auto"/>
        <w:left w:val="none" w:sz="0" w:space="0" w:color="auto"/>
        <w:bottom w:val="none" w:sz="0" w:space="0" w:color="auto"/>
        <w:right w:val="none" w:sz="0" w:space="0" w:color="auto"/>
      </w:divBdr>
    </w:div>
    <w:div w:id="1089742121">
      <w:bodyDiv w:val="1"/>
      <w:marLeft w:val="0"/>
      <w:marRight w:val="0"/>
      <w:marTop w:val="0"/>
      <w:marBottom w:val="0"/>
      <w:divBdr>
        <w:top w:val="none" w:sz="0" w:space="0" w:color="auto"/>
        <w:left w:val="none" w:sz="0" w:space="0" w:color="auto"/>
        <w:bottom w:val="none" w:sz="0" w:space="0" w:color="auto"/>
        <w:right w:val="none" w:sz="0" w:space="0" w:color="auto"/>
      </w:divBdr>
    </w:div>
    <w:div w:id="1104957471">
      <w:bodyDiv w:val="1"/>
      <w:marLeft w:val="0"/>
      <w:marRight w:val="0"/>
      <w:marTop w:val="0"/>
      <w:marBottom w:val="0"/>
      <w:divBdr>
        <w:top w:val="none" w:sz="0" w:space="0" w:color="auto"/>
        <w:left w:val="none" w:sz="0" w:space="0" w:color="auto"/>
        <w:bottom w:val="none" w:sz="0" w:space="0" w:color="auto"/>
        <w:right w:val="none" w:sz="0" w:space="0" w:color="auto"/>
      </w:divBdr>
      <w:divsChild>
        <w:div w:id="362757015">
          <w:marLeft w:val="0"/>
          <w:marRight w:val="0"/>
          <w:marTop w:val="0"/>
          <w:marBottom w:val="150"/>
          <w:divBdr>
            <w:top w:val="none" w:sz="0" w:space="0" w:color="auto"/>
            <w:left w:val="none" w:sz="0" w:space="0" w:color="auto"/>
            <w:bottom w:val="none" w:sz="0" w:space="0" w:color="auto"/>
            <w:right w:val="none" w:sz="0" w:space="0" w:color="auto"/>
          </w:divBdr>
        </w:div>
        <w:div w:id="843126751">
          <w:marLeft w:val="0"/>
          <w:marRight w:val="0"/>
          <w:marTop w:val="0"/>
          <w:marBottom w:val="150"/>
          <w:divBdr>
            <w:top w:val="none" w:sz="0" w:space="0" w:color="auto"/>
            <w:left w:val="none" w:sz="0" w:space="0" w:color="auto"/>
            <w:bottom w:val="none" w:sz="0" w:space="0" w:color="auto"/>
            <w:right w:val="none" w:sz="0" w:space="0" w:color="auto"/>
          </w:divBdr>
        </w:div>
      </w:divsChild>
    </w:div>
    <w:div w:id="1105730462">
      <w:bodyDiv w:val="1"/>
      <w:marLeft w:val="0"/>
      <w:marRight w:val="0"/>
      <w:marTop w:val="0"/>
      <w:marBottom w:val="0"/>
      <w:divBdr>
        <w:top w:val="none" w:sz="0" w:space="0" w:color="auto"/>
        <w:left w:val="none" w:sz="0" w:space="0" w:color="auto"/>
        <w:bottom w:val="none" w:sz="0" w:space="0" w:color="auto"/>
        <w:right w:val="none" w:sz="0" w:space="0" w:color="auto"/>
      </w:divBdr>
    </w:div>
    <w:div w:id="1127624638">
      <w:bodyDiv w:val="1"/>
      <w:marLeft w:val="0"/>
      <w:marRight w:val="0"/>
      <w:marTop w:val="0"/>
      <w:marBottom w:val="0"/>
      <w:divBdr>
        <w:top w:val="none" w:sz="0" w:space="0" w:color="auto"/>
        <w:left w:val="none" w:sz="0" w:space="0" w:color="auto"/>
        <w:bottom w:val="none" w:sz="0" w:space="0" w:color="auto"/>
        <w:right w:val="none" w:sz="0" w:space="0" w:color="auto"/>
      </w:divBdr>
    </w:div>
    <w:div w:id="1155343312">
      <w:bodyDiv w:val="1"/>
      <w:marLeft w:val="0"/>
      <w:marRight w:val="0"/>
      <w:marTop w:val="0"/>
      <w:marBottom w:val="0"/>
      <w:divBdr>
        <w:top w:val="none" w:sz="0" w:space="0" w:color="auto"/>
        <w:left w:val="none" w:sz="0" w:space="0" w:color="auto"/>
        <w:bottom w:val="none" w:sz="0" w:space="0" w:color="auto"/>
        <w:right w:val="none" w:sz="0" w:space="0" w:color="auto"/>
      </w:divBdr>
    </w:div>
    <w:div w:id="1218905054">
      <w:bodyDiv w:val="1"/>
      <w:marLeft w:val="0"/>
      <w:marRight w:val="0"/>
      <w:marTop w:val="0"/>
      <w:marBottom w:val="0"/>
      <w:divBdr>
        <w:top w:val="none" w:sz="0" w:space="0" w:color="auto"/>
        <w:left w:val="none" w:sz="0" w:space="0" w:color="auto"/>
        <w:bottom w:val="none" w:sz="0" w:space="0" w:color="auto"/>
        <w:right w:val="none" w:sz="0" w:space="0" w:color="auto"/>
      </w:divBdr>
    </w:div>
    <w:div w:id="1226722209">
      <w:bodyDiv w:val="1"/>
      <w:marLeft w:val="0"/>
      <w:marRight w:val="0"/>
      <w:marTop w:val="0"/>
      <w:marBottom w:val="0"/>
      <w:divBdr>
        <w:top w:val="none" w:sz="0" w:space="0" w:color="auto"/>
        <w:left w:val="none" w:sz="0" w:space="0" w:color="auto"/>
        <w:bottom w:val="none" w:sz="0" w:space="0" w:color="auto"/>
        <w:right w:val="none" w:sz="0" w:space="0" w:color="auto"/>
      </w:divBdr>
    </w:div>
    <w:div w:id="1233541336">
      <w:bodyDiv w:val="1"/>
      <w:marLeft w:val="0"/>
      <w:marRight w:val="0"/>
      <w:marTop w:val="0"/>
      <w:marBottom w:val="0"/>
      <w:divBdr>
        <w:top w:val="none" w:sz="0" w:space="0" w:color="auto"/>
        <w:left w:val="none" w:sz="0" w:space="0" w:color="auto"/>
        <w:bottom w:val="none" w:sz="0" w:space="0" w:color="auto"/>
        <w:right w:val="none" w:sz="0" w:space="0" w:color="auto"/>
      </w:divBdr>
      <w:divsChild>
        <w:div w:id="42338744">
          <w:marLeft w:val="0"/>
          <w:marRight w:val="0"/>
          <w:marTop w:val="0"/>
          <w:marBottom w:val="150"/>
          <w:divBdr>
            <w:top w:val="none" w:sz="0" w:space="0" w:color="auto"/>
            <w:left w:val="none" w:sz="0" w:space="0" w:color="auto"/>
            <w:bottom w:val="none" w:sz="0" w:space="0" w:color="auto"/>
            <w:right w:val="none" w:sz="0" w:space="0" w:color="auto"/>
          </w:divBdr>
        </w:div>
        <w:div w:id="1351757042">
          <w:marLeft w:val="0"/>
          <w:marRight w:val="0"/>
          <w:marTop w:val="0"/>
          <w:marBottom w:val="150"/>
          <w:divBdr>
            <w:top w:val="none" w:sz="0" w:space="0" w:color="auto"/>
            <w:left w:val="none" w:sz="0" w:space="0" w:color="auto"/>
            <w:bottom w:val="none" w:sz="0" w:space="0" w:color="auto"/>
            <w:right w:val="none" w:sz="0" w:space="0" w:color="auto"/>
          </w:divBdr>
        </w:div>
      </w:divsChild>
    </w:div>
    <w:div w:id="1238173735">
      <w:bodyDiv w:val="1"/>
      <w:marLeft w:val="0"/>
      <w:marRight w:val="0"/>
      <w:marTop w:val="0"/>
      <w:marBottom w:val="0"/>
      <w:divBdr>
        <w:top w:val="none" w:sz="0" w:space="0" w:color="auto"/>
        <w:left w:val="none" w:sz="0" w:space="0" w:color="auto"/>
        <w:bottom w:val="none" w:sz="0" w:space="0" w:color="auto"/>
        <w:right w:val="none" w:sz="0" w:space="0" w:color="auto"/>
      </w:divBdr>
    </w:div>
    <w:div w:id="1281301325">
      <w:bodyDiv w:val="1"/>
      <w:marLeft w:val="0"/>
      <w:marRight w:val="0"/>
      <w:marTop w:val="0"/>
      <w:marBottom w:val="0"/>
      <w:divBdr>
        <w:top w:val="none" w:sz="0" w:space="0" w:color="auto"/>
        <w:left w:val="none" w:sz="0" w:space="0" w:color="auto"/>
        <w:bottom w:val="none" w:sz="0" w:space="0" w:color="auto"/>
        <w:right w:val="none" w:sz="0" w:space="0" w:color="auto"/>
      </w:divBdr>
      <w:divsChild>
        <w:div w:id="1879319867">
          <w:marLeft w:val="0"/>
          <w:marRight w:val="0"/>
          <w:marTop w:val="0"/>
          <w:marBottom w:val="0"/>
          <w:divBdr>
            <w:top w:val="none" w:sz="0" w:space="0" w:color="auto"/>
            <w:left w:val="none" w:sz="0" w:space="0" w:color="auto"/>
            <w:bottom w:val="none" w:sz="0" w:space="0" w:color="auto"/>
            <w:right w:val="none" w:sz="0" w:space="0" w:color="auto"/>
          </w:divBdr>
        </w:div>
      </w:divsChild>
    </w:div>
    <w:div w:id="1281302524">
      <w:bodyDiv w:val="1"/>
      <w:marLeft w:val="0"/>
      <w:marRight w:val="0"/>
      <w:marTop w:val="0"/>
      <w:marBottom w:val="0"/>
      <w:divBdr>
        <w:top w:val="none" w:sz="0" w:space="0" w:color="auto"/>
        <w:left w:val="none" w:sz="0" w:space="0" w:color="auto"/>
        <w:bottom w:val="none" w:sz="0" w:space="0" w:color="auto"/>
        <w:right w:val="none" w:sz="0" w:space="0" w:color="auto"/>
      </w:divBdr>
    </w:div>
    <w:div w:id="1321539046">
      <w:bodyDiv w:val="1"/>
      <w:marLeft w:val="0"/>
      <w:marRight w:val="0"/>
      <w:marTop w:val="0"/>
      <w:marBottom w:val="0"/>
      <w:divBdr>
        <w:top w:val="none" w:sz="0" w:space="0" w:color="auto"/>
        <w:left w:val="none" w:sz="0" w:space="0" w:color="auto"/>
        <w:bottom w:val="none" w:sz="0" w:space="0" w:color="auto"/>
        <w:right w:val="none" w:sz="0" w:space="0" w:color="auto"/>
      </w:divBdr>
      <w:divsChild>
        <w:div w:id="2121759734">
          <w:marLeft w:val="0"/>
          <w:marRight w:val="0"/>
          <w:marTop w:val="0"/>
          <w:marBottom w:val="150"/>
          <w:divBdr>
            <w:top w:val="none" w:sz="0" w:space="0" w:color="auto"/>
            <w:left w:val="none" w:sz="0" w:space="0" w:color="auto"/>
            <w:bottom w:val="none" w:sz="0" w:space="0" w:color="auto"/>
            <w:right w:val="none" w:sz="0" w:space="0" w:color="auto"/>
          </w:divBdr>
        </w:div>
        <w:div w:id="969017410">
          <w:marLeft w:val="0"/>
          <w:marRight w:val="0"/>
          <w:marTop w:val="0"/>
          <w:marBottom w:val="150"/>
          <w:divBdr>
            <w:top w:val="none" w:sz="0" w:space="0" w:color="auto"/>
            <w:left w:val="none" w:sz="0" w:space="0" w:color="auto"/>
            <w:bottom w:val="none" w:sz="0" w:space="0" w:color="auto"/>
            <w:right w:val="none" w:sz="0" w:space="0" w:color="auto"/>
          </w:divBdr>
        </w:div>
      </w:divsChild>
    </w:div>
    <w:div w:id="1408459067">
      <w:bodyDiv w:val="1"/>
      <w:marLeft w:val="0"/>
      <w:marRight w:val="0"/>
      <w:marTop w:val="0"/>
      <w:marBottom w:val="0"/>
      <w:divBdr>
        <w:top w:val="none" w:sz="0" w:space="0" w:color="auto"/>
        <w:left w:val="none" w:sz="0" w:space="0" w:color="auto"/>
        <w:bottom w:val="none" w:sz="0" w:space="0" w:color="auto"/>
        <w:right w:val="none" w:sz="0" w:space="0" w:color="auto"/>
      </w:divBdr>
    </w:div>
    <w:div w:id="1415055054">
      <w:bodyDiv w:val="1"/>
      <w:marLeft w:val="0"/>
      <w:marRight w:val="0"/>
      <w:marTop w:val="0"/>
      <w:marBottom w:val="0"/>
      <w:divBdr>
        <w:top w:val="none" w:sz="0" w:space="0" w:color="auto"/>
        <w:left w:val="none" w:sz="0" w:space="0" w:color="auto"/>
        <w:bottom w:val="none" w:sz="0" w:space="0" w:color="auto"/>
        <w:right w:val="none" w:sz="0" w:space="0" w:color="auto"/>
      </w:divBdr>
    </w:div>
    <w:div w:id="1428115145">
      <w:bodyDiv w:val="1"/>
      <w:marLeft w:val="0"/>
      <w:marRight w:val="0"/>
      <w:marTop w:val="0"/>
      <w:marBottom w:val="0"/>
      <w:divBdr>
        <w:top w:val="none" w:sz="0" w:space="0" w:color="auto"/>
        <w:left w:val="none" w:sz="0" w:space="0" w:color="auto"/>
        <w:bottom w:val="none" w:sz="0" w:space="0" w:color="auto"/>
        <w:right w:val="none" w:sz="0" w:space="0" w:color="auto"/>
      </w:divBdr>
    </w:div>
    <w:div w:id="1433623302">
      <w:bodyDiv w:val="1"/>
      <w:marLeft w:val="0"/>
      <w:marRight w:val="0"/>
      <w:marTop w:val="0"/>
      <w:marBottom w:val="0"/>
      <w:divBdr>
        <w:top w:val="none" w:sz="0" w:space="0" w:color="auto"/>
        <w:left w:val="none" w:sz="0" w:space="0" w:color="auto"/>
        <w:bottom w:val="none" w:sz="0" w:space="0" w:color="auto"/>
        <w:right w:val="none" w:sz="0" w:space="0" w:color="auto"/>
      </w:divBdr>
    </w:div>
    <w:div w:id="1435783463">
      <w:bodyDiv w:val="1"/>
      <w:marLeft w:val="0"/>
      <w:marRight w:val="0"/>
      <w:marTop w:val="0"/>
      <w:marBottom w:val="0"/>
      <w:divBdr>
        <w:top w:val="none" w:sz="0" w:space="0" w:color="auto"/>
        <w:left w:val="none" w:sz="0" w:space="0" w:color="auto"/>
        <w:bottom w:val="none" w:sz="0" w:space="0" w:color="auto"/>
        <w:right w:val="none" w:sz="0" w:space="0" w:color="auto"/>
      </w:divBdr>
    </w:div>
    <w:div w:id="1532642496">
      <w:bodyDiv w:val="1"/>
      <w:marLeft w:val="0"/>
      <w:marRight w:val="0"/>
      <w:marTop w:val="0"/>
      <w:marBottom w:val="0"/>
      <w:divBdr>
        <w:top w:val="none" w:sz="0" w:space="0" w:color="auto"/>
        <w:left w:val="none" w:sz="0" w:space="0" w:color="auto"/>
        <w:bottom w:val="none" w:sz="0" w:space="0" w:color="auto"/>
        <w:right w:val="none" w:sz="0" w:space="0" w:color="auto"/>
      </w:divBdr>
    </w:div>
    <w:div w:id="1558131726">
      <w:bodyDiv w:val="1"/>
      <w:marLeft w:val="0"/>
      <w:marRight w:val="0"/>
      <w:marTop w:val="0"/>
      <w:marBottom w:val="0"/>
      <w:divBdr>
        <w:top w:val="none" w:sz="0" w:space="0" w:color="auto"/>
        <w:left w:val="none" w:sz="0" w:space="0" w:color="auto"/>
        <w:bottom w:val="none" w:sz="0" w:space="0" w:color="auto"/>
        <w:right w:val="none" w:sz="0" w:space="0" w:color="auto"/>
      </w:divBdr>
    </w:div>
    <w:div w:id="1562248215">
      <w:bodyDiv w:val="1"/>
      <w:marLeft w:val="0"/>
      <w:marRight w:val="0"/>
      <w:marTop w:val="0"/>
      <w:marBottom w:val="0"/>
      <w:divBdr>
        <w:top w:val="none" w:sz="0" w:space="0" w:color="auto"/>
        <w:left w:val="none" w:sz="0" w:space="0" w:color="auto"/>
        <w:bottom w:val="none" w:sz="0" w:space="0" w:color="auto"/>
        <w:right w:val="none" w:sz="0" w:space="0" w:color="auto"/>
      </w:divBdr>
    </w:div>
    <w:div w:id="1578662953">
      <w:bodyDiv w:val="1"/>
      <w:marLeft w:val="0"/>
      <w:marRight w:val="0"/>
      <w:marTop w:val="0"/>
      <w:marBottom w:val="0"/>
      <w:divBdr>
        <w:top w:val="none" w:sz="0" w:space="0" w:color="auto"/>
        <w:left w:val="none" w:sz="0" w:space="0" w:color="auto"/>
        <w:bottom w:val="none" w:sz="0" w:space="0" w:color="auto"/>
        <w:right w:val="none" w:sz="0" w:space="0" w:color="auto"/>
      </w:divBdr>
    </w:div>
    <w:div w:id="1593704839">
      <w:bodyDiv w:val="1"/>
      <w:marLeft w:val="0"/>
      <w:marRight w:val="0"/>
      <w:marTop w:val="0"/>
      <w:marBottom w:val="0"/>
      <w:divBdr>
        <w:top w:val="none" w:sz="0" w:space="0" w:color="auto"/>
        <w:left w:val="none" w:sz="0" w:space="0" w:color="auto"/>
        <w:bottom w:val="none" w:sz="0" w:space="0" w:color="auto"/>
        <w:right w:val="none" w:sz="0" w:space="0" w:color="auto"/>
      </w:divBdr>
    </w:div>
    <w:div w:id="1676111689">
      <w:bodyDiv w:val="1"/>
      <w:marLeft w:val="0"/>
      <w:marRight w:val="0"/>
      <w:marTop w:val="0"/>
      <w:marBottom w:val="0"/>
      <w:divBdr>
        <w:top w:val="none" w:sz="0" w:space="0" w:color="auto"/>
        <w:left w:val="none" w:sz="0" w:space="0" w:color="auto"/>
        <w:bottom w:val="none" w:sz="0" w:space="0" w:color="auto"/>
        <w:right w:val="none" w:sz="0" w:space="0" w:color="auto"/>
      </w:divBdr>
    </w:div>
    <w:div w:id="1690374350">
      <w:bodyDiv w:val="1"/>
      <w:marLeft w:val="0"/>
      <w:marRight w:val="0"/>
      <w:marTop w:val="0"/>
      <w:marBottom w:val="0"/>
      <w:divBdr>
        <w:top w:val="none" w:sz="0" w:space="0" w:color="auto"/>
        <w:left w:val="none" w:sz="0" w:space="0" w:color="auto"/>
        <w:bottom w:val="none" w:sz="0" w:space="0" w:color="auto"/>
        <w:right w:val="none" w:sz="0" w:space="0" w:color="auto"/>
      </w:divBdr>
    </w:div>
    <w:div w:id="1957171809">
      <w:bodyDiv w:val="1"/>
      <w:marLeft w:val="0"/>
      <w:marRight w:val="0"/>
      <w:marTop w:val="0"/>
      <w:marBottom w:val="0"/>
      <w:divBdr>
        <w:top w:val="none" w:sz="0" w:space="0" w:color="auto"/>
        <w:left w:val="none" w:sz="0" w:space="0" w:color="auto"/>
        <w:bottom w:val="none" w:sz="0" w:space="0" w:color="auto"/>
        <w:right w:val="none" w:sz="0" w:space="0" w:color="auto"/>
      </w:divBdr>
    </w:div>
    <w:div w:id="1966697167">
      <w:bodyDiv w:val="1"/>
      <w:marLeft w:val="0"/>
      <w:marRight w:val="0"/>
      <w:marTop w:val="0"/>
      <w:marBottom w:val="0"/>
      <w:divBdr>
        <w:top w:val="none" w:sz="0" w:space="0" w:color="auto"/>
        <w:left w:val="none" w:sz="0" w:space="0" w:color="auto"/>
        <w:bottom w:val="none" w:sz="0" w:space="0" w:color="auto"/>
        <w:right w:val="none" w:sz="0" w:space="0" w:color="auto"/>
      </w:divBdr>
    </w:div>
    <w:div w:id="2004157455">
      <w:bodyDiv w:val="1"/>
      <w:marLeft w:val="0"/>
      <w:marRight w:val="0"/>
      <w:marTop w:val="0"/>
      <w:marBottom w:val="0"/>
      <w:divBdr>
        <w:top w:val="none" w:sz="0" w:space="0" w:color="auto"/>
        <w:left w:val="none" w:sz="0" w:space="0" w:color="auto"/>
        <w:bottom w:val="none" w:sz="0" w:space="0" w:color="auto"/>
        <w:right w:val="none" w:sz="0" w:space="0" w:color="auto"/>
      </w:divBdr>
    </w:div>
    <w:div w:id="2016878801">
      <w:bodyDiv w:val="1"/>
      <w:marLeft w:val="0"/>
      <w:marRight w:val="0"/>
      <w:marTop w:val="0"/>
      <w:marBottom w:val="0"/>
      <w:divBdr>
        <w:top w:val="none" w:sz="0" w:space="0" w:color="auto"/>
        <w:left w:val="none" w:sz="0" w:space="0" w:color="auto"/>
        <w:bottom w:val="none" w:sz="0" w:space="0" w:color="auto"/>
        <w:right w:val="none" w:sz="0" w:space="0" w:color="auto"/>
      </w:divBdr>
    </w:div>
    <w:div w:id="2038578029">
      <w:bodyDiv w:val="1"/>
      <w:marLeft w:val="0"/>
      <w:marRight w:val="0"/>
      <w:marTop w:val="0"/>
      <w:marBottom w:val="0"/>
      <w:divBdr>
        <w:top w:val="none" w:sz="0" w:space="0" w:color="auto"/>
        <w:left w:val="none" w:sz="0" w:space="0" w:color="auto"/>
        <w:bottom w:val="none" w:sz="0" w:space="0" w:color="auto"/>
        <w:right w:val="none" w:sz="0" w:space="0" w:color="auto"/>
      </w:divBdr>
    </w:div>
    <w:div w:id="2058122113">
      <w:bodyDiv w:val="1"/>
      <w:marLeft w:val="0"/>
      <w:marRight w:val="0"/>
      <w:marTop w:val="0"/>
      <w:marBottom w:val="0"/>
      <w:divBdr>
        <w:top w:val="none" w:sz="0" w:space="0" w:color="auto"/>
        <w:left w:val="none" w:sz="0" w:space="0" w:color="auto"/>
        <w:bottom w:val="none" w:sz="0" w:space="0" w:color="auto"/>
        <w:right w:val="none" w:sz="0" w:space="0" w:color="auto"/>
      </w:divBdr>
    </w:div>
    <w:div w:id="2076080054">
      <w:bodyDiv w:val="1"/>
      <w:marLeft w:val="0"/>
      <w:marRight w:val="0"/>
      <w:marTop w:val="0"/>
      <w:marBottom w:val="0"/>
      <w:divBdr>
        <w:top w:val="none" w:sz="0" w:space="0" w:color="auto"/>
        <w:left w:val="none" w:sz="0" w:space="0" w:color="auto"/>
        <w:bottom w:val="none" w:sz="0" w:space="0" w:color="auto"/>
        <w:right w:val="none" w:sz="0" w:space="0" w:color="auto"/>
      </w:divBdr>
    </w:div>
    <w:div w:id="2087679097">
      <w:bodyDiv w:val="1"/>
      <w:marLeft w:val="0"/>
      <w:marRight w:val="0"/>
      <w:marTop w:val="0"/>
      <w:marBottom w:val="0"/>
      <w:divBdr>
        <w:top w:val="none" w:sz="0" w:space="0" w:color="auto"/>
        <w:left w:val="none" w:sz="0" w:space="0" w:color="auto"/>
        <w:bottom w:val="none" w:sz="0" w:space="0" w:color="auto"/>
        <w:right w:val="none" w:sz="0" w:space="0" w:color="auto"/>
      </w:divBdr>
      <w:divsChild>
        <w:div w:id="1634751897">
          <w:marLeft w:val="0"/>
          <w:marRight w:val="0"/>
          <w:marTop w:val="0"/>
          <w:marBottom w:val="150"/>
          <w:divBdr>
            <w:top w:val="none" w:sz="0" w:space="0" w:color="auto"/>
            <w:left w:val="none" w:sz="0" w:space="0" w:color="auto"/>
            <w:bottom w:val="none" w:sz="0" w:space="0" w:color="auto"/>
            <w:right w:val="none" w:sz="0" w:space="0" w:color="auto"/>
          </w:divBdr>
        </w:div>
        <w:div w:id="1618758744">
          <w:marLeft w:val="0"/>
          <w:marRight w:val="0"/>
          <w:marTop w:val="0"/>
          <w:marBottom w:val="150"/>
          <w:divBdr>
            <w:top w:val="none" w:sz="0" w:space="0" w:color="auto"/>
            <w:left w:val="none" w:sz="0" w:space="0" w:color="auto"/>
            <w:bottom w:val="none" w:sz="0" w:space="0" w:color="auto"/>
            <w:right w:val="none" w:sz="0" w:space="0" w:color="auto"/>
          </w:divBdr>
        </w:div>
      </w:divsChild>
    </w:div>
    <w:div w:id="2130708161">
      <w:bodyDiv w:val="1"/>
      <w:marLeft w:val="0"/>
      <w:marRight w:val="0"/>
      <w:marTop w:val="0"/>
      <w:marBottom w:val="0"/>
      <w:divBdr>
        <w:top w:val="none" w:sz="0" w:space="0" w:color="auto"/>
        <w:left w:val="none" w:sz="0" w:space="0" w:color="auto"/>
        <w:bottom w:val="none" w:sz="0" w:space="0" w:color="auto"/>
        <w:right w:val="none" w:sz="0" w:space="0" w:color="auto"/>
      </w:divBdr>
      <w:divsChild>
        <w:div w:id="2013677850">
          <w:marLeft w:val="0"/>
          <w:marRight w:val="0"/>
          <w:marTop w:val="0"/>
          <w:marBottom w:val="150"/>
          <w:divBdr>
            <w:top w:val="none" w:sz="0" w:space="0" w:color="auto"/>
            <w:left w:val="none" w:sz="0" w:space="0" w:color="auto"/>
            <w:bottom w:val="none" w:sz="0" w:space="0" w:color="auto"/>
            <w:right w:val="none" w:sz="0" w:space="0" w:color="auto"/>
          </w:divBdr>
        </w:div>
        <w:div w:id="1966891675">
          <w:marLeft w:val="0"/>
          <w:marRight w:val="0"/>
          <w:marTop w:val="0"/>
          <w:marBottom w:val="150"/>
          <w:divBdr>
            <w:top w:val="none" w:sz="0" w:space="0" w:color="auto"/>
            <w:left w:val="none" w:sz="0" w:space="0" w:color="auto"/>
            <w:bottom w:val="none" w:sz="0" w:space="0" w:color="auto"/>
            <w:right w:val="none" w:sz="0" w:space="0" w:color="auto"/>
          </w:divBdr>
        </w:div>
      </w:divsChild>
    </w:div>
    <w:div w:id="2131050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oleObject1.bin"/><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w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nam10.safelinks.protection.outlook.com/?url=https%3A%2F%2Fsites.ed.gov%2Fidea%2Fhow-the-department-made-determinations%2F&amp;data=05%7C01%7Cdan.royal%40aemcorp.com%7C56561a053eed4e4dffea08db4cd0ea7f%7C7a41925ef6974f7cbec30470887ac752%7C0%7C0%7C638188232405320922%7CUnknown%7CTWFpbGZsb3d8eyJWIjoiMC4wLjAwMDAiLCJQIjoiV2luMzIiLCJBTiI6Ik1haWwiLCJXVCI6Mn0%3D%7C3000%7C%7C%7C&amp;sdata=REJfNg%2BRs0Gk73rS2KzO2SIVRCUhHLglGd6vbm9wEwc%3D&amp;reserved=0"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sites.ed.gov/idea/files/2023_Part-B_SPP-APR_Measurement_Table.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2D273A4E3C67F4C8D3986263D824D4D" ma:contentTypeVersion="7" ma:contentTypeDescription="Create a new document." ma:contentTypeScope="" ma:versionID="c366649d587315b3b0e05fd825eaa063">
  <xsd:schema xmlns:xsd="http://www.w3.org/2001/XMLSchema" xmlns:xs="http://www.w3.org/2001/XMLSchema" xmlns:p="http://schemas.microsoft.com/office/2006/metadata/properties" xmlns:ns2="89bf3613-0818-48da-aadf-73420b6d0357" xmlns:ns3="a8f4f48c-d55d-4625-8121-08fdad9dc02e" targetNamespace="http://schemas.microsoft.com/office/2006/metadata/properties" ma:root="true" ma:fieldsID="fd4f7a694d8555c05ca88b1bc50e3d6f" ns2:_="" ns3:_="">
    <xsd:import namespace="89bf3613-0818-48da-aadf-73420b6d0357"/>
    <xsd:import namespace="a8f4f48c-d55d-4625-8121-08fdad9dc02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bf3613-0818-48da-aadf-73420b6d03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8f4f48c-d55d-4625-8121-08fdad9dc02e" elementFormDefault="qualified">
    <xsd:import namespace="http://schemas.microsoft.com/office/2006/documentManagement/types"/>
    <xsd:import namespace="http://schemas.microsoft.com/office/infopath/2007/PartnerControls"/>
    <xsd:element name="SharedWithUsers" ma:index="12"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DB16239-2E83-4543-A07E-6AFF5384A3D6}">
  <ds:schemaRefs>
    <ds:schemaRef ds:uri="http://schemas.openxmlformats.org/officeDocument/2006/bibliography"/>
  </ds:schemaRefs>
</ds:datastoreItem>
</file>

<file path=customXml/itemProps2.xml><?xml version="1.0" encoding="utf-8"?>
<ds:datastoreItem xmlns:ds="http://schemas.openxmlformats.org/officeDocument/2006/customXml" ds:itemID="{7881BCB8-03D0-4290-935D-F6B299B61C87}">
  <ds:schemaRefs>
    <ds:schemaRef ds:uri="http://schemas.microsoft.com/sharepoint/v3/contenttype/forms"/>
  </ds:schemaRefs>
</ds:datastoreItem>
</file>

<file path=customXml/itemProps3.xml><?xml version="1.0" encoding="utf-8"?>
<ds:datastoreItem xmlns:ds="http://schemas.openxmlformats.org/officeDocument/2006/customXml" ds:itemID="{E34A9DCB-E3D8-4048-BDD4-1F7881EB959B}">
  <ds:schemaRefs>
    <ds:schemaRef ds:uri="4f36bac4-6705-4a36-974b-7c07450fedf2"/>
    <ds:schemaRef ds:uri="http://purl.org/dc/terms/"/>
    <ds:schemaRef ds:uri="http://schemas.microsoft.com/office/2006/documentManagement/types"/>
    <ds:schemaRef ds:uri="292db1e8-b3d0-4356-8ef3-2a6d7ed77883"/>
    <ds:schemaRef ds:uri="http://purl.org/dc/elements/1.1/"/>
    <ds:schemaRef ds:uri="http://www.w3.org/XML/1998/namespace"/>
    <ds:schemaRef ds:uri="http://schemas.microsoft.com/office/infopath/2007/PartnerControls"/>
    <ds:schemaRef ds:uri="http://schemas.openxmlformats.org/package/2006/metadata/core-properties"/>
    <ds:schemaRef ds:uri="http://schemas.microsoft.com/sharepoint/v3"/>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D24DD198-4B74-4A69-9A38-B0A492755ECC}"/>
</file>

<file path=docMetadata/LabelInfo.xml><?xml version="1.0" encoding="utf-8"?>
<clbl:labelList xmlns:clbl="http://schemas.microsoft.com/office/2020/mipLabelMetadata">
  <clbl:label id="{afded6f5-d1d0-4596-a1c0-00c047dd6749}" enabled="1" method="Standard" siteId="{7a41925e-f697-4f7c-bec3-0470887ac752}" removed="0"/>
</clbl:labelList>
</file>

<file path=docProps/app.xml><?xml version="1.0" encoding="utf-8"?>
<Properties xmlns="http://schemas.openxmlformats.org/officeDocument/2006/extended-properties" xmlns:vt="http://schemas.openxmlformats.org/officeDocument/2006/docPropsVTypes">
  <Template>Normal</Template>
  <TotalTime>21</TotalTime>
  <Pages>106</Pages>
  <Words>69636</Words>
  <Characters>396926</Characters>
  <Application>Microsoft Office Word</Application>
  <DocSecurity>0</DocSecurity>
  <Lines>3307</Lines>
  <Paragraphs>931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465631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O'Grady</dc:creator>
  <cp:lastModifiedBy>Rachel Coleman</cp:lastModifiedBy>
  <cp:revision>7</cp:revision>
  <cp:lastPrinted>2014-08-19T16:56:00Z</cp:lastPrinted>
  <dcterms:created xsi:type="dcterms:W3CDTF">2023-06-28T23:57:00Z</dcterms:created>
  <dcterms:modified xsi:type="dcterms:W3CDTF">2023-08-03T17:54:00Z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0x01010042D273A4E3C67F4C8D3986263D824D4D</vt:lpwstr>
  </property>
  <property fmtid="{D5CDD505-2E9C-101B-9397-08002B2CF9AE}" pid="3" name="_dlc_DocIdItemGuid">
    <vt:lpwstr>d1961a7b-789a-475e-aff2-ded90ef3b8b9</vt:lpwstr>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Order">
    <vt:r8>41383400</vt:r8>
  </property>
  <property fmtid="{D5CDD505-2E9C-101B-9397-08002B2CF9AE}" pid="8" name="Body">
    <vt:lpwstr/>
  </property>
  <property fmtid="{D5CDD505-2E9C-101B-9397-08002B2CF9AE}" pid="9" name="TaskStatus">
    <vt:lpwstr/>
  </property>
  <property fmtid="{D5CDD505-2E9C-101B-9397-08002B2CF9AE}" pid="10" name="WorkflowName">
    <vt:lpwstr/>
  </property>
  <property fmtid="{D5CDD505-2E9C-101B-9397-08002B2CF9AE}" pid="11" name="Document Notes">
    <vt:lpwstr/>
  </property>
  <property fmtid="{D5CDD505-2E9C-101B-9397-08002B2CF9AE}" pid="12" name="Document Notes0">
    <vt:lpwstr/>
  </property>
  <property fmtid="{D5CDD505-2E9C-101B-9397-08002B2CF9AE}" pid="13" name="Priority">
    <vt:lpwstr/>
  </property>
  <property fmtid="{D5CDD505-2E9C-101B-9397-08002B2CF9AE}" pid="14" name="_CopySource">
    <vt:lpwstr>https://sharepoint.aemcorp.com/ed/EDMITS/Shared Documents/51 - APR/SPP APR/FFY 2021 - TO-Q/40 IT/01 Requirements/Part 1 - APR Tool/Part B/Part B SPP-APR FFY 2021 Form with abbreviations.docx</vt:lpwstr>
  </property>
  <property fmtid="{D5CDD505-2E9C-101B-9397-08002B2CF9AE}" pid="15" name="MediaServiceImageTags">
    <vt:lpwstr/>
  </property>
  <property fmtid="{D5CDD505-2E9C-101B-9397-08002B2CF9AE}" pid="16" name="Predecessors">
    <vt:lpwstr/>
  </property>
  <property fmtid="{D5CDD505-2E9C-101B-9397-08002B2CF9AE}" pid="17" name="AssignedTo">
    <vt:lpwstr/>
  </property>
  <property fmtid="{D5CDD505-2E9C-101B-9397-08002B2CF9AE}" pid="18" name="MSIP_Label_4ad35bab-6e18-4b1b-82b4-d81f4f36a979_Enabled">
    <vt:lpwstr>true</vt:lpwstr>
  </property>
  <property fmtid="{D5CDD505-2E9C-101B-9397-08002B2CF9AE}" pid="19" name="MSIP_Label_4ad35bab-6e18-4b1b-82b4-d81f4f36a979_SetDate">
    <vt:lpwstr>2023-03-14T00:12:18Z</vt:lpwstr>
  </property>
  <property fmtid="{D5CDD505-2E9C-101B-9397-08002B2CF9AE}" pid="20" name="MSIP_Label_4ad35bab-6e18-4b1b-82b4-d81f4f36a979_Method">
    <vt:lpwstr>Standard</vt:lpwstr>
  </property>
  <property fmtid="{D5CDD505-2E9C-101B-9397-08002B2CF9AE}" pid="21" name="MSIP_Label_4ad35bab-6e18-4b1b-82b4-d81f4f36a979_Name">
    <vt:lpwstr>Public</vt:lpwstr>
  </property>
  <property fmtid="{D5CDD505-2E9C-101B-9397-08002B2CF9AE}" pid="22" name="MSIP_Label_4ad35bab-6e18-4b1b-82b4-d81f4f36a979_SiteId">
    <vt:lpwstr>7a41925e-f697-4f7c-bec3-0470887ac752</vt:lpwstr>
  </property>
  <property fmtid="{D5CDD505-2E9C-101B-9397-08002B2CF9AE}" pid="23" name="MSIP_Label_4ad35bab-6e18-4b1b-82b4-d81f4f36a979_ActionId">
    <vt:lpwstr>212e3d3a-8d9d-47e5-ba89-5887e937e98c</vt:lpwstr>
  </property>
  <property fmtid="{D5CDD505-2E9C-101B-9397-08002B2CF9AE}" pid="24" name="MSIP_Label_4ad35bab-6e18-4b1b-82b4-d81f4f36a979_ContentBits">
    <vt:lpwstr>0</vt:lpwstr>
  </property>
</Properties>
</file>