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South Carolina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South Carolina Department of Education’s (SCDE) strategic vision includes that all students graduate prepared for success in college, careers, and citizenship. Defined core priorities include supporting the social-emotional learning, health, and safety needs of students through a whole-child approach; strengthening standards, curriculum, instruction, and assessment alignment within schools and districts; enhancing infrastructures, resources, data, and technology of the State's public educational systems; addressing the equity needs of districts and schools through differentiated supports and school transformation; and promoting educator and school leadership development.  </w:t>
      </w:r>
      <w:r w:rsidRPr="00781112">
        <w:rPr>
          <w:rFonts w:cs="Arial"/>
          <w:color w:val="000000" w:themeColor="text1"/>
          <w:szCs w:val="16"/>
        </w:rPr>
        <w:br/>
        <w:t xml:space="preserve"> </w:t>
      </w:r>
      <w:r w:rsidRPr="00781112">
        <w:rPr>
          <w:rFonts w:cs="Arial"/>
          <w:color w:val="000000" w:themeColor="text1"/>
          <w:szCs w:val="16"/>
        </w:rPr>
        <w:br/>
        <w:t xml:space="preserve">The vision of the Office of Special Education Services (OSES) describes the grounding assumptions, purpose, and goals for the office and reads: “If the OSES provides consistent, collaborative, proactive direction and support focused in the areas of academics, social emotional learning, early childhood development, and post-secondary transition by using data-based decision making, quality instruction (evidence-based practices), family and community engagement, and fidelity in implementation then local education agencies (LEAs) will have the infrastructure, capacity, and sustainability to provide students with disabilities equitable access and opportunity to meet the profile of the South Carolina graduate (world-class knowledge, world-class skills, and life and career characteristics).”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Over the last two years, the Individualized Education Program (IEP) system has presented challenges in the collection and reporting of IDEA data which has caused major concerns in the reliability and validity of the data. The OSES Enrich and Data Team have </w:t>
      </w:r>
      <w:proofErr w:type="gramStart"/>
      <w:r w:rsidRPr="00781112">
        <w:rPr>
          <w:color w:val="000000" w:themeColor="text1"/>
        </w:rPr>
        <w:t>worked</w:t>
      </w:r>
      <w:proofErr w:type="gramEnd"/>
      <w:r w:rsidRPr="00781112">
        <w:rPr>
          <w:color w:val="000000" w:themeColor="text1"/>
        </w:rPr>
        <w:t xml:space="preserve"> diligently with the vendor to resolve on-going issues via monthly meetings. In July 2022, the OSES began to work with the Office of Research and Data Analysis (ORDA) Director to assist with data quality processes and OSES hired three additional contracted employees to assist with the data. The OSES has published a Request for Proposal for a new vendor system in December of 2022, which closes in February of 2023 with a tentative final decision in April. If the current vendor does not win the award, the OSES has requested an extension with Frontline to include a transition plan.</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85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SCDE has a system of general supervision in place to ensure that the Individuals with Disabilities Education Act (IDEA) Part B requirements </w:t>
      </w:r>
      <w:proofErr w:type="gramStart"/>
      <w:r w:rsidRPr="00781112">
        <w:rPr>
          <w:rFonts w:cs="Arial"/>
          <w:color w:val="000000" w:themeColor="text1"/>
          <w:szCs w:val="16"/>
        </w:rPr>
        <w:t>are met</w:t>
      </w:r>
      <w:proofErr w:type="gramEnd"/>
      <w:r w:rsidRPr="00781112">
        <w:rPr>
          <w:rFonts w:cs="Arial"/>
          <w:color w:val="000000" w:themeColor="text1"/>
          <w:szCs w:val="16"/>
        </w:rPr>
        <w:t xml:space="preserve">. This system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ensure that students with disabilities receive a free and appropriate public education (FAPE). </w:t>
      </w:r>
      <w:r w:rsidRPr="00781112">
        <w:rPr>
          <w:rFonts w:cs="Arial"/>
          <w:color w:val="000000" w:themeColor="text1"/>
          <w:szCs w:val="16"/>
        </w:rPr>
        <w:br/>
      </w:r>
      <w:r w:rsidRPr="00781112">
        <w:rPr>
          <w:rFonts w:cs="Arial"/>
          <w:color w:val="000000" w:themeColor="text1"/>
          <w:szCs w:val="16"/>
        </w:rPr>
        <w:br/>
        <w:t xml:space="preserve">Prior to August 2022, the OSES had referred to its general supervision process SoTA (System of Tiered Assistance). The office priorities </w:t>
      </w:r>
      <w:proofErr w:type="gramStart"/>
      <w:r w:rsidRPr="00781112">
        <w:rPr>
          <w:rFonts w:cs="Arial"/>
          <w:color w:val="000000" w:themeColor="text1"/>
          <w:szCs w:val="16"/>
        </w:rPr>
        <w:t>were focused</w:t>
      </w:r>
      <w:proofErr w:type="gramEnd"/>
      <w:r w:rsidRPr="00781112">
        <w:rPr>
          <w:rFonts w:cs="Arial"/>
          <w:color w:val="000000" w:themeColor="text1"/>
          <w:szCs w:val="16"/>
        </w:rPr>
        <w:t xml:space="preserve"> around four focus areas that included Early Childhood (EC), Academics (ACA), Social-Emotional (SEL), and Post-Secondary Outcomes (PSO). The EC team was responsible for indicators 6, 7, and 12. The SEL team was responsible for indicator 4 and 8. The ACA team was responsible for indicators 3, 5, 9, and 10. The PSO team was responsible for indicators 1, 2, 13, and 14. The Dispute Resolution team handled state complaints and facilitated IEPs.  Dispute resolution hearing requests and mediations are </w:t>
      </w:r>
      <w:proofErr w:type="gramStart"/>
      <w:r w:rsidRPr="00781112">
        <w:rPr>
          <w:rFonts w:cs="Arial"/>
          <w:color w:val="000000" w:themeColor="text1"/>
          <w:szCs w:val="16"/>
        </w:rPr>
        <w:t>handled</w:t>
      </w:r>
      <w:proofErr w:type="gramEnd"/>
      <w:r w:rsidRPr="00781112">
        <w:rPr>
          <w:rFonts w:cs="Arial"/>
          <w:color w:val="000000" w:themeColor="text1"/>
          <w:szCs w:val="16"/>
        </w:rPr>
        <w:t xml:space="preserve"> by the Office of General Council. Under the SoTA era, the OSES cyclical monitoring of LEAs </w:t>
      </w:r>
      <w:proofErr w:type="gramStart"/>
      <w:r w:rsidRPr="00781112">
        <w:rPr>
          <w:rFonts w:cs="Arial"/>
          <w:color w:val="000000" w:themeColor="text1"/>
          <w:szCs w:val="16"/>
        </w:rPr>
        <w:t>was discontinued</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With changes in leadership and input from Special Education Directors, the Advisory Council for Education Students with Disabilities, (ACESD), internal staff, and parents, the office </w:t>
      </w:r>
      <w:proofErr w:type="gramStart"/>
      <w:r w:rsidRPr="00781112">
        <w:rPr>
          <w:rFonts w:cs="Arial"/>
          <w:color w:val="000000" w:themeColor="text1"/>
          <w:szCs w:val="16"/>
        </w:rPr>
        <w:t>was restructured</w:t>
      </w:r>
      <w:proofErr w:type="gramEnd"/>
      <w:r w:rsidRPr="00781112">
        <w:rPr>
          <w:rFonts w:cs="Arial"/>
          <w:color w:val="000000" w:themeColor="text1"/>
          <w:szCs w:val="16"/>
        </w:rPr>
        <w:t xml:space="preserve">, and the general supervision process was changed to promote a more cohesive approach to general supervision. The office </w:t>
      </w:r>
      <w:proofErr w:type="gramStart"/>
      <w:r w:rsidRPr="00781112">
        <w:rPr>
          <w:rFonts w:cs="Arial"/>
          <w:color w:val="000000" w:themeColor="text1"/>
          <w:szCs w:val="16"/>
        </w:rPr>
        <w:t>is divided</w:t>
      </w:r>
      <w:proofErr w:type="gramEnd"/>
      <w:r w:rsidRPr="00781112">
        <w:rPr>
          <w:rFonts w:cs="Arial"/>
          <w:color w:val="000000" w:themeColor="text1"/>
          <w:szCs w:val="16"/>
        </w:rPr>
        <w:t xml:space="preserve"> into six teams that include: Dispute Resolution, Integrated Monitoring, and Compliance Team, Parent and Community Involvement Team, Implementation Support Team, Recruitment, Retention, and Programs Team, Data Team, and Fiscal and Grants Management Team. </w:t>
      </w:r>
      <w:r w:rsidRPr="00781112">
        <w:rPr>
          <w:rFonts w:cs="Arial"/>
          <w:color w:val="000000" w:themeColor="text1"/>
          <w:szCs w:val="16"/>
        </w:rPr>
        <w:br/>
      </w:r>
      <w:r w:rsidRPr="00781112">
        <w:rPr>
          <w:rFonts w:cs="Arial"/>
          <w:color w:val="000000" w:themeColor="text1"/>
          <w:szCs w:val="16"/>
        </w:rPr>
        <w:br/>
        <w:t>The Data Team is responsible for collecting the federally required data elements from districts. As discussed in the previous section, there have been significant issues with our current data collection system and the SCDE is working dillegently to resolve those issues. The Dispute Resolution, Integrated Monitoring, and Compliance Team is responsible for state complaints, cyclical monitoring, and focused monitoring as well as monitoring of the compliance indicators (4, 9, 10, 11, 12, and 13). The Family and Community Involvement team oversees our facilitated IEP process and hosts our Ombudsperson. Our ombudsperson assists in resolving informal complaints, concerns, and questions by acting as an intermediary between parents and LEAs. The Family and Community Involvement team is responsible for collecting indicator 8 and 14 information to inform the needed technical assistance for families and provide information to our parent and training resource center, Family Connection of SC, of the needs in our state.</w:t>
      </w:r>
      <w:r w:rsidRPr="00781112">
        <w:rPr>
          <w:rFonts w:cs="Arial"/>
          <w:color w:val="000000" w:themeColor="text1"/>
          <w:szCs w:val="16"/>
        </w:rPr>
        <w:br/>
      </w:r>
      <w:r w:rsidRPr="00781112">
        <w:rPr>
          <w:rFonts w:cs="Arial"/>
          <w:color w:val="000000" w:themeColor="text1"/>
          <w:szCs w:val="16"/>
        </w:rPr>
        <w:br/>
        <w:t xml:space="preserve">The Fiscal and Grants Management (FGM) team utilizes a three-tier model to ensure that LEAs are appropriately allocating and expending funds and resources received under the grant provisions of the IDEA with the purpose of improving outcomes. This process is separate from program monitoring. Fiscal monitoring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annually using </w:t>
      </w:r>
      <w:proofErr w:type="gramStart"/>
      <w:r w:rsidRPr="00781112">
        <w:rPr>
          <w:rFonts w:cs="Arial"/>
          <w:color w:val="000000" w:themeColor="text1"/>
          <w:szCs w:val="16"/>
        </w:rPr>
        <w:t>a self</w:t>
      </w:r>
      <w:proofErr w:type="gramEnd"/>
      <w:r w:rsidRPr="00781112">
        <w:rPr>
          <w:rFonts w:cs="Arial"/>
          <w:color w:val="000000" w:themeColor="text1"/>
          <w:szCs w:val="16"/>
        </w:rPr>
        <w:t xml:space="preserve">-assessment. These results are then included in a risk assessment that guides additional, more </w:t>
      </w:r>
      <w:proofErr w:type="gramStart"/>
      <w:r w:rsidRPr="00781112">
        <w:rPr>
          <w:rFonts w:cs="Arial"/>
          <w:color w:val="000000" w:themeColor="text1"/>
          <w:szCs w:val="16"/>
        </w:rPr>
        <w:t>targeted</w:t>
      </w:r>
      <w:proofErr w:type="gramEnd"/>
      <w:r w:rsidRPr="00781112">
        <w:rPr>
          <w:rFonts w:cs="Arial"/>
          <w:color w:val="000000" w:themeColor="text1"/>
          <w:szCs w:val="16"/>
        </w:rPr>
        <w:t xml:space="preserve"> and intensive monitoring activities such as desk audits and file reviews. Data from the fiscal monitoring process </w:t>
      </w:r>
      <w:proofErr w:type="gramStart"/>
      <w:r w:rsidRPr="00781112">
        <w:rPr>
          <w:rFonts w:cs="Arial"/>
          <w:color w:val="000000" w:themeColor="text1"/>
          <w:szCs w:val="16"/>
        </w:rPr>
        <w:t>is integrated</w:t>
      </w:r>
      <w:proofErr w:type="gramEnd"/>
      <w:r w:rsidRPr="00781112">
        <w:rPr>
          <w:rFonts w:cs="Arial"/>
          <w:color w:val="000000" w:themeColor="text1"/>
          <w:szCs w:val="16"/>
        </w:rPr>
        <w:t xml:space="preserve"> with data from the other components of the system in the LEA Determinations. The FGM Team utilizes a risk-based tiered model to ensure LEAs are appropriately </w:t>
      </w:r>
      <w:proofErr w:type="gramStart"/>
      <w:r w:rsidRPr="00781112">
        <w:rPr>
          <w:rFonts w:cs="Arial"/>
          <w:color w:val="000000" w:themeColor="text1"/>
          <w:szCs w:val="16"/>
        </w:rPr>
        <w:t>allocating</w:t>
      </w:r>
      <w:proofErr w:type="gramEnd"/>
      <w:r w:rsidRPr="00781112">
        <w:rPr>
          <w:rFonts w:cs="Arial"/>
          <w:color w:val="000000" w:themeColor="text1"/>
          <w:szCs w:val="16"/>
        </w:rPr>
        <w:t xml:space="preserve"> and expending the funds and resources they receive under the grant provisions. The tiered monitoring system includes increasing levels of scrutiny of processes and documentation through a tiered progression.</w:t>
      </w:r>
      <w:r w:rsidRPr="00781112">
        <w:rPr>
          <w:rFonts w:cs="Arial"/>
          <w:color w:val="000000" w:themeColor="text1"/>
          <w:szCs w:val="16"/>
        </w:rPr>
        <w:br/>
      </w:r>
      <w:r w:rsidRPr="00781112">
        <w:rPr>
          <w:rFonts w:cs="Arial"/>
          <w:color w:val="000000" w:themeColor="text1"/>
          <w:szCs w:val="16"/>
        </w:rPr>
        <w:br/>
        <w:t xml:space="preserve">The Implementation Support and the Recruitment, Retention, and Programs Teams are responsible for utilizing the results from the monitoring findings and other data sources to provide technical assistance to districts. These two teams work extensively with other SCDE offices to assist LEAs with providing support to students with disabilities to ensure a </w:t>
      </w:r>
      <w:proofErr w:type="gramStart"/>
      <w:r w:rsidRPr="00781112">
        <w:rPr>
          <w:rFonts w:cs="Arial"/>
          <w:color w:val="000000" w:themeColor="text1"/>
          <w:szCs w:val="16"/>
        </w:rPr>
        <w:t>results</w:t>
      </w:r>
      <w:proofErr w:type="gramEnd"/>
      <w:r w:rsidRPr="00781112">
        <w:rPr>
          <w:rFonts w:cs="Arial"/>
          <w:color w:val="000000" w:themeColor="text1"/>
          <w:szCs w:val="16"/>
        </w:rPr>
        <w:t xml:space="preserve"> driven accountability system. This support will </w:t>
      </w:r>
      <w:proofErr w:type="gramStart"/>
      <w:r w:rsidRPr="00781112">
        <w:rPr>
          <w:rFonts w:cs="Arial"/>
          <w:color w:val="000000" w:themeColor="text1"/>
          <w:szCs w:val="16"/>
        </w:rPr>
        <w:t>be defined</w:t>
      </w:r>
      <w:proofErr w:type="gramEnd"/>
      <w:r w:rsidRPr="00781112">
        <w:rPr>
          <w:rFonts w:cs="Arial"/>
          <w:color w:val="000000" w:themeColor="text1"/>
          <w:szCs w:val="16"/>
        </w:rPr>
        <w:t xml:space="preserve"> in the next section.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lastRenderedPageBreak/>
        <w:t xml:space="preserve">The SCDE has mechanisms for providing high quality, evidence based technical assistance (TA) and support to LEAs. Technical assistance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through a tiered system of support. All LEAs </w:t>
      </w:r>
      <w:proofErr w:type="gramStart"/>
      <w:r w:rsidRPr="00781112">
        <w:rPr>
          <w:rFonts w:cs="Arial"/>
          <w:color w:val="000000" w:themeColor="text1"/>
          <w:szCs w:val="16"/>
        </w:rPr>
        <w:t>are able to</w:t>
      </w:r>
      <w:proofErr w:type="gramEnd"/>
      <w:r w:rsidRPr="00781112">
        <w:rPr>
          <w:rFonts w:cs="Arial"/>
          <w:color w:val="000000" w:themeColor="text1"/>
          <w:szCs w:val="16"/>
        </w:rPr>
        <w:t xml:space="preserve"> request TA from the SCDE at any time to support their needs. Topics that have </w:t>
      </w:r>
      <w:proofErr w:type="gramStart"/>
      <w:r w:rsidRPr="00781112">
        <w:rPr>
          <w:rFonts w:cs="Arial"/>
          <w:color w:val="000000" w:themeColor="text1"/>
          <w:szCs w:val="16"/>
        </w:rPr>
        <w:t>been requested</w:t>
      </w:r>
      <w:proofErr w:type="gramEnd"/>
      <w:r w:rsidRPr="00781112">
        <w:rPr>
          <w:rFonts w:cs="Arial"/>
          <w:color w:val="000000" w:themeColor="text1"/>
          <w:szCs w:val="16"/>
        </w:rPr>
        <w:t xml:space="preserve"> include but are not limited to compliance, fiscal support, instructional support, and interpreting data. There are a variety of evidence-based resources on the website as well as courses through the learning module system. </w:t>
      </w:r>
      <w:r w:rsidRPr="00781112">
        <w:rPr>
          <w:rFonts w:cs="Arial"/>
          <w:color w:val="000000" w:themeColor="text1"/>
          <w:szCs w:val="16"/>
        </w:rPr>
        <w:br/>
      </w:r>
      <w:r w:rsidRPr="00781112">
        <w:rPr>
          <w:rFonts w:cs="Arial"/>
          <w:color w:val="000000" w:themeColor="text1"/>
          <w:szCs w:val="16"/>
        </w:rPr>
        <w:br/>
        <w:t xml:space="preserve">The SCDE has mechanisms for providing high quality, evidence based technical assistance (TA) and support to LEAs. Technical assistance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through a tiered system of support. All LEAs </w:t>
      </w:r>
      <w:proofErr w:type="gramStart"/>
      <w:r w:rsidRPr="00781112">
        <w:rPr>
          <w:rFonts w:cs="Arial"/>
          <w:color w:val="000000" w:themeColor="text1"/>
          <w:szCs w:val="16"/>
        </w:rPr>
        <w:t>are able to</w:t>
      </w:r>
      <w:proofErr w:type="gramEnd"/>
      <w:r w:rsidRPr="00781112">
        <w:rPr>
          <w:rFonts w:cs="Arial"/>
          <w:color w:val="000000" w:themeColor="text1"/>
          <w:szCs w:val="16"/>
        </w:rPr>
        <w:t xml:space="preserve"> request TA from the SCDE at any time to support their needs. Topics that have </w:t>
      </w:r>
      <w:proofErr w:type="gramStart"/>
      <w:r w:rsidRPr="00781112">
        <w:rPr>
          <w:rFonts w:cs="Arial"/>
          <w:color w:val="000000" w:themeColor="text1"/>
          <w:szCs w:val="16"/>
        </w:rPr>
        <w:t>been requested</w:t>
      </w:r>
      <w:proofErr w:type="gramEnd"/>
      <w:r w:rsidRPr="00781112">
        <w:rPr>
          <w:rFonts w:cs="Arial"/>
          <w:color w:val="000000" w:themeColor="text1"/>
          <w:szCs w:val="16"/>
        </w:rPr>
        <w:t xml:space="preserve"> include but are not limited to compliance, fiscal support, instructional support, and interpreting data. There are a variety of evidence-based resources on the website as well as courses through the learning module system. </w:t>
      </w:r>
      <w:r w:rsidRPr="00781112">
        <w:rPr>
          <w:rFonts w:cs="Arial"/>
          <w:color w:val="000000" w:themeColor="text1"/>
          <w:szCs w:val="16"/>
        </w:rPr>
        <w:br/>
      </w:r>
      <w:r w:rsidRPr="00781112">
        <w:rPr>
          <w:rFonts w:cs="Arial"/>
          <w:color w:val="000000" w:themeColor="text1"/>
          <w:szCs w:val="16"/>
        </w:rPr>
        <w:br/>
        <w:t xml:space="preserve">The SCDE has contracts with a variety of technical assistance centers housed in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institutes of higher education which include, Transition Alliance of SC (TASC) and South Carolina Partnership for Inclusion (SCPI). This past year, two new contracts </w:t>
      </w:r>
      <w:proofErr w:type="gramStart"/>
      <w:r w:rsidRPr="00781112">
        <w:rPr>
          <w:rFonts w:cs="Arial"/>
          <w:color w:val="000000" w:themeColor="text1"/>
          <w:szCs w:val="16"/>
        </w:rPr>
        <w:t>were signed</w:t>
      </w:r>
      <w:proofErr w:type="gramEnd"/>
      <w:r w:rsidRPr="00781112">
        <w:rPr>
          <w:rFonts w:cs="Arial"/>
          <w:color w:val="000000" w:themeColor="text1"/>
          <w:szCs w:val="16"/>
        </w:rPr>
        <w:t xml:space="preserve"> with the Academic Alliance of SC (AASC) and the Behavior Alliance of SC (BASC). In addition, the OSES has contracts with the state’s parent and training and information center, Family Connection of SC, and SC ABLE, a nonprofit organization representing individuals with disabilities. This past year, LEAs were able to request support from these TA centers as needed. These four OSES funded TA centers have joined together to form SC TEAMS (SC Transition, Early Childhood, Academics, Multi-Tiered Systems of Support, Social/Emotional/Behavioral). SC TEAMS will launch in the summer of 2023.</w:t>
      </w:r>
      <w:r w:rsidRPr="00781112">
        <w:rPr>
          <w:rFonts w:cs="Arial"/>
          <w:color w:val="000000" w:themeColor="text1"/>
          <w:szCs w:val="16"/>
        </w:rPr>
        <w:br/>
      </w:r>
      <w:r w:rsidRPr="00781112">
        <w:rPr>
          <w:rFonts w:cs="Arial"/>
          <w:color w:val="000000" w:themeColor="text1"/>
          <w:szCs w:val="16"/>
        </w:rPr>
        <w:br/>
        <w:t xml:space="preserve">In the summer of 2023, SC TEAMS will launch a website that will provide evidence-based resources for educators, families, and community members. The website will contain links to the OSEP technical assistance centers, training modules, and other resources. Members of our institutes of higher education along with other content experts will provide expert content review. </w:t>
      </w:r>
      <w:r w:rsidRPr="00781112">
        <w:rPr>
          <w:rFonts w:cs="Arial"/>
          <w:color w:val="000000" w:themeColor="text1"/>
          <w:szCs w:val="16"/>
        </w:rPr>
        <w:br/>
      </w:r>
      <w:r w:rsidRPr="00781112">
        <w:rPr>
          <w:rFonts w:cs="Arial"/>
          <w:color w:val="000000" w:themeColor="text1"/>
          <w:szCs w:val="16"/>
        </w:rPr>
        <w:br/>
        <w:t xml:space="preserve">In the 2023-2024 school year, the districts with the highest needs will </w:t>
      </w:r>
      <w:proofErr w:type="gramStart"/>
      <w:r w:rsidRPr="00781112">
        <w:rPr>
          <w:rFonts w:cs="Arial"/>
          <w:color w:val="000000" w:themeColor="text1"/>
          <w:szCs w:val="16"/>
        </w:rPr>
        <w:t>be supported</w:t>
      </w:r>
      <w:proofErr w:type="gramEnd"/>
      <w:r w:rsidRPr="00781112">
        <w:rPr>
          <w:rFonts w:cs="Arial"/>
          <w:color w:val="000000" w:themeColor="text1"/>
          <w:szCs w:val="16"/>
        </w:rPr>
        <w:t xml:space="preserve"> through SC TEAMS. A SC TEAMS facilitative coach will collaborate with the district to identify and prioritize the needs based on their data and identified priorities. A support team that includes members of SC TEAMS, representatives of other offices in the SCDE, and district representatives will conduct a root cause analysis to identify the problems with precision. The team will set targeted goals for improvement and embed action steps into the existing district plan and align with other initiatives. The team will identify needed training and members of SC TEAMS will provide on-sight training and coaching of the evidence-based practices needed to improve outcomes and ensure a </w:t>
      </w:r>
      <w:proofErr w:type="gramStart"/>
      <w:r w:rsidRPr="00781112">
        <w:rPr>
          <w:rFonts w:cs="Arial"/>
          <w:color w:val="000000" w:themeColor="text1"/>
          <w:szCs w:val="16"/>
        </w:rPr>
        <w:t>results</w:t>
      </w:r>
      <w:proofErr w:type="gramEnd"/>
      <w:r w:rsidRPr="00781112">
        <w:rPr>
          <w:rFonts w:cs="Arial"/>
          <w:color w:val="000000" w:themeColor="text1"/>
          <w:szCs w:val="16"/>
        </w:rPr>
        <w:t xml:space="preserve"> driven accountability system. </w:t>
      </w:r>
      <w:r w:rsidRPr="00781112">
        <w:rPr>
          <w:rFonts w:cs="Arial"/>
          <w:color w:val="000000" w:themeColor="text1"/>
          <w:szCs w:val="16"/>
        </w:rPr>
        <w:br/>
      </w:r>
      <w:r w:rsidRPr="00781112">
        <w:rPr>
          <w:rFonts w:cs="Arial"/>
          <w:color w:val="000000" w:themeColor="text1"/>
          <w:szCs w:val="16"/>
        </w:rPr>
        <w:br/>
        <w:t xml:space="preserve">In the 2023 designations for Every Student Succeeds Act’s Additional Targeted Support and Improvement (ATSI) </w:t>
      </w:r>
      <w:proofErr w:type="gramStart"/>
      <w:r w:rsidRPr="00781112">
        <w:rPr>
          <w:rFonts w:cs="Arial"/>
          <w:color w:val="000000" w:themeColor="text1"/>
          <w:szCs w:val="16"/>
        </w:rPr>
        <w:t>many</w:t>
      </w:r>
      <w:proofErr w:type="gramEnd"/>
      <w:r w:rsidRPr="00781112">
        <w:rPr>
          <w:rFonts w:cs="Arial"/>
          <w:color w:val="000000" w:themeColor="text1"/>
          <w:szCs w:val="16"/>
        </w:rPr>
        <w:t xml:space="preserve"> schools were identified for a second cycle for students with disabilities. The SCDE will provide support to implement evidence-based practices for students with disabilities </w:t>
      </w:r>
      <w:proofErr w:type="gramStart"/>
      <w:r w:rsidRPr="00781112">
        <w:rPr>
          <w:rFonts w:cs="Arial"/>
          <w:color w:val="000000" w:themeColor="text1"/>
          <w:szCs w:val="16"/>
        </w:rPr>
        <w:t>to</w:t>
      </w:r>
      <w:proofErr w:type="gramEnd"/>
      <w:r w:rsidRPr="00781112">
        <w:rPr>
          <w:rFonts w:cs="Arial"/>
          <w:color w:val="000000" w:themeColor="text1"/>
          <w:szCs w:val="16"/>
        </w:rPr>
        <w:t xml:space="preserve"> these schools. Our State Systemic Improvement Plan (SSIP) will further define the steps that the SCDE will take with these schools.</w:t>
      </w:r>
      <w:r w:rsidRPr="00781112">
        <w:rPr>
          <w:rFonts w:cs="Arial"/>
          <w:color w:val="000000" w:themeColor="text1"/>
          <w:szCs w:val="16"/>
        </w:rPr>
        <w:br/>
      </w:r>
      <w:r w:rsidRPr="00781112">
        <w:rPr>
          <w:rFonts w:cs="Arial"/>
          <w:color w:val="000000" w:themeColor="text1"/>
          <w:szCs w:val="16"/>
        </w:rPr>
        <w:br/>
        <w:t>In the new cycle of identification, there is a significant increase of the number of schools identified for Targeted Support and Improvement (TSI) for students with disabilities. The SCDE plans to support these needs jointly by regional coaching by the Office of School Transformation and the Office of Special Education Services.</w:t>
      </w:r>
      <w:r w:rsidRPr="00781112">
        <w:rPr>
          <w:rFonts w:cs="Arial"/>
          <w:color w:val="000000" w:themeColor="text1"/>
          <w:szCs w:val="16"/>
        </w:rPr>
        <w:br/>
      </w:r>
      <w:r w:rsidRPr="00781112">
        <w:rPr>
          <w:rFonts w:cs="Arial"/>
          <w:color w:val="000000" w:themeColor="text1"/>
          <w:szCs w:val="16"/>
        </w:rPr>
        <w:br/>
        <w:t xml:space="preserve">This year, the TA offered to our new Special Education Directors </w:t>
      </w:r>
      <w:proofErr w:type="gramStart"/>
      <w:r w:rsidRPr="00781112">
        <w:rPr>
          <w:rFonts w:cs="Arial"/>
          <w:color w:val="000000" w:themeColor="text1"/>
          <w:szCs w:val="16"/>
        </w:rPr>
        <w:t>was changed</w:t>
      </w:r>
      <w:proofErr w:type="gramEnd"/>
      <w:r w:rsidRPr="00781112">
        <w:rPr>
          <w:rFonts w:cs="Arial"/>
          <w:color w:val="000000" w:themeColor="text1"/>
          <w:szCs w:val="16"/>
        </w:rPr>
        <w:t xml:space="preserve"> based on feedback from previous new directors. New Director’s Leadership Academy (NDLA) is based on the Council for Exception Children (CEC) Advanced Administrator Special Education Professional Leadership Standards and consists of a combination of virtual and face-to-face sessions. This year, the SCDE has worked with SC’s CEC Council for Administrators for Special Education (SC CASE) to establish a mentor program for our new directors. Veteran directors </w:t>
      </w:r>
      <w:proofErr w:type="gramStart"/>
      <w:r w:rsidRPr="00781112">
        <w:rPr>
          <w:rFonts w:cs="Arial"/>
          <w:color w:val="000000" w:themeColor="text1"/>
          <w:szCs w:val="16"/>
        </w:rPr>
        <w:t>are matched</w:t>
      </w:r>
      <w:proofErr w:type="gramEnd"/>
      <w:r w:rsidRPr="00781112">
        <w:rPr>
          <w:rFonts w:cs="Arial"/>
          <w:color w:val="000000" w:themeColor="text1"/>
          <w:szCs w:val="16"/>
        </w:rPr>
        <w:t xml:space="preserve"> with a new director to offer support. </w:t>
      </w:r>
      <w:r w:rsidRPr="00781112">
        <w:rPr>
          <w:rFonts w:cs="Arial"/>
          <w:color w:val="000000" w:themeColor="text1"/>
          <w:szCs w:val="16"/>
        </w:rPr>
        <w:br/>
      </w:r>
      <w:r w:rsidRPr="00781112">
        <w:rPr>
          <w:rFonts w:cs="Arial"/>
          <w:color w:val="000000" w:themeColor="text1"/>
          <w:szCs w:val="16"/>
        </w:rPr>
        <w:br/>
        <w:t xml:space="preserve">District data managers </w:t>
      </w:r>
      <w:proofErr w:type="gramStart"/>
      <w:r w:rsidRPr="00781112">
        <w:rPr>
          <w:rFonts w:cs="Arial"/>
          <w:color w:val="000000" w:themeColor="text1"/>
          <w:szCs w:val="16"/>
        </w:rPr>
        <w:t>are offered</w:t>
      </w:r>
      <w:proofErr w:type="gramEnd"/>
      <w:r w:rsidRPr="00781112">
        <w:rPr>
          <w:rFonts w:cs="Arial"/>
          <w:color w:val="000000" w:themeColor="text1"/>
          <w:szCs w:val="16"/>
        </w:rPr>
        <w:t xml:space="preserve"> a combination of face-to-face and virtual professional development sessions. Each month, data managers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support </w:t>
      </w:r>
      <w:proofErr w:type="gramStart"/>
      <w:r w:rsidRPr="00781112">
        <w:rPr>
          <w:rFonts w:cs="Arial"/>
          <w:color w:val="000000" w:themeColor="text1"/>
          <w:szCs w:val="16"/>
        </w:rPr>
        <w:t>around</w:t>
      </w:r>
      <w:proofErr w:type="gramEnd"/>
      <w:r w:rsidRPr="00781112">
        <w:rPr>
          <w:rFonts w:cs="Arial"/>
          <w:color w:val="000000" w:themeColor="text1"/>
          <w:szCs w:val="16"/>
        </w:rPr>
        <w:t xml:space="preserve"> the upcoming reports that are due to the SCDE. </w:t>
      </w:r>
      <w:r w:rsidRPr="00781112">
        <w:rPr>
          <w:rFonts w:cs="Arial"/>
          <w:color w:val="000000" w:themeColor="text1"/>
          <w:szCs w:val="16"/>
        </w:rPr>
        <w:br/>
      </w:r>
      <w:r w:rsidRPr="00781112">
        <w:rPr>
          <w:rFonts w:cs="Arial"/>
          <w:color w:val="000000" w:themeColor="text1"/>
          <w:szCs w:val="16"/>
        </w:rPr>
        <w:br/>
        <w:t xml:space="preserve">District special education directors and chief financial officers </w:t>
      </w:r>
      <w:proofErr w:type="gramStart"/>
      <w:r w:rsidRPr="00781112">
        <w:rPr>
          <w:rFonts w:cs="Arial"/>
          <w:color w:val="000000" w:themeColor="text1"/>
          <w:szCs w:val="16"/>
        </w:rPr>
        <w:t>are offered</w:t>
      </w:r>
      <w:proofErr w:type="gramEnd"/>
      <w:r w:rsidRPr="00781112">
        <w:rPr>
          <w:rFonts w:cs="Arial"/>
          <w:color w:val="000000" w:themeColor="text1"/>
          <w:szCs w:val="16"/>
        </w:rPr>
        <w:t xml:space="preserve"> TA in areas such as maintenance of effort (MOE) calculations, excess cost calculations, allowable cost, and IDEA fiscal responsibilities. Districts </w:t>
      </w:r>
      <w:proofErr w:type="gramStart"/>
      <w:r w:rsidRPr="00781112">
        <w:rPr>
          <w:rFonts w:cs="Arial"/>
          <w:color w:val="000000" w:themeColor="text1"/>
          <w:szCs w:val="16"/>
        </w:rPr>
        <w:t>are offered</w:t>
      </w:r>
      <w:proofErr w:type="gramEnd"/>
      <w:r w:rsidRPr="00781112">
        <w:rPr>
          <w:rFonts w:cs="Arial"/>
          <w:color w:val="000000" w:themeColor="text1"/>
          <w:szCs w:val="16"/>
        </w:rPr>
        <w:t xml:space="preserve"> more intensive TA based on their fiscal data.</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SCDE has mechanisms for providing high quality, evidence-based </w:t>
      </w:r>
      <w:proofErr w:type="gramStart"/>
      <w:r w:rsidRPr="00781112">
        <w:rPr>
          <w:rFonts w:cs="Arial"/>
          <w:color w:val="000000" w:themeColor="text1"/>
          <w:szCs w:val="16"/>
        </w:rPr>
        <w:t>TA</w:t>
      </w:r>
      <w:proofErr w:type="gramEnd"/>
      <w:r w:rsidRPr="00781112">
        <w:rPr>
          <w:rFonts w:cs="Arial"/>
          <w:color w:val="000000" w:themeColor="text1"/>
          <w:szCs w:val="16"/>
        </w:rPr>
        <w:t xml:space="preserve"> and support to LEAs. Technical assistance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through a tiered system of support. All LEAs </w:t>
      </w:r>
      <w:proofErr w:type="gramStart"/>
      <w:r w:rsidRPr="00781112">
        <w:rPr>
          <w:rFonts w:cs="Arial"/>
          <w:color w:val="000000" w:themeColor="text1"/>
          <w:szCs w:val="16"/>
        </w:rPr>
        <w:t>are able to</w:t>
      </w:r>
      <w:proofErr w:type="gramEnd"/>
      <w:r w:rsidRPr="00781112">
        <w:rPr>
          <w:rFonts w:cs="Arial"/>
          <w:color w:val="000000" w:themeColor="text1"/>
          <w:szCs w:val="16"/>
        </w:rPr>
        <w:t xml:space="preserve"> request TA from the SCDE at any time to support their needs. Topics that have </w:t>
      </w:r>
      <w:proofErr w:type="gramStart"/>
      <w:r w:rsidRPr="00781112">
        <w:rPr>
          <w:rFonts w:cs="Arial"/>
          <w:color w:val="000000" w:themeColor="text1"/>
          <w:szCs w:val="16"/>
        </w:rPr>
        <w:t>been requested</w:t>
      </w:r>
      <w:proofErr w:type="gramEnd"/>
      <w:r w:rsidRPr="00781112">
        <w:rPr>
          <w:rFonts w:cs="Arial"/>
          <w:color w:val="000000" w:themeColor="text1"/>
          <w:szCs w:val="16"/>
        </w:rPr>
        <w:t xml:space="preserve"> include but are not limited to compliance, fiscal support, instructional support, and interpreting data. There are a variety of evidence-based resources on the website as well as courses offered through the learning module system.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lastRenderedPageBreak/>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South Carolina Advisory Council for Educating Students with Disabilities (ACESD), parent center staff from several parent training agencies, South Carolina’s parent training institution Family Connection, and various parent engagement groups across the state are provided an </w:t>
      </w:r>
      <w:proofErr w:type="gramStart"/>
      <w:r w:rsidRPr="00781112">
        <w:rPr>
          <w:color w:val="000000" w:themeColor="text1"/>
          <w:szCs w:val="16"/>
        </w:rPr>
        <w:t>opportunity to learn</w:t>
      </w:r>
      <w:proofErr w:type="gramEnd"/>
      <w:r w:rsidRPr="00781112">
        <w:rPr>
          <w:color w:val="000000" w:themeColor="text1"/>
          <w:szCs w:val="16"/>
        </w:rPr>
        <w:t xml:space="preserve"> about and provide input on the state’s SPP/APR. Initial information was provided to individuals via video. The videos shared allowed participants to gain an understanding of what the state’s SPP/APR is and South Carolina’s six-year plan related to the SPP/APR.</w:t>
      </w:r>
      <w:r w:rsidRPr="00781112">
        <w:rPr>
          <w:color w:val="000000" w:themeColor="text1"/>
          <w:szCs w:val="16"/>
        </w:rPr>
        <w:br/>
      </w:r>
      <w:r w:rsidRPr="00781112">
        <w:rPr>
          <w:color w:val="000000" w:themeColor="text1"/>
          <w:szCs w:val="16"/>
        </w:rPr>
        <w:br/>
        <w:t xml:space="preserve">The videos described to stakeholders that the SPP is a six-year plan of the state’s efforts to implement the requirements of IDEA and improve implementation statewide. While the APR is an annual report on the state’s performance on the </w:t>
      </w:r>
      <w:proofErr w:type="gramStart"/>
      <w:r w:rsidRPr="00781112">
        <w:rPr>
          <w:color w:val="000000" w:themeColor="text1"/>
          <w:szCs w:val="16"/>
        </w:rPr>
        <w:t>17</w:t>
      </w:r>
      <w:proofErr w:type="gramEnd"/>
      <w:r w:rsidRPr="00781112">
        <w:rPr>
          <w:color w:val="000000" w:themeColor="text1"/>
          <w:szCs w:val="16"/>
        </w:rPr>
        <w:t xml:space="preserve"> indicators. The presenters from the Office of Special Education Services (OSES) explained the two categories under which the indicators fall and explained the purpose for each indicator. With that, the presenter shared with the stakeholders the method by which data </w:t>
      </w:r>
      <w:proofErr w:type="gramStart"/>
      <w:r w:rsidRPr="00781112">
        <w:rPr>
          <w:color w:val="000000" w:themeColor="text1"/>
          <w:szCs w:val="16"/>
        </w:rPr>
        <w:t>is gathered</w:t>
      </w:r>
      <w:proofErr w:type="gramEnd"/>
      <w:r w:rsidRPr="00781112">
        <w:rPr>
          <w:color w:val="000000" w:themeColor="text1"/>
          <w:szCs w:val="16"/>
        </w:rPr>
        <w:t xml:space="preserve"> for each of the indicators. Next, the parent groups </w:t>
      </w:r>
      <w:proofErr w:type="gramStart"/>
      <w:r w:rsidRPr="00781112">
        <w:rPr>
          <w:color w:val="000000" w:themeColor="text1"/>
          <w:szCs w:val="16"/>
        </w:rPr>
        <w:t>were given</w:t>
      </w:r>
      <w:proofErr w:type="gramEnd"/>
      <w:r w:rsidRPr="00781112">
        <w:rPr>
          <w:color w:val="000000" w:themeColor="text1"/>
          <w:szCs w:val="16"/>
        </w:rPr>
        <w:t xml:space="preserve"> information regarding the annual targets of each of indicators. As the annual targets were explained, the presenter shared with the stakeholders proposed improvement strategies to address compliance and responses.</w:t>
      </w:r>
      <w:r w:rsidRPr="00781112">
        <w:rPr>
          <w:color w:val="000000" w:themeColor="text1"/>
          <w:szCs w:val="16"/>
        </w:rPr>
        <w:br/>
      </w:r>
      <w:r w:rsidRPr="00781112">
        <w:rPr>
          <w:color w:val="000000" w:themeColor="text1"/>
          <w:szCs w:val="16"/>
        </w:rPr>
        <w:br/>
        <w:t xml:space="preserve"> Then the parent groups worked in groups  discussing targets, analyzing data, developing improvement strategies, and evaluating progress in the following ways: live virtual sessions, surveys, small group discussions, focus groups, instant polls, each followed by and a "Q and A" forum facilitated by the OSES.</w:t>
      </w:r>
      <w:r w:rsidRPr="00781112">
        <w:rPr>
          <w:color w:val="000000" w:themeColor="text1"/>
          <w:szCs w:val="16"/>
        </w:rPr>
        <w:br/>
      </w:r>
      <w:r w:rsidRPr="00781112">
        <w:rPr>
          <w:color w:val="000000" w:themeColor="text1"/>
          <w:szCs w:val="16"/>
        </w:rPr>
        <w:br/>
        <w:t>The Family and Community Partnership Team from the OSES worked to increase the capacity of diverse groups of parents to support the development of implementation activities designed to improve outcomes for children with disabilities.</w:t>
      </w:r>
      <w:r w:rsidRPr="00781112">
        <w:rPr>
          <w:color w:val="000000" w:themeColor="text1"/>
          <w:szCs w:val="16"/>
        </w:rPr>
        <w:br/>
      </w:r>
      <w:r w:rsidRPr="00781112">
        <w:rPr>
          <w:color w:val="000000" w:themeColor="text1"/>
          <w:szCs w:val="16"/>
        </w:rPr>
        <w:br/>
        <w:t xml:space="preserve">The OSES launched an initiative to prepare South Carolina parents to meaningfully contribute to this process. The OSES partnered with and trained the staff at Family Connection, our Parent Training and Information (PTI) Center, to provide parents a basic understanding of the SPP/APR </w:t>
      </w:r>
      <w:proofErr w:type="gramStart"/>
      <w:r w:rsidRPr="00781112">
        <w:rPr>
          <w:color w:val="000000" w:themeColor="text1"/>
          <w:szCs w:val="16"/>
        </w:rPr>
        <w:t>in order to</w:t>
      </w:r>
      <w:proofErr w:type="gramEnd"/>
      <w:r w:rsidRPr="00781112">
        <w:rPr>
          <w:color w:val="000000" w:themeColor="text1"/>
          <w:szCs w:val="16"/>
        </w:rPr>
        <w:t xml:space="preserve"> educate and empower parents to take part in the development of the improvement strategies related to the indicators. The ACESD, parent center staff from </w:t>
      </w:r>
      <w:proofErr w:type="gramStart"/>
      <w:r w:rsidRPr="00781112">
        <w:rPr>
          <w:color w:val="000000" w:themeColor="text1"/>
          <w:szCs w:val="16"/>
        </w:rPr>
        <w:t>several</w:t>
      </w:r>
      <w:proofErr w:type="gramEnd"/>
      <w:r w:rsidRPr="00781112">
        <w:rPr>
          <w:color w:val="000000" w:themeColor="text1"/>
          <w:szCs w:val="16"/>
        </w:rPr>
        <w:t xml:space="preserve"> parent training agencies, South Carolina’s parent training institution Family Connection, and various parent engagement groups across the state held regional and targeted informational sessions to provide parents with an overview of the requirements, anticipated data targets, and guided analysis for the indicators. To encourage meaningful participation, we introduced the indicators with the following description:</w:t>
      </w:r>
      <w:r w:rsidRPr="00781112">
        <w:rPr>
          <w:color w:val="000000" w:themeColor="text1"/>
          <w:szCs w:val="16"/>
        </w:rPr>
        <w:br/>
      </w:r>
      <w:proofErr w:type="gramStart"/>
      <w:r w:rsidRPr="00781112">
        <w:rPr>
          <w:color w:val="000000" w:themeColor="text1"/>
          <w:szCs w:val="16"/>
        </w:rPr>
        <w:t>1</w:t>
      </w:r>
      <w:proofErr w:type="gramEnd"/>
      <w:r w:rsidRPr="00781112">
        <w:rPr>
          <w:color w:val="000000" w:themeColor="text1"/>
          <w:szCs w:val="16"/>
        </w:rPr>
        <w:t>. Post-Secondary Considerations (Indicators 1, 2, 13, and 14)</w:t>
      </w:r>
      <w:r w:rsidRPr="00781112">
        <w:rPr>
          <w:color w:val="000000" w:themeColor="text1"/>
          <w:szCs w:val="16"/>
        </w:rPr>
        <w:br/>
      </w:r>
      <w:proofErr w:type="gramStart"/>
      <w:r w:rsidRPr="00781112">
        <w:rPr>
          <w:color w:val="000000" w:themeColor="text1"/>
          <w:szCs w:val="16"/>
        </w:rPr>
        <w:t>2</w:t>
      </w:r>
      <w:proofErr w:type="gramEnd"/>
      <w:r w:rsidRPr="00781112">
        <w:rPr>
          <w:color w:val="000000" w:themeColor="text1"/>
          <w:szCs w:val="16"/>
        </w:rPr>
        <w:t>. Student performance (Indicators 3 and 7)</w:t>
      </w:r>
      <w:r w:rsidRPr="00781112">
        <w:rPr>
          <w:color w:val="000000" w:themeColor="text1"/>
          <w:szCs w:val="16"/>
        </w:rPr>
        <w:br/>
      </w:r>
      <w:proofErr w:type="gramStart"/>
      <w:r w:rsidRPr="00781112">
        <w:rPr>
          <w:color w:val="000000" w:themeColor="text1"/>
          <w:szCs w:val="16"/>
        </w:rPr>
        <w:t>3</w:t>
      </w:r>
      <w:proofErr w:type="gramEnd"/>
      <w:r w:rsidRPr="00781112">
        <w:rPr>
          <w:color w:val="000000" w:themeColor="text1"/>
          <w:szCs w:val="16"/>
        </w:rPr>
        <w:t xml:space="preserve">. Dispute resolution outcomes (Indicators 15, 16) </w:t>
      </w:r>
      <w:r w:rsidRPr="00781112">
        <w:rPr>
          <w:color w:val="000000" w:themeColor="text1"/>
          <w:szCs w:val="16"/>
        </w:rPr>
        <w:br/>
      </w:r>
      <w:proofErr w:type="gramStart"/>
      <w:r w:rsidRPr="00781112">
        <w:rPr>
          <w:color w:val="000000" w:themeColor="text1"/>
          <w:szCs w:val="16"/>
        </w:rPr>
        <w:t>4</w:t>
      </w:r>
      <w:proofErr w:type="gramEnd"/>
      <w:r w:rsidRPr="00781112">
        <w:rPr>
          <w:color w:val="000000" w:themeColor="text1"/>
          <w:szCs w:val="16"/>
        </w:rPr>
        <w:t xml:space="preserve">. Performance of students with disabilities alongside their nondisabled peers (Indicators 5, 6, and 17) </w:t>
      </w:r>
      <w:r w:rsidRPr="00781112">
        <w:rPr>
          <w:color w:val="000000" w:themeColor="text1"/>
          <w:szCs w:val="16"/>
        </w:rPr>
        <w:br/>
      </w:r>
      <w:proofErr w:type="gramStart"/>
      <w:r w:rsidRPr="00781112">
        <w:rPr>
          <w:color w:val="000000" w:themeColor="text1"/>
          <w:szCs w:val="16"/>
        </w:rPr>
        <w:t>5</w:t>
      </w:r>
      <w:proofErr w:type="gramEnd"/>
      <w:r w:rsidRPr="00781112">
        <w:rPr>
          <w:color w:val="000000" w:themeColor="text1"/>
          <w:szCs w:val="16"/>
        </w:rPr>
        <w:t>. Meaningful participation in the educational program process (Indicator 8)</w:t>
      </w:r>
      <w:r w:rsidRPr="00781112">
        <w:rPr>
          <w:color w:val="000000" w:themeColor="text1"/>
          <w:szCs w:val="16"/>
        </w:rPr>
        <w:br/>
      </w:r>
      <w:proofErr w:type="gramStart"/>
      <w:r w:rsidRPr="00781112">
        <w:rPr>
          <w:color w:val="000000" w:themeColor="text1"/>
          <w:szCs w:val="16"/>
        </w:rPr>
        <w:t>6</w:t>
      </w:r>
      <w:proofErr w:type="gramEnd"/>
      <w:r w:rsidRPr="00781112">
        <w:rPr>
          <w:color w:val="000000" w:themeColor="text1"/>
          <w:szCs w:val="16"/>
        </w:rPr>
        <w:t>. Discipline (Indicator 4)</w:t>
      </w:r>
      <w:r w:rsidRPr="00781112">
        <w:rPr>
          <w:color w:val="000000" w:themeColor="text1"/>
          <w:szCs w:val="16"/>
        </w:rPr>
        <w:br/>
      </w:r>
      <w:proofErr w:type="gramStart"/>
      <w:r w:rsidRPr="00781112">
        <w:rPr>
          <w:color w:val="000000" w:themeColor="text1"/>
          <w:szCs w:val="16"/>
        </w:rPr>
        <w:t>7</w:t>
      </w:r>
      <w:proofErr w:type="gramEnd"/>
      <w:r w:rsidRPr="00781112">
        <w:rPr>
          <w:color w:val="000000" w:themeColor="text1"/>
          <w:szCs w:val="16"/>
        </w:rPr>
        <w:t>. Disproportionality (Indicators 9, 10)</w:t>
      </w:r>
      <w:r w:rsidRPr="00781112">
        <w:rPr>
          <w:color w:val="000000" w:themeColor="text1"/>
          <w:szCs w:val="16"/>
        </w:rPr>
        <w:br/>
      </w:r>
      <w:proofErr w:type="gramStart"/>
      <w:r w:rsidRPr="00781112">
        <w:rPr>
          <w:color w:val="000000" w:themeColor="text1"/>
          <w:szCs w:val="16"/>
        </w:rPr>
        <w:t>8</w:t>
      </w:r>
      <w:proofErr w:type="gramEnd"/>
      <w:r w:rsidRPr="00781112">
        <w:rPr>
          <w:color w:val="000000" w:themeColor="text1"/>
          <w:szCs w:val="16"/>
        </w:rPr>
        <w:t>. Child find/preschool (Indicators 6, 7, 11, 12)</w:t>
      </w:r>
      <w:r w:rsidRPr="00781112">
        <w:rPr>
          <w:color w:val="000000" w:themeColor="text1"/>
          <w:szCs w:val="16"/>
        </w:rPr>
        <w:br/>
      </w:r>
      <w:r w:rsidRPr="00781112">
        <w:rPr>
          <w:color w:val="000000" w:themeColor="text1"/>
          <w:szCs w:val="16"/>
        </w:rPr>
        <w:br/>
        <w:t xml:space="preserve">During each session, staff from OSES, Family Connection, other family training agencies were on hand to clarify issues and explain options that provided an in depth examination  for parents to relate to the indicators and demonstrate understanding and meaningful participation in the process. Through this process, parents </w:t>
      </w:r>
      <w:proofErr w:type="gramStart"/>
      <w:r w:rsidRPr="00781112">
        <w:rPr>
          <w:color w:val="000000" w:themeColor="text1"/>
          <w:szCs w:val="16"/>
        </w:rPr>
        <w:t>were provided</w:t>
      </w:r>
      <w:proofErr w:type="gramEnd"/>
      <w:r w:rsidRPr="00781112">
        <w:rPr>
          <w:color w:val="000000" w:themeColor="text1"/>
          <w:szCs w:val="16"/>
        </w:rPr>
        <w:t xml:space="preserve"> the opportunity to advise the OSES on target setting for the results-based indicators. Historical Indicator data was presented to the parents  to better inform their decision making </w:t>
      </w:r>
      <w:proofErr w:type="gramStart"/>
      <w:r w:rsidRPr="00781112">
        <w:rPr>
          <w:color w:val="000000" w:themeColor="text1"/>
          <w:szCs w:val="16"/>
        </w:rPr>
        <w:t>with regard to</w:t>
      </w:r>
      <w:proofErr w:type="gramEnd"/>
      <w:r w:rsidRPr="00781112">
        <w:rPr>
          <w:color w:val="000000" w:themeColor="text1"/>
          <w:szCs w:val="16"/>
        </w:rPr>
        <w:t xml:space="preserve"> setting targets. </w:t>
      </w:r>
      <w:r w:rsidRPr="00781112">
        <w:rPr>
          <w:color w:val="000000" w:themeColor="text1"/>
          <w:szCs w:val="16"/>
        </w:rPr>
        <w:br/>
      </w:r>
      <w:r w:rsidRPr="00781112">
        <w:rPr>
          <w:color w:val="000000" w:themeColor="text1"/>
          <w:szCs w:val="16"/>
        </w:rPr>
        <w:br/>
        <w:t xml:space="preserve">Each of the input sessions included opportunities for parents to provide suggestions and recommendations on improvement strategies, data analysis, and evaluation of targets. Each of the recorded sessions </w:t>
      </w:r>
      <w:proofErr w:type="gramStart"/>
      <w:r w:rsidRPr="00781112">
        <w:rPr>
          <w:color w:val="000000" w:themeColor="text1"/>
          <w:szCs w:val="16"/>
        </w:rPr>
        <w:t>was interpreted</w:t>
      </w:r>
      <w:proofErr w:type="gramEnd"/>
      <w:r w:rsidRPr="00781112">
        <w:rPr>
          <w:color w:val="000000" w:themeColor="text1"/>
          <w:szCs w:val="16"/>
        </w:rPr>
        <w:t xml:space="preserve"> by an American Sign Language interpreter. In addition, our Spanish speaking families </w:t>
      </w:r>
      <w:proofErr w:type="gramStart"/>
      <w:r w:rsidRPr="00781112">
        <w:rPr>
          <w:color w:val="000000" w:themeColor="text1"/>
          <w:szCs w:val="16"/>
        </w:rPr>
        <w:t>were provided</w:t>
      </w:r>
      <w:proofErr w:type="gramEnd"/>
      <w:r w:rsidRPr="00781112">
        <w:rPr>
          <w:color w:val="000000" w:themeColor="text1"/>
          <w:szCs w:val="16"/>
        </w:rPr>
        <w:t xml:space="preserve"> access to recorded sessions and the ability to provide feedback via our online survey as with the other sessions. The OSES found that holding the virtual sessions during morning and afternoon hours increased parent participation.</w:t>
      </w:r>
      <w:r w:rsidRPr="00781112">
        <w:rPr>
          <w:color w:val="000000" w:themeColor="text1"/>
          <w:szCs w:val="16"/>
        </w:rPr>
        <w:br/>
      </w:r>
      <w:r w:rsidRPr="00781112">
        <w:rPr>
          <w:color w:val="000000" w:themeColor="text1"/>
          <w:szCs w:val="16"/>
        </w:rPr>
        <w:br/>
        <w:t>In the summer of 2023, it is the goal to work with our PTICenter, Family Connections of SC, to create focus groups to increase parent participation in the target setting process.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OSES analyzed the feedback  to ensure it is representative of our state. The OSES looked at the representativeness through the lens of race/ethnicity, disability, grade span, and location of respondents. The OSES seeks feedback on survey development and distribution from our special populations team which includes representation from multilingual learners, foster families, military families, immigrants, correction facilities, alternative schools, McKinney-Vento, and other special populations. The OSES contracts with a translator who is fluent in IDEA in Spanish and Portuguese.</w:t>
      </w:r>
      <w:r w:rsidRPr="00781112">
        <w:rPr>
          <w:color w:val="000000" w:themeColor="text1"/>
          <w:szCs w:val="16"/>
        </w:rPr>
        <w:br/>
        <w:t>The Family and Community Partnership Team  within the OSES led the charge to increase the capacity of diverse groups of parents to support the development of implementation activities designed to improve outcomes for children with disabilities.</w:t>
      </w:r>
      <w:r w:rsidRPr="00781112">
        <w:rPr>
          <w:color w:val="000000" w:themeColor="text1"/>
          <w:szCs w:val="16"/>
        </w:rPr>
        <w:br/>
        <w:t xml:space="preserve">The OSES launched an initiative to prepare South Carolina parents to meaningfully contribute to this process. The OSES partnered with and trained the staff at Family Connection, our Parent Training and Information (PTI) Center, to provide parents a basic understanding of the SPP/APR </w:t>
      </w:r>
      <w:proofErr w:type="gramStart"/>
      <w:r w:rsidRPr="00781112">
        <w:rPr>
          <w:color w:val="000000" w:themeColor="text1"/>
          <w:szCs w:val="16"/>
        </w:rPr>
        <w:t>in order to</w:t>
      </w:r>
      <w:proofErr w:type="gramEnd"/>
      <w:r w:rsidRPr="00781112">
        <w:rPr>
          <w:color w:val="000000" w:themeColor="text1"/>
          <w:szCs w:val="16"/>
        </w:rPr>
        <w:t xml:space="preserve"> educate and empower parents to take part in the development of the improvement strategies related to the indicators. The ACESD, parent center staff from </w:t>
      </w:r>
      <w:proofErr w:type="gramStart"/>
      <w:r w:rsidRPr="00781112">
        <w:rPr>
          <w:color w:val="000000" w:themeColor="text1"/>
          <w:szCs w:val="16"/>
        </w:rPr>
        <w:t>several</w:t>
      </w:r>
      <w:proofErr w:type="gramEnd"/>
      <w:r w:rsidRPr="00781112">
        <w:rPr>
          <w:color w:val="000000" w:themeColor="text1"/>
          <w:szCs w:val="16"/>
        </w:rPr>
        <w:t xml:space="preserve"> parent training agencies, South Carolina’s parent training institution Family Connection, and various parent engagement groups across the state held regional and targeted informational sessions to provide parents with an overview of the requirements, anticipated data targets, and guided analysis for the indicators. To encourage meaningful participation, the OSES introduced the indicators with the following description:</w:t>
      </w:r>
      <w:r w:rsidRPr="00781112">
        <w:rPr>
          <w:color w:val="000000" w:themeColor="text1"/>
          <w:szCs w:val="16"/>
        </w:rPr>
        <w:br/>
      </w:r>
      <w:proofErr w:type="gramStart"/>
      <w:r w:rsidRPr="00781112">
        <w:rPr>
          <w:color w:val="000000" w:themeColor="text1"/>
          <w:szCs w:val="16"/>
        </w:rPr>
        <w:t>1</w:t>
      </w:r>
      <w:proofErr w:type="gramEnd"/>
      <w:r w:rsidRPr="00781112">
        <w:rPr>
          <w:color w:val="000000" w:themeColor="text1"/>
          <w:szCs w:val="16"/>
        </w:rPr>
        <w:t>. Post-Secondary Considerations (indicators 1, 2, 13, and 14)</w:t>
      </w:r>
      <w:r w:rsidRPr="00781112">
        <w:rPr>
          <w:color w:val="000000" w:themeColor="text1"/>
          <w:szCs w:val="16"/>
        </w:rPr>
        <w:br/>
      </w:r>
      <w:proofErr w:type="gramStart"/>
      <w:r w:rsidRPr="00781112">
        <w:rPr>
          <w:color w:val="000000" w:themeColor="text1"/>
          <w:szCs w:val="16"/>
        </w:rPr>
        <w:t>2</w:t>
      </w:r>
      <w:proofErr w:type="gramEnd"/>
      <w:r w:rsidRPr="00781112">
        <w:rPr>
          <w:color w:val="000000" w:themeColor="text1"/>
          <w:szCs w:val="16"/>
        </w:rPr>
        <w:t>. Student performance (indicators 3 and 7)</w:t>
      </w:r>
      <w:r w:rsidRPr="00781112">
        <w:rPr>
          <w:color w:val="000000" w:themeColor="text1"/>
          <w:szCs w:val="16"/>
        </w:rPr>
        <w:br/>
      </w:r>
      <w:proofErr w:type="gramStart"/>
      <w:r w:rsidRPr="00781112">
        <w:rPr>
          <w:color w:val="000000" w:themeColor="text1"/>
          <w:szCs w:val="16"/>
        </w:rPr>
        <w:t>3</w:t>
      </w:r>
      <w:proofErr w:type="gramEnd"/>
      <w:r w:rsidRPr="00781112">
        <w:rPr>
          <w:color w:val="000000" w:themeColor="text1"/>
          <w:szCs w:val="16"/>
        </w:rPr>
        <w:t xml:space="preserve">. Dispute resolution outcomes (indicators 15, 16) </w:t>
      </w:r>
      <w:r w:rsidRPr="00781112">
        <w:rPr>
          <w:color w:val="000000" w:themeColor="text1"/>
          <w:szCs w:val="16"/>
        </w:rPr>
        <w:br/>
      </w:r>
      <w:proofErr w:type="gramStart"/>
      <w:r w:rsidRPr="00781112">
        <w:rPr>
          <w:color w:val="000000" w:themeColor="text1"/>
          <w:szCs w:val="16"/>
        </w:rPr>
        <w:t>4</w:t>
      </w:r>
      <w:proofErr w:type="gramEnd"/>
      <w:r w:rsidRPr="00781112">
        <w:rPr>
          <w:color w:val="000000" w:themeColor="text1"/>
          <w:szCs w:val="16"/>
        </w:rPr>
        <w:t xml:space="preserve">. Performance of students with disabilities alongside their nondisabled peers (indicators 5, 6, and 17) </w:t>
      </w:r>
      <w:r w:rsidRPr="00781112">
        <w:rPr>
          <w:color w:val="000000" w:themeColor="text1"/>
          <w:szCs w:val="16"/>
        </w:rPr>
        <w:br/>
      </w:r>
      <w:proofErr w:type="gramStart"/>
      <w:r w:rsidRPr="00781112">
        <w:rPr>
          <w:color w:val="000000" w:themeColor="text1"/>
          <w:szCs w:val="16"/>
        </w:rPr>
        <w:t>5</w:t>
      </w:r>
      <w:proofErr w:type="gramEnd"/>
      <w:r w:rsidRPr="00781112">
        <w:rPr>
          <w:color w:val="000000" w:themeColor="text1"/>
          <w:szCs w:val="16"/>
        </w:rPr>
        <w:t>. Meaningful participation in the educational program process (indicators 8 and 12)</w:t>
      </w:r>
      <w:r w:rsidRPr="00781112">
        <w:rPr>
          <w:color w:val="000000" w:themeColor="text1"/>
          <w:szCs w:val="16"/>
        </w:rPr>
        <w:br/>
      </w:r>
      <w:proofErr w:type="gramStart"/>
      <w:r w:rsidRPr="00781112">
        <w:rPr>
          <w:color w:val="000000" w:themeColor="text1"/>
          <w:szCs w:val="16"/>
        </w:rPr>
        <w:t>6</w:t>
      </w:r>
      <w:proofErr w:type="gramEnd"/>
      <w:r w:rsidRPr="00781112">
        <w:rPr>
          <w:color w:val="000000" w:themeColor="text1"/>
          <w:szCs w:val="16"/>
        </w:rPr>
        <w:t>. Discipline (indicator 4)</w:t>
      </w:r>
      <w:r w:rsidRPr="00781112">
        <w:rPr>
          <w:color w:val="000000" w:themeColor="text1"/>
          <w:szCs w:val="16"/>
        </w:rPr>
        <w:br/>
      </w:r>
      <w:proofErr w:type="gramStart"/>
      <w:r w:rsidRPr="00781112">
        <w:rPr>
          <w:color w:val="000000" w:themeColor="text1"/>
          <w:szCs w:val="16"/>
        </w:rPr>
        <w:t>7</w:t>
      </w:r>
      <w:proofErr w:type="gramEnd"/>
      <w:r w:rsidRPr="00781112">
        <w:rPr>
          <w:color w:val="000000" w:themeColor="text1"/>
          <w:szCs w:val="16"/>
        </w:rPr>
        <w:t>. Disproportionality (indicators 9, 10)</w:t>
      </w:r>
      <w:r w:rsidRPr="00781112">
        <w:rPr>
          <w:color w:val="000000" w:themeColor="text1"/>
          <w:szCs w:val="16"/>
        </w:rPr>
        <w:br/>
      </w:r>
      <w:proofErr w:type="gramStart"/>
      <w:r w:rsidRPr="00781112">
        <w:rPr>
          <w:color w:val="000000" w:themeColor="text1"/>
          <w:szCs w:val="16"/>
        </w:rPr>
        <w:t>8</w:t>
      </w:r>
      <w:proofErr w:type="gramEnd"/>
      <w:r w:rsidRPr="00781112">
        <w:rPr>
          <w:color w:val="000000" w:themeColor="text1"/>
          <w:szCs w:val="16"/>
        </w:rPr>
        <w:t>. Child find/preschool (indicators 6, 7, 11)</w:t>
      </w:r>
      <w:r w:rsidRPr="00781112">
        <w:rPr>
          <w:color w:val="000000" w:themeColor="text1"/>
          <w:szCs w:val="16"/>
        </w:rPr>
        <w:br/>
      </w:r>
      <w:r w:rsidRPr="00781112">
        <w:rPr>
          <w:color w:val="000000" w:themeColor="text1"/>
          <w:szCs w:val="16"/>
        </w:rPr>
        <w:br/>
        <w:t xml:space="preserve">During each session, staff from OSES, Family Connection, other family training agencies were on hand to clarify issues and explain options that provided a deep dive for parents to relate to the indicators and demonstrate understanding and meaningful participation in the process. Through this process, parents </w:t>
      </w:r>
      <w:proofErr w:type="gramStart"/>
      <w:r w:rsidRPr="00781112">
        <w:rPr>
          <w:color w:val="000000" w:themeColor="text1"/>
          <w:szCs w:val="16"/>
        </w:rPr>
        <w:t>were provided</w:t>
      </w:r>
      <w:proofErr w:type="gramEnd"/>
      <w:r w:rsidRPr="00781112">
        <w:rPr>
          <w:color w:val="000000" w:themeColor="text1"/>
          <w:szCs w:val="16"/>
        </w:rPr>
        <w:t xml:space="preserve"> the opportunity advise the OSES on target setting for the results-based indicators. The OSES presented the parents </w:t>
      </w:r>
      <w:r w:rsidRPr="00781112">
        <w:rPr>
          <w:color w:val="000000" w:themeColor="text1"/>
          <w:szCs w:val="16"/>
        </w:rPr>
        <w:lastRenderedPageBreak/>
        <w:t xml:space="preserve">with historical data of the indicators to better inform their decision making </w:t>
      </w:r>
      <w:proofErr w:type="gramStart"/>
      <w:r w:rsidRPr="00781112">
        <w:rPr>
          <w:color w:val="000000" w:themeColor="text1"/>
          <w:szCs w:val="16"/>
        </w:rPr>
        <w:t>with regard to</w:t>
      </w:r>
      <w:proofErr w:type="gramEnd"/>
      <w:r w:rsidRPr="00781112">
        <w:rPr>
          <w:color w:val="000000" w:themeColor="text1"/>
          <w:szCs w:val="16"/>
        </w:rPr>
        <w:t xml:space="preserve"> setting targets. </w:t>
      </w:r>
      <w:r w:rsidRPr="00781112">
        <w:rPr>
          <w:color w:val="000000" w:themeColor="text1"/>
          <w:szCs w:val="16"/>
        </w:rPr>
        <w:br/>
      </w:r>
      <w:r w:rsidRPr="00781112">
        <w:rPr>
          <w:color w:val="000000" w:themeColor="text1"/>
          <w:szCs w:val="16"/>
        </w:rPr>
        <w:br/>
        <w:t xml:space="preserve">Each of the parent input sessions included opportunities for parents to provide suggestions and recommendations on improvement strategies, data analysis, and evaluation of targets. Each of the recorded sessions </w:t>
      </w:r>
      <w:proofErr w:type="gramStart"/>
      <w:r w:rsidRPr="00781112">
        <w:rPr>
          <w:color w:val="000000" w:themeColor="text1"/>
          <w:szCs w:val="16"/>
        </w:rPr>
        <w:t>was interpreted</w:t>
      </w:r>
      <w:proofErr w:type="gramEnd"/>
      <w:r w:rsidRPr="00781112">
        <w:rPr>
          <w:color w:val="000000" w:themeColor="text1"/>
          <w:szCs w:val="16"/>
        </w:rPr>
        <w:t xml:space="preserve"> by an American Sign Language interpreter. In addition, our Spanish speaking families </w:t>
      </w:r>
      <w:proofErr w:type="gramStart"/>
      <w:r w:rsidRPr="00781112">
        <w:rPr>
          <w:color w:val="000000" w:themeColor="text1"/>
          <w:szCs w:val="16"/>
        </w:rPr>
        <w:t>were provided</w:t>
      </w:r>
      <w:proofErr w:type="gramEnd"/>
      <w:r w:rsidRPr="00781112">
        <w:rPr>
          <w:color w:val="000000" w:themeColor="text1"/>
          <w:szCs w:val="16"/>
        </w:rPr>
        <w:t xml:space="preserve"> access to recorded sessions and the ability to provide feedback via our online survey, just as the other sessions. The OSES found that holding the virtual sessions during morning and afternoon hours enhanced parent participation.</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SPP/APR was discussed in the summer with new special education directors</w:t>
      </w:r>
      <w:proofErr w:type="gramStart"/>
      <w:r w:rsidRPr="00781112">
        <w:rPr>
          <w:color w:val="000000" w:themeColor="text1"/>
          <w:szCs w:val="16"/>
        </w:rPr>
        <w:t xml:space="preserve">.  </w:t>
      </w:r>
      <w:proofErr w:type="gramEnd"/>
      <w:r w:rsidRPr="00781112">
        <w:rPr>
          <w:color w:val="000000" w:themeColor="text1"/>
          <w:szCs w:val="16"/>
        </w:rPr>
        <w:t xml:space="preserve">In the Fall of 2022 at the Special Education Leadership Meeting, over </w:t>
      </w:r>
      <w:proofErr w:type="gramStart"/>
      <w:r w:rsidRPr="00781112">
        <w:rPr>
          <w:color w:val="000000" w:themeColor="text1"/>
          <w:szCs w:val="16"/>
        </w:rPr>
        <w:t>200</w:t>
      </w:r>
      <w:proofErr w:type="gramEnd"/>
      <w:r w:rsidRPr="00781112">
        <w:rPr>
          <w:color w:val="000000" w:themeColor="text1"/>
          <w:szCs w:val="16"/>
        </w:rPr>
        <w:t xml:space="preserve"> stakeholders received information and updates about the SPP/APR progress.  The leadership meeting offered an opportunity to solicit input from stakeholders about the indicators</w:t>
      </w:r>
      <w:proofErr w:type="gramStart"/>
      <w:r w:rsidRPr="00781112">
        <w:rPr>
          <w:color w:val="000000" w:themeColor="text1"/>
          <w:szCs w:val="16"/>
        </w:rPr>
        <w:t xml:space="preserve">.  </w:t>
      </w:r>
      <w:proofErr w:type="gramEnd"/>
      <w:r w:rsidRPr="00781112">
        <w:rPr>
          <w:color w:val="000000" w:themeColor="text1"/>
          <w:szCs w:val="16"/>
        </w:rPr>
        <w:t>The stakeholders in attendance represented administrators from every LEA in the state</w:t>
      </w:r>
      <w:proofErr w:type="gramStart"/>
      <w:r w:rsidRPr="00781112">
        <w:rPr>
          <w:color w:val="000000" w:themeColor="text1"/>
          <w:szCs w:val="16"/>
        </w:rPr>
        <w:t xml:space="preserve">.  </w:t>
      </w:r>
      <w:proofErr w:type="gramEnd"/>
      <w:r w:rsidRPr="00781112">
        <w:rPr>
          <w:color w:val="000000" w:themeColor="text1"/>
          <w:szCs w:val="16"/>
        </w:rPr>
        <w:t>These administrators included local special education directors, coordinators, school psychologists, speech-language pathologists, and other LEA-level administrators</w:t>
      </w:r>
      <w:proofErr w:type="gramStart"/>
      <w:r w:rsidRPr="00781112">
        <w:rPr>
          <w:color w:val="000000" w:themeColor="text1"/>
          <w:szCs w:val="16"/>
        </w:rPr>
        <w:t xml:space="preserve">.  </w:t>
      </w:r>
      <w:proofErr w:type="gramEnd"/>
      <w:r w:rsidRPr="00781112">
        <w:rPr>
          <w:color w:val="000000" w:themeColor="text1"/>
          <w:szCs w:val="16"/>
        </w:rPr>
        <w:t>In addition, faculty from numerous state institutes of higher education attended, along with representatives from many non-profit organizations</w:t>
      </w:r>
      <w:proofErr w:type="gramStart"/>
      <w:r w:rsidRPr="00781112">
        <w:rPr>
          <w:color w:val="000000" w:themeColor="text1"/>
          <w:szCs w:val="16"/>
        </w:rPr>
        <w:t xml:space="preserve">.  </w:t>
      </w:r>
      <w:proofErr w:type="gramEnd"/>
      <w:r w:rsidRPr="00781112">
        <w:rPr>
          <w:color w:val="000000" w:themeColor="text1"/>
          <w:szCs w:val="16"/>
        </w:rPr>
        <w:t>Finally, due process hearing officers and mediators, along with representatives from the state’s parent training organization were present</w:t>
      </w:r>
      <w:proofErr w:type="gramStart"/>
      <w:r w:rsidRPr="00781112">
        <w:rPr>
          <w:color w:val="000000" w:themeColor="text1"/>
          <w:szCs w:val="16"/>
        </w:rPr>
        <w:t xml:space="preserve">.  </w:t>
      </w:r>
      <w:proofErr w:type="gramEnd"/>
      <w:r w:rsidRPr="00781112">
        <w:rPr>
          <w:color w:val="000000" w:themeColor="text1"/>
          <w:szCs w:val="16"/>
        </w:rPr>
        <w:t>Breakout sessions were designed to share the SCDE’s new process for general supervision as well as the vision for technical assistance moving forward</w:t>
      </w:r>
      <w:proofErr w:type="gramStart"/>
      <w:r w:rsidRPr="00781112">
        <w:rPr>
          <w:color w:val="000000" w:themeColor="text1"/>
          <w:szCs w:val="16"/>
        </w:rPr>
        <w:t xml:space="preserve">.  </w:t>
      </w:r>
      <w:proofErr w:type="gramEnd"/>
      <w:r w:rsidRPr="00781112">
        <w:rPr>
          <w:color w:val="000000" w:themeColor="text1"/>
          <w:szCs w:val="16"/>
        </w:rPr>
        <w:br/>
      </w:r>
      <w:r w:rsidRPr="00781112">
        <w:rPr>
          <w:color w:val="000000" w:themeColor="text1"/>
          <w:szCs w:val="16"/>
        </w:rPr>
        <w:br/>
        <w:t>The SCDE also shared information about the SPP/APR and sought input from our South Carolina Advisory Council on the Education of Students with Disabilities (ACESD)</w:t>
      </w:r>
      <w:proofErr w:type="gramStart"/>
      <w:r w:rsidRPr="00781112">
        <w:rPr>
          <w:color w:val="000000" w:themeColor="text1"/>
          <w:szCs w:val="16"/>
        </w:rPr>
        <w:t xml:space="preserve">.  </w:t>
      </w:r>
      <w:proofErr w:type="gramEnd"/>
      <w:r w:rsidRPr="00781112">
        <w:rPr>
          <w:color w:val="000000" w:themeColor="text1"/>
          <w:szCs w:val="16"/>
        </w:rPr>
        <w:t>The South Carolina ACEDSD partnership is designed to authentically engage this critical group of stakeholders in collaborative efforts that are directly aligned with the educational results and functional outcomes for students with disabilities</w:t>
      </w:r>
      <w:proofErr w:type="gramStart"/>
      <w:r w:rsidRPr="00781112">
        <w:rPr>
          <w:color w:val="000000" w:themeColor="text1"/>
          <w:szCs w:val="16"/>
        </w:rPr>
        <w:t xml:space="preserve">.  </w:t>
      </w:r>
      <w:proofErr w:type="gramEnd"/>
      <w:r w:rsidRPr="00781112">
        <w:rPr>
          <w:color w:val="000000" w:themeColor="text1"/>
          <w:szCs w:val="16"/>
        </w:rPr>
        <w:t>Updates with the SPP/APR are shared at the quarterly meeting with this group</w:t>
      </w:r>
      <w:proofErr w:type="gramStart"/>
      <w:r w:rsidRPr="00781112">
        <w:rPr>
          <w:color w:val="000000" w:themeColor="text1"/>
          <w:szCs w:val="16"/>
        </w:rPr>
        <w:t xml:space="preserve">.  </w:t>
      </w:r>
      <w:proofErr w:type="gramEnd"/>
      <w:r w:rsidRPr="00781112">
        <w:rPr>
          <w:color w:val="000000" w:themeColor="text1"/>
          <w:szCs w:val="16"/>
        </w:rPr>
        <w:t>The targets have been shared with our Joint Citizens and Legislative Committee on Children and feedback has been solicited from this group as well</w:t>
      </w:r>
      <w:proofErr w:type="gramStart"/>
      <w:r w:rsidRPr="00781112">
        <w:rPr>
          <w:color w:val="000000" w:themeColor="text1"/>
          <w:szCs w:val="16"/>
        </w:rPr>
        <w:t xml:space="preserve">.  </w:t>
      </w:r>
      <w:proofErr w:type="gramEnd"/>
      <w:r w:rsidRPr="00781112">
        <w:rPr>
          <w:color w:val="000000" w:themeColor="text1"/>
          <w:szCs w:val="16"/>
        </w:rPr>
        <w:br/>
      </w:r>
      <w:r w:rsidRPr="00781112">
        <w:rPr>
          <w:color w:val="000000" w:themeColor="text1"/>
          <w:szCs w:val="16"/>
        </w:rPr>
        <w:br/>
        <w:t>There is information about the SPP/APR on the SCDE website with a link to provide input. (The stakeholder input page for the SPP/APR is located at: https://www.ed.sc.gov/districts-schools/special-education-services/data-and-technology-d-t/data-collection-and-reporting/state-performance-plan-and-state-determinations/spp-apr-stakeholder-input/.)</w:t>
      </w:r>
      <w:r w:rsidRPr="00781112">
        <w:rPr>
          <w:color w:val="000000" w:themeColor="text1"/>
          <w:szCs w:val="16"/>
        </w:rPr>
        <w:br/>
      </w:r>
      <w:r w:rsidRPr="00781112">
        <w:rPr>
          <w:color w:val="000000" w:themeColor="text1"/>
          <w:szCs w:val="16"/>
        </w:rPr>
        <w:br/>
        <w:t xml:space="preserve">Stakeholders have access to the website and </w:t>
      </w:r>
      <w:proofErr w:type="gramStart"/>
      <w:r w:rsidRPr="00781112">
        <w:rPr>
          <w:color w:val="000000" w:themeColor="text1"/>
          <w:szCs w:val="16"/>
        </w:rPr>
        <w:t>are able to</w:t>
      </w:r>
      <w:proofErr w:type="gramEnd"/>
      <w:r w:rsidRPr="00781112">
        <w:rPr>
          <w:color w:val="000000" w:themeColor="text1"/>
          <w:szCs w:val="16"/>
        </w:rPr>
        <w:t xml:space="preserve"> offer feedback at any time.  The SCDE continuously reviews the feedback</w:t>
      </w:r>
      <w:proofErr w:type="gramStart"/>
      <w:r w:rsidRPr="00781112">
        <w:rPr>
          <w:color w:val="000000" w:themeColor="text1"/>
          <w:szCs w:val="16"/>
        </w:rPr>
        <w:t xml:space="preserve">.  </w:t>
      </w:r>
      <w:proofErr w:type="gramEnd"/>
      <w:r w:rsidRPr="00781112">
        <w:rPr>
          <w:color w:val="000000" w:themeColor="text1"/>
          <w:szCs w:val="16"/>
        </w:rPr>
        <w:t>The SCDE is in the process of getting an email address for the SPP/APR so that input can easily be shared at any time about the targets</w:t>
      </w:r>
      <w:proofErr w:type="gramStart"/>
      <w:r w:rsidRPr="00781112">
        <w:rPr>
          <w:color w:val="000000" w:themeColor="text1"/>
          <w:szCs w:val="16"/>
        </w:rPr>
        <w:t xml:space="preserve">.  </w:t>
      </w:r>
      <w:proofErr w:type="gramEnd"/>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OSES shared the completed FFY 2020 SPP/APR with special education directors, the Joint </w:t>
      </w:r>
      <w:proofErr w:type="gramStart"/>
      <w:r w:rsidRPr="00781112">
        <w:rPr>
          <w:color w:val="000000" w:themeColor="text1"/>
          <w:szCs w:val="16"/>
        </w:rPr>
        <w:t>Citizens</w:t>
      </w:r>
      <w:proofErr w:type="gramEnd"/>
      <w:r w:rsidRPr="00781112">
        <w:rPr>
          <w:color w:val="000000" w:themeColor="text1"/>
          <w:szCs w:val="16"/>
        </w:rPr>
        <w:t xml:space="preserve"> and Legislative Committee on Children, and the ACESD. The SCDE also posted a link to the State’s SPP/APR on the SCDE website. </w:t>
      </w:r>
      <w:r w:rsidRPr="00781112">
        <w:rPr>
          <w:color w:val="000000" w:themeColor="text1"/>
          <w:szCs w:val="16"/>
        </w:rPr>
        <w:br/>
        <w:t xml:space="preserve">Upon completion of OSEP’s review of the current submission, the OSES will post its FFY 2021 SPP/APR, including any revisions to targets. The SPP/APR will also </w:t>
      </w:r>
      <w:proofErr w:type="gramStart"/>
      <w:r w:rsidRPr="00781112">
        <w:rPr>
          <w:color w:val="000000" w:themeColor="text1"/>
          <w:szCs w:val="16"/>
        </w:rPr>
        <w:t>be presented</w:t>
      </w:r>
      <w:proofErr w:type="gramEnd"/>
      <w:r w:rsidRPr="00781112">
        <w:rPr>
          <w:color w:val="000000" w:themeColor="text1"/>
          <w:szCs w:val="16"/>
        </w:rPr>
        <w:t xml:space="preserve"> to the ACESD at its next meeting.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LEA profiles, which include the performance of each LEA on the targets in the SPP/APR are located at https://ed.sc.gov/districts-schools/special-education-services/data-and-technology-d-t/data-collection-and-reporting/district-lea-profiles/.</w:t>
      </w:r>
      <w:r w:rsidRPr="00781112">
        <w:rPr>
          <w:rFonts w:cs="Arial"/>
          <w:color w:val="000000" w:themeColor="text1"/>
          <w:szCs w:val="16"/>
        </w:rPr>
        <w:br/>
      </w:r>
      <w:r w:rsidRPr="00781112">
        <w:rPr>
          <w:rFonts w:cs="Arial"/>
          <w:color w:val="000000" w:themeColor="text1"/>
          <w:szCs w:val="16"/>
        </w:rPr>
        <w:br/>
        <w:t>The State provided a link on its website to its FFY 2020 APR at: https://www.ed.sc.gov/districts-schools/special-education-services/data-and-technology-d-t/state-performance-plan-and-state-determinations/.</w:t>
      </w:r>
      <w:r w:rsidRPr="00781112">
        <w:rPr>
          <w:rFonts w:cs="Arial"/>
          <w:color w:val="000000" w:themeColor="text1"/>
          <w:szCs w:val="16"/>
        </w:rPr>
        <w:br/>
      </w:r>
      <w:r w:rsidRPr="00781112">
        <w:rPr>
          <w:rFonts w:cs="Arial"/>
          <w:color w:val="000000" w:themeColor="text1"/>
          <w:szCs w:val="16"/>
        </w:rPr>
        <w:br/>
        <w:t>A State Performance Plan webpage is located at: https://www.ed.sc.gov/districts-schools/special-education-services/data-and-technology-d-t/state-performance-plan-and-state-determinations/.</w:t>
      </w:r>
      <w:r w:rsidRPr="00781112">
        <w:rPr>
          <w:rFonts w:cs="Arial"/>
          <w:color w:val="000000" w:themeColor="text1"/>
          <w:szCs w:val="16"/>
        </w:rPr>
        <w:br/>
      </w:r>
      <w:r w:rsidRPr="00781112">
        <w:rPr>
          <w:rFonts w:cs="Arial"/>
          <w:color w:val="000000" w:themeColor="text1"/>
          <w:szCs w:val="16"/>
        </w:rPr>
        <w:br/>
        <w:t>A stakeholder input page for the SPP/APR is located at: https://www.ed.sc.gov/districts-schools/special-education-services/data-and-technology-d-t/data-collection-and-reporting/state-performance-plan-and-state-determinations/spp-apr-stakeholder-input/.</w:t>
      </w:r>
      <w:r w:rsidRPr="00781112">
        <w:rPr>
          <w:rFonts w:cs="Arial"/>
          <w:color w:val="000000" w:themeColor="text1"/>
          <w:szCs w:val="16"/>
        </w:rPr>
        <w:br/>
      </w:r>
      <w:r w:rsidRPr="00781112">
        <w:rPr>
          <w:rFonts w:cs="Arial"/>
          <w:color w:val="000000" w:themeColor="text1"/>
          <w:szCs w:val="16"/>
        </w:rPr>
        <w:br/>
        <w:t>Following final submission to OSEP, the OSES will post a complete copy of the FFY 2021 SPP/APR for South Carolina.</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Consistent with the determination of Needs Assistance, South Carolina has accessed technical assistance from a variety of sources including OSEP- funded centers during FFY21. The various forms of support have included virtual meetings, conference calls, use of materials and fact sheets, on-site and virtual consultation and training, webinars, E-newsletters, completion of training modules, and social media exchanges.</w:t>
      </w:r>
      <w:r w:rsidRPr="00781112">
        <w:rPr>
          <w:rFonts w:cs="Arial"/>
          <w:color w:val="000000" w:themeColor="text1"/>
          <w:szCs w:val="16"/>
        </w:rPr>
        <w:br/>
      </w:r>
      <w:r w:rsidRPr="00781112">
        <w:rPr>
          <w:rFonts w:cs="Arial"/>
          <w:color w:val="000000" w:themeColor="text1"/>
          <w:szCs w:val="16"/>
        </w:rPr>
        <w:br/>
        <w:t xml:space="preserve">The National Center for Systemic Improvement (NCSI), the National Center for Intensive Intervention (NCII), the IDEA Data Center (IDC), National Center for Education Outcomes (NCEO), Early Childhood Technical Assistance Center (ECTA), IDEA Early Childhood Data Systems (DaSy), and the </w:t>
      </w:r>
      <w:r w:rsidRPr="00781112">
        <w:rPr>
          <w:rFonts w:cs="Arial"/>
          <w:color w:val="000000" w:themeColor="text1"/>
          <w:szCs w:val="16"/>
        </w:rPr>
        <w:lastRenderedPageBreak/>
        <w:t xml:space="preserve">Center for IDEA Fiscal Reporting (CIFR) provided support for the SPP/APR process, the review and revision of the state’s general supervision system, and the development, review, and revision of fiscal policies, procedures, and practices. OSES staff participated in face-to-face and virtual meetings with NCII staff to support the development of the infrastructure for data-based individualization in schools. ECTA and DaSy facilitated the discussion around indicator </w:t>
      </w:r>
      <w:proofErr w:type="gramStart"/>
      <w:r w:rsidRPr="00781112">
        <w:rPr>
          <w:rFonts w:cs="Arial"/>
          <w:color w:val="000000" w:themeColor="text1"/>
          <w:szCs w:val="16"/>
        </w:rPr>
        <w:t>7</w:t>
      </w:r>
      <w:proofErr w:type="gramEnd"/>
      <w:r w:rsidRPr="00781112">
        <w:rPr>
          <w:rFonts w:cs="Arial"/>
          <w:color w:val="000000" w:themeColor="text1"/>
          <w:szCs w:val="16"/>
        </w:rPr>
        <w:t xml:space="preserve"> and getting stakeholder input. NCII, IDC, and NCEO have assisted with the revisions of the SSIP</w:t>
      </w:r>
      <w:proofErr w:type="gramStart"/>
      <w:r w:rsidRPr="00781112">
        <w:rPr>
          <w:rFonts w:cs="Arial"/>
          <w:color w:val="000000" w:themeColor="text1"/>
          <w:szCs w:val="16"/>
        </w:rPr>
        <w:t xml:space="preserve">.  </w:t>
      </w:r>
      <w:proofErr w:type="gramEnd"/>
      <w:r w:rsidRPr="00781112">
        <w:rPr>
          <w:rFonts w:cs="Arial"/>
          <w:color w:val="000000" w:themeColor="text1"/>
          <w:szCs w:val="16"/>
        </w:rPr>
        <w:t>SC has continued to work with IDC Data quality peer groups</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The Pyramid Model Consortium and Pyramid Innovation Center also continued to provide significant support to the OSES in implementing this evidence-based model of social-emotional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for young children at a state level. This work includes building infrastructure in our state to support early childhood educators and parents in teaching children desired behaviors and reducing unwanted behavior so that preschool suspensions and expulsions can </w:t>
      </w:r>
      <w:proofErr w:type="gramStart"/>
      <w:r w:rsidRPr="00781112">
        <w:rPr>
          <w:rFonts w:cs="Arial"/>
          <w:color w:val="000000" w:themeColor="text1"/>
          <w:szCs w:val="16"/>
        </w:rPr>
        <w:t>be reduced</w:t>
      </w:r>
      <w:proofErr w:type="gramEnd"/>
      <w:r w:rsidRPr="00781112">
        <w:rPr>
          <w:rFonts w:cs="Arial"/>
          <w:color w:val="000000" w:themeColor="text1"/>
          <w:szCs w:val="16"/>
        </w:rPr>
        <w:t>. The Pyramid Model Consortium has provided guidance in developing and implementing the Pyramid Model in South Carolina, which includes the involvement of stakeholders and regular stakeholder meetings.</w:t>
      </w:r>
      <w:r w:rsidRPr="00781112">
        <w:rPr>
          <w:rFonts w:cs="Arial"/>
          <w:color w:val="000000" w:themeColor="text1"/>
          <w:szCs w:val="16"/>
        </w:rPr>
        <w:br/>
      </w:r>
      <w:r w:rsidRPr="00781112">
        <w:rPr>
          <w:rFonts w:cs="Arial"/>
          <w:color w:val="000000" w:themeColor="text1"/>
          <w:szCs w:val="16"/>
        </w:rPr>
        <w:br/>
        <w:t xml:space="preserve">During FFY2021, the OSES received continuing support from NCSI, IDC, that included monthly national calls as well as frequent state-specific calls with various TA centers to address specific concerns and topics. After receiving the support, the OSES was able to guide LEA staff, parents, and students. South Carolina used TA from these providers to continue developing goals and strategies within four focus areas (early childhood, academic, social-emotional, and post-secondary)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outcomes for students with disabilities. Specifically, based on the technical assistance SC received, and identification of LEA needs in SC, OSES further developed its system of tiered technical assistance for LEAs that leverages partnerships with personnel from universities throughout South Carolina to provide direct assistance to LEAs specified areas of need. This system of technical assistance and support is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the technical assistance system provided by OSEP to support LEAs. During FFY 2021, SC expanded to four (4) technical assistance partnerships/alliances that focus on following areas of critical need: early childhood, behavioral/mental health, academics, and postsecondary/transition. </w:t>
      </w:r>
      <w:r w:rsidRPr="00781112">
        <w:rPr>
          <w:rFonts w:cs="Arial"/>
          <w:color w:val="000000" w:themeColor="text1"/>
          <w:szCs w:val="16"/>
        </w:rPr>
        <w:br/>
        <w:t>The OSES also decided to bring all four TA organizations under one umbrella (SC TEAMS) to promote coordination of technical assistance and collaboration across areas of critical need. As a result of this unification of resources, during the summer of 2023, SC TEAMS will be hosting a statewide Summer Institute (SC TEAMS University) and thereafter, technical assistance to LEAs will be provided using a collective provider approach (SC TEAMS).</w:t>
      </w:r>
      <w:r w:rsidRPr="00781112">
        <w:rPr>
          <w:rFonts w:cs="Arial"/>
          <w:color w:val="000000" w:themeColor="text1"/>
          <w:szCs w:val="16"/>
        </w:rPr>
        <w:br/>
        <w:t xml:space="preserve">In addition, during FFY21, the OSES participated in biweekly meetings and received intensive technical assistance from NCEO, IDC, and NCSI to get feedback on the State Systemic Improvement Plan (SSIP) and the State-Identified Measurable Result (SIMR) for our state.  With this assistance, the OSES is continuing to refine its SSIP and SIMR to set measurable goals and specify the intervention that is </w:t>
      </w:r>
      <w:proofErr w:type="gramStart"/>
      <w:r w:rsidRPr="00781112">
        <w:rPr>
          <w:rFonts w:cs="Arial"/>
          <w:color w:val="000000" w:themeColor="text1"/>
          <w:szCs w:val="16"/>
        </w:rPr>
        <w:t>being implemented</w:t>
      </w:r>
      <w:proofErr w:type="gramEnd"/>
      <w:r w:rsidRPr="00781112">
        <w:rPr>
          <w:rFonts w:cs="Arial"/>
          <w:color w:val="000000" w:themeColor="text1"/>
          <w:szCs w:val="16"/>
        </w:rPr>
        <w:t xml:space="preserve">. </w:t>
      </w:r>
      <w:r w:rsidRPr="00781112">
        <w:rPr>
          <w:rFonts w:cs="Arial"/>
          <w:color w:val="000000" w:themeColor="text1"/>
          <w:szCs w:val="16"/>
        </w:rPr>
        <w:br/>
        <w:t>During FFY 2021, ECTA and DaSY met with OSES staff to assist with target setting for Indicator 6</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They provided guidance and facilitated the discussions with stakeholders and continued to assist OSES after the stakeholder group meeting with guidance for obtaining additional feedback from stakeholders as well as the target setting process, which resulted in SC revising its target for indicator </w:t>
      </w:r>
      <w:proofErr w:type="gramStart"/>
      <w:r w:rsidRPr="00781112">
        <w:rPr>
          <w:rFonts w:cs="Arial"/>
          <w:color w:val="000000" w:themeColor="text1"/>
          <w:szCs w:val="16"/>
        </w:rPr>
        <w:t>6</w:t>
      </w:r>
      <w:proofErr w:type="gramEnd"/>
      <w:r w:rsidRPr="00781112">
        <w:rPr>
          <w:rFonts w:cs="Arial"/>
          <w:color w:val="000000" w:themeColor="text1"/>
          <w:szCs w:val="16"/>
        </w:rPr>
        <w:t xml:space="preserve">.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Indicator 7, ECTA has provided feedback and assisted OSES in the creation of guidance that will be shared with LEAs. </w:t>
      </w:r>
      <w:r w:rsidRPr="00781112">
        <w:rPr>
          <w:rFonts w:cs="Arial"/>
          <w:color w:val="000000" w:themeColor="text1"/>
          <w:szCs w:val="16"/>
        </w:rPr>
        <w:br/>
        <w:t>During FFY 2021, South Carolina also received TA from IDC work, which included:</w:t>
      </w:r>
      <w:r w:rsidRPr="00781112">
        <w:rPr>
          <w:rFonts w:cs="Arial"/>
          <w:color w:val="000000" w:themeColor="text1"/>
          <w:szCs w:val="16"/>
        </w:rPr>
        <w:br/>
        <w:t xml:space="preserve"> • SC participation in IDC data quality peer groups; • Consultation from IDC on data collection and reporting for Indicator 12; • Consultation from IDC on demographic representativeness to improve vendor processes on data collection/ analysis: </w:t>
      </w:r>
      <w:r w:rsidRPr="00781112">
        <w:rPr>
          <w:rFonts w:cs="Arial"/>
          <w:color w:val="000000" w:themeColor="text1"/>
          <w:szCs w:val="16"/>
        </w:rPr>
        <w:br/>
        <w:t>• Consultation from IDC on LEA self-review tool for indicators 4, 9, and 10 • TA on Indicator 4 calculations methodology options for significant discrepancy for stakeholders to consider • Consultation for options related to potential changes to the disproportionate representation definition</w:t>
      </w:r>
      <w:r w:rsidRPr="00781112">
        <w:rPr>
          <w:rFonts w:cs="Arial"/>
          <w:color w:val="000000" w:themeColor="text1"/>
          <w:szCs w:val="16"/>
        </w:rPr>
        <w:br/>
        <w:t>CIFR consistently provided technical assistance to the Fiscal and Grants Management Team at OSES.  The dates of technical assistance received from CIFR, and the resulting actions, include:</w:t>
      </w:r>
      <w:r w:rsidRPr="00781112">
        <w:rPr>
          <w:rFonts w:cs="Arial"/>
          <w:color w:val="000000" w:themeColor="text1"/>
          <w:szCs w:val="16"/>
        </w:rPr>
        <w:br/>
        <w:t>July 2021   TA:  Maintenance of Effort (MOE) and CEIS freed up funds.</w:t>
      </w:r>
      <w:r w:rsidRPr="00781112">
        <w:rPr>
          <w:rFonts w:cs="Arial"/>
          <w:color w:val="000000" w:themeColor="text1"/>
          <w:szCs w:val="16"/>
        </w:rPr>
        <w:br/>
        <w:t>Actions: The OSES updated policies and procedures on CEIS funding and provided TA to LEAs on freed-up funds</w:t>
      </w:r>
      <w:r w:rsidRPr="00781112">
        <w:rPr>
          <w:rFonts w:cs="Arial"/>
          <w:color w:val="000000" w:themeColor="text1"/>
          <w:szCs w:val="16"/>
        </w:rPr>
        <w:br/>
        <w:t>July 2021  TA: LEA allocations</w:t>
      </w:r>
      <w:r w:rsidRPr="00781112">
        <w:rPr>
          <w:rFonts w:cs="Arial"/>
          <w:color w:val="000000" w:themeColor="text1"/>
          <w:szCs w:val="16"/>
        </w:rPr>
        <w:br/>
      </w:r>
      <w:r w:rsidRPr="00781112">
        <w:rPr>
          <w:rFonts w:cs="Arial"/>
          <w:color w:val="000000" w:themeColor="text1"/>
          <w:szCs w:val="16"/>
        </w:rPr>
        <w:tab/>
      </w:r>
      <w:r w:rsidRPr="00781112">
        <w:rPr>
          <w:rFonts w:cs="Arial"/>
          <w:color w:val="000000" w:themeColor="text1"/>
          <w:szCs w:val="16"/>
        </w:rPr>
        <w:tab/>
      </w:r>
      <w:r w:rsidRPr="00781112">
        <w:rPr>
          <w:rFonts w:cs="Arial"/>
          <w:color w:val="000000" w:themeColor="text1"/>
          <w:szCs w:val="16"/>
        </w:rPr>
        <w:tab/>
        <w:t xml:space="preserve">Action: The OSES updated its allocation policies and procedures  </w:t>
      </w:r>
      <w:r w:rsidRPr="00781112">
        <w:rPr>
          <w:rFonts w:cs="Arial"/>
          <w:color w:val="000000" w:themeColor="text1"/>
          <w:szCs w:val="16"/>
        </w:rPr>
        <w:br/>
      </w:r>
      <w:r w:rsidRPr="00781112">
        <w:rPr>
          <w:rFonts w:cs="Arial"/>
          <w:color w:val="000000" w:themeColor="text1"/>
          <w:szCs w:val="16"/>
        </w:rPr>
        <w:br/>
        <w:t>September 2021 TA: MOE and excess cost questions</w:t>
      </w:r>
      <w:r w:rsidRPr="00781112">
        <w:rPr>
          <w:rFonts w:cs="Arial"/>
          <w:color w:val="000000" w:themeColor="text1"/>
          <w:szCs w:val="16"/>
        </w:rPr>
        <w:br/>
        <w:t>Action: The OSES revised its Excess Cost Calculator, which was reviewed by NCSI, CIFR and OSEP and approved.</w:t>
      </w:r>
      <w:r w:rsidRPr="00781112">
        <w:rPr>
          <w:rFonts w:cs="Arial"/>
          <w:color w:val="000000" w:themeColor="text1"/>
          <w:szCs w:val="16"/>
        </w:rPr>
        <w:br/>
        <w:t>September 2021 TA: CIFR reviewed LEA TA presentation on taking the MOE reduction.</w:t>
      </w:r>
      <w:r w:rsidRPr="00781112">
        <w:rPr>
          <w:rFonts w:cs="Arial"/>
          <w:color w:val="000000" w:themeColor="text1"/>
          <w:szCs w:val="16"/>
        </w:rPr>
        <w:br/>
        <w:t>Action: The OSES delivered the presentation to LEAs after getting feedback from CIFR</w:t>
      </w:r>
      <w:r w:rsidRPr="00781112">
        <w:rPr>
          <w:rFonts w:cs="Arial"/>
          <w:color w:val="000000" w:themeColor="text1"/>
          <w:szCs w:val="16"/>
        </w:rPr>
        <w:br/>
        <w:t>December 2021 TA: Significant disproportionality and supplanting</w:t>
      </w:r>
      <w:r w:rsidRPr="00781112">
        <w:rPr>
          <w:rFonts w:cs="Arial"/>
          <w:color w:val="000000" w:themeColor="text1"/>
          <w:szCs w:val="16"/>
        </w:rPr>
        <w:br/>
        <w:t>Action: The OSES provided TA to LEAs on the information provided by CIFR</w:t>
      </w:r>
      <w:r w:rsidRPr="00781112">
        <w:rPr>
          <w:rFonts w:cs="Arial"/>
          <w:color w:val="000000" w:themeColor="text1"/>
          <w:szCs w:val="16"/>
        </w:rPr>
        <w:br/>
        <w:t>January 2022 TA: Provided information on changes to Child Count for 5-year-old children in kindergarten and the impact on 619 funding and the proportionate share calculation</w:t>
      </w:r>
      <w:r w:rsidRPr="00781112">
        <w:rPr>
          <w:rFonts w:cs="Arial"/>
          <w:color w:val="000000" w:themeColor="text1"/>
          <w:szCs w:val="16"/>
        </w:rPr>
        <w:br/>
        <w:t>Actions: The OSES updated its policies relating to 5-year-olds and provided TA to LEAs on the changes</w:t>
      </w:r>
      <w:r w:rsidRPr="00781112">
        <w:rPr>
          <w:rFonts w:cs="Arial"/>
          <w:color w:val="000000" w:themeColor="text1"/>
          <w:szCs w:val="16"/>
        </w:rPr>
        <w:br/>
        <w:t>March 2022 TA: CIFR provided clarifying information at 2022 Fiscal Forum regarding MFS</w:t>
      </w:r>
      <w:r w:rsidRPr="00781112">
        <w:rPr>
          <w:rFonts w:cs="Arial"/>
          <w:color w:val="000000" w:themeColor="text1"/>
          <w:szCs w:val="16"/>
        </w:rPr>
        <w:br/>
        <w:t>Action: The OSES discussed information with SCDE CFO.</w:t>
      </w:r>
      <w:r w:rsidRPr="00781112">
        <w:rPr>
          <w:rFonts w:cs="Arial"/>
          <w:color w:val="000000" w:themeColor="text1"/>
          <w:szCs w:val="16"/>
        </w:rPr>
        <w:br/>
        <w:t>April 2022 TA: Discussion with CIFR regarding assisting LEAs with determining local expenditures for MOE to allow for four methods for compliance.</w:t>
      </w:r>
      <w:r w:rsidRPr="00781112">
        <w:rPr>
          <w:rFonts w:cs="Arial"/>
          <w:color w:val="000000" w:themeColor="text1"/>
          <w:szCs w:val="16"/>
        </w:rPr>
        <w:br/>
        <w:t>Action: The OSES is continuing to develop its methods of compliance with CIFR</w:t>
      </w:r>
      <w:r w:rsidRPr="00781112">
        <w:rPr>
          <w:rFonts w:cs="Arial"/>
          <w:color w:val="000000" w:themeColor="text1"/>
          <w:szCs w:val="16"/>
        </w:rPr>
        <w:br/>
      </w:r>
      <w:r w:rsidRPr="00781112">
        <w:rPr>
          <w:rFonts w:cs="Arial"/>
          <w:color w:val="000000" w:themeColor="text1"/>
          <w:szCs w:val="16"/>
        </w:rPr>
        <w:br/>
        <w:t>In addition the TA support described above, South Carolina also received guidance from the USED, Office of Special Education and Rehabilitative Services, Office of Special Education Programs (OSEP) with respect to both programmatic and fiscal areas. That support included routine, monthly conference calls with the state liaison; periodic calls with respect to fiscal questions; email correspondence; technical assistance; national conference presentations with South Carolina staff; and presentations by OSEP staff at State events.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 </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8DEAE39" w:rsidR="005E59DB" w:rsidRPr="00781112" w:rsidRDefault="005E59DB" w:rsidP="00B65C2C">
      <w:pPr>
        <w:rPr>
          <w:b/>
          <w:color w:val="000000" w:themeColor="text1"/>
        </w:rPr>
      </w:pPr>
      <w:r w:rsidRPr="00781112">
        <w:rPr>
          <w:b/>
          <w:color w:val="000000" w:themeColor="text1"/>
        </w:rPr>
        <w:t>Historical Data</w:t>
      </w:r>
      <w:r w:rsidR="005F408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60.13%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46.30%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48.30%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50.30%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54.40%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60.13%</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52.06%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53.54%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52.10%</w:t>
            </w:r>
          </w:p>
        </w:tc>
        <w:tc>
          <w:tcPr>
            <w:tcW w:w="833" w:type="pct"/>
            <w:tcBorders>
              <w:bottom w:val="single" w:sz="4" w:space="0" w:color="auto"/>
            </w:tcBorders>
            <w:shd w:val="clear" w:color="auto" w:fill="auto"/>
            <w:vAlign w:val="center"/>
          </w:tcPr>
          <w:p w14:paraId="180CBFE9" w14:textId="341BAAAB" w:rsidR="007F24E2" w:rsidRPr="00781112" w:rsidRDefault="002B7490" w:rsidP="00E0321D">
            <w:pPr>
              <w:jc w:val="center"/>
              <w:rPr>
                <w:rFonts w:cs="Arial"/>
                <w:color w:val="000000" w:themeColor="text1"/>
                <w:szCs w:val="16"/>
              </w:rPr>
            </w:pPr>
            <w:r w:rsidRPr="00781112">
              <w:rPr>
                <w:rFonts w:cs="Arial"/>
                <w:color w:val="000000" w:themeColor="text1"/>
                <w:szCs w:val="16"/>
              </w:rPr>
              <w:t>54</w:t>
            </w:r>
            <w:r w:rsidR="00086AFB">
              <w:rPr>
                <w:rFonts w:cs="Arial"/>
                <w:color w:val="000000" w:themeColor="text1"/>
                <w:szCs w:val="16"/>
              </w:rPr>
              <w:t>.4</w:t>
            </w:r>
            <w:r w:rsidRPr="00781112">
              <w:rPr>
                <w:rFonts w:cs="Arial"/>
                <w:color w:val="000000" w:themeColor="text1"/>
                <w:szCs w:val="16"/>
              </w:rPr>
              <w:t>%</w:t>
            </w:r>
            <w:r w:rsidR="00086AFB">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60.13%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60.39%</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63.38%</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66.38%</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69.38%</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72.37%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3,100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717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289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1,898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6,004</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60.13%</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60.39%</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51.63%</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The data from the previous year (FFY 2020) was not a reliable indication of Graduation Rate due to SCDE guidance from the 2019-20 school year that significantly impacted Indicators 1 and 2. No students were to be marked absent for that quarter and no student who entered that quarter with a passing grade could be failed for that year. The data trend line for all students, including students with disabilities increased higher than years previous. Since more traditional routines for grading and attendance have </w:t>
      </w:r>
      <w:proofErr w:type="gramStart"/>
      <w:r w:rsidRPr="00781112">
        <w:rPr>
          <w:rFonts w:cs="Arial"/>
          <w:color w:val="000000" w:themeColor="text1"/>
          <w:szCs w:val="16"/>
        </w:rPr>
        <w:t>been re-instituted</w:t>
      </w:r>
      <w:proofErr w:type="gramEnd"/>
      <w:r w:rsidRPr="00781112">
        <w:rPr>
          <w:rFonts w:cs="Arial"/>
          <w:color w:val="000000" w:themeColor="text1"/>
          <w:szCs w:val="16"/>
        </w:rPr>
        <w:t xml:space="preserve"> the current data shows a more accurate depiction of graduation rates for students with disabilities.</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South Carolina uses the following to determine the four-year graduation cohort rate. Section 200.19 of the Title I regulations issued under the Elementary and Secondary Education Act on December 2, 2002, defines graduation rate to mean: the percentage of students, measured from the beginning of high school, who graduate from public high school with a regular diploma (not including a GED or any other diploma not fully aligned with the state's academic standards) in the standard number of years; or, another more accurate definition developed by the state and approved by the Secretary in the state plan that more accurately measures the rate of students who graduate from high school with a regular diploma; and avoids counting a dropout as a transfer. </w:t>
      </w:r>
      <w:r w:rsidRPr="00781112">
        <w:rPr>
          <w:rFonts w:cs="Arial"/>
          <w:color w:val="000000" w:themeColor="text1"/>
          <w:szCs w:val="16"/>
        </w:rPr>
        <w:br/>
      </w:r>
      <w:r w:rsidRPr="00781112">
        <w:rPr>
          <w:rFonts w:cs="Arial"/>
          <w:color w:val="000000" w:themeColor="text1"/>
          <w:szCs w:val="16"/>
        </w:rPr>
        <w:br/>
        <w:t xml:space="preserve">South Carolina has stringent guidelines for graduation with a diploma, offering only one recognized academic diploma for all students. Graduation with a state–issued regular diploma in South Carolina requires the completion of twenty-four-unit courses in specified areas. Diploma requirements include only the successful completion of twenty-four units of study as prescribed by </w:t>
      </w:r>
      <w:proofErr w:type="gramStart"/>
      <w:r w:rsidRPr="00781112">
        <w:rPr>
          <w:rFonts w:cs="Arial"/>
          <w:color w:val="000000" w:themeColor="text1"/>
          <w:szCs w:val="16"/>
        </w:rPr>
        <w:t>South</w:t>
      </w:r>
      <w:proofErr w:type="gramEnd"/>
      <w:r w:rsidRPr="00781112">
        <w:rPr>
          <w:rFonts w:cs="Arial"/>
          <w:color w:val="000000" w:themeColor="text1"/>
          <w:szCs w:val="16"/>
        </w:rPr>
        <w:t xml:space="preserve"> Carolina Board of Education Regulation and state law. </w:t>
      </w:r>
      <w:r w:rsidRPr="00781112">
        <w:rPr>
          <w:rFonts w:cs="Arial"/>
          <w:color w:val="000000" w:themeColor="text1"/>
          <w:szCs w:val="16"/>
        </w:rPr>
        <w:br/>
        <w:t xml:space="preserve"> </w:t>
      </w:r>
      <w:r w:rsidRPr="00781112">
        <w:rPr>
          <w:rFonts w:cs="Arial"/>
          <w:color w:val="000000" w:themeColor="text1"/>
          <w:szCs w:val="16"/>
        </w:rPr>
        <w:br/>
        <w:t xml:space="preserve">South Carolina high school graduation requirements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https://ed.sc.gov/districts-schools/state-accountability/high-school-courses-and-requirements/.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The SCDE has a contract with the Transition Alliance of South Carolina to help LEAs set up early warning systems and establish Graduation Teams. </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BFDECEA" w:rsidR="00907A35" w:rsidRPr="00781112" w:rsidRDefault="00907A35" w:rsidP="004369B2">
      <w:pPr>
        <w:rPr>
          <w:b/>
          <w:color w:val="000000" w:themeColor="text1"/>
        </w:rPr>
      </w:pPr>
      <w:r w:rsidRPr="00781112">
        <w:rPr>
          <w:b/>
          <w:color w:val="000000" w:themeColor="text1"/>
        </w:rPr>
        <w:t>Historical Data</w:t>
      </w:r>
      <w:r w:rsidR="005F408B">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25.00%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3.80%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3.60%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25.00%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3.52%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4.20%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4.03%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6.02%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25.00%</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23.73%</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22.46%</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21.19%</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19.92%</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18.65%</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3,100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717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289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1,898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6,004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23.73%</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31.61%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data from the previous year (FFY 2020) was not a reliable indication of dropout rate due to SCDE guidance from the 2019-20 school year that significantly impacted Indicators 1 and 2. No students were to be marked absent for that quarter and no student who entered that quarter with a passing grade could be failed for that year. The data trend line for all students, including students with disabilities increased higher than years previous.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SC previously used a different option to calculate drop out rate. There was a change with this submission. If the calculation </w:t>
      </w:r>
      <w:proofErr w:type="gramStart"/>
      <w:r w:rsidRPr="00781112">
        <w:rPr>
          <w:rFonts w:cs="Arial"/>
          <w:color w:val="000000" w:themeColor="text1"/>
          <w:szCs w:val="16"/>
          <w:shd w:val="clear" w:color="auto" w:fill="FFFFFF"/>
        </w:rPr>
        <w:t>would have</w:t>
      </w:r>
      <w:proofErr w:type="gramEnd"/>
      <w:r w:rsidRPr="00781112">
        <w:rPr>
          <w:rFonts w:cs="Arial"/>
          <w:color w:val="000000" w:themeColor="text1"/>
          <w:szCs w:val="16"/>
          <w:shd w:val="clear" w:color="auto" w:fill="FFFFFF"/>
        </w:rPr>
        <w:t xml:space="preserve"> been the same as previous years, there would not have been slippage</w:t>
      </w:r>
      <w:proofErr w:type="gramStart"/>
      <w:r w:rsidRPr="00781112">
        <w:rPr>
          <w:rFonts w:cs="Arial"/>
          <w:color w:val="000000" w:themeColor="text1"/>
          <w:szCs w:val="16"/>
          <w:shd w:val="clear" w:color="auto" w:fill="FFFFFF"/>
        </w:rPr>
        <w:t xml:space="preserve">.  </w:t>
      </w:r>
      <w:proofErr w:type="gramEnd"/>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SC State Board of Education defines a dropout as a student who leaves school for any reason, other than death, prior to graduation or completion of a course of studies and without transferring to another school or institute.</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unduplicated number of students with disabilities, ages 14 through 21, who were in special education at the start of the reporting period and were not in special education at the end of the reporting period.</w:t>
      </w: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SCDE has contracted with the Transition Alliance of South Carolina to help LEAs establish early warning systems and Graduation Teams in LEAs with low graduation rates for students with disabilities.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89.79%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79.73%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82.09%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90.12%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80.36%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75.16%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731B2BE0" w:rsidR="00480083" w:rsidRPr="00AB008C" w:rsidRDefault="00480083" w:rsidP="00AB008C">
      <w:pPr>
        <w:spacing w:before="0" w:after="200" w:line="276" w:lineRule="auto"/>
        <w:rPr>
          <w:b/>
          <w:color w:val="000000" w:themeColor="text1"/>
        </w:rPr>
      </w:pPr>
      <w:r w:rsidRPr="00781112">
        <w:rPr>
          <w:b/>
          <w:color w:val="000000" w:themeColor="text1"/>
        </w:rPr>
        <w:t xml:space="preserve">Targets: Description of Stakeholder Input </w:t>
      </w:r>
      <w:r w:rsidR="00AB008C">
        <w:rPr>
          <w:b/>
          <w:color w:val="000000" w:themeColor="text1"/>
        </w:rPr>
        <w:br/>
      </w: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2DB4239B" w14:textId="2F83DC57" w:rsidR="00480083" w:rsidRPr="00781112" w:rsidRDefault="00480083" w:rsidP="00480083">
      <w:pPr>
        <w:rPr>
          <w:rFonts w:cs="Arial"/>
          <w:color w:val="000000" w:themeColor="text1"/>
          <w:szCs w:val="16"/>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9,504</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8,882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7,499</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3,668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3,666</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5,066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5,191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4,293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1,515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515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591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508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9,503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8,878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8,547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2,948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3,206</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5,751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5,920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4,769</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1,640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514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583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560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9,374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9,504</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89.79%</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98.63%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8,550</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8,882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79.73%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96.26%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7,089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7,499</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82.09%</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94.53%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9,382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9,503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90.12%</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98.73%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8,558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8,878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80.36%</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96.40%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7,951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8,547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75.16%</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93.03%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67C73999" w14:textId="77777777" w:rsidR="00AB008C" w:rsidRDefault="00AB008C" w:rsidP="00A134AA">
      <w:pPr>
        <w:rPr>
          <w:b/>
          <w:color w:val="000000" w:themeColor="text1"/>
        </w:rPr>
      </w:pPr>
    </w:p>
    <w:p w14:paraId="13A59EA6" w14:textId="746F2ABB" w:rsidR="00A134AA" w:rsidRPr="00781112" w:rsidRDefault="00A134AA" w:rsidP="00A134AA">
      <w:pPr>
        <w:rPr>
          <w:color w:val="000000" w:themeColor="text1"/>
        </w:rPr>
      </w:pPr>
      <w:r w:rsidRPr="00781112">
        <w:rPr>
          <w:b/>
          <w:color w:val="000000" w:themeColor="text1"/>
        </w:rPr>
        <w:lastRenderedPageBreak/>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link to the assessment results is https://ed.sc.gov/districts-schools/special-education-services/data-and-technology-d-t/statewide-data-collection-history/.</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16.51%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7.14%</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43.81%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16.69%</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4.98%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22.57%</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18.71%</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20.91%</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23.11%</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25.31%</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27.51%</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9.34%</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11.54%</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13.74%</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15.94%</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18.14%</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44.81%</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45.81%</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46.81%</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47.81%</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48.81%</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18.39%</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19.78%</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21.18%</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22.57%</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23.97%</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6.38%</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7.78%</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9.18%</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10.58%</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11.98%</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24.57%</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26.57%</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28.57%</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30.57%</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32.57%</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8,859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7,959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6,581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1,229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466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2,403</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380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163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702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8,868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7,975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7,391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1,074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241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1,685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461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112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496</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1,609</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8,859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16.51%</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18.71%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18.16%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629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7,959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7.14%</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9.34%</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7.90%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3,105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6,581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43.81%</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44.81%</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47.18%</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1,535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8,868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16.69%</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18.39%</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17.31%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353</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7,975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4.98%</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6.38%</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4.43%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2,181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7,391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22.57%</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24.57%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29.51%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 xml:space="preserve">Mean scores for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graders with disabilities took a dip in math scores during the 2021 testing year, similarly to their non-disabled grade-level peers. </w:t>
      </w:r>
    </w:p>
    <w:p w14:paraId="197C30C8" w14:textId="77777777" w:rsidR="00CF57A2" w:rsidRPr="00781112" w:rsidRDefault="00CF57A2" w:rsidP="00580134">
      <w:pPr>
        <w:rPr>
          <w:rFonts w:cs="Arial"/>
          <w:iCs/>
          <w:color w:val="000000" w:themeColor="text1"/>
          <w:szCs w:val="16"/>
        </w:rPr>
      </w:pPr>
    </w:p>
    <w:p w14:paraId="3C6B4961" w14:textId="635562E3" w:rsidR="00497DE4" w:rsidRPr="00AB008C" w:rsidRDefault="00497DE4" w:rsidP="00AB008C">
      <w:pPr>
        <w:spacing w:before="0" w:after="200" w:line="276" w:lineRule="auto"/>
        <w:rPr>
          <w:color w:val="000000" w:themeColor="text1"/>
        </w:rPr>
      </w:pPr>
      <w:r w:rsidRPr="00781112">
        <w:rPr>
          <w:b/>
          <w:color w:val="000000" w:themeColor="text1"/>
        </w:rPr>
        <w:t>Regulatory Information</w:t>
      </w:r>
      <w:r w:rsidR="00AB008C">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link to the assessment results is https://ed.sc.gov/districts-schools/special-education-services/data-and-technology-d-t/statewide-data-collection-history/.</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SCDE recognized that a variety of flexible scheduling and calendars of instruction existed across the state as well. These changes impacted instructional opportunities for all students, including students with disabilities. The scores have not yet returned to pre-pandemic levels. The State has implemented multi-tiered systems of support to assist LEAs with meeting the unique needs of all students, including students with disabilities.</w:t>
      </w:r>
      <w:r w:rsidRPr="00781112">
        <w:rPr>
          <w:rFonts w:cs="Arial"/>
          <w:color w:val="000000" w:themeColor="text1"/>
          <w:szCs w:val="16"/>
        </w:rPr>
        <w:br/>
      </w:r>
      <w:r w:rsidRPr="00781112">
        <w:rPr>
          <w:rFonts w:cs="Arial"/>
          <w:color w:val="000000" w:themeColor="text1"/>
          <w:szCs w:val="16"/>
        </w:rPr>
        <w:br/>
        <w:t>The data shows that the students with disabilities mean scores are starting to trend upwards. Although, scores have not returned to pre-pandemic levels. The state is utilizing multiple district avenues for assisting LEAs in improving achievement. There have been more ATSI schools identified for students with disabilities. The SCDE is providing technical assistance to districts in understanding the data, making data-informed decisions to improve outcomes for students with disabilities.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53.46%</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36.26%</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47.53%</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41.70%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36.98%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38.16%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54.46%</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55.46%</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56.46%</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57.46%</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58.46%</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37.26%</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38.26%</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39.26%</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40.26%</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41.26%</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37.98%</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49.53%</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50.53%</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51.53%</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52.53%</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42.70%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43.70%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44.70%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45.70%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46.70%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37.98%</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38.98%</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39.98%</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40.98%</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41.98%</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39.16%</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40.16%</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41.16%</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42.16%</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43.16%</w:t>
            </w:r>
          </w:p>
        </w:tc>
      </w:tr>
    </w:tbl>
    <w:p w14:paraId="08B1A70A" w14:textId="36C4C2BD" w:rsidR="002D145D" w:rsidRPr="00AB008C" w:rsidRDefault="00AB008C" w:rsidP="00AB008C">
      <w:pPr>
        <w:spacing w:before="0" w:after="200" w:line="276" w:lineRule="auto"/>
        <w:rPr>
          <w:b/>
          <w:color w:val="000000" w:themeColor="text1"/>
        </w:rPr>
      </w:pPr>
      <w:r>
        <w:rPr>
          <w:b/>
          <w:color w:val="000000" w:themeColor="text1"/>
        </w:rPr>
        <w:br/>
      </w:r>
      <w:r w:rsidR="002D145D" w:rsidRPr="00781112">
        <w:rPr>
          <w:b/>
          <w:color w:val="000000" w:themeColor="text1"/>
        </w:rPr>
        <w:t xml:space="preserve">Targets: Description of Stakeholder Input </w:t>
      </w:r>
      <w:r>
        <w:rPr>
          <w:b/>
          <w:color w:val="000000" w:themeColor="text1"/>
        </w:rPr>
        <w:br/>
      </w:r>
      <w:r w:rsidR="002B7490"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002B7490" w:rsidRPr="00781112">
        <w:rPr>
          <w:rFonts w:cs="Arial"/>
          <w:color w:val="000000" w:themeColor="text1"/>
          <w:szCs w:val="16"/>
        </w:rPr>
        <w:t>is designed</w:t>
      </w:r>
      <w:proofErr w:type="gramEnd"/>
      <w:r w:rsidR="002B7490"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002B7490" w:rsidRPr="00781112">
        <w:rPr>
          <w:rFonts w:cs="Arial"/>
          <w:color w:val="000000" w:themeColor="text1"/>
          <w:szCs w:val="16"/>
        </w:rPr>
        <w:t>were shared</w:t>
      </w:r>
      <w:proofErr w:type="gramEnd"/>
      <w:r w:rsidR="002B7490" w:rsidRPr="00781112">
        <w:rPr>
          <w:rFonts w:cs="Arial"/>
          <w:color w:val="000000" w:themeColor="text1"/>
          <w:szCs w:val="16"/>
        </w:rPr>
        <w:t xml:space="preserve"> at the quarterly ACESD meetings. The SPP targets </w:t>
      </w:r>
      <w:proofErr w:type="gramStart"/>
      <w:r w:rsidR="002B7490" w:rsidRPr="00781112">
        <w:rPr>
          <w:rFonts w:cs="Arial"/>
          <w:color w:val="000000" w:themeColor="text1"/>
          <w:szCs w:val="16"/>
        </w:rPr>
        <w:t>were also shared</w:t>
      </w:r>
      <w:proofErr w:type="gramEnd"/>
      <w:r w:rsidR="002B7490" w:rsidRPr="00781112">
        <w:rPr>
          <w:rFonts w:cs="Arial"/>
          <w:color w:val="000000" w:themeColor="text1"/>
          <w:szCs w:val="16"/>
        </w:rPr>
        <w:t xml:space="preserve"> with the South Carolina Joint Citizens and Legislative Committee on Children and feedback was solicited from this group as well. </w:t>
      </w:r>
      <w:r w:rsidR="002B7490" w:rsidRPr="00781112">
        <w:rPr>
          <w:rFonts w:cs="Arial"/>
          <w:color w:val="000000" w:themeColor="text1"/>
          <w:szCs w:val="16"/>
        </w:rPr>
        <w:br/>
      </w:r>
      <w:r w:rsidR="002B7490" w:rsidRPr="00781112">
        <w:rPr>
          <w:rFonts w:cs="Arial"/>
          <w:color w:val="000000" w:themeColor="text1"/>
          <w:szCs w:val="16"/>
        </w:rPr>
        <w:br/>
        <w:t xml:space="preserve">Information about the SPP/APR </w:t>
      </w:r>
      <w:proofErr w:type="gramStart"/>
      <w:r w:rsidR="002B7490" w:rsidRPr="00781112">
        <w:rPr>
          <w:rFonts w:cs="Arial"/>
          <w:color w:val="000000" w:themeColor="text1"/>
          <w:szCs w:val="16"/>
        </w:rPr>
        <w:t>is posted</w:t>
      </w:r>
      <w:proofErr w:type="gramEnd"/>
      <w:r w:rsidR="002B7490"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002B7490" w:rsidRPr="00781112">
        <w:rPr>
          <w:rFonts w:cs="Arial"/>
          <w:color w:val="000000" w:themeColor="text1"/>
          <w:szCs w:val="16"/>
        </w:rPr>
        <w:t xml:space="preserve">.  </w:t>
      </w:r>
      <w:proofErr w:type="gramEnd"/>
      <w:r w:rsidR="002B7490"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002B7490" w:rsidRPr="00781112">
        <w:rPr>
          <w:rFonts w:cs="Arial"/>
          <w:color w:val="000000" w:themeColor="text1"/>
          <w:szCs w:val="16"/>
        </w:rPr>
        <w:br/>
      </w:r>
      <w:r w:rsidR="002B7490" w:rsidRPr="00781112">
        <w:rPr>
          <w:rFonts w:cs="Arial"/>
          <w:color w:val="000000" w:themeColor="text1"/>
          <w:szCs w:val="16"/>
        </w:rPr>
        <w:br/>
        <w:t xml:space="preserve">Finally, weekly updates </w:t>
      </w:r>
      <w:proofErr w:type="gramStart"/>
      <w:r w:rsidR="002B7490" w:rsidRPr="00781112">
        <w:rPr>
          <w:rFonts w:cs="Arial"/>
          <w:color w:val="000000" w:themeColor="text1"/>
          <w:szCs w:val="16"/>
        </w:rPr>
        <w:t>were provided</w:t>
      </w:r>
      <w:proofErr w:type="gramEnd"/>
      <w:r w:rsidR="002B7490" w:rsidRPr="00781112">
        <w:rPr>
          <w:rFonts w:cs="Arial"/>
          <w:color w:val="000000" w:themeColor="text1"/>
          <w:szCs w:val="16"/>
        </w:rPr>
        <w:t xml:space="preserve"> to Special Education Directors and technical assistance providers that included information on the SPP/APR.</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515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591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508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201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193</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176</w:t>
            </w:r>
          </w:p>
        </w:tc>
      </w:tr>
    </w:tbl>
    <w:p w14:paraId="14007475" w14:textId="77777777" w:rsidR="00AB008C" w:rsidRDefault="00AB008C" w:rsidP="00286BDF">
      <w:pPr>
        <w:rPr>
          <w:rFonts w:cs="Arial"/>
          <w:b/>
          <w:color w:val="000000" w:themeColor="text1"/>
          <w:szCs w:val="16"/>
        </w:rPr>
      </w:pPr>
    </w:p>
    <w:p w14:paraId="31899BDA" w14:textId="356F9052"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514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583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560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188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208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197</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201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515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53.46%</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54.46%</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39.03%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193</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591</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36.26%</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37.26%</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32.66%</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176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508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47.53%</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37.98%</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34.65%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uncertainty and the challenges LEAs faced during the 20-21 and 21-22 school years may have continued impact on achievement rate for students who participate in an alternate assessment on alternate achievement standards. School attendance rate and assessment proficiency of students who have immunocompromising health issues, or fragile medical conditions may have been more impacted by the conditions surrounding the pandemic and the return to in-person instruction during the 21-22 school year. Unique medical needs are a characteristic of a large part of the population of students who participate in the Alternate assessment. This may have affected assessment proficiency and the assessment gap percentage for students who participate in an alternate assessment on alternate achievement standards. Student participation </w:t>
      </w:r>
      <w:proofErr w:type="gramStart"/>
      <w:r w:rsidRPr="00781112">
        <w:rPr>
          <w:rFonts w:cs="Arial"/>
          <w:color w:val="000000" w:themeColor="text1"/>
          <w:szCs w:val="16"/>
        </w:rPr>
        <w:t>on</w:t>
      </w:r>
      <w:proofErr w:type="gramEnd"/>
      <w:r w:rsidRPr="00781112">
        <w:rPr>
          <w:rFonts w:cs="Arial"/>
          <w:color w:val="000000" w:themeColor="text1"/>
          <w:szCs w:val="16"/>
        </w:rPr>
        <w:t xml:space="preserve"> all state assessments is back to above 95%. As students are in engaged in classrooms more regularly and receiving more typical instruction, along with the support provided through the district implementation of multi-tiered systems of support, the goal will be to see improved outcomes for these students, as well as all students. </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uncertainty and the challenges LEAs faced during the 20-21 and 21-22 school years may have continued impact on achievement rate for students who participate in an alternate assessment on alternate achievement standards. School attendance rate and assessment proficiency of students who </w:t>
      </w:r>
      <w:r w:rsidRPr="00781112">
        <w:rPr>
          <w:rFonts w:cs="Arial"/>
          <w:color w:val="000000" w:themeColor="text1"/>
          <w:szCs w:val="16"/>
        </w:rPr>
        <w:lastRenderedPageBreak/>
        <w:t xml:space="preserve">have immunocompromising health issues, or fragile medical conditions may have been more impacted by the conditions surrounding the pandemic and the return to in-person instruction during the 21-22 school year. Unique medical needs are a characteristic of a large part of the population of students who participate in the Alternate assessment. This may have affected assessment proficiency and the assessment gap percentage for students who participate in an alternate assessment on alternate achievement standards. Student participation </w:t>
      </w:r>
      <w:proofErr w:type="gramStart"/>
      <w:r w:rsidRPr="00781112">
        <w:rPr>
          <w:rFonts w:cs="Arial"/>
          <w:color w:val="000000" w:themeColor="text1"/>
          <w:szCs w:val="16"/>
        </w:rPr>
        <w:t>on</w:t>
      </w:r>
      <w:proofErr w:type="gramEnd"/>
      <w:r w:rsidRPr="00781112">
        <w:rPr>
          <w:rFonts w:cs="Arial"/>
          <w:color w:val="000000" w:themeColor="text1"/>
          <w:szCs w:val="16"/>
        </w:rPr>
        <w:t xml:space="preserve"> all state assessments is back to above 95%. As students are in engaged in classrooms more regularly and receiving more typical instruction, along with the support provided through the district implementation of multi-tiered systems of support, the goal will be to see improved outcomes for these students, as well as all students.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uncertainty and the challenges LEAs faced during the 20-21 and 21-22 school years may have continued impact on achievement rate for students who participate in an alternate assessment on alternate achievement standards. School attendance rate and assessment proficiency of students who have immunocompromising health issues, or fragile medical conditions may have been more impacted by the conditions surrounding the pandemic and the return to in-person instruction during the 21-22 school year. Unique medical needs are a characteristic of a large part of the population of students who participate in the Alternate assessment. This may have affected assessment proficiency and the assessment gap percentage for students who participate in an alternate assessment on alternate achievement standards. Student participation </w:t>
      </w:r>
      <w:proofErr w:type="gramStart"/>
      <w:r w:rsidRPr="00781112">
        <w:rPr>
          <w:rFonts w:cs="Arial"/>
          <w:color w:val="000000" w:themeColor="text1"/>
          <w:szCs w:val="16"/>
        </w:rPr>
        <w:t>on</w:t>
      </w:r>
      <w:proofErr w:type="gramEnd"/>
      <w:r w:rsidRPr="00781112">
        <w:rPr>
          <w:rFonts w:cs="Arial"/>
          <w:color w:val="000000" w:themeColor="text1"/>
          <w:szCs w:val="16"/>
        </w:rPr>
        <w:t xml:space="preserve"> all state assessments is back to above 95%. As students are in engaged in classrooms more regularly and receiving more typical instruction, along with the support provided through the district implementation of multi-tiered systems of support, the goal will be to see improved outcomes for these students, as well as all students.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188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514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41.70%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42.70%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36.58%</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208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583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36.98%</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37.98%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35.68%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197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560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38.16%</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39.16%</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35.18%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The uncertainty and the challenges LEAs faced during the 20-21 and 21-22 school years may have continued impact on achievement rate for students who participate in an alternate assessment on alternate achievement standards. School attendance rate and assessment proficiency of students who have immunocompromising health issues, or fragile medical conditions may have been more impacted by the conditions surrounding the pandemic and the return to in-person instruction during the 21-22 school year. Unique medical needs are a characteristic of a large part of the population of students who participate in the Alternate assessment. This may have affected assessment proficiency and the assessment gap percentage for students who participate in an alternate assessment on alternate achievement standards. Student participation </w:t>
      </w:r>
      <w:proofErr w:type="gramStart"/>
      <w:r w:rsidRPr="00781112">
        <w:rPr>
          <w:rFonts w:cs="Arial"/>
          <w:color w:val="000000" w:themeColor="text1"/>
          <w:szCs w:val="16"/>
        </w:rPr>
        <w:t>on</w:t>
      </w:r>
      <w:proofErr w:type="gramEnd"/>
      <w:r w:rsidRPr="00781112">
        <w:rPr>
          <w:rFonts w:cs="Arial"/>
          <w:color w:val="000000" w:themeColor="text1"/>
          <w:szCs w:val="16"/>
        </w:rPr>
        <w:t xml:space="preserve"> all state assessments is back to above 95%. As students are in engaged in classrooms more regularly and receiving more typical instruction, along with the support provided through the district implementation of multi-tiered systems of support, the goal will be to see improved outcomes for these students, as well as all students. </w:t>
      </w: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The uncertainty and the challenges LEAs faced during the 20-21 and 21-22 school years may have continued impact on achievement rate for students who participate in an alternate assessment on alternate achievement standards. School attendance rate and assessment proficiency of students who have immunocompromising health issues, or fragile medical conditions may have been more impacted by the conditions surrounding the pandemic and the return to in-person instruction during the 21-22 school year. Unique medical needs are a characteristic of a large part of the population of students who participate in the Alternate assessment. This may have affected assessment proficiency and the assessment gap percentage for students who participate in an alternate assessment on alternate achievement standards. Student participation </w:t>
      </w:r>
      <w:proofErr w:type="gramStart"/>
      <w:r w:rsidRPr="00781112">
        <w:rPr>
          <w:rFonts w:cs="Arial"/>
          <w:color w:val="000000" w:themeColor="text1"/>
          <w:szCs w:val="16"/>
        </w:rPr>
        <w:t>on</w:t>
      </w:r>
      <w:proofErr w:type="gramEnd"/>
      <w:r w:rsidRPr="00781112">
        <w:rPr>
          <w:rFonts w:cs="Arial"/>
          <w:color w:val="000000" w:themeColor="text1"/>
          <w:szCs w:val="16"/>
        </w:rPr>
        <w:t xml:space="preserve"> all state assessments is back to above 95%. As students are in engaged in classrooms more regularly and receiving more typical instruction, along with the support provided through the district implementation of multi-tiered systems of support, the goal will be to see improved outcomes for these students, as well as all students. </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The uncertainty and the challenges LEAs faced during the 20-21 and 21-22 school years may have continued impact on achievement rate for students who participate in an alternate assessment on alternate achievement standards. School attendance rate and assessment proficiency of students who have immunocompromising health issues, or fragile medical conditions may have been more impacted by the conditions surrounding the pandemic and the return to in-person instruction during the 21-22 school year. Unique medical needs are a characteristic of a large part of the population of students who participate in the Alternate assessment. This may have affected assessment proficiency and the assessment gap percentage for students who participate in an alternate assessment on alternate achievement standards. Student participation </w:t>
      </w:r>
      <w:proofErr w:type="gramStart"/>
      <w:r w:rsidRPr="00781112">
        <w:rPr>
          <w:rFonts w:cs="Arial"/>
          <w:color w:val="000000" w:themeColor="text1"/>
          <w:szCs w:val="16"/>
        </w:rPr>
        <w:t>on</w:t>
      </w:r>
      <w:proofErr w:type="gramEnd"/>
      <w:r w:rsidRPr="00781112">
        <w:rPr>
          <w:rFonts w:cs="Arial"/>
          <w:color w:val="000000" w:themeColor="text1"/>
          <w:szCs w:val="16"/>
        </w:rPr>
        <w:t xml:space="preserve"> all state assessments is back to above 95%. As students are in engaged in classrooms more regularly and receiving more typical instruction, along with the support provided through the district implementation of multi-tiered systems of support, the goal will be to see improved outcomes for these students, as well as all students. </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lastRenderedPageBreak/>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assessment link is https://ed.sc.gov/districts-schools/special-education-services/data-and-technology-d-t/statewide-data-collection-history/.</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29.53</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34.81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39.68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25.77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26.68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28.53</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27.53</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26.53</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25.53</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24.53</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33.81</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32.81</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31.81</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30.81</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29.81</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37.68</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35.68</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33.68</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31.68</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29.68</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24.26</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23.26</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22.26</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21.26</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20.26</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24.77</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23.77</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22.77</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21.77</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20.77</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25.68</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24.68</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23.68</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22.68</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21.68</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w:t>
      </w:r>
      <w:r w:rsidRPr="00781112">
        <w:rPr>
          <w:rFonts w:cs="Arial"/>
          <w:color w:val="000000" w:themeColor="text1"/>
          <w:szCs w:val="16"/>
        </w:rPr>
        <w:lastRenderedPageBreak/>
        <w:t>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56,385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60,922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59,066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8,859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7,959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6,581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27,651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27,592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49,006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757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381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1,064</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1,229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466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2,403</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380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163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702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56,400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60,985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47,774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8,868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7,975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7,391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23,625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18,136</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26,691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842</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275</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671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1,074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241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1,685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461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112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496</w:t>
            </w:r>
          </w:p>
        </w:tc>
      </w:tr>
    </w:tbl>
    <w:p w14:paraId="1EA160DB" w14:textId="77777777" w:rsidR="00DD5B7A" w:rsidRPr="00781112" w:rsidRDefault="00DD5B7A" w:rsidP="00DD5B7A">
      <w:pPr>
        <w:rPr>
          <w:color w:val="000000" w:themeColor="text1"/>
        </w:rPr>
      </w:pPr>
    </w:p>
    <w:p w14:paraId="06B2C016" w14:textId="77777777" w:rsidR="00AB008C" w:rsidRDefault="00AB008C">
      <w:pPr>
        <w:spacing w:before="0" w:after="200" w:line="276" w:lineRule="auto"/>
        <w:rPr>
          <w:b/>
          <w:color w:val="000000" w:themeColor="text1"/>
        </w:rPr>
      </w:pPr>
      <w:r>
        <w:rPr>
          <w:b/>
          <w:color w:val="000000" w:themeColor="text1"/>
        </w:rPr>
        <w:br w:type="page"/>
      </w:r>
    </w:p>
    <w:p w14:paraId="300D6CD4" w14:textId="708057BC"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18.16%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50.38%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29.53</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28.53</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32.22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7.90%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45.92%</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34.81</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33.81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38.01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47.18%</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84.77%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39.68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37.68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37.59</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Mean scores for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graders with disabilities increased slightly during the 2021 testing year. Achievement for students with disabilities rose slightly, but it rose faster for students without disabilities. Therefore, the gap increased. </w:t>
      </w:r>
    </w:p>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Mean scores for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graders with disabilities increased slightly during the 2021 testing year. Achievement for students with disabilities rose slightly, but it rose faster for students without disabilities. Therefore, the gap increased. </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17.31%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43.38%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25.26</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24.26</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26.07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4.43%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30.19%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25.77</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24.77</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25.76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29.51%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57.27%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26.68</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25.68</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27.76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r w:rsidRPr="00781112">
        <w:rPr>
          <w:rFonts w:cs="Arial"/>
          <w:color w:val="000000" w:themeColor="text1"/>
          <w:szCs w:val="16"/>
        </w:rPr>
        <w:t xml:space="preserve">The mean score on the Algebra 1 End-of Course Examination Program (EOCEP) trended slightly downward in 2021 as compared to 2019 for all students. Specifically, students with disabilities followed a similar trend. The mean scores for students with disabilities have shown a positive trend upward for the last 3 years. Achievement rose faster for students without disabilities. Therefore, the gap increased. </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data shows that the students with disabilities mean scores are starting to trend upwards</w:t>
      </w:r>
      <w:proofErr w:type="gramStart"/>
      <w:r w:rsidRPr="00781112">
        <w:rPr>
          <w:rFonts w:cs="Arial"/>
          <w:color w:val="000000" w:themeColor="text1"/>
          <w:szCs w:val="16"/>
        </w:rPr>
        <w:t xml:space="preserve">.  </w:t>
      </w:r>
      <w:proofErr w:type="gramEnd"/>
      <w:r w:rsidRPr="00781112">
        <w:rPr>
          <w:rFonts w:cs="Arial"/>
          <w:color w:val="000000" w:themeColor="text1"/>
          <w:szCs w:val="16"/>
        </w:rPr>
        <w:t>Although, scores have not returned to pre-pandemic levels</w:t>
      </w:r>
      <w:proofErr w:type="gramStart"/>
      <w:r w:rsidRPr="00781112">
        <w:rPr>
          <w:rFonts w:cs="Arial"/>
          <w:color w:val="000000" w:themeColor="text1"/>
          <w:szCs w:val="16"/>
        </w:rPr>
        <w:t xml:space="preserve">.  </w:t>
      </w:r>
      <w:proofErr w:type="gramEnd"/>
      <w:r w:rsidRPr="00781112">
        <w:rPr>
          <w:rFonts w:cs="Arial"/>
          <w:color w:val="000000" w:themeColor="text1"/>
          <w:szCs w:val="16"/>
        </w:rPr>
        <w:t>The state is utilizing multiple district avenues for assisting LEAs in improving achievement</w:t>
      </w:r>
      <w:proofErr w:type="gramStart"/>
      <w:r w:rsidRPr="00781112">
        <w:rPr>
          <w:rFonts w:cs="Arial"/>
          <w:color w:val="000000" w:themeColor="text1"/>
          <w:szCs w:val="16"/>
        </w:rPr>
        <w:t xml:space="preserve">.  </w:t>
      </w:r>
      <w:proofErr w:type="gramEnd"/>
      <w:r w:rsidRPr="00781112">
        <w:rPr>
          <w:rFonts w:cs="Arial"/>
          <w:color w:val="000000" w:themeColor="text1"/>
          <w:szCs w:val="16"/>
        </w:rPr>
        <w:t>There have been more ATSI schools identified for students with disabilities</w:t>
      </w:r>
      <w:proofErr w:type="gramStart"/>
      <w:r w:rsidRPr="00781112">
        <w:rPr>
          <w:rFonts w:cs="Arial"/>
          <w:color w:val="000000" w:themeColor="text1"/>
          <w:szCs w:val="16"/>
        </w:rPr>
        <w:t xml:space="preserve">.  </w:t>
      </w:r>
      <w:proofErr w:type="gramEnd"/>
      <w:r w:rsidRPr="00781112">
        <w:rPr>
          <w:rFonts w:cs="Arial"/>
          <w:color w:val="000000" w:themeColor="text1"/>
          <w:szCs w:val="16"/>
        </w:rPr>
        <w:t>The SCDE is providing technical assistance to districts in understanding the data, making data-informed decisions to improve outcomes for students with disabilities.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5.86%</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3.57%</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9.30%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3.47%</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3.37%</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3.27%</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3.17%</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3.07%</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The SCDE received overwhelming feedback from stakeholders that there was an interest in changing our comparison method to the rates of suspensions and expulsions for children with IEPs to nondisabled children within the LEAs</w:t>
      </w:r>
      <w:proofErr w:type="gramStart"/>
      <w:r w:rsidRPr="00781112">
        <w:rPr>
          <w:rFonts w:cs="Arial"/>
          <w:color w:val="000000" w:themeColor="text1"/>
          <w:szCs w:val="16"/>
        </w:rPr>
        <w:t xml:space="preserve">.  </w:t>
      </w:r>
      <w:proofErr w:type="gramEnd"/>
      <w:r w:rsidRPr="00781112">
        <w:rPr>
          <w:rFonts w:cs="Arial"/>
          <w:color w:val="000000" w:themeColor="text1"/>
          <w:szCs w:val="16"/>
        </w:rPr>
        <w:t>The SCDE ran simulations for over the past four years for each LEA and shared that information with each LEA so they could make an informed decision</w:t>
      </w:r>
      <w:proofErr w:type="gramStart"/>
      <w:r w:rsidRPr="00781112">
        <w:rPr>
          <w:rFonts w:cs="Arial"/>
          <w:color w:val="000000" w:themeColor="text1"/>
          <w:szCs w:val="16"/>
        </w:rPr>
        <w:t xml:space="preserve">.  </w:t>
      </w:r>
      <w:proofErr w:type="gramEnd"/>
      <w:r w:rsidRPr="00781112">
        <w:rPr>
          <w:rFonts w:cs="Arial"/>
          <w:color w:val="000000" w:themeColor="text1"/>
          <w:szCs w:val="16"/>
        </w:rPr>
        <w:t>It was determined that the SCDE would revisit changing the comparison method next year</w:t>
      </w:r>
      <w:proofErr w:type="gramStart"/>
      <w:r w:rsidRPr="00781112">
        <w:rPr>
          <w:rFonts w:cs="Arial"/>
          <w:color w:val="000000" w:themeColor="text1"/>
          <w:szCs w:val="16"/>
        </w:rPr>
        <w:t xml:space="preserve">.  </w:t>
      </w:r>
      <w:proofErr w:type="gramEnd"/>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86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9.30%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3.47%</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12.79%</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 xml:space="preserve">The OSES reviewed the LEA-level policies, procedures, and practices. The two-part review includes a review of LEA-level policies and practices to ensure all required elements </w:t>
      </w:r>
      <w:proofErr w:type="gramStart"/>
      <w:r w:rsidRPr="00781112">
        <w:rPr>
          <w:rFonts w:cs="Arial"/>
          <w:color w:val="000000" w:themeColor="text1"/>
          <w:szCs w:val="16"/>
        </w:rPr>
        <w:t>are addressed</w:t>
      </w:r>
      <w:proofErr w:type="gramEnd"/>
      <w:r w:rsidRPr="00781112">
        <w:rPr>
          <w:rFonts w:cs="Arial"/>
          <w:color w:val="000000" w:themeColor="text1"/>
          <w:szCs w:val="16"/>
        </w:rPr>
        <w:t xml:space="preserve"> with a greater focus on practices than in previous monitoring. The first part includes a review of policies and procedures through a self-assessment. The second part includes the LEA </w:t>
      </w:r>
      <w:proofErr w:type="gramStart"/>
      <w:r w:rsidRPr="00781112">
        <w:rPr>
          <w:rFonts w:cs="Arial"/>
          <w:color w:val="000000" w:themeColor="text1"/>
          <w:szCs w:val="16"/>
        </w:rPr>
        <w:t>review</w:t>
      </w:r>
      <w:proofErr w:type="gramEnd"/>
      <w:r w:rsidRPr="00781112">
        <w:rPr>
          <w:rFonts w:cs="Arial"/>
          <w:color w:val="000000" w:themeColor="text1"/>
          <w:szCs w:val="16"/>
        </w:rPr>
        <w:t xml:space="preserve"> their records to ensure practices are appropriate. Once this two-part self-assessment has </w:t>
      </w:r>
      <w:proofErr w:type="gramStart"/>
      <w:r w:rsidRPr="00781112">
        <w:rPr>
          <w:rFonts w:cs="Arial"/>
          <w:color w:val="000000" w:themeColor="text1"/>
          <w:szCs w:val="16"/>
        </w:rPr>
        <w:t>been completed</w:t>
      </w:r>
      <w:proofErr w:type="gramEnd"/>
      <w:r w:rsidRPr="00781112">
        <w:rPr>
          <w:rFonts w:cs="Arial"/>
          <w:color w:val="000000" w:themeColor="text1"/>
          <w:szCs w:val="16"/>
        </w:rPr>
        <w:t xml:space="preserve"> and submitted to the OSES, staff at the agency reviewed the self-assessments results submitted by the LEA. The OSES has also noted the variation in data from year to year for this indicator. Additionally, the number of students removed for 10+ days decreased across the state (which lowered the denominator), thereby potentially increasing each LEA’s rate ratio</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For the 2020-2021 school year, </w:t>
      </w:r>
      <w:proofErr w:type="gramStart"/>
      <w:r w:rsidRPr="00781112">
        <w:rPr>
          <w:rFonts w:cs="Arial"/>
          <w:color w:val="000000" w:themeColor="text1"/>
          <w:szCs w:val="16"/>
        </w:rPr>
        <w:t>some</w:t>
      </w:r>
      <w:proofErr w:type="gramEnd"/>
      <w:r w:rsidRPr="00781112">
        <w:rPr>
          <w:rFonts w:cs="Arial"/>
          <w:color w:val="000000" w:themeColor="text1"/>
          <w:szCs w:val="16"/>
        </w:rPr>
        <w:t xml:space="preserve"> LEAs in the state were still virtual or hybrid for some of the year, which would allow for decreased suspensions of 10 or more days.</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Office of Special Education Services (OSES), identifies districts with significant discrepancies in the rates of long-term suspensions and expulsions through the following steps: Using data collected from Table 5 –Report of Children with Disabilities subject to Disciplinary Removals and Table 1 – Child Count (both from previous year), the OSES employs a rate ratio comparing the rate of students with IEPs in district x for receiving out-of-school suspensions totaling more than ten days to the rate of all students with IEPS in all districts.</w:t>
      </w:r>
      <w:r w:rsidRPr="00781112">
        <w:rPr>
          <w:rFonts w:cs="Arial"/>
          <w:color w:val="000000" w:themeColor="text1"/>
          <w:szCs w:val="16"/>
        </w:rPr>
        <w:br/>
      </w:r>
      <w:r w:rsidRPr="00781112">
        <w:rPr>
          <w:rFonts w:cs="Arial"/>
          <w:color w:val="000000" w:themeColor="text1"/>
          <w:szCs w:val="16"/>
        </w:rPr>
        <w:br/>
        <w:t>Formula Summary: {(Total students with IEPs in LEA with OSS days greater than 10) / (Total students with IEPs in LEA’s Child Count)} /{ (Total students with IEPs in State with OSS greater than 10 days) / (Total students with IEPs in State’s child count)}</w:t>
      </w:r>
      <w:r w:rsidRPr="00781112">
        <w:rPr>
          <w:rFonts w:cs="Arial"/>
          <w:color w:val="000000" w:themeColor="text1"/>
          <w:szCs w:val="16"/>
        </w:rPr>
        <w:br/>
      </w:r>
      <w:r w:rsidRPr="00781112">
        <w:rPr>
          <w:rFonts w:cs="Arial"/>
          <w:color w:val="000000" w:themeColor="text1"/>
          <w:szCs w:val="16"/>
        </w:rPr>
        <w:br/>
        <w:t>For the purposes of Indicator 4A, South Carolina defines significant discrepancy as any LEA that meets the following criteria: rate ratio exceeding 2.50, without respect to subgroup or group size, in the out-of-school suspension/expulsions of students with IEPs (comparing one LEA to all other LEAs in the state).</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SC has consulted with IDC for feedback on the self-assessments</w:t>
      </w:r>
      <w:proofErr w:type="gramStart"/>
      <w:r w:rsidRPr="00781112">
        <w:rPr>
          <w:rFonts w:cs="Arial"/>
          <w:color w:val="000000" w:themeColor="text1"/>
          <w:szCs w:val="16"/>
        </w:rPr>
        <w:t xml:space="preserve">.  </w:t>
      </w:r>
      <w:proofErr w:type="gramEnd"/>
      <w:r w:rsidRPr="00781112">
        <w:rPr>
          <w:rFonts w:cs="Arial"/>
          <w:color w:val="000000" w:themeColor="text1"/>
          <w:szCs w:val="16"/>
        </w:rPr>
        <w:t>IDC has provided TA on the calculations for the methodology options for significant discrepancy for stakeholders to consider.</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OSES implemented review process for significant discrepancy. The monitoring process is a two-part focused review and includes a self-assessment conducted by LEA personnel and includes an examination of practices in impacted student files. The LEAs meeting the trigger (rate ratio greater than 2.50) completed this self-assessment to determine if the trigger was met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noncompliance in the development and implementation of IEPs and/or the use of positive behavioral supports and procedural safeguards. If noncompliance </w:t>
      </w:r>
      <w:proofErr w:type="gramStart"/>
      <w:r w:rsidRPr="00781112">
        <w:rPr>
          <w:rFonts w:cs="Arial"/>
          <w:color w:val="000000" w:themeColor="text1"/>
          <w:szCs w:val="16"/>
        </w:rPr>
        <w:t>was found</w:t>
      </w:r>
      <w:proofErr w:type="gramEnd"/>
      <w:r w:rsidRPr="00781112">
        <w:rPr>
          <w:rFonts w:cs="Arial"/>
          <w:color w:val="000000" w:themeColor="text1"/>
          <w:szCs w:val="16"/>
        </w:rPr>
        <w:t>, corrective actions were imposed on the LEA.</w:t>
      </w:r>
      <w:r w:rsidRPr="00781112">
        <w:rPr>
          <w:rFonts w:cs="Arial"/>
          <w:color w:val="000000" w:themeColor="text1"/>
          <w:szCs w:val="16"/>
        </w:rPr>
        <w:br/>
      </w:r>
      <w:r w:rsidRPr="00781112">
        <w:rPr>
          <w:rFonts w:cs="Arial"/>
          <w:color w:val="000000" w:themeColor="text1"/>
          <w:szCs w:val="16"/>
        </w:rPr>
        <w:br/>
        <w:t xml:space="preserve">For Fall 2022, Parts 1A and 1B (Procedures and Records Reviews) were mandatory for all districts found to have significant discrepancy in Indicator 4. </w:t>
      </w:r>
      <w:r w:rsidRPr="00781112">
        <w:rPr>
          <w:rFonts w:cs="Arial"/>
          <w:color w:val="000000" w:themeColor="text1"/>
          <w:szCs w:val="16"/>
        </w:rPr>
        <w:lastRenderedPageBreak/>
        <w:t xml:space="preserve">Part 1 of the self-assessment is designed to determine if the LEA </w:t>
      </w:r>
      <w:proofErr w:type="gramStart"/>
      <w:r w:rsidRPr="00781112">
        <w:rPr>
          <w:rFonts w:cs="Arial"/>
          <w:color w:val="000000" w:themeColor="text1"/>
          <w:szCs w:val="16"/>
        </w:rPr>
        <w:t>is in compliance with</w:t>
      </w:r>
      <w:proofErr w:type="gramEnd"/>
      <w:r w:rsidRPr="00781112">
        <w:rPr>
          <w:rFonts w:cs="Arial"/>
          <w:color w:val="000000" w:themeColor="text1"/>
          <w:szCs w:val="16"/>
        </w:rPr>
        <w:t xml:space="preserve"> the following regulatory provisions of the IDEA:</w:t>
      </w:r>
      <w:r w:rsidRPr="00781112">
        <w:rPr>
          <w:rFonts w:cs="Arial"/>
          <w:color w:val="000000" w:themeColor="text1"/>
          <w:szCs w:val="16"/>
        </w:rPr>
        <w:br/>
        <w:t>1. Evaluation procedures (34 C.F.R. § 300.304)</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Development, review, and revision of IEP (34 C.F.R § 300.324)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Responsibility of SEA and other public agencies (34 C.F.R § on 300.500)</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Opportunity to examine records, parent participation in meetings (34 C.F.R § 300.501)</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Authority of school personnel (34 C.F.R § 300.530)</w:t>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Determination of setting (34 C.F.R § 300.531)</w:t>
      </w:r>
      <w:r w:rsidRPr="00781112">
        <w:rPr>
          <w:rFonts w:cs="Arial"/>
          <w:color w:val="000000" w:themeColor="text1"/>
          <w:szCs w:val="16"/>
        </w:rPr>
        <w:br/>
      </w:r>
      <w:r w:rsidRPr="00781112">
        <w:rPr>
          <w:rFonts w:cs="Arial"/>
          <w:color w:val="000000" w:themeColor="text1"/>
          <w:szCs w:val="16"/>
        </w:rPr>
        <w:br/>
        <w:t xml:space="preserve">When reviewing policies, procedures, and practices, the LEA </w:t>
      </w:r>
      <w:proofErr w:type="gramStart"/>
      <w:r w:rsidRPr="00781112">
        <w:rPr>
          <w:rFonts w:cs="Arial"/>
          <w:color w:val="000000" w:themeColor="text1"/>
          <w:szCs w:val="16"/>
        </w:rPr>
        <w:t>was encouraged</w:t>
      </w:r>
      <w:proofErr w:type="gramEnd"/>
      <w:r w:rsidRPr="00781112">
        <w:rPr>
          <w:rFonts w:cs="Arial"/>
          <w:color w:val="000000" w:themeColor="text1"/>
          <w:szCs w:val="16"/>
        </w:rPr>
        <w:t xml:space="preserve"> to convene a team of stakeholders to complete the review. Appropriate stakeholders could include general and special education teachers, building principals, curriculum and instruction representative, school psychologist, student support services representative, and school improvement representative.</w:t>
      </w:r>
      <w:r w:rsidRPr="00781112">
        <w:rPr>
          <w:rFonts w:cs="Arial"/>
          <w:color w:val="000000" w:themeColor="text1"/>
          <w:szCs w:val="16"/>
        </w:rPr>
        <w:br/>
      </w:r>
      <w:r w:rsidRPr="00781112">
        <w:rPr>
          <w:rFonts w:cs="Arial"/>
          <w:color w:val="000000" w:themeColor="text1"/>
          <w:szCs w:val="16"/>
        </w:rPr>
        <w:br/>
        <w:t>Part 1A: Compliance Review: The Compliance Review process (Part 1A and 1B) includes two parts: Part 1A is the review of written policies and procedures related to evaluation procedures; development, review, and revision of IEP; responsibility of SEA and other public agencies; opportunity to examine records, parent participation in meetings; authority of school personnel; and determination of setting regulations under the IDEA. The LEA reviewed its existing policies and indicated whether its written policies and procedures address each specific regulatory requirement. The LEA had to explain any requirement that is not reflected in its policies.</w:t>
      </w:r>
      <w:r w:rsidRPr="00781112">
        <w:rPr>
          <w:rFonts w:cs="Arial"/>
          <w:color w:val="000000" w:themeColor="text1"/>
          <w:szCs w:val="16"/>
        </w:rPr>
        <w:br/>
      </w:r>
      <w:r w:rsidRPr="00781112">
        <w:rPr>
          <w:rFonts w:cs="Arial"/>
          <w:color w:val="000000" w:themeColor="text1"/>
          <w:szCs w:val="16"/>
        </w:rPr>
        <w:br/>
        <w:t xml:space="preserve">Part 1B included the records review for an LEA-selected sample of appropriate student files during the impacted school year (July 1, 2020– June 30, 2021).Up to </w:t>
      </w:r>
      <w:proofErr w:type="gramStart"/>
      <w:r w:rsidRPr="00781112">
        <w:rPr>
          <w:rFonts w:cs="Arial"/>
          <w:color w:val="000000" w:themeColor="text1"/>
          <w:szCs w:val="16"/>
        </w:rPr>
        <w:t>5</w:t>
      </w:r>
      <w:proofErr w:type="gramEnd"/>
      <w:r w:rsidRPr="00781112">
        <w:rPr>
          <w:rFonts w:cs="Arial"/>
          <w:color w:val="000000" w:themeColor="text1"/>
          <w:szCs w:val="16"/>
        </w:rPr>
        <w:t xml:space="preserve"> files per category will be reviewed. </w:t>
      </w:r>
      <w:r w:rsidRPr="00781112">
        <w:rPr>
          <w:rFonts w:cs="Arial"/>
          <w:color w:val="000000" w:themeColor="text1"/>
          <w:szCs w:val="16"/>
        </w:rPr>
        <w:br/>
      </w:r>
      <w:r w:rsidRPr="00781112">
        <w:rPr>
          <w:rFonts w:cs="Arial"/>
          <w:color w:val="000000" w:themeColor="text1"/>
          <w:szCs w:val="16"/>
        </w:rPr>
        <w:br/>
        <w:t>Potential sources of documentation for review included, but were not limited to, Meeting Notices, Prior Written Notices, discipline records, Manifestation Determination Reviews, Functional Behavior Assessments, Behavior Intervention Plans, progress reports, services logs, and teacher observations and interviews, attendance records, and IEPs.</w:t>
      </w:r>
      <w:r w:rsidRPr="00781112">
        <w:rPr>
          <w:rFonts w:cs="Arial"/>
          <w:color w:val="000000" w:themeColor="text1"/>
          <w:szCs w:val="16"/>
        </w:rPr>
        <w:br/>
      </w:r>
      <w:r w:rsidRPr="00781112">
        <w:rPr>
          <w:rFonts w:cs="Arial"/>
          <w:color w:val="000000" w:themeColor="text1"/>
          <w:szCs w:val="16"/>
        </w:rPr>
        <w:br/>
        <w:t>Upon completion of both reviews, the LEAs submitted the completed Self-Assessment, and results of the file reviews to the OSES. OSES staff knowledgeable in these areas reviewed the LEA’s responses and issued findings letters of compliance or noncompliance based on the LEA responses to the self-assessments. If the LEA was noncompliant in any area, a letter with specific corrective activities was also issued.</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 xml:space="preserve">The State DID ensure that such policies, procedures, and practices </w:t>
      </w:r>
      <w:proofErr w:type="gramStart"/>
      <w:r w:rsidRPr="00781112">
        <w:rPr>
          <w:rFonts w:cs="Arial"/>
          <w:color w:val="000000" w:themeColor="text1"/>
          <w:szCs w:val="16"/>
        </w:rPr>
        <w:t>were revised</w:t>
      </w:r>
      <w:proofErr w:type="gramEnd"/>
      <w:r w:rsidRPr="00781112">
        <w:rPr>
          <w:rFonts w:cs="Arial"/>
          <w:color w:val="000000" w:themeColor="text1"/>
          <w:szCs w:val="16"/>
        </w:rPr>
        <w:t xml:space="preserve">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 xml:space="preserve">Describe how the State ensured that such policies, procedures, and practices </w:t>
      </w:r>
      <w:proofErr w:type="gramStart"/>
      <w:r w:rsidRPr="00781112">
        <w:rPr>
          <w:rFonts w:cs="Arial"/>
          <w:b/>
          <w:color w:val="000000" w:themeColor="text1"/>
          <w:szCs w:val="16"/>
        </w:rPr>
        <w:t>were revised</w:t>
      </w:r>
      <w:proofErr w:type="gramEnd"/>
      <w:r w:rsidRPr="00781112">
        <w:rPr>
          <w:rFonts w:cs="Arial"/>
          <w:b/>
          <w:color w:val="000000" w:themeColor="text1"/>
          <w:szCs w:val="16"/>
        </w:rPr>
        <w:t xml:space="preserve">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Upon completion of both reviews, the LEAs submitted the completed self-assessment and results of the file reviews to the OSES. OSES staff knowledgeable in these areas reviewed the LEA’s responses and issued findings letters of compliance or noncompliance.</w:t>
      </w:r>
      <w:r w:rsidRPr="00781112">
        <w:rPr>
          <w:rFonts w:cs="Arial"/>
          <w:color w:val="000000" w:themeColor="text1"/>
          <w:szCs w:val="16"/>
        </w:rPr>
        <w:br/>
      </w:r>
      <w:r w:rsidRPr="00781112">
        <w:rPr>
          <w:rFonts w:cs="Arial"/>
          <w:color w:val="000000" w:themeColor="text1"/>
          <w:szCs w:val="16"/>
        </w:rPr>
        <w:br/>
        <w:t>In review of LEAs's of policies, procedures, and practices revealed noncompliance. The LEAs have been notified in writing of the findings of noncompliance and of the actions necessary for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The State’s verification of applicable LEA corrections remains outstanding and is in-progress to ensure completion by the FFY2022 SPP/APR submission deadline, February 1, 2024.</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1EB748E7" w14:textId="727FD654" w:rsidR="000C7B90" w:rsidRPr="00781112" w:rsidRDefault="00450F98" w:rsidP="004369B2">
      <w:pPr>
        <w:rPr>
          <w:color w:val="000000" w:themeColor="text1"/>
        </w:rPr>
      </w:pPr>
      <w:r>
        <w:rPr>
          <w:b/>
          <w:color w:val="000000" w:themeColor="text1"/>
        </w:rPr>
        <w:t>FFY 2020 Findings of Noncompliance Not Yet Verified as Corrected</w:t>
      </w:r>
    </w:p>
    <w:p w14:paraId="78748A8D" w14:textId="77777777" w:rsidR="000C7B90" w:rsidRPr="00781112" w:rsidRDefault="000C7B90" w:rsidP="000C7B90">
      <w:pPr>
        <w:rPr>
          <w:rFonts w:cs="Arial"/>
          <w:b/>
          <w:color w:val="000000" w:themeColor="text1"/>
          <w:szCs w:val="16"/>
        </w:rPr>
      </w:pPr>
      <w:r w:rsidRPr="00781112">
        <w:rPr>
          <w:rFonts w:cs="Arial"/>
          <w:b/>
          <w:color w:val="000000" w:themeColor="text1"/>
          <w:szCs w:val="16"/>
        </w:rPr>
        <w:t>Actions taken if noncompliance not corrected</w:t>
      </w:r>
    </w:p>
    <w:p w14:paraId="27F8952E" w14:textId="020C1A91" w:rsidR="002D57DA" w:rsidRPr="00781112" w:rsidRDefault="002B7490" w:rsidP="000C7B90">
      <w:pPr>
        <w:rPr>
          <w:rFonts w:cs="Arial"/>
          <w:color w:val="000000" w:themeColor="text1"/>
          <w:szCs w:val="16"/>
        </w:rPr>
      </w:pPr>
      <w:r w:rsidRPr="00781112">
        <w:rPr>
          <w:rFonts w:cs="Arial"/>
          <w:color w:val="000000" w:themeColor="text1"/>
          <w:szCs w:val="16"/>
        </w:rPr>
        <w:t>The state is completing a data review of subsequent data. If any LEAs continue to show noncompliance, they will receive technical assistance coupled with quarterly monitoring and data reviews during the 2023-2024 school year to ensure they are working towards achieving correct implementation of the regulatory requirements.</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 xml:space="preserve">The State must report, in the FFY 2021 SPP/APR, on the correction of noncompliance that the State identified in FFY 2020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For each individual case of noncompliance, the LEA had to make the correction, through the IEP process (annual or amendment), with a PWN</w:t>
      </w:r>
      <w:proofErr w:type="gramStart"/>
      <w:r w:rsidRPr="00781112">
        <w:rPr>
          <w:rFonts w:cs="Arial"/>
          <w:color w:val="000000" w:themeColor="text1"/>
          <w:szCs w:val="16"/>
        </w:rPr>
        <w:t xml:space="preserve">.  </w:t>
      </w:r>
      <w:proofErr w:type="gramEnd"/>
      <w:r w:rsidRPr="00781112">
        <w:rPr>
          <w:rFonts w:cs="Arial"/>
          <w:color w:val="000000" w:themeColor="text1"/>
          <w:szCs w:val="16"/>
        </w:rPr>
        <w:t>Then, the LEA had to upload the corrected portion(s) to the OSES' secure portal ADT</w:t>
      </w:r>
      <w:proofErr w:type="gramStart"/>
      <w:r w:rsidRPr="00781112">
        <w:rPr>
          <w:rFonts w:cs="Arial"/>
          <w:color w:val="000000" w:themeColor="text1"/>
          <w:szCs w:val="16"/>
        </w:rPr>
        <w:t xml:space="preserve">.  </w:t>
      </w:r>
      <w:proofErr w:type="gramEnd"/>
      <w:r w:rsidRPr="00781112">
        <w:rPr>
          <w:rFonts w:cs="Arial"/>
          <w:color w:val="000000" w:themeColor="text1"/>
          <w:szCs w:val="16"/>
        </w:rPr>
        <w:t>At that point, at least two team members from the Integrated Monitoring/Compliance team reviewed the forms submitted to determine if the IEP is now in compliance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If it was not, the team reached back out to the LEA to continue to discuss the needed corrections. Once the files </w:t>
      </w:r>
      <w:proofErr w:type="gramStart"/>
      <w:r w:rsidRPr="00781112">
        <w:rPr>
          <w:rFonts w:cs="Arial"/>
          <w:color w:val="000000" w:themeColor="text1"/>
          <w:szCs w:val="16"/>
        </w:rPr>
        <w:t>were verified</w:t>
      </w:r>
      <w:proofErr w:type="gramEnd"/>
      <w:r w:rsidRPr="00781112">
        <w:rPr>
          <w:rFonts w:cs="Arial"/>
          <w:color w:val="000000" w:themeColor="text1"/>
          <w:szCs w:val="16"/>
        </w:rPr>
        <w:t xml:space="preserve"> as corrected, the LEA received a notification of verification, indicating that corrections had been made. </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The State must report, in the FFY 2022 SPP/APR, on the correction of noncompliance that the State identified in FFY 2021and FFY 2020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48C1BD33" w14:textId="77777777" w:rsidR="00AB008C" w:rsidRPr="00781112" w:rsidRDefault="00AB008C"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265A64AB" w14:textId="77777777" w:rsidR="00AB008C" w:rsidRPr="00781112" w:rsidRDefault="00AB008C"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2.30%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14.29%</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84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11.90%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A rate ratio exceeding 2.50 in the out-of-school suspensions/expulsions (OSS) greater than 10 days of students with IEPs, by each race/ethnicity. Rate ratios provide a comparison of districts’ rates of suspensions/expulsions for students with IEPs to the state’s rate of suspensions/expulsions for students with IEPs. Rate ratios </w:t>
      </w:r>
      <w:proofErr w:type="gramStart"/>
      <w:r w:rsidRPr="00781112">
        <w:rPr>
          <w:rFonts w:cs="Arial"/>
          <w:color w:val="000000" w:themeColor="text1"/>
          <w:szCs w:val="16"/>
        </w:rPr>
        <w:t>are only calculated</w:t>
      </w:r>
      <w:proofErr w:type="gramEnd"/>
      <w:r w:rsidRPr="00781112">
        <w:rPr>
          <w:rFonts w:cs="Arial"/>
          <w:color w:val="000000" w:themeColor="text1"/>
          <w:szCs w:val="16"/>
        </w:rPr>
        <w:t xml:space="preserve"> when the number of children with IEPs within a racial/ethnic group is greater than or equal to 10 (i.e., minimum n–size = 10). Methodology: The Office of Special Education Services (OSES) identifies districts with significant discrepancies in the rates of Out of School Suspensions and expulsions (OSS) through the following steps: Using data collected from Table 5 –Report of Children with Disabilities subject to Disciplinary Removals and Table 1 – Child Count (both from previous year), the OSES employs a rate ratio comparing the rate of students of racial/ethnic group y in district x for receiving out-of-school totaling more than ten days to the rate of all students with IEPs in all districts within the state. This </w:t>
      </w:r>
      <w:proofErr w:type="gramStart"/>
      <w:r w:rsidRPr="00781112">
        <w:rPr>
          <w:rFonts w:cs="Arial"/>
          <w:color w:val="000000" w:themeColor="text1"/>
          <w:szCs w:val="16"/>
        </w:rPr>
        <w:t>is done</w:t>
      </w:r>
      <w:proofErr w:type="gramEnd"/>
      <w:r w:rsidRPr="00781112">
        <w:rPr>
          <w:rFonts w:cs="Arial"/>
          <w:color w:val="000000" w:themeColor="text1"/>
          <w:szCs w:val="16"/>
        </w:rPr>
        <w:t xml:space="preserve"> for each of the seven required racial/ethnic groups. </w:t>
      </w:r>
      <w:r w:rsidRPr="00781112">
        <w:rPr>
          <w:rFonts w:cs="Arial"/>
          <w:color w:val="000000" w:themeColor="text1"/>
          <w:szCs w:val="16"/>
        </w:rPr>
        <w:br/>
      </w:r>
      <w:r w:rsidRPr="00781112">
        <w:rPr>
          <w:rFonts w:cs="Arial"/>
          <w:color w:val="000000" w:themeColor="text1"/>
          <w:szCs w:val="16"/>
        </w:rPr>
        <w:br/>
        <w:t xml:space="preserve">{(Total students with IEPs in racial/ethnic group in LEA with OSS days greater than 10) / (Total students with IEPs in racial/ethnic group in LEA’s Child Count)} /{ (Total students with IEPs in State with OSS greater than 10 days) / (Total students with IEPs in State’s child count)} For each LEA, rate ratios are calculated for each of the seven required reporting race ethnicities including: • American Indian or Alaska Native • Asian • Black or African American • Hispanic/Latino • Native Hawaiian or Other Pacific Islander • Two or more races • White </w:t>
      </w:r>
      <w:r w:rsidRPr="00781112">
        <w:rPr>
          <w:rFonts w:cs="Arial"/>
          <w:color w:val="000000" w:themeColor="text1"/>
          <w:szCs w:val="16"/>
        </w:rPr>
        <w:br/>
      </w:r>
      <w:r w:rsidRPr="00781112">
        <w:rPr>
          <w:rFonts w:cs="Arial"/>
          <w:color w:val="000000" w:themeColor="text1"/>
          <w:szCs w:val="16"/>
        </w:rPr>
        <w:br/>
        <w:t xml:space="preserve">Significant discrepancy exists when any of the seven race/ethnicity rate ratios exceeds 2.50. Rate ratios </w:t>
      </w:r>
      <w:proofErr w:type="gramStart"/>
      <w:r w:rsidRPr="00781112">
        <w:rPr>
          <w:rFonts w:cs="Arial"/>
          <w:color w:val="000000" w:themeColor="text1"/>
          <w:szCs w:val="16"/>
        </w:rPr>
        <w:t>are only calculated</w:t>
      </w:r>
      <w:proofErr w:type="gramEnd"/>
      <w:r w:rsidRPr="00781112">
        <w:rPr>
          <w:rFonts w:cs="Arial"/>
          <w:color w:val="000000" w:themeColor="text1"/>
          <w:szCs w:val="16"/>
        </w:rPr>
        <w:t xml:space="preserve"> when the number of students with IEPs in a racial/ethnic group in an LEA is greater than or equal to 10.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The OSES implemented review process for significant discrepancy. The monitoring process is a two-part focused review and includes a self-assessment conducted by LEA personnel and includes an examination of practices in impacted student files. The LEAs meeting the trigger (rate ratio greater than </w:t>
      </w:r>
      <w:r w:rsidRPr="00781112">
        <w:rPr>
          <w:rFonts w:cs="Arial"/>
          <w:color w:val="000000" w:themeColor="text1"/>
          <w:szCs w:val="16"/>
        </w:rPr>
        <w:lastRenderedPageBreak/>
        <w:t xml:space="preserve">2.50) completed this self-assessment to determine if the trigger was met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noncompliance in the development and implementation of IEPs and/or the use of positive behavioral supports and procedural safeguards. If noncompliance </w:t>
      </w:r>
      <w:proofErr w:type="gramStart"/>
      <w:r w:rsidRPr="00781112">
        <w:rPr>
          <w:rFonts w:cs="Arial"/>
          <w:color w:val="000000" w:themeColor="text1"/>
          <w:szCs w:val="16"/>
        </w:rPr>
        <w:t>was found</w:t>
      </w:r>
      <w:proofErr w:type="gramEnd"/>
      <w:r w:rsidRPr="00781112">
        <w:rPr>
          <w:rFonts w:cs="Arial"/>
          <w:color w:val="000000" w:themeColor="text1"/>
          <w:szCs w:val="16"/>
        </w:rPr>
        <w:t>, corrective actions were imposed on the LEA.</w:t>
      </w:r>
      <w:r w:rsidRPr="00781112">
        <w:rPr>
          <w:rFonts w:cs="Arial"/>
          <w:color w:val="000000" w:themeColor="text1"/>
          <w:szCs w:val="16"/>
        </w:rPr>
        <w:br/>
      </w:r>
      <w:r w:rsidRPr="00781112">
        <w:rPr>
          <w:rFonts w:cs="Arial"/>
          <w:color w:val="000000" w:themeColor="text1"/>
          <w:szCs w:val="16"/>
        </w:rPr>
        <w:br/>
        <w:t xml:space="preserve">For Fall 2022, Parts 1A and 1B (Procedures and Records Reviews) were mandatory for all districts found to have significant discrepancy in Indicator 4. Part 1 of the self-assessment is designed to determine if the LEA </w:t>
      </w:r>
      <w:proofErr w:type="gramStart"/>
      <w:r w:rsidRPr="00781112">
        <w:rPr>
          <w:rFonts w:cs="Arial"/>
          <w:color w:val="000000" w:themeColor="text1"/>
          <w:szCs w:val="16"/>
        </w:rPr>
        <w:t>is in compliance with</w:t>
      </w:r>
      <w:proofErr w:type="gramEnd"/>
      <w:r w:rsidRPr="00781112">
        <w:rPr>
          <w:rFonts w:cs="Arial"/>
          <w:color w:val="000000" w:themeColor="text1"/>
          <w:szCs w:val="16"/>
        </w:rPr>
        <w:t xml:space="preserve"> the following regulatory provisions of the IDEA:</w:t>
      </w:r>
      <w:r w:rsidRPr="00781112">
        <w:rPr>
          <w:rFonts w:cs="Arial"/>
          <w:color w:val="000000" w:themeColor="text1"/>
          <w:szCs w:val="16"/>
        </w:rPr>
        <w:br/>
        <w:t>1. Evaluation procedures (34 C.F.R. § 300.304)</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Development, review, and revision of IEP (34 C.F.R § 300.324)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Responsibility of SEA and other public agencies (34 C.F.R § on 300.500)</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Opportunity to examine records, parent participation in meetings (34 C.F.R § 300.501)</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Authority of school personnel (34 C.F.R § 300.530)</w:t>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Determination of setting (34 C.F.R § 300.531)</w:t>
      </w:r>
      <w:r w:rsidRPr="00781112">
        <w:rPr>
          <w:rFonts w:cs="Arial"/>
          <w:color w:val="000000" w:themeColor="text1"/>
          <w:szCs w:val="16"/>
        </w:rPr>
        <w:br/>
      </w:r>
      <w:r w:rsidRPr="00781112">
        <w:rPr>
          <w:rFonts w:cs="Arial"/>
          <w:color w:val="000000" w:themeColor="text1"/>
          <w:szCs w:val="16"/>
        </w:rPr>
        <w:br/>
        <w:t xml:space="preserve">When reviewing policies, procedures, and practices, the LEA </w:t>
      </w:r>
      <w:proofErr w:type="gramStart"/>
      <w:r w:rsidRPr="00781112">
        <w:rPr>
          <w:rFonts w:cs="Arial"/>
          <w:color w:val="000000" w:themeColor="text1"/>
          <w:szCs w:val="16"/>
        </w:rPr>
        <w:t>was encouraged</w:t>
      </w:r>
      <w:proofErr w:type="gramEnd"/>
      <w:r w:rsidRPr="00781112">
        <w:rPr>
          <w:rFonts w:cs="Arial"/>
          <w:color w:val="000000" w:themeColor="text1"/>
          <w:szCs w:val="16"/>
        </w:rPr>
        <w:t xml:space="preserve"> to convene a team of stakeholders to complete the review. Appropriate stakeholders could include general and special education teachers, building principals, curriculum and instruction representative, school psychologist, student support services representative, and school improvement representative.</w:t>
      </w:r>
      <w:r w:rsidRPr="00781112">
        <w:rPr>
          <w:rFonts w:cs="Arial"/>
          <w:color w:val="000000" w:themeColor="text1"/>
          <w:szCs w:val="16"/>
        </w:rPr>
        <w:br/>
      </w:r>
      <w:r w:rsidRPr="00781112">
        <w:rPr>
          <w:rFonts w:cs="Arial"/>
          <w:color w:val="000000" w:themeColor="text1"/>
          <w:szCs w:val="16"/>
        </w:rPr>
        <w:br/>
        <w:t>Part 1A: Compliance Review: The Compliance Review process (Part 1A and 1B) includes two parts: Part 1A is the review of written policies and procedures related to evaluation procedures; development, review, and revision of IEP; responsibility of SEA and other public agencies; opportunity to examine records, parent participation in meetings; authority of school personnel; and determination of setting regulations under the IDEA. The LEA reviewed its existing policies and indicated whether its written policies and procedures address each specific regulatory requirement. The LEA had to explain any requirement that is not reflected in its policies.</w:t>
      </w:r>
      <w:r w:rsidRPr="00781112">
        <w:rPr>
          <w:rFonts w:cs="Arial"/>
          <w:color w:val="000000" w:themeColor="text1"/>
          <w:szCs w:val="16"/>
        </w:rPr>
        <w:br/>
      </w:r>
      <w:r w:rsidRPr="00781112">
        <w:rPr>
          <w:rFonts w:cs="Arial"/>
          <w:color w:val="000000" w:themeColor="text1"/>
          <w:szCs w:val="16"/>
        </w:rPr>
        <w:br/>
        <w:t xml:space="preserve">Part 1B included the records review for an LEA-selected sample of appropriate student files during the impacted school year (July 1, 2020– June 30, 2021).Up to </w:t>
      </w:r>
      <w:proofErr w:type="gramStart"/>
      <w:r w:rsidRPr="00781112">
        <w:rPr>
          <w:rFonts w:cs="Arial"/>
          <w:color w:val="000000" w:themeColor="text1"/>
          <w:szCs w:val="16"/>
        </w:rPr>
        <w:t>5</w:t>
      </w:r>
      <w:proofErr w:type="gramEnd"/>
      <w:r w:rsidRPr="00781112">
        <w:rPr>
          <w:rFonts w:cs="Arial"/>
          <w:color w:val="000000" w:themeColor="text1"/>
          <w:szCs w:val="16"/>
        </w:rPr>
        <w:t xml:space="preserve"> files per category will be reviewed. </w:t>
      </w:r>
      <w:r w:rsidRPr="00781112">
        <w:rPr>
          <w:rFonts w:cs="Arial"/>
          <w:color w:val="000000" w:themeColor="text1"/>
          <w:szCs w:val="16"/>
        </w:rPr>
        <w:br/>
      </w:r>
      <w:r w:rsidRPr="00781112">
        <w:rPr>
          <w:rFonts w:cs="Arial"/>
          <w:color w:val="000000" w:themeColor="text1"/>
          <w:szCs w:val="16"/>
        </w:rPr>
        <w:br/>
        <w:t>Potential sources of documentation for review included, but were not limited to, Meeting Notices, Prior Written Notices, discipline records, Manifestation Determination Reviews, Functional Behavior Assessments, Behavior Intervention Plans, progress reports, services logs, and teacher observations and interviews, attendance records, and IEPs.</w:t>
      </w:r>
      <w:r w:rsidRPr="00781112">
        <w:rPr>
          <w:rFonts w:cs="Arial"/>
          <w:color w:val="000000" w:themeColor="text1"/>
          <w:szCs w:val="16"/>
        </w:rPr>
        <w:br/>
      </w:r>
      <w:r w:rsidRPr="00781112">
        <w:rPr>
          <w:rFonts w:cs="Arial"/>
          <w:color w:val="000000" w:themeColor="text1"/>
          <w:szCs w:val="16"/>
        </w:rPr>
        <w:br/>
        <w:t>Upon completion of both reviews, the LEAs submitted the completed Self-Assessment, and results of the file reviews to the OSES. OSES staff knowledgeable in these areas reviewed the LEA’s responses and issued findings letters of compliance or noncompliance based on the LEA responses to the self-assessments. If the LEA was noncompliant in any area, a letter with specific corrective activities was also issued.</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ensure that such policies, procedures, and practices </w:t>
      </w:r>
      <w:proofErr w:type="gramStart"/>
      <w:r w:rsidRPr="00781112">
        <w:rPr>
          <w:rFonts w:cs="Arial"/>
          <w:color w:val="000000" w:themeColor="text1"/>
          <w:szCs w:val="16"/>
        </w:rPr>
        <w:t>were revised</w:t>
      </w:r>
      <w:proofErr w:type="gramEnd"/>
      <w:r w:rsidRPr="00781112">
        <w:rPr>
          <w:rFonts w:cs="Arial"/>
          <w:color w:val="000000" w:themeColor="text1"/>
          <w:szCs w:val="16"/>
        </w:rPr>
        <w:t xml:space="preserve"> to comply with applicable requirements consistent with OSEP Memorandum 09-02, dated October 17, 2008.</w:t>
      </w:r>
    </w:p>
    <w:p w14:paraId="05F2346A" w14:textId="4CE75F50" w:rsidR="002D57DA" w:rsidRPr="00781112" w:rsidRDefault="002D57DA" w:rsidP="001011BB">
      <w:pPr>
        <w:tabs>
          <w:tab w:val="left" w:pos="4060"/>
        </w:tabs>
        <w:rPr>
          <w:rFonts w:cs="Arial"/>
          <w:b/>
          <w:color w:val="000000" w:themeColor="text1"/>
          <w:szCs w:val="16"/>
        </w:rPr>
      </w:pPr>
      <w:r w:rsidRPr="00781112">
        <w:rPr>
          <w:rFonts w:cs="Arial"/>
          <w:b/>
          <w:color w:val="000000" w:themeColor="text1"/>
          <w:szCs w:val="16"/>
        </w:rPr>
        <w:t xml:space="preserve">The State must report on the correction of noncompliance in next year's SPP/APR consistent with requirements in the Measurement Table and OSEP Memorandum 09-02, dated October 17, 2008. Please explain why the State did not ensure that policies, procedures, and practices </w:t>
      </w:r>
      <w:proofErr w:type="gramStart"/>
      <w:r w:rsidRPr="00781112">
        <w:rPr>
          <w:rFonts w:cs="Arial"/>
          <w:b/>
          <w:color w:val="000000" w:themeColor="text1"/>
          <w:szCs w:val="16"/>
        </w:rPr>
        <w:t>were revised</w:t>
      </w:r>
      <w:proofErr w:type="gramEnd"/>
      <w:r w:rsidRPr="00781112">
        <w:rPr>
          <w:rFonts w:cs="Arial"/>
          <w:b/>
          <w:color w:val="000000" w:themeColor="text1"/>
          <w:szCs w:val="16"/>
        </w:rPr>
        <w:t xml:space="preserve"> to comply with applicable requirements</w:t>
      </w:r>
      <w:r w:rsidRPr="00781112">
        <w:rPr>
          <w:rFonts w:cs="Arial"/>
          <w:b/>
          <w:i/>
          <w:color w:val="000000" w:themeColor="text1"/>
          <w:szCs w:val="16"/>
        </w:rPr>
        <w:t>.</w:t>
      </w:r>
    </w:p>
    <w:p w14:paraId="37D189B8" w14:textId="50DC6514" w:rsidR="002D57DA" w:rsidRPr="00781112" w:rsidRDefault="002B7490" w:rsidP="001011BB">
      <w:pPr>
        <w:tabs>
          <w:tab w:val="left" w:pos="4060"/>
        </w:tabs>
        <w:rPr>
          <w:rFonts w:cs="Arial"/>
          <w:color w:val="000000" w:themeColor="text1"/>
          <w:szCs w:val="16"/>
        </w:rPr>
      </w:pPr>
      <w:r w:rsidRPr="00781112">
        <w:rPr>
          <w:rFonts w:cs="Arial"/>
          <w:color w:val="000000" w:themeColor="text1"/>
          <w:szCs w:val="16"/>
        </w:rPr>
        <w:t>Upon completion of both reviews, the LEAs submitted the completed self-assessment and results of the file reviews to the OSES. OSES staff knowledgeable in these areas reviewed the LEA’s responses and issued findings letters of compliance or noncompliance.</w:t>
      </w:r>
      <w:r w:rsidRPr="00781112">
        <w:rPr>
          <w:rFonts w:cs="Arial"/>
          <w:color w:val="000000" w:themeColor="text1"/>
          <w:szCs w:val="16"/>
        </w:rPr>
        <w:br/>
      </w:r>
      <w:r w:rsidRPr="00781112">
        <w:rPr>
          <w:rFonts w:cs="Arial"/>
          <w:color w:val="000000" w:themeColor="text1"/>
          <w:szCs w:val="16"/>
        </w:rPr>
        <w:br/>
        <w:t xml:space="preserve">Fifteen of the LEAs' reviews of policies, procedures, and practices revealed no noncompliance. Ten of the LEAs were issued findings of noncompliance related to policies, procedures, and/or practices. The LEAs have </w:t>
      </w:r>
      <w:proofErr w:type="gramStart"/>
      <w:r w:rsidRPr="00781112">
        <w:rPr>
          <w:rFonts w:cs="Arial"/>
          <w:color w:val="000000" w:themeColor="text1"/>
          <w:szCs w:val="16"/>
        </w:rPr>
        <w:t>been notified</w:t>
      </w:r>
      <w:proofErr w:type="gramEnd"/>
      <w:r w:rsidRPr="00781112">
        <w:rPr>
          <w:rFonts w:cs="Arial"/>
          <w:color w:val="000000" w:themeColor="text1"/>
          <w:szCs w:val="16"/>
        </w:rPr>
        <w:t xml:space="preserve"> in writing of the findings of noncompliance and of the actions necessary to correct those; LEAs and are still within their one year of correction. The corrections will </w:t>
      </w:r>
      <w:proofErr w:type="gramStart"/>
      <w:r w:rsidRPr="00781112">
        <w:rPr>
          <w:rFonts w:cs="Arial"/>
          <w:color w:val="000000" w:themeColor="text1"/>
          <w:szCs w:val="16"/>
        </w:rPr>
        <w:t>be verified</w:t>
      </w:r>
      <w:proofErr w:type="gramEnd"/>
      <w:r w:rsidRPr="00781112">
        <w:rPr>
          <w:rFonts w:cs="Arial"/>
          <w:color w:val="000000" w:themeColor="text1"/>
          <w:szCs w:val="16"/>
        </w:rPr>
        <w:t xml:space="preserve"> and reported on in the FY22 APR</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r>
    </w:tbl>
    <w:p w14:paraId="5BC3D66F" w14:textId="53855004" w:rsidR="009A755E" w:rsidRPr="00781112" w:rsidRDefault="00450F98" w:rsidP="004369B2">
      <w:pPr>
        <w:rPr>
          <w:color w:val="000000" w:themeColor="text1"/>
        </w:rPr>
      </w:pPr>
      <w:r>
        <w:rPr>
          <w:b/>
          <w:color w:val="000000" w:themeColor="text1"/>
        </w:rPr>
        <w:t>FFY 2020 Findings of Noncompliance Not Yet Verified as Corrected</w:t>
      </w:r>
    </w:p>
    <w:p w14:paraId="030658B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12F0905F" w14:textId="284CAFD4" w:rsidR="003C308E" w:rsidRPr="00781112" w:rsidRDefault="002B7490" w:rsidP="009A755E">
      <w:pPr>
        <w:rPr>
          <w:rFonts w:cs="Arial"/>
          <w:color w:val="000000" w:themeColor="text1"/>
          <w:szCs w:val="16"/>
        </w:rPr>
      </w:pPr>
      <w:r w:rsidRPr="00781112">
        <w:rPr>
          <w:rFonts w:cs="Arial"/>
          <w:color w:val="000000" w:themeColor="text1"/>
          <w:szCs w:val="16"/>
        </w:rPr>
        <w:t>The state is completing a data review of subsequent data. If any LEAs continue to show noncompliance, they will receive technical assistance coupled with quarterly monitoring and data reviews during the 2023-2024 school year to ensure they are working towards achieving correct implementation of the regulatory requirements.</w:t>
      </w:r>
    </w:p>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w:t>
      </w:r>
      <w:r w:rsidRPr="00781112">
        <w:rPr>
          <w:rFonts w:cs="Arial"/>
          <w:color w:val="000000" w:themeColor="text1"/>
          <w:szCs w:val="16"/>
        </w:rPr>
        <w:lastRenderedPageBreak/>
        <w:t>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For each individual case of noncompliance, the LEA had to make the correction, through the IEP process (annual or amendment), with a PWN</w:t>
      </w:r>
      <w:proofErr w:type="gramStart"/>
      <w:r w:rsidRPr="00781112">
        <w:rPr>
          <w:rFonts w:cs="Arial"/>
          <w:color w:val="000000" w:themeColor="text1"/>
          <w:szCs w:val="16"/>
        </w:rPr>
        <w:t xml:space="preserve">.  </w:t>
      </w:r>
      <w:proofErr w:type="gramEnd"/>
      <w:r w:rsidRPr="00781112">
        <w:rPr>
          <w:rFonts w:cs="Arial"/>
          <w:color w:val="000000" w:themeColor="text1"/>
          <w:szCs w:val="16"/>
        </w:rPr>
        <w:t>Then, the LEA had to upload the corrected portion(s) to the OSES' secure portal ADT</w:t>
      </w:r>
      <w:proofErr w:type="gramStart"/>
      <w:r w:rsidRPr="00781112">
        <w:rPr>
          <w:rFonts w:cs="Arial"/>
          <w:color w:val="000000" w:themeColor="text1"/>
          <w:szCs w:val="16"/>
        </w:rPr>
        <w:t xml:space="preserve">.  </w:t>
      </w:r>
      <w:proofErr w:type="gramEnd"/>
      <w:r w:rsidRPr="00781112">
        <w:rPr>
          <w:rFonts w:cs="Arial"/>
          <w:color w:val="000000" w:themeColor="text1"/>
          <w:szCs w:val="16"/>
        </w:rPr>
        <w:t>At that point, at least two team members from the Integrated Monitoring/Compliance reviewed the forms submitted to determine if the IEP is now in compliance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If it was not, the team reached back out to the LEA to continue to discuss the needed corrections. Once the files </w:t>
      </w:r>
      <w:proofErr w:type="gramStart"/>
      <w:r w:rsidRPr="00781112">
        <w:rPr>
          <w:rFonts w:cs="Arial"/>
          <w:color w:val="000000" w:themeColor="text1"/>
          <w:szCs w:val="16"/>
        </w:rPr>
        <w:t>were verified</w:t>
      </w:r>
      <w:proofErr w:type="gramEnd"/>
      <w:r w:rsidRPr="00781112">
        <w:rPr>
          <w:rFonts w:cs="Arial"/>
          <w:color w:val="000000" w:themeColor="text1"/>
          <w:szCs w:val="16"/>
        </w:rPr>
        <w:t xml:space="preserve"> as corrected, the LEA received a notification of verification, indicating that corrections had been made. </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must report, in the FFY 2022 SPP/APR, on the correction of noncompliance that the State identified in FFY 2021and FFY 2020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21DA3475" w14:textId="77777777" w:rsidR="00AB008C" w:rsidRPr="00781112" w:rsidRDefault="00AB008C" w:rsidP="00BB7BC9">
      <w:pPr>
        <w:rPr>
          <w:rFonts w:cs="Arial"/>
          <w:color w:val="000000" w:themeColor="text1"/>
          <w:szCs w:val="16"/>
        </w:rPr>
      </w:pP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63.96%</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63.96%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61.61%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62.17%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63.96%</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18.18%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17.88%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17.88%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15.34%</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15.34%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15.84%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15.39%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15.15%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15.05%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15.34%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1.19%</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1.19%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63.61%</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64.18%</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64.75%</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65.33%</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65.90%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14.39%</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14.06%</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13.73%</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13.39%</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13.06%</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1.18%</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1.17%</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1.16%</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1.15%</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1.14%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2B96DDD0" w14:textId="3E2ADE72" w:rsidR="002D145D" w:rsidRPr="00781112" w:rsidRDefault="002D145D" w:rsidP="002D145D">
      <w:pPr>
        <w:rPr>
          <w:rFonts w:cs="Arial"/>
          <w:color w:val="000000" w:themeColor="text1"/>
          <w:szCs w:val="16"/>
        </w:rPr>
      </w:pPr>
    </w:p>
    <w:p w14:paraId="5251E1B0" w14:textId="77777777" w:rsidR="004A4803" w:rsidRDefault="004A4803" w:rsidP="004369B2">
      <w:pPr>
        <w:rPr>
          <w:color w:val="000000" w:themeColor="text1"/>
        </w:rPr>
      </w:pPr>
    </w:p>
    <w:p w14:paraId="6C671DAE" w14:textId="77777777" w:rsidR="00AB008C" w:rsidRPr="00781112" w:rsidRDefault="00AB008C"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103,730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66,456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15,401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431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197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897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66,456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103,730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63.96%</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63.61%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64.07%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15,401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103,730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15.34%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14.39%</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14.85%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1,525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103,730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1.18%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EC086D8" w14:textId="77777777" w:rsidTr="00E21107">
        <w:tc>
          <w:tcPr>
            <w:tcW w:w="715" w:type="dxa"/>
            <w:vAlign w:val="center"/>
          </w:tcPr>
          <w:p w14:paraId="5AF2008F" w14:textId="77777777" w:rsidR="009569B8" w:rsidRPr="00781112" w:rsidRDefault="009569B8" w:rsidP="004369B2">
            <w:pPr>
              <w:jc w:val="center"/>
              <w:rPr>
                <w:b/>
                <w:color w:val="000000" w:themeColor="text1"/>
              </w:rPr>
            </w:pPr>
            <w:r w:rsidRPr="00781112">
              <w:rPr>
                <w:b/>
                <w:color w:val="000000" w:themeColor="text1"/>
              </w:rPr>
              <w:t>C</w:t>
            </w:r>
          </w:p>
        </w:tc>
        <w:tc>
          <w:tcPr>
            <w:tcW w:w="10080" w:type="dxa"/>
            <w:shd w:val="clear" w:color="auto" w:fill="auto"/>
          </w:tcPr>
          <w:p w14:paraId="110C4505" w14:textId="37ACAAFD" w:rsidR="009569B8" w:rsidRPr="00781112" w:rsidRDefault="009569B8" w:rsidP="00E21107">
            <w:pPr>
              <w:rPr>
                <w:rFonts w:cs="Arial"/>
                <w:color w:val="000000" w:themeColor="text1"/>
                <w:szCs w:val="16"/>
              </w:rPr>
            </w:pPr>
            <w:proofErr w:type="gramStart"/>
            <w:r w:rsidRPr="00781112">
              <w:rPr>
                <w:rFonts w:cs="Arial"/>
                <w:color w:val="000000" w:themeColor="text1"/>
                <w:szCs w:val="16"/>
              </w:rPr>
              <w:t>After analyzing the data, there</w:t>
            </w:r>
            <w:proofErr w:type="gramEnd"/>
            <w:r w:rsidRPr="00781112">
              <w:rPr>
                <w:rFonts w:cs="Arial"/>
                <w:color w:val="000000" w:themeColor="text1"/>
                <w:szCs w:val="16"/>
              </w:rPr>
              <w:t xml:space="preserve"> was no slippage in our separate schools going from 455 students in 2020 to 431 students in 2021. Our students in residential facilities increased minimally from 193 students in 2020 to 197 students in 2021</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It was determined that our population of students within homebound/hospital has gone up significantly from 559 students in 2020 to 897 students in 2021. </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48.90%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48.90%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48.90%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34.08%</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49.71%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48.88%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50.69%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34.08%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31.25%</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25.29%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23.67%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22.73%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22.79%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31.25%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Based on feedback from the virtual town hall meetings, it </w:t>
      </w:r>
      <w:proofErr w:type="gramStart"/>
      <w:r w:rsidRPr="00781112">
        <w:rPr>
          <w:rFonts w:cs="Arial"/>
          <w:color w:val="000000" w:themeColor="text1"/>
          <w:szCs w:val="16"/>
        </w:rPr>
        <w:t>was decided</w:t>
      </w:r>
      <w:proofErr w:type="gramEnd"/>
      <w:r w:rsidRPr="00781112">
        <w:rPr>
          <w:rFonts w:cs="Arial"/>
          <w:color w:val="000000" w:themeColor="text1"/>
          <w:szCs w:val="16"/>
        </w:rPr>
        <w:t xml:space="preserve"> to hold an additional stakeholder meeting on 12/9/22 to further discuss the Indicator 6 targets. Stakeholders included representatives from LEA's (special education directors, </w:t>
      </w:r>
      <w:proofErr w:type="gramStart"/>
      <w:r w:rsidRPr="00781112">
        <w:rPr>
          <w:rFonts w:cs="Arial"/>
          <w:color w:val="000000" w:themeColor="text1"/>
          <w:szCs w:val="16"/>
        </w:rPr>
        <w:t>coordinators</w:t>
      </w:r>
      <w:proofErr w:type="gramEnd"/>
      <w:r w:rsidRPr="00781112">
        <w:rPr>
          <w:rFonts w:cs="Arial"/>
          <w:color w:val="000000" w:themeColor="text1"/>
          <w:szCs w:val="16"/>
        </w:rPr>
        <w:t xml:space="preserve"> and lead staff), South Carolina Partnerships for Inclusion (SCPI - The SEA's technical assistance support for preschool), higher education, parents (2), and representation from the following national technical assistance centers: ECTA and DaSY. Intended outcomes of this meeting were: </w:t>
      </w:r>
      <w:r w:rsidRPr="00781112">
        <w:rPr>
          <w:rFonts w:cs="Arial"/>
          <w:color w:val="000000" w:themeColor="text1"/>
          <w:szCs w:val="16"/>
        </w:rPr>
        <w:br/>
        <w:t xml:space="preserve"> understand the purpose and goal of Indicator 6, develop an understanding of SC's data and how it compares to national data, determine philosophy and </w:t>
      </w:r>
      <w:r w:rsidRPr="00781112">
        <w:rPr>
          <w:rFonts w:cs="Arial"/>
          <w:color w:val="000000" w:themeColor="text1"/>
          <w:szCs w:val="16"/>
        </w:rPr>
        <w:lastRenderedPageBreak/>
        <w:t xml:space="preserve">goals specific to preschool LRE, and examine current targets/measurement to determine if they need to stay the same or </w:t>
      </w:r>
      <w:proofErr w:type="gramStart"/>
      <w:r w:rsidRPr="00781112">
        <w:rPr>
          <w:rFonts w:cs="Arial"/>
          <w:color w:val="000000" w:themeColor="text1"/>
          <w:szCs w:val="16"/>
        </w:rPr>
        <w:t>be changed</w:t>
      </w:r>
      <w:proofErr w:type="gramEnd"/>
      <w:r w:rsidRPr="00781112">
        <w:rPr>
          <w:rFonts w:cs="Arial"/>
          <w:color w:val="000000" w:themeColor="text1"/>
          <w:szCs w:val="16"/>
        </w:rPr>
        <w:t xml:space="preserve">. The group went into great discussion about ensuring a continuum of services and the challenges that are faced which include lack of placement options, especially for </w:t>
      </w:r>
      <w:proofErr w:type="gramStart"/>
      <w:r w:rsidRPr="00781112">
        <w:rPr>
          <w:rFonts w:cs="Arial"/>
          <w:color w:val="000000" w:themeColor="text1"/>
          <w:szCs w:val="16"/>
        </w:rPr>
        <w:t>three year</w:t>
      </w:r>
      <w:proofErr w:type="gramEnd"/>
      <w:r w:rsidRPr="00781112">
        <w:rPr>
          <w:rFonts w:cs="Arial"/>
          <w:color w:val="000000" w:themeColor="text1"/>
          <w:szCs w:val="16"/>
        </w:rPr>
        <w:t xml:space="preserve"> old's, administrative district and school level decisions and the overall philosophy of all involved with regard to inclusion. Stakeholders engaged in a deep dive of current national and state data and determined the priority for South Carolina is to move students out of separate settings and into more inclusive settings. After </w:t>
      </w:r>
      <w:proofErr w:type="gramStart"/>
      <w:r w:rsidRPr="00781112">
        <w:rPr>
          <w:rFonts w:cs="Arial"/>
          <w:color w:val="000000" w:themeColor="text1"/>
          <w:szCs w:val="16"/>
        </w:rPr>
        <w:t>much</w:t>
      </w:r>
      <w:proofErr w:type="gramEnd"/>
      <w:r w:rsidRPr="00781112">
        <w:rPr>
          <w:rFonts w:cs="Arial"/>
          <w:color w:val="000000" w:themeColor="text1"/>
          <w:szCs w:val="16"/>
        </w:rPr>
        <w:t xml:space="preserve"> discussion, the stakeholder group supported grouping the ages for reporting purposes in the SPP/APR, but they also supported the SEA reporting by age in individual LEA determinations. The SEA took these recommendations and identified potential new targets for reporting all students together. These </w:t>
      </w:r>
      <w:proofErr w:type="gramStart"/>
      <w:r w:rsidRPr="00781112">
        <w:rPr>
          <w:rFonts w:cs="Arial"/>
          <w:color w:val="000000" w:themeColor="text1"/>
          <w:szCs w:val="16"/>
        </w:rPr>
        <w:t>were emailed</w:t>
      </w:r>
      <w:proofErr w:type="gramEnd"/>
      <w:r w:rsidRPr="00781112">
        <w:rPr>
          <w:rFonts w:cs="Arial"/>
          <w:color w:val="000000" w:themeColor="text1"/>
          <w:szCs w:val="16"/>
        </w:rPr>
        <w:t xml:space="preserve"> to stakeholders on 1/11/2023 for additional feedback. Stakeholders responded by close of business on 1/13/2023. All responses were in favor of the proposed targets.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34.08%</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31.25%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3.47%</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34.48%</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34.88%</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35.28%</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35.68%</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36.08%</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31.05%</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30.85%</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30.65%</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30.45%</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30.25%</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3.46%</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3.45%</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3.44%</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3.43%</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3.42%</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2,150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2,950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662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5,762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353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1,301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328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1,982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920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796</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124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1,840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71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127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27</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60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1,982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5,762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34.08%</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34.48%</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34.40%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1,967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5,762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31.25%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31.05%</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34.14%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60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5,762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3.47%</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3.46%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1.04%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There was an increase of 564 three-year old's and 182 four-year </w:t>
      </w:r>
      <w:proofErr w:type="gramStart"/>
      <w:r w:rsidRPr="00781112">
        <w:rPr>
          <w:rFonts w:cs="Arial"/>
          <w:color w:val="000000" w:themeColor="text1"/>
          <w:szCs w:val="16"/>
        </w:rPr>
        <w:t>old's</w:t>
      </w:r>
      <w:proofErr w:type="gramEnd"/>
      <w:r w:rsidRPr="00781112">
        <w:rPr>
          <w:rFonts w:cs="Arial"/>
          <w:color w:val="000000" w:themeColor="text1"/>
          <w:szCs w:val="16"/>
        </w:rPr>
        <w:t xml:space="preserve"> identified as students with disabilities in the 2021-22 child count data. This is almost three times the increase that the state typically experiences and is </w:t>
      </w:r>
      <w:proofErr w:type="gramStart"/>
      <w:r w:rsidRPr="00781112">
        <w:rPr>
          <w:rFonts w:cs="Arial"/>
          <w:color w:val="000000" w:themeColor="text1"/>
          <w:szCs w:val="16"/>
        </w:rPr>
        <w:t>most likely due</w:t>
      </w:r>
      <w:proofErr w:type="gramEnd"/>
      <w:r w:rsidRPr="00781112">
        <w:rPr>
          <w:rFonts w:cs="Arial"/>
          <w:color w:val="000000" w:themeColor="text1"/>
          <w:szCs w:val="16"/>
        </w:rPr>
        <w:t xml:space="preserve"> to the increase in referrals after the pandemic. Additionally, more children are attending school and </w:t>
      </w:r>
      <w:proofErr w:type="gramStart"/>
      <w:r w:rsidRPr="00781112">
        <w:rPr>
          <w:rFonts w:cs="Arial"/>
          <w:color w:val="000000" w:themeColor="text1"/>
          <w:szCs w:val="16"/>
        </w:rPr>
        <w:t>being referred</w:t>
      </w:r>
      <w:proofErr w:type="gramEnd"/>
      <w:r w:rsidRPr="00781112">
        <w:rPr>
          <w:rFonts w:cs="Arial"/>
          <w:color w:val="000000" w:themeColor="text1"/>
          <w:szCs w:val="16"/>
        </w:rPr>
        <w:t xml:space="preserve"> post-pandemic. LEAs claim that the children </w:t>
      </w:r>
      <w:proofErr w:type="gramStart"/>
      <w:r w:rsidRPr="00781112">
        <w:rPr>
          <w:rFonts w:cs="Arial"/>
          <w:color w:val="000000" w:themeColor="text1"/>
          <w:szCs w:val="16"/>
        </w:rPr>
        <w:t>being referred</w:t>
      </w:r>
      <w:proofErr w:type="gramEnd"/>
      <w:r w:rsidRPr="00781112">
        <w:rPr>
          <w:rFonts w:cs="Arial"/>
          <w:color w:val="000000" w:themeColor="text1"/>
          <w:szCs w:val="16"/>
        </w:rPr>
        <w:t xml:space="preserve"> post-pandemic have many more significant needs than children identified pre-pandemic. The state has seen an increase in the number of preschool children identified over the past two years with autism and developmental delay. A lack of community based regular education programs for three-year old's results in more three-year old's </w:t>
      </w:r>
      <w:proofErr w:type="gramStart"/>
      <w:r w:rsidRPr="00781112">
        <w:rPr>
          <w:rFonts w:cs="Arial"/>
          <w:color w:val="000000" w:themeColor="text1"/>
          <w:szCs w:val="16"/>
        </w:rPr>
        <w:t>being placed</w:t>
      </w:r>
      <w:proofErr w:type="gramEnd"/>
      <w:r w:rsidRPr="00781112">
        <w:rPr>
          <w:rFonts w:cs="Arial"/>
          <w:color w:val="000000" w:themeColor="text1"/>
          <w:szCs w:val="16"/>
        </w:rPr>
        <w:t xml:space="preserve"> in self-contained settings. This impacts four-year old's as well, but not quite to the extent as three-year </w:t>
      </w:r>
      <w:proofErr w:type="gramStart"/>
      <w:r w:rsidRPr="00781112">
        <w:rPr>
          <w:rFonts w:cs="Arial"/>
          <w:color w:val="000000" w:themeColor="text1"/>
          <w:szCs w:val="16"/>
        </w:rPr>
        <w:t>old's</w:t>
      </w:r>
      <w:proofErr w:type="gramEnd"/>
      <w:r w:rsidRPr="00781112">
        <w:rPr>
          <w:rFonts w:cs="Arial"/>
          <w:color w:val="000000" w:themeColor="text1"/>
          <w:szCs w:val="16"/>
        </w:rPr>
        <w:t xml:space="preserve">. There is no state-wide preschool program for three- or four-year </w:t>
      </w:r>
      <w:proofErr w:type="gramStart"/>
      <w:r w:rsidRPr="00781112">
        <w:rPr>
          <w:rFonts w:cs="Arial"/>
          <w:color w:val="000000" w:themeColor="text1"/>
          <w:szCs w:val="16"/>
        </w:rPr>
        <w:t>old's</w:t>
      </w:r>
      <w:proofErr w:type="gramEnd"/>
      <w:r w:rsidRPr="00781112">
        <w:rPr>
          <w:rFonts w:cs="Arial"/>
          <w:color w:val="000000" w:themeColor="text1"/>
          <w:szCs w:val="16"/>
        </w:rPr>
        <w:t xml:space="preserve">. However, South Carolina does have </w:t>
      </w:r>
      <w:proofErr w:type="gramStart"/>
      <w:r w:rsidRPr="00781112">
        <w:rPr>
          <w:rFonts w:cs="Arial"/>
          <w:color w:val="000000" w:themeColor="text1"/>
          <w:szCs w:val="16"/>
        </w:rPr>
        <w:t>some</w:t>
      </w:r>
      <w:proofErr w:type="gramEnd"/>
      <w:r w:rsidRPr="00781112">
        <w:rPr>
          <w:rFonts w:cs="Arial"/>
          <w:color w:val="000000" w:themeColor="text1"/>
          <w:szCs w:val="16"/>
        </w:rPr>
        <w:t xml:space="preserve"> preschool options for four-year old's who are considered "at-risk". Districts often express concern regarding the lack of placement/service options for preschool aged children.</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This is the second year that South Carolina removed five-year </w:t>
      </w:r>
      <w:proofErr w:type="gramStart"/>
      <w:r w:rsidRPr="00781112">
        <w:rPr>
          <w:rFonts w:cs="Arial"/>
          <w:color w:val="000000" w:themeColor="text1"/>
          <w:szCs w:val="16"/>
        </w:rPr>
        <w:t>old's</w:t>
      </w:r>
      <w:proofErr w:type="gramEnd"/>
      <w:r w:rsidRPr="00781112">
        <w:rPr>
          <w:rFonts w:cs="Arial"/>
          <w:color w:val="000000" w:themeColor="text1"/>
          <w:szCs w:val="16"/>
        </w:rPr>
        <w:t xml:space="preserve"> in kindergarten from the early childhood population count. This is also the second SPP/APR submission where stakeholders wanted to begin reporting by age instead of </w:t>
      </w:r>
      <w:proofErr w:type="gramStart"/>
      <w:r w:rsidRPr="00781112">
        <w:rPr>
          <w:rFonts w:cs="Arial"/>
          <w:color w:val="000000" w:themeColor="text1"/>
          <w:szCs w:val="16"/>
        </w:rPr>
        <w:t>in the aggregate</w:t>
      </w:r>
      <w:proofErr w:type="gramEnd"/>
      <w:r w:rsidRPr="00781112">
        <w:rPr>
          <w:rFonts w:cs="Arial"/>
          <w:color w:val="000000" w:themeColor="text1"/>
          <w:szCs w:val="16"/>
        </w:rPr>
        <w:t>, thus new baselines and targets were set for FFY 2020 for all ages based on stakeholder feedback.</w:t>
      </w:r>
      <w:r w:rsidRPr="00781112">
        <w:rPr>
          <w:rFonts w:cs="Arial"/>
          <w:color w:val="000000" w:themeColor="text1"/>
          <w:szCs w:val="16"/>
        </w:rPr>
        <w:br/>
      </w:r>
      <w:r w:rsidRPr="00781112">
        <w:rPr>
          <w:rFonts w:cs="Arial"/>
          <w:color w:val="000000" w:themeColor="text1"/>
          <w:szCs w:val="16"/>
        </w:rPr>
        <w:br/>
        <w:t xml:space="preserve">COVID continued to affect LEAs during the 2021-22 school year. Intermittent whole school closures, alternate attendance models, student quarantine, and staffing difficulties due to quarantine were prevalent during the school year.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parents were still hesitant to allow others into their homes or to send their young children to school. Some </w:t>
      </w:r>
      <w:proofErr w:type="gramStart"/>
      <w:r w:rsidRPr="00781112">
        <w:rPr>
          <w:rFonts w:cs="Arial"/>
          <w:color w:val="000000" w:themeColor="text1"/>
          <w:szCs w:val="16"/>
        </w:rPr>
        <w:t>child care</w:t>
      </w:r>
      <w:proofErr w:type="gramEnd"/>
      <w:r w:rsidRPr="00781112">
        <w:rPr>
          <w:rFonts w:cs="Arial"/>
          <w:color w:val="000000" w:themeColor="text1"/>
          <w:szCs w:val="16"/>
        </w:rPr>
        <w:t xml:space="preserve"> environments also did not allow LEAs to provide services within the child care setting. LEAs continued to work to establish alternative means of communication with families other than the traditional "at school" and "face-to-face" model as needed. Staff contacted families by telephone, email, and virtually.</w:t>
      </w:r>
      <w:r w:rsidRPr="00781112">
        <w:rPr>
          <w:rFonts w:cs="Arial"/>
          <w:color w:val="000000" w:themeColor="text1"/>
          <w:szCs w:val="16"/>
        </w:rPr>
        <w:br/>
      </w:r>
      <w:r w:rsidRPr="00781112">
        <w:rPr>
          <w:rFonts w:cs="Arial"/>
          <w:color w:val="000000" w:themeColor="text1"/>
          <w:szCs w:val="16"/>
        </w:rPr>
        <w:br/>
        <w:t xml:space="preserve">South Carolina has worked and continues to work with South Carolina Partnerships for Inclusion (SCPI) to provide technical support to districts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all preschool indicators, including preschool LRE/inclusion. SCPI provided universal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to districts which included professional development opportunities and resource sharing. A virtual community of practice regarding culturally relevant practices in early childhood settings included participants from seven districts, six partner organizations, and five other organizations. SCPI provided tiered targeted assistance to three districts.</w:t>
      </w:r>
      <w:r w:rsidRPr="00781112">
        <w:rPr>
          <w:rFonts w:cs="Arial"/>
          <w:color w:val="000000" w:themeColor="text1"/>
          <w:szCs w:val="16"/>
        </w:rPr>
        <w:br/>
      </w:r>
      <w:r w:rsidRPr="00781112">
        <w:rPr>
          <w:rFonts w:cs="Arial"/>
          <w:color w:val="000000" w:themeColor="text1"/>
          <w:szCs w:val="16"/>
        </w:rPr>
        <w:br/>
        <w:t xml:space="preserve">The SEA realized that additional support from SCPI </w:t>
      </w:r>
      <w:proofErr w:type="gramStart"/>
      <w:r w:rsidRPr="00781112">
        <w:rPr>
          <w:rFonts w:cs="Arial"/>
          <w:color w:val="000000" w:themeColor="text1"/>
          <w:szCs w:val="16"/>
        </w:rPr>
        <w:t>was needed</w:t>
      </w:r>
      <w:proofErr w:type="gramEnd"/>
      <w:r w:rsidRPr="00781112">
        <w:rPr>
          <w:rFonts w:cs="Arial"/>
          <w:color w:val="000000" w:themeColor="text1"/>
          <w:szCs w:val="16"/>
        </w:rPr>
        <w:t>, and as a result, extended and increased their contract for the next five years beginning with the 2022-23 school year. SCPI was able to expand upon their staff and plans for additional technical assistance support beginning in 2022-23 to include: a community of practice to address barriers to inclusion, a community of practice to review early childhood indicators and Division for Early Childhood (DEC) recommended practices, and pyramid model implementation which include both leadership and teaming modules. SCPI also has created a virtual preschool inclusion leadership toolkit and continues to offer special education itinerant coach training. In October of 2022, SCPI hosted their first annual early childhood inclusion conference.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88.46%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88.46%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88.47%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88.47%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84.21%</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89.44%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88.37%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84.21%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66.17%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66.17%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66.18%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66.18%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64.16%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60.74%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58.33%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86.14%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86.14%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82.21%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82.21%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84.14%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82.21%</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63.27%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63.27%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54.08%</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54.08%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61.42%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58.85%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58.45%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55.79%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54.08%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89.26%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89.26%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89.27%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89.27%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83.90%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83.90%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88.90%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87.54%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87.05%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83.90%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77.23%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77.23%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68.43%</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68.43%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75.67%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74.25%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73.05%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68.43%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86.45%</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86.98%</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87.50%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88.03%</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88.55%</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59.48%</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60.05%</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60.62%</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61.20%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61.77%</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85.35%</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85.95%</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86.56%</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87.16%</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87.77%</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57.40%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58.20%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59.00%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59.81%</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60.61%</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88.44%</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89.14%</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89.84%</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90.53%</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91.23%</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74.08%</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74.60%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75.12%</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75.64%</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76.15%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6,523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0.51%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779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11.94%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2,346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35.97%</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2,618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40.13%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747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11.45%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lastRenderedPageBreak/>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4,964</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5,776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84.21%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86.45%</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85.94%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3,365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6,523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56.00%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59.48%</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51.59%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0.71%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810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12.42%</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2,234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34.25%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36.46%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1,055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16.17%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4,612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5,468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82.21%</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85.35%</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3,433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6,523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54.08%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57.40%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52.63%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0.67%</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9.92%</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24.53%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2,687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41.19%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1,545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23.69%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4,287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4,978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83.90%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88.44%</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86.12%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4,232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6,523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68.43%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74.08%</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64.88%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Historically South Carolina’s A2, B2 and C2 data have exceeded the national average. South Carolina’s preschool enrollment is increasing post-pandemic. There is an increase of 464 children included in this indicator data compared to last year. While preschool enrollment continues to grow, LEAs report significant delays in development attributed to ongoing pandemic-related issues. LEAs claim that the children </w:t>
            </w:r>
            <w:proofErr w:type="gramStart"/>
            <w:r w:rsidRPr="00781112">
              <w:rPr>
                <w:rFonts w:cs="Arial"/>
                <w:color w:val="000000" w:themeColor="text1"/>
                <w:szCs w:val="16"/>
              </w:rPr>
              <w:t>being referred</w:t>
            </w:r>
            <w:proofErr w:type="gramEnd"/>
            <w:r w:rsidRPr="00781112">
              <w:rPr>
                <w:rFonts w:cs="Arial"/>
                <w:color w:val="000000" w:themeColor="text1"/>
                <w:szCs w:val="16"/>
              </w:rPr>
              <w:t xml:space="preserve"> post-pandemic have many more significant needs than children identified pre-pandemic. The state has seen increases in the identification of autism and developmental delay in preschool students in the past two years. South Carolina continued to experience impacts from the COVID-19 pandemic in the 2021-22 school year. Intermittent whole school closures, alternate attendance models, student quarantine and staffing difficulties due to quarantine were prevalent during the school year.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parents were still hesitant to allow others into their homes or to send young children to school.</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Historically South Carolina’s A2, B2 and C2 data have exceeded the national average. South Carolina’s preschool enrollment is increasing post-pandemic. There is an increase of 464 children included in this indicator data compared to last year. While preschool enrollment continues to grow, LEAs report significant delays in development attributed to ongoing pandemic-related issues. LEAs claim that the children </w:t>
            </w:r>
            <w:proofErr w:type="gramStart"/>
            <w:r w:rsidRPr="00781112">
              <w:rPr>
                <w:rFonts w:cs="Arial"/>
                <w:color w:val="000000" w:themeColor="text1"/>
                <w:szCs w:val="16"/>
              </w:rPr>
              <w:t>being referred</w:t>
            </w:r>
            <w:proofErr w:type="gramEnd"/>
            <w:r w:rsidRPr="00781112">
              <w:rPr>
                <w:rFonts w:cs="Arial"/>
                <w:color w:val="000000" w:themeColor="text1"/>
                <w:szCs w:val="16"/>
              </w:rPr>
              <w:t xml:space="preserve"> post-pandemic have many more significant needs than children identified pre-pandemic. The state has seen increases in the identification of autism and developmental delay in preschool students in the past two years. South Carolina continued to experience impacts from the COVID-19 pandemic in the 2021-22 school year. Intermittent whole school closures, alternate attendance models, student quarantine and staffing difficulties due to quarantine were prevalent during the school year.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parents were still hesitant to allow others into their homes or to send young children to school.</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Historically South Carolina’s A2, B2 and C2 data have exceeded the national average. South Carolina’s preschool enrollment is increasing post-pandemic. There is an increase of 464 children included in this indicator data compared to last year. While preschool enrollment continues to grow, LEAs report significant delays in development attributed to ongoing pandemic-related issues. LEAs claim that the children </w:t>
            </w:r>
            <w:proofErr w:type="gramStart"/>
            <w:r w:rsidRPr="00781112">
              <w:rPr>
                <w:rFonts w:cs="Arial"/>
                <w:color w:val="000000" w:themeColor="text1"/>
                <w:szCs w:val="16"/>
              </w:rPr>
              <w:t>being referred</w:t>
            </w:r>
            <w:proofErr w:type="gramEnd"/>
            <w:r w:rsidRPr="00781112">
              <w:rPr>
                <w:rFonts w:cs="Arial"/>
                <w:color w:val="000000" w:themeColor="text1"/>
                <w:szCs w:val="16"/>
              </w:rPr>
              <w:t xml:space="preserve"> post-pandemic have many more significant needs than children identified pre-pandemic. The state has seen increases in the identification of autism and developmental delay in preschool students in the past two years. South Carolina continued to experience impacts from the COVID-19 pandemic in the 2021-22 school year. Intermittent whole school closures, alternate attendance models, student quarantine and staffing difficulties due to quarantine were prevalent during the school year.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parents were still hesitant to allow others into their homes or to send young children to school.</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Data for Indicator 7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at the student level by each LEA that provides special education services to young children. LEA's collect this data using tools such as observation tools, information from parents, checklists/informal tools, the South Carolina Early Learning Standards, as well as standardized assessments. South Carolina preschool aged children in publicly funded prekindergarten and kindergarten participate in one of the following three assessments: Teaching Strategies Gold, Preschoolers Acquiring Language Skills or myIGDIs (Individual Growth and Development Indicators). Students entering publicly funded prekindergarten and kindergarten must </w:t>
      </w:r>
      <w:proofErr w:type="gramStart"/>
      <w:r w:rsidRPr="00781112">
        <w:rPr>
          <w:rFonts w:cs="Arial"/>
          <w:color w:val="000000" w:themeColor="text1"/>
          <w:szCs w:val="16"/>
        </w:rPr>
        <w:t>be administered</w:t>
      </w:r>
      <w:proofErr w:type="gramEnd"/>
      <w:r w:rsidRPr="00781112">
        <w:rPr>
          <w:rFonts w:cs="Arial"/>
          <w:color w:val="000000" w:themeColor="text1"/>
          <w:szCs w:val="16"/>
        </w:rPr>
        <w:t xml:space="preserve"> a readiness assessment during the first forty-five </w:t>
      </w:r>
      <w:r w:rsidRPr="00781112">
        <w:rPr>
          <w:rFonts w:cs="Arial"/>
          <w:color w:val="000000" w:themeColor="text1"/>
          <w:szCs w:val="16"/>
        </w:rPr>
        <w:lastRenderedPageBreak/>
        <w:t xml:space="preserve">days of the school year and during the last forty-five days of the school year. An example of other standardized assessments which may be used are: Battelle Developmental Inventory - Second Edition, Clinical Assessment of Articulation and Phonology - Second Edition, Clinical Evaluation of Language Fundamentals - Preschool-3, Developmental Assessment of Young Children - Second Edition, Developmental Profile 4, Expressive One-Word Picture Vocabulary Test - Fourth Edition, Goldman-Fristoe Test of Articulation - Third Edition, Peabody Picture Vocabulary Test - Fifth Edition, Preschool Language Scale-Fifth Edition, Receptive One-Word Picture Vocabulary Test - Fourth Edition, Test of Early Language Development - Fourth Edition, and the Vineland Adaptive Behavior Scales II.  Informal assessments may </w:t>
      </w:r>
      <w:proofErr w:type="gramStart"/>
      <w:r w:rsidRPr="00781112">
        <w:rPr>
          <w:rFonts w:cs="Arial"/>
          <w:color w:val="000000" w:themeColor="text1"/>
          <w:szCs w:val="16"/>
        </w:rPr>
        <w:t>include:</w:t>
      </w:r>
      <w:proofErr w:type="gramEnd"/>
      <w:r w:rsidRPr="00781112">
        <w:rPr>
          <w:rFonts w:cs="Arial"/>
          <w:color w:val="000000" w:themeColor="text1"/>
          <w:szCs w:val="16"/>
        </w:rPr>
        <w:t xml:space="preserve">  teacher checklists, speech-language samples, health and developmental history, and behavior checklists.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ensure data quality, the state has also recognized a need to provide LEAs with additional information regarding Indicator 7 to include information regarding the indicator, its importance, and how to effectively use data to accurately complete the outcomes summary. This information will be created and provided on the department’s website prior to the beginning of the 2023-24 school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Local program leaders will </w:t>
      </w:r>
      <w:proofErr w:type="gramStart"/>
      <w:r w:rsidRPr="00781112">
        <w:rPr>
          <w:rFonts w:cs="Arial"/>
          <w:color w:val="000000" w:themeColor="text1"/>
          <w:szCs w:val="16"/>
        </w:rPr>
        <w:t>be encouraged</w:t>
      </w:r>
      <w:proofErr w:type="gramEnd"/>
      <w:r w:rsidRPr="00781112">
        <w:rPr>
          <w:rFonts w:cs="Arial"/>
          <w:color w:val="000000" w:themeColor="text1"/>
          <w:szCs w:val="16"/>
        </w:rPr>
        <w:t xml:space="preserve"> to use the new resource with their teams via LEA driven professional development opportunities.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2013</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84.00%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93.49%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97.46%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89.62%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91.28%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86.00%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86.00%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86.50%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86.50%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87.00%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2,957</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3,005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91.28%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98.40%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Surveys </w:t>
      </w:r>
      <w:proofErr w:type="gramStart"/>
      <w:r w:rsidRPr="00781112">
        <w:rPr>
          <w:rFonts w:cs="Arial"/>
          <w:color w:val="000000" w:themeColor="text1"/>
          <w:szCs w:val="16"/>
        </w:rPr>
        <w:t>are sent</w:t>
      </w:r>
      <w:proofErr w:type="gramEnd"/>
      <w:r w:rsidRPr="00781112">
        <w:rPr>
          <w:rFonts w:cs="Arial"/>
          <w:color w:val="000000" w:themeColor="text1"/>
          <w:szCs w:val="16"/>
        </w:rPr>
        <w:t xml:space="preserve"> to all parents at the conclusion of an annual or initial IEPs, which include parents of students with disabilities ages three through five years of age. To accomplish this, the OSES extracts a base file that contains names and addresses of parents for all children during the reporting year. As such, parents of preschool students with disabilities </w:t>
      </w:r>
      <w:proofErr w:type="gramStart"/>
      <w:r w:rsidRPr="00781112">
        <w:rPr>
          <w:rFonts w:cs="Arial"/>
          <w:color w:val="000000" w:themeColor="text1"/>
          <w:szCs w:val="16"/>
        </w:rPr>
        <w:t>were included</w:t>
      </w:r>
      <w:proofErr w:type="gramEnd"/>
      <w:r w:rsidRPr="00781112">
        <w:rPr>
          <w:rFonts w:cs="Arial"/>
          <w:color w:val="000000" w:themeColor="text1"/>
          <w:szCs w:val="16"/>
        </w:rPr>
        <w:t xml:space="preserve"> in the same method as were children ages six to twenty-one.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109,492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2.74%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6.48%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2.74%</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FY2021-2022, the South Carolina Department of Education (SCDE) encouraged Local Education Agencies (LEA) via email reminders to appeal to parents for survey response submissions (online) and will continue said process in FY2022-2023. Subsequently, a six (6) year sampling plan (FY2023-2024) will replace the existing methodology with the expectation of increasing the overall response rate year-over-year, notably among those groups that are under-represented by working in collaboration with the Parent Training and Information Center (PTI) to collect data; frequently sharing demographic updates for specified districts with LEAs to demonstrate representativeness, or lack thereof; and recruiting LEA support in contacting groups that are under-represented.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SCDE solicited survey responses from parents of students with disabilities regarding demographics of students’ age (as of Child Count), gender, race/ethnicity, and primary disability for FY2021-2022. </w:t>
      </w:r>
      <w:r>
        <w:rPr>
          <w:rFonts w:cs="Arial"/>
          <w:szCs w:val="16"/>
        </w:rPr>
        <w:br/>
        <w:t xml:space="preserve">A comparison of response rates by demographic to the State’s Child Count for the reporting year </w:t>
      </w:r>
      <w:proofErr w:type="gramStart"/>
      <w:r>
        <w:rPr>
          <w:rFonts w:cs="Arial"/>
          <w:szCs w:val="16"/>
        </w:rPr>
        <w:t>was conducted</w:t>
      </w:r>
      <w:proofErr w:type="gramEnd"/>
      <w:r>
        <w:rPr>
          <w:rFonts w:cs="Arial"/>
          <w:szCs w:val="16"/>
        </w:rPr>
        <w:t xml:space="preserve"> and the demographics of the children for whom parents responded are NOT representative of the demographics of children receiving special education services in the State. To counter bias and promote response from a broad cross section of parents of children with disabilities, SCDE encourage cooperative efforts with LEAs to solicit online responses from parents of children with disabilities, incorporated multi-lingual options via print &amp; online accessibility, as well as encouraged administrative support.</w:t>
      </w:r>
      <w:r>
        <w:rPr>
          <w:rFonts w:cs="Arial"/>
          <w:szCs w:val="16"/>
        </w:rPr>
        <w:br/>
        <w:t>Said rates were then compared to one another for the purpose of identifying representativeness based upon a metric of +/-10% (threshold). The evaluation determined that respondents who identified as African American were over- represented</w:t>
      </w:r>
      <w:proofErr w:type="gramStart"/>
      <w:r>
        <w:rPr>
          <w:rFonts w:cs="Arial"/>
          <w:szCs w:val="16"/>
        </w:rPr>
        <w:t xml:space="preserve">.  </w:t>
      </w:r>
      <w:proofErr w:type="gramEnd"/>
      <w:r>
        <w:rPr>
          <w:rFonts w:cs="Arial"/>
          <w:szCs w:val="16"/>
        </w:rPr>
        <w:t>Additionally, other race/ethnic groups identified as under-represented (irrespective of order) include Asian, Hispanic, and White</w:t>
      </w:r>
      <w:proofErr w:type="gramStart"/>
      <w:r>
        <w:rPr>
          <w:rFonts w:cs="Arial"/>
          <w:szCs w:val="16"/>
        </w:rPr>
        <w:t xml:space="preserve">.  </w:t>
      </w:r>
      <w:proofErr w:type="gramEnd"/>
      <w:r>
        <w:rPr>
          <w:rFonts w:cs="Arial"/>
          <w:szCs w:val="16"/>
        </w:rPr>
        <w:t xml:space="preserve">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To determine whether the data represent the demographics of the parents responding are representative of the demographics of children receiving special education services State, the OSES calculated the response rates along four demographic variables: </w:t>
      </w:r>
      <w:r w:rsidRPr="000A2B9F">
        <w:rPr>
          <w:bCs/>
          <w:color w:val="000000" w:themeColor="text1"/>
        </w:rPr>
        <w:br/>
      </w:r>
      <w:proofErr w:type="gramStart"/>
      <w:r w:rsidRPr="000A2B9F">
        <w:rPr>
          <w:bCs/>
          <w:color w:val="000000" w:themeColor="text1"/>
        </w:rPr>
        <w:t>1</w:t>
      </w:r>
      <w:proofErr w:type="gramEnd"/>
      <w:r w:rsidRPr="000A2B9F">
        <w:rPr>
          <w:bCs/>
          <w:color w:val="000000" w:themeColor="text1"/>
        </w:rPr>
        <w:t>. Age of students (based on the child's age as of the state's Child Count);</w:t>
      </w:r>
      <w:r w:rsidRPr="000A2B9F">
        <w:rPr>
          <w:bCs/>
          <w:color w:val="000000" w:themeColor="text1"/>
        </w:rPr>
        <w:br/>
      </w:r>
      <w:proofErr w:type="gramStart"/>
      <w:r w:rsidRPr="000A2B9F">
        <w:rPr>
          <w:bCs/>
          <w:color w:val="000000" w:themeColor="text1"/>
        </w:rPr>
        <w:t>2</w:t>
      </w:r>
      <w:proofErr w:type="gramEnd"/>
      <w:r w:rsidRPr="000A2B9F">
        <w:rPr>
          <w:bCs/>
          <w:color w:val="000000" w:themeColor="text1"/>
        </w:rPr>
        <w:t>.</w:t>
      </w:r>
      <w:r w:rsidRPr="000A2B9F">
        <w:rPr>
          <w:bCs/>
          <w:color w:val="000000" w:themeColor="text1"/>
        </w:rPr>
        <w:tab/>
        <w:t xml:space="preserve">Gender of students; </w:t>
      </w:r>
      <w:r w:rsidRPr="000A2B9F">
        <w:rPr>
          <w:bCs/>
          <w:color w:val="000000" w:themeColor="text1"/>
        </w:rPr>
        <w:br/>
      </w:r>
      <w:proofErr w:type="gramStart"/>
      <w:r w:rsidRPr="000A2B9F">
        <w:rPr>
          <w:bCs/>
          <w:color w:val="000000" w:themeColor="text1"/>
        </w:rPr>
        <w:t>3</w:t>
      </w:r>
      <w:proofErr w:type="gramEnd"/>
      <w:r w:rsidRPr="000A2B9F">
        <w:rPr>
          <w:bCs/>
          <w:color w:val="000000" w:themeColor="text1"/>
        </w:rPr>
        <w:t>.</w:t>
      </w:r>
      <w:r w:rsidRPr="000A2B9F">
        <w:rPr>
          <w:bCs/>
          <w:color w:val="000000" w:themeColor="text1"/>
        </w:rPr>
        <w:tab/>
        <w:t xml:space="preserve">Race or ethnicity (using the federal reporting categories); and </w:t>
      </w:r>
      <w:r w:rsidRPr="000A2B9F">
        <w:rPr>
          <w:bCs/>
          <w:color w:val="000000" w:themeColor="text1"/>
        </w:rPr>
        <w:br/>
      </w:r>
      <w:proofErr w:type="gramStart"/>
      <w:r w:rsidRPr="000A2B9F">
        <w:rPr>
          <w:bCs/>
          <w:color w:val="000000" w:themeColor="text1"/>
        </w:rPr>
        <w:t>4</w:t>
      </w:r>
      <w:proofErr w:type="gramEnd"/>
      <w:r w:rsidRPr="000A2B9F">
        <w:rPr>
          <w:bCs/>
          <w:color w:val="000000" w:themeColor="text1"/>
        </w:rPr>
        <w:t>. Primary disability category.</w:t>
      </w:r>
      <w:r w:rsidRPr="000A2B9F">
        <w:rPr>
          <w:bCs/>
          <w:color w:val="000000" w:themeColor="text1"/>
        </w:rPr>
        <w:br/>
        <w:t>Next, the State compared the response rates, by demographics, to the State's Child Count for the reporting year. The state then compared these rates to one another. The state then reviewed the difference between the percentages of the demographic variables of the respondents. The threshold used by the state to determine representativeness was a 10 percent difference.</w:t>
      </w:r>
    </w:p>
    <w:p w14:paraId="524817D1" w14:textId="77777777" w:rsidR="000762B0" w:rsidRPr="000762B0" w:rsidRDefault="000762B0" w:rsidP="000762B0">
      <w:pPr>
        <w:pStyle w:val="Subhed"/>
        <w:rPr>
          <w:bCs/>
        </w:rPr>
      </w:pPr>
      <w:r w:rsidRPr="000762B0">
        <w:rPr>
          <w:bCs/>
        </w:rPr>
        <w:lastRenderedPageBreak/>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For the purposes of determining whether parents responding are representative of the demographics of children receiving special education services, the Office of Special Education uses a fixed rate of 10%. In other words, if the difference between respondents and the demographics is within 10%, the State finds those data representative.</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Information developed by the OSES Ombudsman regarding the SC Indicator 8 Parent Involvement Survey and accompanying 6 language translations are available on the OSES website at the following link https://ed.sc.gov/districts-schools/special-education-services/parent-resources/yearly-parent-survey/.</w:t>
      </w:r>
      <w:r w:rsidRPr="00781112">
        <w:rPr>
          <w:rFonts w:cs="Arial"/>
          <w:color w:val="000000" w:themeColor="text1"/>
          <w:szCs w:val="16"/>
        </w:rPr>
        <w:br/>
        <w:t xml:space="preserve"> </w:t>
      </w:r>
      <w:r w:rsidRPr="00781112">
        <w:rPr>
          <w:rFonts w:cs="Arial"/>
          <w:color w:val="000000" w:themeColor="text1"/>
          <w:szCs w:val="16"/>
        </w:rPr>
        <w:br/>
        <w:t xml:space="preserve">As part of the OSES efforts to improve and build strong parent involvement partnerships, the Indicator 8 Parent Involvement Survey items went through an internal and stakeholder review in the summer of 2022. Drafted revisions to current survey items from an initial internal review </w:t>
      </w:r>
      <w:proofErr w:type="gramStart"/>
      <w:r w:rsidRPr="00781112">
        <w:rPr>
          <w:rFonts w:cs="Arial"/>
          <w:color w:val="000000" w:themeColor="text1"/>
          <w:szCs w:val="16"/>
        </w:rPr>
        <w:t>were submitted</w:t>
      </w:r>
      <w:proofErr w:type="gramEnd"/>
      <w:r w:rsidRPr="00781112">
        <w:rPr>
          <w:rFonts w:cs="Arial"/>
          <w:color w:val="000000" w:themeColor="text1"/>
          <w:szCs w:val="16"/>
        </w:rPr>
        <w:t xml:space="preserve"> for input from LEAs, ACESD members, and the state PTI including their Bilingual personnel. Based upon stakeholder feedback, OSES made additional revisions and finalized the survey items. Plans are in place to utilize the updated survey items in the 2023-2024 school year.</w:t>
      </w:r>
      <w:r w:rsidRPr="00781112">
        <w:rPr>
          <w:rFonts w:cs="Arial"/>
          <w:color w:val="000000" w:themeColor="text1"/>
          <w:szCs w:val="16"/>
        </w:rPr>
        <w:br/>
      </w:r>
      <w:r w:rsidRPr="00781112">
        <w:rPr>
          <w:rFonts w:cs="Arial"/>
          <w:color w:val="000000" w:themeColor="text1"/>
          <w:szCs w:val="16"/>
        </w:rPr>
        <w:br/>
        <w:t>SC has consulted with IDC on demographic representativeness to improve vendor process and analysis</w:t>
      </w:r>
      <w:proofErr w:type="gramStart"/>
      <w:r w:rsidRPr="00781112">
        <w:rPr>
          <w:rFonts w:cs="Arial"/>
          <w:color w:val="000000" w:themeColor="text1"/>
          <w:szCs w:val="16"/>
        </w:rPr>
        <w:t xml:space="preserve">.  </w:t>
      </w:r>
      <w:proofErr w:type="gramEnd"/>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xml:space="preserve">The State reported that the data for this indicator are representative of the demographics of children receiving special education services in the State. However, the State also reported "[a]s shown in the data, there was an overrepresentation of respondents who identified as African American and underrepresentation of respondents who identified as White." Additionally, the State reported that its response rate for FFY 2021 was 2.74%, but nonresponse bias </w:t>
      </w:r>
      <w:proofErr w:type="gramStart"/>
      <w:r w:rsidRPr="00781112">
        <w:rPr>
          <w:rFonts w:cs="Arial"/>
          <w:color w:val="000000" w:themeColor="text1"/>
          <w:szCs w:val="16"/>
        </w:rPr>
        <w:t>was not identified</w:t>
      </w:r>
      <w:proofErr w:type="gramEnd"/>
      <w:r w:rsidRPr="00781112">
        <w:rPr>
          <w:rFonts w:cs="Arial"/>
          <w:color w:val="000000" w:themeColor="text1"/>
          <w:szCs w:val="16"/>
        </w:rPr>
        <w:t xml:space="preserve"> in its analysis. The State must describe how it determined: (1) the data are representative and (2) that nonresponse bias was not present.</w:t>
      </w:r>
    </w:p>
    <w:p w14:paraId="13389642" w14:textId="758A1D0A" w:rsidR="00221EC9" w:rsidRPr="00781112" w:rsidRDefault="00752BAF" w:rsidP="008645AD">
      <w:pPr>
        <w:pStyle w:val="Heading2"/>
      </w:pPr>
      <w:r w:rsidRPr="00781112">
        <w:t>8 - Required Actions</w:t>
      </w:r>
    </w:p>
    <w:p w14:paraId="48F68B87" w14:textId="7D160B08" w:rsidR="009B37A2" w:rsidRDefault="002B7490" w:rsidP="001F692C">
      <w:pPr>
        <w:rPr>
          <w:rFonts w:cs="Arial"/>
          <w:color w:val="000000" w:themeColor="text1"/>
          <w:szCs w:val="16"/>
        </w:rPr>
      </w:pPr>
      <w:r w:rsidRPr="00781112">
        <w:rPr>
          <w:rFonts w:cs="Arial"/>
          <w:color w:val="000000" w:themeColor="text1"/>
          <w:szCs w:val="16"/>
        </w:rPr>
        <w:t>The State reported that the response data for this indicator were representative of the demographics of children receiving special education services in the State using the metric of +/-10%. However, in its narrative, the State reported "The evaluation determined that respondents who identified as African American were over- represented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Additionally, other race/ethnic groups identified as under-represented (irrespective of order) include Asian, Hispanic, and White." In the FFY 2022 SPP/APR, the State must report whether the FFY 2022 data are from a response group that is representative of the demographics of children receiving special education services in the State,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4E233E2F" w14:textId="77777777" w:rsidR="005F408B" w:rsidRDefault="005F408B" w:rsidP="001F692C">
      <w:pPr>
        <w:rPr>
          <w:rFonts w:cs="Arial"/>
          <w:color w:val="000000" w:themeColor="text1"/>
          <w:szCs w:val="16"/>
        </w:rPr>
      </w:pPr>
    </w:p>
    <w:p w14:paraId="69466C96" w14:textId="03F5D8BB" w:rsidR="005F408B" w:rsidRPr="00781112" w:rsidRDefault="005F408B" w:rsidP="001F692C">
      <w:pPr>
        <w:rPr>
          <w:rFonts w:cs="Arial"/>
          <w:color w:val="000000" w:themeColor="text1"/>
          <w:szCs w:val="16"/>
        </w:rPr>
      </w:pPr>
      <w:r w:rsidRPr="005F408B">
        <w:rPr>
          <w:rFonts w:cs="Arial"/>
          <w:color w:val="000000" w:themeColor="text1"/>
          <w:szCs w:val="16"/>
        </w:rPr>
        <w:t xml:space="preserve">OSEP notes that one or more of the Indicator </w:t>
      </w:r>
      <w:r>
        <w:rPr>
          <w:rFonts w:cs="Arial"/>
          <w:color w:val="000000" w:themeColor="text1"/>
          <w:szCs w:val="16"/>
        </w:rPr>
        <w:t>8</w:t>
      </w:r>
      <w:r w:rsidRPr="005F408B">
        <w:rPr>
          <w:rFonts w:cs="Arial"/>
          <w:color w:val="000000" w:themeColor="text1"/>
          <w:szCs w:val="16"/>
        </w:rPr>
        <w:t xml:space="preserve"> attachment(s) included in the State’s FFY 2021 SPP/APR submission are not in compliance with Section 508 of the Rehabilitation Act of 1973, as amended (Section 508), and will not </w:t>
      </w:r>
      <w:proofErr w:type="gramStart"/>
      <w:r w:rsidRPr="005F408B">
        <w:rPr>
          <w:rFonts w:cs="Arial"/>
          <w:color w:val="000000" w:themeColor="text1"/>
          <w:szCs w:val="16"/>
        </w:rPr>
        <w:t>be posted</w:t>
      </w:r>
      <w:proofErr w:type="gramEnd"/>
      <w:r w:rsidRPr="005F408B">
        <w:rPr>
          <w:rFonts w:cs="Arial"/>
          <w:color w:val="000000" w:themeColor="text1"/>
          <w:szCs w:val="16"/>
        </w:rPr>
        <w:t xml:space="preserve"> on the U.S. Department of Education’s IDEA website. Therefore, the State must make the attachment(s) available to the public as soon as practicable, but no later than 120 days after the date of the determination letter.</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2005</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8"/>
    <w:bookmarkEnd w:id="49"/>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83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14C6460F" w:rsidR="004B2A77" w:rsidRPr="00781112" w:rsidRDefault="00885633" w:rsidP="00A018D4">
            <w:pPr>
              <w:jc w:val="center"/>
              <w:rPr>
                <w:rFonts w:cs="Arial"/>
                <w:color w:val="000000" w:themeColor="text1"/>
                <w:szCs w:val="16"/>
              </w:rPr>
            </w:pPr>
            <w:r>
              <w:rPr>
                <w:rFonts w:cs="Arial"/>
                <w:color w:val="000000" w:themeColor="text1"/>
                <w:szCs w:val="16"/>
              </w:rPr>
              <w:t>NVR</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The OSES uses data collected on Table 1 (Child Count) of Information Collection 1820-0043 (Report of Children with Disabilities Receiving Special Education under Part B of the IDEA, as amended) and EDFacts FS002 for all children with disabilities, ages </w:t>
      </w:r>
      <w:proofErr w:type="gramStart"/>
      <w:r w:rsidRPr="00781112">
        <w:rPr>
          <w:rFonts w:cs="Arial"/>
          <w:color w:val="000000" w:themeColor="text1"/>
          <w:szCs w:val="16"/>
        </w:rPr>
        <w:t>5</w:t>
      </w:r>
      <w:proofErr w:type="gramEnd"/>
      <w:r w:rsidRPr="00781112">
        <w:rPr>
          <w:rFonts w:cs="Arial"/>
          <w:color w:val="000000" w:themeColor="text1"/>
          <w:szCs w:val="16"/>
        </w:rPr>
        <w:t xml:space="preserve"> in kindergarten through 21, served under IDEA for calculations on this indicator. These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annually as part of the October (fourth Tuesday) Child Count reporting.</w:t>
      </w:r>
      <w:r w:rsidRPr="00781112">
        <w:rPr>
          <w:rFonts w:cs="Arial"/>
          <w:color w:val="000000" w:themeColor="text1"/>
          <w:szCs w:val="16"/>
        </w:rPr>
        <w:br/>
        <w:t>Disproportionate Representation Methodology</w:t>
      </w:r>
      <w:r w:rsidRPr="00781112">
        <w:rPr>
          <w:rFonts w:cs="Arial"/>
          <w:color w:val="000000" w:themeColor="text1"/>
          <w:szCs w:val="16"/>
        </w:rPr>
        <w:br/>
        <w:t xml:space="preserve">South Carolina used the following process to determine the presence of disproportionate representation in special education and related services due to inappropriate identification. The first step was calculation of risk ratios using data submitted by LEAs in the OSEP 618 data tables. Using the electronic spreadsheet developed by Westat, South Carolina calculated the risk ratios for each LEA with regards to its composition of students in special education along the seven federally reported race/ethnic categories. This risk ratio directly compares the relative size of two risks by dividing the risk for a specific racial/ethnic group by the risk for a comparison group. This determined the specific race/ethnic group’s risk of </w:t>
      </w:r>
      <w:proofErr w:type="gramStart"/>
      <w:r w:rsidRPr="00781112">
        <w:rPr>
          <w:rFonts w:cs="Arial"/>
          <w:color w:val="000000" w:themeColor="text1"/>
          <w:szCs w:val="16"/>
        </w:rPr>
        <w:t>being identified</w:t>
      </w:r>
      <w:proofErr w:type="gramEnd"/>
      <w:r w:rsidRPr="00781112">
        <w:rPr>
          <w:rFonts w:cs="Arial"/>
          <w:color w:val="000000" w:themeColor="text1"/>
          <w:szCs w:val="16"/>
        </w:rPr>
        <w:t xml:space="preserve"> as having a disability as compared to the risk for all other students. A risk ratio above the state established criteria initiated the following process to determine whether the disproportionate representation was due to inappropriate identification. LEAs are determined to have disproportionate representation if they exceed the risk ratio trigger, currently at 2.50. </w:t>
      </w:r>
      <w:r w:rsidRPr="00781112">
        <w:rPr>
          <w:rFonts w:cs="Arial"/>
          <w:color w:val="000000" w:themeColor="text1"/>
          <w:szCs w:val="16"/>
        </w:rPr>
        <w:br/>
        <w:t>South Carolina collected data for all LEAs for the 2020-21 reporting year. South Carolina determined that a disability subgroup size (n-size) of less than 30 and a cell size of less than 10 would not yield valid disproportionate ratios. As such, two LEAs were excluded from consideration for disproportionate representation.</w:t>
      </w:r>
      <w:r w:rsidRPr="00781112">
        <w:rPr>
          <w:rFonts w:cs="Arial"/>
          <w:color w:val="000000" w:themeColor="text1"/>
          <w:szCs w:val="16"/>
        </w:rPr>
        <w:br/>
        <w:t xml:space="preserve">Disproportionate Representation Definition: South Carolina defines disproportionate representation as occurring when an LEA has the following: a risk ratio greater than 2.50 for overrepresentation, with an n-size greater than </w:t>
      </w:r>
      <w:proofErr w:type="gramStart"/>
      <w:r w:rsidRPr="00781112">
        <w:rPr>
          <w:rFonts w:cs="Arial"/>
          <w:color w:val="000000" w:themeColor="text1"/>
          <w:szCs w:val="16"/>
        </w:rPr>
        <w:t>30</w:t>
      </w:r>
      <w:proofErr w:type="gramEnd"/>
      <w:r w:rsidRPr="00781112">
        <w:rPr>
          <w:rFonts w:cs="Arial"/>
          <w:color w:val="000000" w:themeColor="text1"/>
          <w:szCs w:val="16"/>
        </w:rPr>
        <w:t xml:space="preserve"> and a cell size greater than 10.</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Any LEAs that are determined to have disproportionate representation followed the following process to determine whether the disproportionate presentation is due to inappropriate identification: completing a self-assessment to examine LEA policies, procedures, and practices involved in the referral, evaluation, and identification of students with disabilities; completing individual folder reviews for a subset of student records from identified students with disabilities to examine the practices involved in the evaluation and identification of students with disabilities as required by 34 CFR §300.111, §300.201 and 300.301 through §300.311; and submitting a summary of findings to the OSES for verification.</w:t>
      </w:r>
      <w:r w:rsidRPr="00781112">
        <w:rPr>
          <w:rFonts w:cs="Arial"/>
          <w:color w:val="000000" w:themeColor="text1"/>
          <w:szCs w:val="16"/>
        </w:rPr>
        <w:br/>
      </w:r>
      <w:r w:rsidRPr="00781112">
        <w:rPr>
          <w:rFonts w:cs="Arial"/>
          <w:color w:val="000000" w:themeColor="text1"/>
          <w:szCs w:val="16"/>
        </w:rPr>
        <w:br/>
        <w:t xml:space="preserve">LEAs determined to have disproportionate representation had to undergo a self-assessment process. The self-assessment monitoring process is a focused review of an LEA’s policies, procedures, and practices. The process guided the LEA in its examination of the procedures used to identify children as students with disabilities. The LEA’s decision-making process and practices </w:t>
      </w:r>
      <w:proofErr w:type="gramStart"/>
      <w:r w:rsidRPr="00781112">
        <w:rPr>
          <w:rFonts w:cs="Arial"/>
          <w:color w:val="000000" w:themeColor="text1"/>
          <w:szCs w:val="16"/>
        </w:rPr>
        <w:t>were examined</w:t>
      </w:r>
      <w:proofErr w:type="gramEnd"/>
      <w:r w:rsidRPr="00781112">
        <w:rPr>
          <w:rFonts w:cs="Arial"/>
          <w:color w:val="000000" w:themeColor="text1"/>
          <w:szCs w:val="16"/>
        </w:rPr>
        <w:t xml:space="preserve"> to determine to what extent, if any, they contributed to the disproportionate representation of students in disability categories. The LEA’s evaluation practices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to determine if students of the identified racial and ethnic groups had received appropriate evaluations. The evaluations must have included a variety of assessment tools and strategies to gather relevant functional, developmental and academic information about the student that may assist in determining the student’s specific classification and the content of the student’s individualized education program (IEP), including information related to enabling the student to access and progress in the general education curriculum. This protocol </w:t>
      </w:r>
      <w:proofErr w:type="gramStart"/>
      <w:r w:rsidRPr="00781112">
        <w:rPr>
          <w:rFonts w:cs="Arial"/>
          <w:color w:val="000000" w:themeColor="text1"/>
          <w:szCs w:val="16"/>
        </w:rPr>
        <w:t>was developed</w:t>
      </w:r>
      <w:proofErr w:type="gramEnd"/>
      <w:r w:rsidRPr="00781112">
        <w:rPr>
          <w:rFonts w:cs="Arial"/>
          <w:color w:val="000000" w:themeColor="text1"/>
          <w:szCs w:val="16"/>
        </w:rPr>
        <w:t xml:space="preserve"> to guide the LEAs through the process of examining policies, procedures, and practices related to the identification of students with disabilities, collecting data and evidence to support determinations, and evaluating the effectiveness of these practices. The same folders reviewed for the use of eligibility criteria </w:t>
      </w:r>
      <w:proofErr w:type="gramStart"/>
      <w:r w:rsidRPr="00781112">
        <w:rPr>
          <w:rFonts w:cs="Arial"/>
          <w:color w:val="000000" w:themeColor="text1"/>
          <w:szCs w:val="16"/>
        </w:rPr>
        <w:t>were also reviewed</w:t>
      </w:r>
      <w:proofErr w:type="gramEnd"/>
      <w:r w:rsidRPr="00781112">
        <w:rPr>
          <w:rFonts w:cs="Arial"/>
          <w:color w:val="000000" w:themeColor="text1"/>
          <w:szCs w:val="16"/>
        </w:rPr>
        <w:t xml:space="preserve"> for the use of the evaluation process. The LEAs gathered available evidence that pertained to each regulatory requirement, evaluated the evidence, submitted the results of that to the SEA, who then determined whether the evidence supported compliance or noncompliance.</w:t>
      </w:r>
      <w:r w:rsidRPr="00781112">
        <w:rPr>
          <w:rFonts w:cs="Arial"/>
          <w:color w:val="000000" w:themeColor="text1"/>
          <w:szCs w:val="16"/>
        </w:rPr>
        <w:br/>
      </w:r>
      <w:r w:rsidRPr="00781112">
        <w:rPr>
          <w:rFonts w:cs="Arial"/>
          <w:color w:val="000000" w:themeColor="text1"/>
          <w:szCs w:val="16"/>
        </w:rPr>
        <w:br/>
        <w:t>For FY21, no LEAs were found to have exceeded the permissible risk for disproportionate over-representation; therefore, no further actions were required by LEAs in this area.</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SC consulted with IDC for feedback on the self-assessment tool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SC has consulted with IDC for options related to potential changes to the disproportionate representation definition. </w:t>
      </w:r>
    </w:p>
    <w:p w14:paraId="1FEDA55E" w14:textId="77777777" w:rsidR="00F14FC6" w:rsidRPr="00781112" w:rsidRDefault="00F14FC6" w:rsidP="004369B2">
      <w:pPr>
        <w:rPr>
          <w:color w:val="000000" w:themeColor="text1"/>
        </w:rPr>
      </w:pPr>
    </w:p>
    <w:p w14:paraId="2112D336" w14:textId="77777777" w:rsidR="00AB008C" w:rsidRDefault="00AB008C">
      <w:pPr>
        <w:spacing w:before="0" w:after="200" w:line="276" w:lineRule="auto"/>
        <w:rPr>
          <w:b/>
          <w:color w:val="000000" w:themeColor="text1"/>
        </w:rPr>
      </w:pPr>
      <w:r>
        <w:rPr>
          <w:b/>
          <w:color w:val="000000" w:themeColor="text1"/>
        </w:rPr>
        <w:br w:type="page"/>
      </w:r>
    </w:p>
    <w:p w14:paraId="69DF7E10" w14:textId="4AEA7EE4"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 xml:space="preserve">In the State's FFY 2021 SPP/APR, the State must revise its baseline to include all children aged </w:t>
      </w:r>
      <w:proofErr w:type="gramStart"/>
      <w:r w:rsidRPr="00781112">
        <w:rPr>
          <w:rFonts w:cs="Arial"/>
          <w:color w:val="000000" w:themeColor="text1"/>
          <w:szCs w:val="16"/>
        </w:rPr>
        <w:t>5</w:t>
      </w:r>
      <w:proofErr w:type="gramEnd"/>
      <w:r w:rsidRPr="00781112">
        <w:rPr>
          <w:rFonts w:cs="Arial"/>
          <w:color w:val="000000" w:themeColor="text1"/>
          <w:szCs w:val="16"/>
        </w:rPr>
        <w:t xml:space="preserve"> who are enrolled in kindergarten and aged 6 through 21 served under IDEA.</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 xml:space="preserve">The baseline includes all children aged </w:t>
      </w:r>
      <w:proofErr w:type="gramStart"/>
      <w:r w:rsidRPr="00781112">
        <w:rPr>
          <w:rFonts w:cs="Arial"/>
          <w:color w:val="000000" w:themeColor="text1"/>
          <w:szCs w:val="16"/>
        </w:rPr>
        <w:t>5</w:t>
      </w:r>
      <w:proofErr w:type="gramEnd"/>
      <w:r w:rsidRPr="00781112">
        <w:rPr>
          <w:rFonts w:cs="Arial"/>
          <w:color w:val="000000" w:themeColor="text1"/>
          <w:szCs w:val="16"/>
        </w:rPr>
        <w:t xml:space="preserve"> who are enrolled in kindergarten and aged 6 through 21 under IDEA.</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 xml:space="preserve">In response to the FFY 2020 Required Action, the State reported, “The baseline includes all children aged 5 who are enrolled in kindergarten and aged 6 through 21 under IDEA.” However, OSEP notes the requirement to include children aged </w:t>
      </w:r>
      <w:proofErr w:type="gramStart"/>
      <w:r w:rsidRPr="00781112">
        <w:rPr>
          <w:rFonts w:cs="Arial"/>
          <w:color w:val="000000" w:themeColor="text1"/>
          <w:szCs w:val="16"/>
        </w:rPr>
        <w:t>5</w:t>
      </w:r>
      <w:proofErr w:type="gramEnd"/>
      <w:r w:rsidRPr="00781112">
        <w:rPr>
          <w:rFonts w:cs="Arial"/>
          <w:color w:val="000000" w:themeColor="text1"/>
          <w:szCs w:val="16"/>
        </w:rPr>
        <w:t xml:space="preserve"> who are enrolled in kindergarten, in addition to those aged 6 through 21, was established with the FFY 2020 SPP/APR submission.  Therefore, OSEP cannot accept the State’s reported baseline for this indicator, as it uses data from FFY 2005. </w:t>
      </w:r>
      <w:r w:rsidRPr="00781112">
        <w:rPr>
          <w:rFonts w:cs="Arial"/>
          <w:color w:val="000000" w:themeColor="text1"/>
          <w:szCs w:val="16"/>
        </w:rPr>
        <w:br/>
      </w:r>
      <w:r w:rsidRPr="00781112">
        <w:rPr>
          <w:rFonts w:cs="Arial"/>
          <w:color w:val="000000" w:themeColor="text1"/>
          <w:szCs w:val="16"/>
        </w:rPr>
        <w:br/>
        <w:t xml:space="preserve">The State did not report valid and reliable data. These data are not valid and </w:t>
      </w:r>
      <w:proofErr w:type="gramStart"/>
      <w:r w:rsidRPr="00781112">
        <w:rPr>
          <w:rFonts w:cs="Arial"/>
          <w:color w:val="000000" w:themeColor="text1"/>
          <w:szCs w:val="16"/>
        </w:rPr>
        <w:t>reliable</w:t>
      </w:r>
      <w:proofErr w:type="gramEnd"/>
      <w:r w:rsidRPr="00781112">
        <w:rPr>
          <w:rFonts w:cs="Arial"/>
          <w:color w:val="000000" w:themeColor="text1"/>
          <w:szCs w:val="16"/>
        </w:rPr>
        <w:t xml:space="preserve"> because the State reported that two districts were identified with disproportionate representation of racial/ethnic groups in special education and related services and were required to undergo a self-assessment process to determine whether the disproportionate representation was a result of inappropriate identification. However, in its description of how the State made its annual determination as to whether the disproportionate representation it identified of racial and ethnic groups in special education and related services was the result of inappropriate identification the State reported "[f]or FY21, no LEAs were found to have exceeded the permissible risk for disproportionate over-representation; therefore, no further actions were required by LEAs in this area." Because of this discrepancy, the State did not describe how it determined that disproportionate representation of racial and ethnic groups in special education and related services was the result of inappropriate identification (e.g., monitoring data, review of policies, practices, and procedures) for FFY 2021.</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r w:rsidRPr="00781112">
        <w:rPr>
          <w:rFonts w:cs="Arial"/>
          <w:color w:val="000000" w:themeColor="text1"/>
          <w:szCs w:val="16"/>
        </w:rPr>
        <w:br/>
      </w:r>
      <w:r w:rsidRPr="00781112">
        <w:rPr>
          <w:rFonts w:cs="Arial"/>
          <w:color w:val="000000" w:themeColor="text1"/>
          <w:szCs w:val="16"/>
        </w:rPr>
        <w:br/>
        <w:t xml:space="preserve">In the State's FFY 2021 SPP/APR, the State must revise its baseline to include all children aged </w:t>
      </w:r>
      <w:proofErr w:type="gramStart"/>
      <w:r w:rsidRPr="00781112">
        <w:rPr>
          <w:rFonts w:cs="Arial"/>
          <w:color w:val="000000" w:themeColor="text1"/>
          <w:szCs w:val="16"/>
        </w:rPr>
        <w:t>5</w:t>
      </w:r>
      <w:proofErr w:type="gramEnd"/>
      <w:r w:rsidRPr="00781112">
        <w:rPr>
          <w:rFonts w:cs="Arial"/>
          <w:color w:val="000000" w:themeColor="text1"/>
          <w:szCs w:val="16"/>
        </w:rPr>
        <w:t xml:space="preserve"> who are enrolled in kindergarten and aged 6 through 21 served under IDEA.</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552613AC" w14:textId="77777777" w:rsidR="00AB008C" w:rsidRPr="00781112" w:rsidRDefault="00AB008C"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2005</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7.00%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1.16%</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4.82%</w:t>
            </w:r>
          </w:p>
        </w:tc>
      </w:tr>
      <w:bookmarkEnd w:id="56"/>
      <w:bookmarkEnd w:id="57"/>
    </w:tbl>
    <w:p w14:paraId="1840A66A" w14:textId="77777777" w:rsidR="00BA687C" w:rsidRDefault="00BA687C" w:rsidP="004369B2">
      <w:pPr>
        <w:rPr>
          <w:color w:val="000000" w:themeColor="text1"/>
        </w:rPr>
      </w:pPr>
    </w:p>
    <w:p w14:paraId="0968548E" w14:textId="77777777" w:rsidR="00AB008C" w:rsidRPr="00781112" w:rsidRDefault="00AB008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82</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4.82%</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1.22%</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Definition: South Carolina defines disproportionate representation as occurring when an LEA has the following: a risk ratio greater than 2.50 for overrepresentation, with an n-size greater than 30 and cell size greater than 10.</w:t>
      </w:r>
      <w:r w:rsidRPr="00781112">
        <w:rPr>
          <w:rFonts w:cs="Arial"/>
          <w:color w:val="000000" w:themeColor="text1"/>
          <w:szCs w:val="16"/>
        </w:rPr>
        <w:br/>
        <w:t xml:space="preserve">The OSES uses data collected on Table 1 (Child Count) of Information Collection 1820-0043 (Report of Children with Disabilities Receiving Special Education under Part B of the IDEA, as amended) and EDFacts FS002 for all children with disabilities, ages 5 in kindergarten through 21, served under IDEA for calculations on this indicator. </w:t>
      </w:r>
      <w:proofErr w:type="gramStart"/>
      <w:r w:rsidRPr="00781112">
        <w:rPr>
          <w:rFonts w:cs="Arial"/>
          <w:color w:val="000000" w:themeColor="text1"/>
          <w:szCs w:val="16"/>
        </w:rPr>
        <w:t>These</w:t>
      </w:r>
      <w:proofErr w:type="gramEnd"/>
      <w:r w:rsidRPr="00781112">
        <w:rPr>
          <w:rFonts w:cs="Arial"/>
          <w:color w:val="000000" w:themeColor="text1"/>
          <w:szCs w:val="16"/>
        </w:rPr>
        <w:t xml:space="preserve">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annually as part of the October (fourth Tuesday) Child Count reporting. </w:t>
      </w:r>
      <w:r w:rsidRPr="00781112">
        <w:rPr>
          <w:rFonts w:cs="Arial"/>
          <w:color w:val="000000" w:themeColor="text1"/>
          <w:szCs w:val="16"/>
        </w:rPr>
        <w:br/>
      </w:r>
      <w:r w:rsidRPr="00781112">
        <w:rPr>
          <w:rFonts w:cs="Arial"/>
          <w:color w:val="000000" w:themeColor="text1"/>
          <w:szCs w:val="16"/>
        </w:rPr>
        <w:br/>
        <w:t xml:space="preserve">Disproportionate Representation Methodology </w:t>
      </w:r>
      <w:r w:rsidRPr="00781112">
        <w:rPr>
          <w:rFonts w:cs="Arial"/>
          <w:color w:val="000000" w:themeColor="text1"/>
          <w:szCs w:val="16"/>
        </w:rPr>
        <w:br/>
        <w:t xml:space="preserve">South Carolina used a multitier process to determine the presence of disproportionate representation in special education and related services due to inappropriate identification. The first step was calculation of risk ratios using data submitted by LEAs in the OSEP 618 data tables. Using the electronic spreadsheet developed by Westat, South Carolina calculated the risk ratios for each LEA with regards to its composition of students in special education along the seven federally reported race/ethnic categories. This risk ratio directly compares the relative size of two risks by dividing the risk for a specific racial/ethnic group by the risk for a comparison group. This determined the specific race/ethnic group’s risk of </w:t>
      </w:r>
      <w:proofErr w:type="gramStart"/>
      <w:r w:rsidRPr="00781112">
        <w:rPr>
          <w:rFonts w:cs="Arial"/>
          <w:color w:val="000000" w:themeColor="text1"/>
          <w:szCs w:val="16"/>
        </w:rPr>
        <w:t>being identified</w:t>
      </w:r>
      <w:proofErr w:type="gramEnd"/>
      <w:r w:rsidRPr="00781112">
        <w:rPr>
          <w:rFonts w:cs="Arial"/>
          <w:color w:val="000000" w:themeColor="text1"/>
          <w:szCs w:val="16"/>
        </w:rPr>
        <w:t xml:space="preserve"> as having a disability as compared to the risk for all other students. A risk ratio above the state established criteria initiated the following process to determine whether the disproportionate representation was due to inappropriate identification. LEAs are determined to have disproportionate representation if they exceed the risk ratio trigger. </w:t>
      </w:r>
      <w:r w:rsidRPr="00781112">
        <w:rPr>
          <w:rFonts w:cs="Arial"/>
          <w:color w:val="000000" w:themeColor="text1"/>
          <w:szCs w:val="16"/>
        </w:rPr>
        <w:br/>
        <w:t xml:space="preserve">Based upon feedback from stakeholders, the OSES redefined the trigger to use a risk ratio of above 2.50 for overrepresentation. The data used by the state are only data from one reporting year (FY20). </w:t>
      </w:r>
      <w:r w:rsidRPr="00781112">
        <w:rPr>
          <w:rFonts w:cs="Arial"/>
          <w:color w:val="000000" w:themeColor="text1"/>
          <w:szCs w:val="16"/>
        </w:rPr>
        <w:br/>
      </w:r>
      <w:r w:rsidRPr="00781112">
        <w:rPr>
          <w:rFonts w:cs="Arial"/>
          <w:color w:val="000000" w:themeColor="text1"/>
          <w:szCs w:val="16"/>
        </w:rPr>
        <w:br/>
        <w:t xml:space="preserve">South Carolina collected data for all LEAs for the 2020-21 reporting year. South Carolina determined that a disability subgroup size of less than 30 and a cell size less than 10 would not yield valid disproportionate ratios. As the data show, three LEAs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consideration for disproportionate representation based on these criteria.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Any LEAs that are determined to have disproportionate representation (meeting the trigger): used and completed a self-assessment to examine LEA policies, procedures, and practices involved in the referral, evaluation, and identification of students with disabilities; complete individual folder reviews for a subset of student records from identified students with disabilities to examine the practices involved in the evaluation and identification of students with disabilities as required by 34 CFR §300.111, §300.201 and 300.301 through §300.311; and submit a summary of findings to the OSES for verification. </w:t>
      </w:r>
      <w:r w:rsidRPr="00781112">
        <w:rPr>
          <w:rFonts w:cs="Arial"/>
          <w:color w:val="000000" w:themeColor="text1"/>
          <w:szCs w:val="16"/>
        </w:rPr>
        <w:br/>
      </w:r>
      <w:r w:rsidRPr="00781112">
        <w:rPr>
          <w:rFonts w:cs="Arial"/>
          <w:color w:val="000000" w:themeColor="text1"/>
          <w:szCs w:val="16"/>
        </w:rPr>
        <w:br/>
        <w:t>LEAs determined to have disproportionate representation used a self-assessment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self-assessment is a focused review of an LEA’s policies, procedures, and practices. The process guided the LEA in its examination of the procedures used to identify children as students with disabilities. The LEA’s decision-making process and practices </w:t>
      </w:r>
      <w:proofErr w:type="gramStart"/>
      <w:r w:rsidRPr="00781112">
        <w:rPr>
          <w:rFonts w:cs="Arial"/>
          <w:color w:val="000000" w:themeColor="text1"/>
          <w:szCs w:val="16"/>
        </w:rPr>
        <w:t>are examined</w:t>
      </w:r>
      <w:proofErr w:type="gramEnd"/>
      <w:r w:rsidRPr="00781112">
        <w:rPr>
          <w:rFonts w:cs="Arial"/>
          <w:color w:val="000000" w:themeColor="text1"/>
          <w:szCs w:val="16"/>
        </w:rPr>
        <w:t xml:space="preserve"> to determine to what extent, if any, they contributed to the disproportionate representation of students in disability categories. The LEA’s evaluation practices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to determine if students of the identified racial and ethnic groups had received appropriate evaluations. The evaluations must have included a variety of assessment tools and strategies to gather relevant functional, developmental, and academic information about the student that may assist in determining the student’s specific classification and the content of the student’s individualized education program (IEP), including information related to enabling the student to access and progress in the general education curriculum. This protocol </w:t>
      </w:r>
      <w:proofErr w:type="gramStart"/>
      <w:r w:rsidRPr="00781112">
        <w:rPr>
          <w:rFonts w:cs="Arial"/>
          <w:color w:val="000000" w:themeColor="text1"/>
          <w:szCs w:val="16"/>
        </w:rPr>
        <w:t>was developed</w:t>
      </w:r>
      <w:proofErr w:type="gramEnd"/>
      <w:r w:rsidRPr="00781112">
        <w:rPr>
          <w:rFonts w:cs="Arial"/>
          <w:color w:val="000000" w:themeColor="text1"/>
          <w:szCs w:val="16"/>
        </w:rPr>
        <w:t xml:space="preserve"> to guide the LEAs through the process of examining policies, procedures, and practices related to the identification of students with disabilities, collecting data and evidence to support determinations, and evaluating the effectiveness of these practices. The same folders reviewed for eligibility criteria </w:t>
      </w:r>
      <w:proofErr w:type="gramStart"/>
      <w:r w:rsidRPr="00781112">
        <w:rPr>
          <w:rFonts w:cs="Arial"/>
          <w:color w:val="000000" w:themeColor="text1"/>
          <w:szCs w:val="16"/>
        </w:rPr>
        <w:t>were also reviewed</w:t>
      </w:r>
      <w:proofErr w:type="gramEnd"/>
      <w:r w:rsidRPr="00781112">
        <w:rPr>
          <w:rFonts w:cs="Arial"/>
          <w:color w:val="000000" w:themeColor="text1"/>
          <w:szCs w:val="16"/>
        </w:rPr>
        <w:t xml:space="preserve"> for the evaluation process. The LEAs gathered available evidence that pertained to each regulatory requirement, evaluated the evidence, and determined whether the evidence supported compliance or noncompliance.</w:t>
      </w:r>
      <w:r w:rsidRPr="00781112">
        <w:rPr>
          <w:rFonts w:cs="Arial"/>
          <w:color w:val="000000" w:themeColor="text1"/>
          <w:szCs w:val="16"/>
        </w:rPr>
        <w:br/>
      </w:r>
      <w:r w:rsidRPr="00781112">
        <w:rPr>
          <w:rFonts w:cs="Arial"/>
          <w:color w:val="000000" w:themeColor="text1"/>
          <w:szCs w:val="16"/>
        </w:rPr>
        <w:lastRenderedPageBreak/>
        <w:br/>
        <w:t xml:space="preserve">The OSES then reviewed and verified the LEA's information. For FY21, there was 1 LEA that </w:t>
      </w:r>
      <w:proofErr w:type="gramStart"/>
      <w:r w:rsidRPr="00781112">
        <w:rPr>
          <w:rFonts w:cs="Arial"/>
          <w:color w:val="000000" w:themeColor="text1"/>
          <w:szCs w:val="16"/>
        </w:rPr>
        <w:t>was found</w:t>
      </w:r>
      <w:proofErr w:type="gramEnd"/>
      <w:r w:rsidRPr="00781112">
        <w:rPr>
          <w:rFonts w:cs="Arial"/>
          <w:color w:val="000000" w:themeColor="text1"/>
          <w:szCs w:val="16"/>
        </w:rPr>
        <w:t xml:space="preserve"> to have practices that contributed to disproportionate representation. Policies and procedures were appropriate.</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OSES issued written findings of noncompliance to the 4 LEAs and will report on correction of the noncompliance in the FY20 APR.</w:t>
      </w:r>
      <w:r w:rsidRPr="00781112">
        <w:rPr>
          <w:rFonts w:cs="Arial"/>
          <w:color w:val="000000" w:themeColor="text1"/>
          <w:szCs w:val="16"/>
        </w:rPr>
        <w:br/>
      </w:r>
      <w:r w:rsidRPr="00781112">
        <w:rPr>
          <w:rFonts w:cs="Arial"/>
          <w:color w:val="000000" w:themeColor="text1"/>
          <w:szCs w:val="16"/>
        </w:rPr>
        <w:br/>
        <w:t>SC consulted with IDC for feedback on the self-assessment tool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SC has consulted with IDC for options related to potential changes to the disproportionate representation definition.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r>
    </w:tbl>
    <w:p w14:paraId="1C1CF9D4" w14:textId="7C502AE8" w:rsidR="009A755E" w:rsidRPr="00781112" w:rsidRDefault="00450F98" w:rsidP="004369B2">
      <w:pPr>
        <w:rPr>
          <w:color w:val="000000" w:themeColor="text1"/>
        </w:rPr>
      </w:pPr>
      <w:r>
        <w:rPr>
          <w:b/>
          <w:color w:val="000000" w:themeColor="text1"/>
        </w:rPr>
        <w:t>FFY 2020 Findings of Noncompliance Not Yet Verified as Corrected</w:t>
      </w:r>
    </w:p>
    <w:p w14:paraId="1EA90698"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C7D1E40" w14:textId="4ECD9906" w:rsidR="00481536" w:rsidRPr="00781112" w:rsidRDefault="002B7490" w:rsidP="009A755E">
      <w:pPr>
        <w:rPr>
          <w:rFonts w:cs="Arial"/>
          <w:color w:val="000000" w:themeColor="text1"/>
          <w:szCs w:val="16"/>
        </w:rPr>
      </w:pPr>
      <w:r w:rsidRPr="00781112">
        <w:rPr>
          <w:rFonts w:cs="Arial"/>
          <w:color w:val="000000" w:themeColor="text1"/>
          <w:szCs w:val="16"/>
        </w:rPr>
        <w:t>The state is completing a data review of subsequent data. If any LEAs continue to show noncompliance, they receive technical assistance coupled with quarterly monitoring and data reviews during the 2023-2024 school year to ensure they are working towards achieving correct implementation of the regulatory requirements.</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In the State's FFY 2021 SPP/APR, the State must revise its baseline to include all children aged 5 who are enrolled in kindergarten and aged 6 through 21 served under IDEA.</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The baseline includes all children aged </w:t>
      </w:r>
      <w:proofErr w:type="gramStart"/>
      <w:r w:rsidRPr="00781112">
        <w:rPr>
          <w:rFonts w:cs="Arial"/>
          <w:color w:val="000000" w:themeColor="text1"/>
          <w:szCs w:val="16"/>
        </w:rPr>
        <w:t>5</w:t>
      </w:r>
      <w:proofErr w:type="gramEnd"/>
      <w:r w:rsidRPr="00781112">
        <w:rPr>
          <w:rFonts w:cs="Arial"/>
          <w:color w:val="000000" w:themeColor="text1"/>
          <w:szCs w:val="16"/>
        </w:rPr>
        <w:t xml:space="preserve"> who are enrolled in kindergarten and aged 6 through 21 under IDEA.</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In response to the FFY 2020 Required Action, the State reported, “The baseline includes all children aged 5 who are enrolled in kindergarten and aged 6 through 21 under IDEA.” However, OSEP notes the requirement to include children aged </w:t>
      </w:r>
      <w:proofErr w:type="gramStart"/>
      <w:r w:rsidRPr="00781112">
        <w:rPr>
          <w:rFonts w:cs="Arial"/>
          <w:color w:val="000000" w:themeColor="text1"/>
          <w:szCs w:val="16"/>
        </w:rPr>
        <w:t>5</w:t>
      </w:r>
      <w:proofErr w:type="gramEnd"/>
      <w:r w:rsidRPr="00781112">
        <w:rPr>
          <w:rFonts w:cs="Arial"/>
          <w:color w:val="000000" w:themeColor="text1"/>
          <w:szCs w:val="16"/>
        </w:rPr>
        <w:t xml:space="preserve"> who are enrolled in kindergarten, in addition to those aged 6 through 21, was established with the FFY 2020 SPP/APR submission.  Therefore, OSEP cannot accept the State’s reported baseline for this indicator, as it uses data from FFY 2005.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district identified in FFY 2021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83.00%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99.65%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99.94%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99.74%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98.01%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88.05%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4B1E75AD" w14:textId="77777777" w:rsidR="00AB008C" w:rsidRDefault="00AB008C">
      <w:pPr>
        <w:spacing w:before="0" w:after="200" w:line="276" w:lineRule="auto"/>
        <w:rPr>
          <w:b/>
          <w:color w:val="000000" w:themeColor="text1"/>
        </w:rPr>
      </w:pPr>
      <w:r>
        <w:rPr>
          <w:b/>
          <w:color w:val="000000" w:themeColor="text1"/>
        </w:rPr>
        <w:br w:type="page"/>
      </w:r>
    </w:p>
    <w:p w14:paraId="3FAEB3AB" w14:textId="3D1AE05F"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20,851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20,694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88.05%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99.25%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157</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For </w:t>
      </w:r>
      <w:proofErr w:type="gramStart"/>
      <w:r w:rsidRPr="00781112">
        <w:rPr>
          <w:color w:val="000000" w:themeColor="text1"/>
        </w:rPr>
        <w:t>the FY21</w:t>
      </w:r>
      <w:proofErr w:type="gramEnd"/>
      <w:r w:rsidRPr="00781112">
        <w:rPr>
          <w:color w:val="000000" w:themeColor="text1"/>
        </w:rPr>
        <w:t xml:space="preserve"> APR, the range of days beyond the 60-day timeline was from 1 to 737 days. COVID continued to contribute to delays in the completion of initial evaluations. LEAs reported student and staff absences due to illness, quarantine, school closures, and protocols. Additional reasons for delays include staffing issues; inability to engage parents in timely input in the evaluation after multiple attempts; scheduling issues, errors, and miscommunication; and staff and student illnesses (not specified as COVID related).</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OSES collects data from the statewide special education database, SC Enrich IEP, for use in the measurement of IDEA Part B Indicator 11. The data </w:t>
      </w:r>
      <w:proofErr w:type="gramStart"/>
      <w:r w:rsidRPr="00781112">
        <w:rPr>
          <w:rFonts w:cs="Arial"/>
          <w:color w:val="000000" w:themeColor="text1"/>
          <w:szCs w:val="16"/>
        </w:rPr>
        <w:t>are pushed</w:t>
      </w:r>
      <w:proofErr w:type="gramEnd"/>
      <w:r w:rsidRPr="00781112">
        <w:rPr>
          <w:rFonts w:cs="Arial"/>
          <w:color w:val="000000" w:themeColor="text1"/>
          <w:szCs w:val="16"/>
        </w:rPr>
        <w:t xml:space="preserve"> up from the LEA to the state level. The date range for this collection was July 1, 2021 – June 30, 2022. These data were reflective of all students for whom parental consent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and who received an evaluation consistent with the requirements of IDEA Part B Indicator 11. A team of OSES staff with expertise in data collection, analyses, and reporting reviewed both quantitative and qualitative data from the SC Enrich IEP spreadsheet reports to determine the categorical analysis of each individual student for whom consent to evaluate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These staff also conducted follow-up communication with any LEA that exceeded the timeline for one or more children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there was any noncompliance by LEA. The OSES collected additional data and explanatory documentation to ensure the data and information were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2,402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2,383</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19</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To determine whether the LEAs who had not complied with regulatory requirements in FFY 2020 had corrected and had achieved regulatory compliance, the OSES reviewed the Indicator 11 data for FFY 2021. This review of FY 2021 data and a comparison with FFY 2020 confirmed that FFY 2020 was a data anomaly and that the delays in initial evaluations in FFY 2020 were </w:t>
      </w:r>
      <w:proofErr w:type="gramStart"/>
      <w:r w:rsidRPr="00781112">
        <w:rPr>
          <w:rFonts w:cs="Arial"/>
          <w:color w:val="000000" w:themeColor="text1"/>
          <w:szCs w:val="16"/>
        </w:rPr>
        <w:t>largely related</w:t>
      </w:r>
      <w:proofErr w:type="gramEnd"/>
      <w:r w:rsidRPr="00781112">
        <w:rPr>
          <w:rFonts w:cs="Arial"/>
          <w:color w:val="000000" w:themeColor="text1"/>
          <w:szCs w:val="16"/>
        </w:rPr>
        <w:t xml:space="preserve"> to issues resulting from the COVID pandemic. </w:t>
      </w:r>
      <w:r w:rsidRPr="00781112">
        <w:rPr>
          <w:rFonts w:cs="Arial"/>
          <w:color w:val="000000" w:themeColor="text1"/>
          <w:szCs w:val="16"/>
        </w:rPr>
        <w:br/>
        <w:t xml:space="preserve">The instances of noncompliance/untimeliness dropped dramatically from 2,402 findings in FFY 2020 to 157 findings in FFY 2021. Further, in FFY 2020, 72 LEAs were not in compliance with respect to Indicator 11. The OSES verified that based on FFY 2021 data, which is subsequently gathered data, </w:t>
      </w:r>
      <w:proofErr w:type="gramStart"/>
      <w:r w:rsidRPr="00781112">
        <w:rPr>
          <w:rFonts w:cs="Arial"/>
          <w:color w:val="000000" w:themeColor="text1"/>
          <w:szCs w:val="16"/>
        </w:rPr>
        <w:t>37</w:t>
      </w:r>
      <w:proofErr w:type="gramEnd"/>
      <w:r w:rsidRPr="00781112">
        <w:rPr>
          <w:rFonts w:cs="Arial"/>
          <w:color w:val="000000" w:themeColor="text1"/>
          <w:szCs w:val="16"/>
        </w:rPr>
        <w:t xml:space="preserve"> of these 72 LEAs were 100% compliant, with no cases of untimeliness, thus demonstrating correct implementation of regulatory requirements.</w:t>
      </w:r>
      <w:r w:rsidRPr="00781112">
        <w:rPr>
          <w:rFonts w:cs="Arial"/>
          <w:color w:val="000000" w:themeColor="text1"/>
          <w:szCs w:val="16"/>
        </w:rPr>
        <w:br/>
        <w:t>The remaining LEAs, which total 35, have been identified for FFY 2021 as requiring continued correction. These LEAs will be receiving technical assistance coupled with quarterly monitoring and data reviews during the 2023-2024 school year to ensure they are working towards achieving correct implementation of the regulatory requirements.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First, the OSES verified, through its statewide IEP data system, that all evaluations had </w:t>
      </w:r>
      <w:proofErr w:type="gramStart"/>
      <w:r w:rsidRPr="00781112">
        <w:rPr>
          <w:rFonts w:cs="Arial"/>
          <w:color w:val="000000" w:themeColor="text1"/>
          <w:szCs w:val="16"/>
        </w:rPr>
        <w:t>been completed</w:t>
      </w:r>
      <w:proofErr w:type="gramEnd"/>
      <w:r w:rsidRPr="00781112">
        <w:rPr>
          <w:rFonts w:cs="Arial"/>
          <w:color w:val="000000" w:themeColor="text1"/>
          <w:szCs w:val="16"/>
        </w:rPr>
        <w:t xml:space="preserve"> unless the student moved from the LEA or was otherwise unavailable to the evaluators, or consent for evaluation was revoked. Then, the OSES required the 72 LEAs to review and correct each individual case where initial evaluation exceeded the 60-day timeline in FFY 2020 and who were found eligible under the IDEA</w:t>
      </w:r>
      <w:proofErr w:type="gramStart"/>
      <w:r w:rsidRPr="00781112">
        <w:rPr>
          <w:rFonts w:cs="Arial"/>
          <w:color w:val="000000" w:themeColor="text1"/>
          <w:szCs w:val="16"/>
        </w:rPr>
        <w:t xml:space="preserve">.  </w:t>
      </w:r>
      <w:proofErr w:type="gramEnd"/>
      <w:r w:rsidRPr="00781112">
        <w:rPr>
          <w:rFonts w:cs="Arial"/>
          <w:color w:val="000000" w:themeColor="text1"/>
          <w:szCs w:val="16"/>
        </w:rPr>
        <w:t>Specifically, for each LEA, the OSES issued findings of noncompliance in a corrective action letter that included a “Verification Spreadsheet</w:t>
      </w:r>
      <w:proofErr w:type="gramStart"/>
      <w:r w:rsidRPr="00781112">
        <w:rPr>
          <w:rFonts w:cs="Arial"/>
          <w:color w:val="000000" w:themeColor="text1"/>
          <w:szCs w:val="16"/>
        </w:rPr>
        <w:t>”.</w:t>
      </w:r>
      <w:proofErr w:type="gramEnd"/>
      <w:r w:rsidRPr="00781112">
        <w:rPr>
          <w:rFonts w:cs="Arial"/>
          <w:color w:val="000000" w:themeColor="text1"/>
          <w:szCs w:val="16"/>
        </w:rPr>
        <w:t xml:space="preserve"> The OSES directed the LEAs to correct all individual findings of noncompliance as soon as possible but in no case later than one year from the date of notification. The OSES specified that correction for each student found eligible under IDEA must include holding an IEP team meeting to determine whether the delay in completion of the initial evaluation of the child resulted in a denial of FAPE, and if so, consideration of whether compensatory services </w:t>
      </w:r>
      <w:proofErr w:type="gramStart"/>
      <w:r w:rsidRPr="00781112">
        <w:rPr>
          <w:rFonts w:cs="Arial"/>
          <w:color w:val="000000" w:themeColor="text1"/>
          <w:szCs w:val="16"/>
        </w:rPr>
        <w:t>were warranted</w:t>
      </w:r>
      <w:proofErr w:type="gramEnd"/>
      <w:r w:rsidRPr="00781112">
        <w:rPr>
          <w:rFonts w:cs="Arial"/>
          <w:color w:val="000000" w:themeColor="text1"/>
          <w:szCs w:val="16"/>
        </w:rPr>
        <w:t xml:space="preserve">. The OSES required LEA personnel to verify completion of the required corrective actions, along with the date of the corrections, on the Verification Spreadsheet provided by the OSES. To confirm the accuracy of the correction information on the Verification Spreadsheets submitted by the LEAs, the OSES required each LEA to upload into the Advanced Data Transfer System (ADT) additional evidence of correction for randomly selected individual cases. The additional evidence included PWNs, eligibility documentation, and enrollment status for any exiting students. The OSES reviewed the Verification Spreadsheets and verified correction for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individual cases with the exception of 19 cases in two LEAs. The OSES also confirmed the accuracy of the Verification Spreadsheets submitted by LEAs by reviewing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documents uploaded into the ADT for the randomly selected individual cases.</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For the two LEAs that have not provided verification of correction (19 individual cases), the OSES has required that the two LEAs submit their Verification Spreadsheets and supporting documentation for the selected individual cases by no later than May 31, 2023. In addition, since these two LEAs did not meet the one-year timeline, the untimeliness will </w:t>
      </w:r>
      <w:proofErr w:type="gramStart"/>
      <w:r w:rsidRPr="00781112">
        <w:rPr>
          <w:rFonts w:cs="Arial"/>
          <w:color w:val="000000" w:themeColor="text1"/>
          <w:szCs w:val="16"/>
        </w:rPr>
        <w:t>be noted</w:t>
      </w:r>
      <w:proofErr w:type="gramEnd"/>
      <w:r w:rsidRPr="00781112">
        <w:rPr>
          <w:rFonts w:cs="Arial"/>
          <w:color w:val="000000" w:themeColor="text1"/>
          <w:szCs w:val="16"/>
        </w:rPr>
        <w:t xml:space="preserve"> in their annual LEA determinations.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LEAs found to have noncompliance in FFY2020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to OSES documentation that the children had been evaluated, although late, and that IEP meetings were held for each child found eligible to determine whether the child had been denied a FAPE under the IDEA. If the team determined that FAPE had </w:t>
      </w:r>
      <w:proofErr w:type="gramStart"/>
      <w:r w:rsidRPr="00781112">
        <w:rPr>
          <w:rFonts w:cs="Arial"/>
          <w:color w:val="000000" w:themeColor="text1"/>
          <w:szCs w:val="16"/>
        </w:rPr>
        <w:t>been denied</w:t>
      </w:r>
      <w:proofErr w:type="gramEnd"/>
      <w:r w:rsidRPr="00781112">
        <w:rPr>
          <w:rFonts w:cs="Arial"/>
          <w:color w:val="000000" w:themeColor="text1"/>
          <w:szCs w:val="16"/>
        </w:rPr>
        <w:t xml:space="preserve">, the team determined the amount of compensatory </w:t>
      </w:r>
      <w:proofErr w:type="gramStart"/>
      <w:r w:rsidRPr="00781112">
        <w:rPr>
          <w:rFonts w:cs="Arial"/>
          <w:color w:val="000000" w:themeColor="text1"/>
          <w:szCs w:val="16"/>
        </w:rPr>
        <w:t>serviced</w:t>
      </w:r>
      <w:proofErr w:type="gramEnd"/>
      <w:r w:rsidRPr="00781112">
        <w:rPr>
          <w:rFonts w:cs="Arial"/>
          <w:color w:val="000000" w:themeColor="text1"/>
          <w:szCs w:val="16"/>
        </w:rPr>
        <w:t xml:space="preserve"> needed and developed a plan for providing the services.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a Verification Spreadsheet which included LEA verification of correction of all individual cases of noncompliance along with evidence of correction for a predetermined subset of individual student records. Evidence to </w:t>
      </w:r>
      <w:proofErr w:type="gramStart"/>
      <w:r w:rsidRPr="00781112">
        <w:rPr>
          <w:rFonts w:cs="Arial"/>
          <w:color w:val="000000" w:themeColor="text1"/>
          <w:szCs w:val="16"/>
        </w:rPr>
        <w:t>be submitted</w:t>
      </w:r>
      <w:proofErr w:type="gramEnd"/>
      <w:r w:rsidRPr="00781112">
        <w:rPr>
          <w:rFonts w:cs="Arial"/>
          <w:color w:val="000000" w:themeColor="text1"/>
          <w:szCs w:val="16"/>
        </w:rPr>
        <w:t xml:space="preserve"> for this subset of files </w:t>
      </w:r>
      <w:proofErr w:type="gramStart"/>
      <w:r w:rsidRPr="00781112">
        <w:rPr>
          <w:rFonts w:cs="Arial"/>
          <w:color w:val="000000" w:themeColor="text1"/>
          <w:szCs w:val="16"/>
        </w:rPr>
        <w:t>include</w:t>
      </w:r>
      <w:proofErr w:type="gramEnd"/>
      <w:r w:rsidRPr="00781112">
        <w:rPr>
          <w:rFonts w:cs="Arial"/>
          <w:color w:val="000000" w:themeColor="text1"/>
          <w:szCs w:val="16"/>
        </w:rPr>
        <w:t xml:space="preserve"> PWNs, eligibility documentation, and enrollment status of exiting students. OSES *reviewed these submissions for verification of correction. The subset of files reviewed is representative of approximately 10 percent of an LEA’s corrections and included at least </w:t>
      </w:r>
      <w:proofErr w:type="gramStart"/>
      <w:r w:rsidRPr="00781112">
        <w:rPr>
          <w:rFonts w:cs="Arial"/>
          <w:color w:val="000000" w:themeColor="text1"/>
          <w:szCs w:val="16"/>
        </w:rPr>
        <w:t>1</w:t>
      </w:r>
      <w:proofErr w:type="gramEnd"/>
      <w:r w:rsidRPr="00781112">
        <w:rPr>
          <w:rFonts w:cs="Arial"/>
          <w:color w:val="000000" w:themeColor="text1"/>
          <w:szCs w:val="16"/>
        </w:rPr>
        <w:t xml:space="preserve"> file and not more than 10 files from an LEA. In addition to the verification of individual student corrections, LEAs will </w:t>
      </w:r>
      <w:proofErr w:type="gramStart"/>
      <w:r w:rsidRPr="00781112">
        <w:rPr>
          <w:rFonts w:cs="Arial"/>
          <w:color w:val="000000" w:themeColor="text1"/>
          <w:szCs w:val="16"/>
        </w:rPr>
        <w:t>be required</w:t>
      </w:r>
      <w:proofErr w:type="gramEnd"/>
      <w:r w:rsidRPr="00781112">
        <w:rPr>
          <w:rFonts w:cs="Arial"/>
          <w:color w:val="000000" w:themeColor="text1"/>
          <w:szCs w:val="16"/>
        </w:rPr>
        <w:t xml:space="preserve"> to participate in Data Quality Checks to ensure correction and compliance with Indicator 11 requirements.</w:t>
      </w:r>
      <w:r w:rsidRPr="00781112">
        <w:rPr>
          <w:rFonts w:cs="Arial"/>
          <w:color w:val="000000" w:themeColor="text1"/>
          <w:szCs w:val="16"/>
        </w:rPr>
        <w:br/>
        <w:t>*LEAs have until February 2, 2023, to submit corrections, therefore, corrections and verifications are still in process.</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w:t>
      </w:r>
      <w:proofErr w:type="gramStart"/>
      <w:r w:rsidRPr="00781112">
        <w:rPr>
          <w:rFonts w:cs="Arial"/>
          <w:color w:val="000000" w:themeColor="text1"/>
          <w:szCs w:val="16"/>
        </w:rPr>
        <w:t>19</w:t>
      </w:r>
      <w:proofErr w:type="gramEnd"/>
      <w:r w:rsidRPr="00781112">
        <w:rPr>
          <w:rFonts w:cs="Arial"/>
          <w:color w:val="000000" w:themeColor="text1"/>
          <w:szCs w:val="16"/>
        </w:rPr>
        <w:t xml:space="preserve"> uncorrected findings of noncompliance identified in FFY 2020 were corrected.  </w:t>
      </w:r>
      <w:r w:rsidRPr="00781112">
        <w:rPr>
          <w:rFonts w:cs="Arial"/>
          <w:color w:val="000000" w:themeColor="text1"/>
          <w:szCs w:val="16"/>
        </w:rPr>
        <w:br/>
      </w:r>
      <w:r w:rsidRPr="00781112">
        <w:rPr>
          <w:rFonts w:cs="Arial"/>
          <w:color w:val="000000" w:themeColor="text1"/>
          <w:szCs w:val="16"/>
        </w:rPr>
        <w:br/>
        <w:t>When reporting on the correction of noncompliance, the State must report, in the FFY 2021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78.00%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99.56%</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90.22%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52.69%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4,427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1,005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1,787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1,578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1,787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1,796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52.69%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99.50%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For FFY 2021, the range of days beyond the third birthday was from 1 to 159 days. There were varying reasons for the delays (and subsequent noncompliance) to include the following; an IEP team was not able to meet due to a staff illness; a school IEP team did not meet due to a teacher being on FML; a parent requested to reschedule; a parent delay in providing the student for evaluation; the LEA held an IEP meeting after the student’s third birthday.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OSES collects data from the statewide special education database, SC Enrich IEP, for use in the measurement of IDEA Part B Indicator 12. The data </w:t>
      </w:r>
      <w:proofErr w:type="gramStart"/>
      <w:r w:rsidRPr="00781112">
        <w:rPr>
          <w:rFonts w:cs="Arial"/>
          <w:color w:val="000000" w:themeColor="text1"/>
          <w:szCs w:val="16"/>
        </w:rPr>
        <w:t>are pushed</w:t>
      </w:r>
      <w:proofErr w:type="gramEnd"/>
      <w:r w:rsidRPr="00781112">
        <w:rPr>
          <w:rFonts w:cs="Arial"/>
          <w:color w:val="000000" w:themeColor="text1"/>
          <w:szCs w:val="16"/>
        </w:rPr>
        <w:t xml:space="preserve"> up from the LEA to the state level. The date range for this collection was July 1, 2021 – June 30, 2022. These data were reflective of all students for whom this applies in SC. A team of OSES staff with expertise in data collection, analyses, and reporting reviewed both quantitative and qualitative data from the SC Enrich IEP spreadsheet reports to determine the categorical analysis of each individual student for whom consent to evaluate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These staff also conducted follow-up communication with any LEA that exceeded the timeline for one or more children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there was any noncompliance by LEA. The OSES collected additional data and explanatory documentation to ensure the data and information were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SC consulted IDC and DaSY on the data collection and reporting for indicator </w:t>
      </w:r>
      <w:proofErr w:type="gramStart"/>
      <w:r w:rsidRPr="00781112">
        <w:rPr>
          <w:rFonts w:cs="Arial"/>
          <w:color w:val="000000" w:themeColor="text1"/>
          <w:szCs w:val="16"/>
        </w:rPr>
        <w:t>12</w:t>
      </w:r>
      <w:proofErr w:type="gramEnd"/>
      <w:r w:rsidRPr="00781112">
        <w:rPr>
          <w:rFonts w:cs="Arial"/>
          <w:color w:val="000000" w:themeColor="text1"/>
          <w:szCs w:val="16"/>
        </w:rPr>
        <w:t>.</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983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869</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114</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FFY2020, 52 LEAs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to have individual cases of noncompliance for Indicator 12. The OSES reviewed the policies, procedures, and practices related to evaluation and transition from C to B in each LEA and found that the policies and procedures </w:t>
      </w:r>
      <w:proofErr w:type="gramStart"/>
      <w:r w:rsidRPr="00781112">
        <w:rPr>
          <w:rFonts w:cs="Arial"/>
          <w:color w:val="000000" w:themeColor="text1"/>
          <w:szCs w:val="16"/>
        </w:rPr>
        <w:t>were aligned</w:t>
      </w:r>
      <w:proofErr w:type="gramEnd"/>
      <w:r w:rsidRPr="00781112">
        <w:rPr>
          <w:rFonts w:cs="Arial"/>
          <w:color w:val="000000" w:themeColor="text1"/>
          <w:szCs w:val="16"/>
        </w:rPr>
        <w:t xml:space="preserve"> with all federal and state requirements. As such, it appeared that the findings of noncompliance were, for the most part, related to delays resulting from conditions caused by the COVID pandemic.</w:t>
      </w:r>
      <w:r w:rsidRPr="00781112">
        <w:rPr>
          <w:rFonts w:cs="Arial"/>
          <w:color w:val="000000" w:themeColor="text1"/>
          <w:szCs w:val="16"/>
        </w:rPr>
        <w:br/>
      </w:r>
      <w:r w:rsidRPr="00781112">
        <w:rPr>
          <w:rFonts w:cs="Arial"/>
          <w:color w:val="000000" w:themeColor="text1"/>
          <w:szCs w:val="16"/>
        </w:rPr>
        <w:br/>
        <w:t xml:space="preserve">To determine whether the 52 LEAs who had not complied with regulatory requirements in FFY 2020 had corrected and had achieved regulatory compliance, the OSES reviewed the Indicator 12 data for FFY 2021. This review of FY 2021 data and a comparison with FFY 2020 confirmed that FFY 2020 was a data anomaly and that the delays in transitions from Part C to Part B in FFY 2020 were </w:t>
      </w:r>
      <w:proofErr w:type="gramStart"/>
      <w:r w:rsidRPr="00781112">
        <w:rPr>
          <w:rFonts w:cs="Arial"/>
          <w:color w:val="000000" w:themeColor="text1"/>
          <w:szCs w:val="16"/>
        </w:rPr>
        <w:t>largely related</w:t>
      </w:r>
      <w:proofErr w:type="gramEnd"/>
      <w:r w:rsidRPr="00781112">
        <w:rPr>
          <w:rFonts w:cs="Arial"/>
          <w:color w:val="000000" w:themeColor="text1"/>
          <w:szCs w:val="16"/>
        </w:rPr>
        <w:t xml:space="preserve"> to issues resulting from the COVID pandemic. </w:t>
      </w:r>
      <w:r w:rsidRPr="00781112">
        <w:rPr>
          <w:rFonts w:cs="Arial"/>
          <w:color w:val="000000" w:themeColor="text1"/>
          <w:szCs w:val="16"/>
        </w:rPr>
        <w:br/>
      </w:r>
      <w:r w:rsidRPr="00781112">
        <w:rPr>
          <w:rFonts w:cs="Arial"/>
          <w:color w:val="000000" w:themeColor="text1"/>
          <w:szCs w:val="16"/>
        </w:rPr>
        <w:br/>
        <w:t>The instances of noncompliance/untimeliness dropped dramatically from 983 findings in FFY 2020 to 9 findings in FFY 2021. Further, in FFY 2020, 52 LEAs were not in compliance with respect to Indicator 12. In FFY 2021, 50 of these 52 LEAs were 100% compliant, with no cases of untimeliness</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The remaining LEAs, which total two,  have </w:t>
      </w:r>
      <w:proofErr w:type="gramStart"/>
      <w:r w:rsidRPr="00781112">
        <w:rPr>
          <w:rFonts w:cs="Arial"/>
          <w:color w:val="000000" w:themeColor="text1"/>
          <w:szCs w:val="16"/>
        </w:rPr>
        <w:t>been identified</w:t>
      </w:r>
      <w:proofErr w:type="gramEnd"/>
      <w:r w:rsidRPr="00781112">
        <w:rPr>
          <w:rFonts w:cs="Arial"/>
          <w:color w:val="000000" w:themeColor="text1"/>
          <w:szCs w:val="16"/>
        </w:rPr>
        <w:t xml:space="preserve"> for FFY 2021 as requiring continued correction. These LEAs will be receiving technical assistance coupled with quarterly monitoring and data reviews during the 2023-2024 school year to ensure they are working towards achieving correct implementation of the regulatory requirements for Indicator 12.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First, the OSES verified, through its statewide IEP data system, that all Part C to B transitions had </w:t>
      </w:r>
      <w:proofErr w:type="gramStart"/>
      <w:r w:rsidRPr="00781112">
        <w:rPr>
          <w:rFonts w:cs="Arial"/>
          <w:color w:val="000000" w:themeColor="text1"/>
          <w:szCs w:val="16"/>
        </w:rPr>
        <w:t>been completed</w:t>
      </w:r>
      <w:proofErr w:type="gramEnd"/>
      <w:r w:rsidRPr="00781112">
        <w:rPr>
          <w:rFonts w:cs="Arial"/>
          <w:color w:val="000000" w:themeColor="text1"/>
          <w:szCs w:val="16"/>
        </w:rPr>
        <w:t xml:space="preserve">, with an IEP developed and implemented, unless the student moved from the LEA or consent for evaluation or for Part B services was refused. Then, the OSES required the 52 LEAs to review and correct each individual case where Part C to B transition was untimely in FFY 2020 and who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eligible under Part B of the IDEA. Specifically, for each LEA, the OSES issued findings of noncompliance in a corrective actions letter that included a “Verification Spreadsheet</w:t>
      </w:r>
      <w:proofErr w:type="gramStart"/>
      <w:r w:rsidRPr="00781112">
        <w:rPr>
          <w:rFonts w:cs="Arial"/>
          <w:color w:val="000000" w:themeColor="text1"/>
          <w:szCs w:val="16"/>
        </w:rPr>
        <w:t>”.</w:t>
      </w:r>
      <w:proofErr w:type="gramEnd"/>
      <w:r w:rsidRPr="00781112">
        <w:rPr>
          <w:rFonts w:cs="Arial"/>
          <w:color w:val="000000" w:themeColor="text1"/>
          <w:szCs w:val="16"/>
        </w:rPr>
        <w:t xml:space="preserve"> The OSES directed the LEAs to correct all individual findings of noncompliance as soon as possible but in no case later than one year from the date of notification. The OSES specified that correction for each student found eligible under IDEA must include holding an IEP team meeting to determine whether the delay in transition of the child resulted in a denial of FAPE, and if so, consideration of whether compensatory services </w:t>
      </w:r>
      <w:proofErr w:type="gramStart"/>
      <w:r w:rsidRPr="00781112">
        <w:rPr>
          <w:rFonts w:cs="Arial"/>
          <w:color w:val="000000" w:themeColor="text1"/>
          <w:szCs w:val="16"/>
        </w:rPr>
        <w:t>were warranted</w:t>
      </w:r>
      <w:proofErr w:type="gramEnd"/>
      <w:r w:rsidRPr="00781112">
        <w:rPr>
          <w:rFonts w:cs="Arial"/>
          <w:color w:val="000000" w:themeColor="text1"/>
          <w:szCs w:val="16"/>
        </w:rPr>
        <w:t xml:space="preserve">. The OSES required LEA personnel to verify completion of the required corrective actions, along with the date of the corrections, on the Verification Spreadsheet provided by the OSES. To confirm the accuracy of the correction information on the Verification Spreadsheets submitted by the LEAs, the OSES required each LEA to upload into the ADT additional evidence of correction for randomly selected individual cases. The additional evidence included IEPs, PWNs, and enrollment status for any exiting students. The OSES reviewed the Verification Spreadsheets and verified correction for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individual cases with the exception of the 114 individual cases in five LEAs. The OSES also confirmed the accuracy of the Verification Spreadsheets submitted by LEAs by reviewing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documents uploaded into the ADT for the randomly selected individual cases.</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 xml:space="preserve">For the five LEAs that have not provided verification of correction (114 individual cases), the OSES has required that the five LEAs submit their Verification Spreadsheets and supporting documentation for the selected individual cases by no later than May 31, 2023 . In addition, since these five LEAs did not meet the one-year timeline, the untimeliness will </w:t>
      </w:r>
      <w:proofErr w:type="gramStart"/>
      <w:r w:rsidRPr="00781112">
        <w:rPr>
          <w:rFonts w:cs="Arial"/>
          <w:color w:val="000000" w:themeColor="text1"/>
          <w:szCs w:val="16"/>
        </w:rPr>
        <w:t>be noted</w:t>
      </w:r>
      <w:proofErr w:type="gramEnd"/>
      <w:r w:rsidRPr="00781112">
        <w:rPr>
          <w:rFonts w:cs="Arial"/>
          <w:color w:val="000000" w:themeColor="text1"/>
          <w:szCs w:val="16"/>
        </w:rPr>
        <w:t xml:space="preserve"> in the annual LEA determinations for these LEAs.</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For the LEAs that demonstrated non-compliance, the state required the LEAs to submit the necessary documentation that indicated the reasoning for the missed timeline from Part C to Part B along with evidence of discussion of denial of FAPE (where applicable). The LEAs were given a </w:t>
      </w:r>
      <w:proofErr w:type="gramStart"/>
      <w:r w:rsidRPr="00781112">
        <w:rPr>
          <w:rFonts w:cs="Arial"/>
          <w:color w:val="000000" w:themeColor="text1"/>
          <w:szCs w:val="16"/>
        </w:rPr>
        <w:t>one year</w:t>
      </w:r>
      <w:proofErr w:type="gramEnd"/>
      <w:r w:rsidRPr="00781112">
        <w:rPr>
          <w:rFonts w:cs="Arial"/>
          <w:color w:val="000000" w:themeColor="text1"/>
          <w:szCs w:val="16"/>
        </w:rPr>
        <w:t xml:space="preserve"> time line to complete the corrections and submit the paperwork necessary for each case of non-compliance. The LEAs were provided with communication throughout the process to do one or more of the following; clarify questions, support with the process and to inform the LEAs about the required steps needed to meet compliance within in the timeline.</w:t>
      </w:r>
      <w:r w:rsidRPr="00781112">
        <w:rPr>
          <w:rFonts w:cs="Arial"/>
          <w:color w:val="000000" w:themeColor="text1"/>
          <w:szCs w:val="16"/>
        </w:rPr>
        <w:br/>
      </w:r>
      <w:r w:rsidRPr="00781112">
        <w:rPr>
          <w:rFonts w:cs="Arial"/>
          <w:color w:val="000000" w:themeColor="text1"/>
          <w:szCs w:val="16"/>
        </w:rPr>
        <w:br/>
        <w:t>*LEAs have until February 2, 2023, to submit corrections, therefore, corrections and verifications are still in process.</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In addition, the State must demonstrate, in the FFY 2022 SPP/APR, that the remaining 114 uncorrected findings of noncompliance identified in FFY 2020 were corrected</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When reporting on the correction of noncompliance, the State must report, in the FFY 2021 SPP/APR, that it has verified that each LEA with findings of noncompliance identified in FFY 2021 and each LEA with remaining noncompliance identified in FFY2020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98.92%</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91.90%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90.48%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96.88%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98.25%</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81.42%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164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172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81.42%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95.35%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In FFY 2021, South Carolina conducted the data collection process for Indicator 13 in a different format than had </w:t>
      </w:r>
      <w:proofErr w:type="gramStart"/>
      <w:r w:rsidRPr="00781112">
        <w:rPr>
          <w:rFonts w:cs="Arial"/>
          <w:color w:val="000000" w:themeColor="text1"/>
          <w:szCs w:val="16"/>
        </w:rPr>
        <w:t>been described</w:t>
      </w:r>
      <w:proofErr w:type="gramEnd"/>
      <w:r w:rsidRPr="00781112">
        <w:rPr>
          <w:rFonts w:cs="Arial"/>
          <w:color w:val="000000" w:themeColor="text1"/>
          <w:szCs w:val="16"/>
        </w:rPr>
        <w:t xml:space="preserve"> in the SPP/APR in place and that had been used in previous years. The process included gathering information from all districts in the state with each district submitting two IEPs for the process. Districts chose which IEPs to submit. The IEPs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using a tool based on the Indicator 13 Checklist developed by NTACT:C. The IEPs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by a team in the Office of Special Education Services and districts were notified of results via email. The email also included steps needed for correction of noncompliance. Districts made those corrections and resubmitted the IEPs for review. The OSES team again reviewed the IEPs. Since only two IEPs were reviewed from each district, the percentage </w:t>
      </w:r>
      <w:proofErr w:type="gramStart"/>
      <w:r w:rsidRPr="00781112">
        <w:rPr>
          <w:rFonts w:cs="Arial"/>
          <w:color w:val="000000" w:themeColor="text1"/>
          <w:szCs w:val="16"/>
        </w:rPr>
        <w:t>for</w:t>
      </w:r>
      <w:proofErr w:type="gramEnd"/>
      <w:r w:rsidRPr="00781112">
        <w:rPr>
          <w:rFonts w:cs="Arial"/>
          <w:color w:val="000000" w:themeColor="text1"/>
          <w:szCs w:val="16"/>
        </w:rPr>
        <w:t xml:space="preserve"> compliant IEPs for this report rose </w:t>
      </w:r>
      <w:proofErr w:type="gramStart"/>
      <w:r w:rsidRPr="00781112">
        <w:rPr>
          <w:rFonts w:cs="Arial"/>
          <w:color w:val="000000" w:themeColor="text1"/>
          <w:szCs w:val="16"/>
        </w:rPr>
        <w:t>substantially from</w:t>
      </w:r>
      <w:proofErr w:type="gramEnd"/>
      <w:r w:rsidRPr="00781112">
        <w:rPr>
          <w:rFonts w:cs="Arial"/>
          <w:color w:val="000000" w:themeColor="text1"/>
          <w:szCs w:val="16"/>
        </w:rPr>
        <w:t xml:space="preserve"> the previous year’s report.</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13</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The SCDE based their indicator review </w:t>
      </w:r>
      <w:proofErr w:type="gramStart"/>
      <w:r w:rsidRPr="00781112">
        <w:rPr>
          <w:rFonts w:cs="Arial"/>
          <w:color w:val="000000" w:themeColor="text1"/>
          <w:szCs w:val="16"/>
        </w:rPr>
        <w:t>off of</w:t>
      </w:r>
      <w:proofErr w:type="gramEnd"/>
      <w:r w:rsidRPr="00781112">
        <w:rPr>
          <w:rFonts w:cs="Arial"/>
          <w:color w:val="000000" w:themeColor="text1"/>
          <w:szCs w:val="16"/>
        </w:rPr>
        <w:t xml:space="preserve"> the NTACT:C Indicator 13 checklist.  The required LEA corrective actions are based on the compliance percentage at the time of initial data submission and review. All LEAs that had individual findings of noncompliance had to submit evidence of correction of the individual findings of noncompliance. If the LEA scored below 79% compliance, the OSES required the LEA to participate in the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virtual professional learning opportunity. The LEA then submitted </w:t>
      </w:r>
      <w:proofErr w:type="gramStart"/>
      <w:r w:rsidRPr="00781112">
        <w:rPr>
          <w:rFonts w:cs="Arial"/>
          <w:color w:val="000000" w:themeColor="text1"/>
          <w:szCs w:val="16"/>
        </w:rPr>
        <w:t>documentation</w:t>
      </w:r>
      <w:proofErr w:type="gramEnd"/>
      <w:r w:rsidRPr="00781112">
        <w:rPr>
          <w:rFonts w:cs="Arial"/>
          <w:color w:val="000000" w:themeColor="text1"/>
          <w:szCs w:val="16"/>
        </w:rPr>
        <w:t xml:space="preserve"> the designated staff participated in the post-secondary transition professional learning opportunity.</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81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81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LEAs must review all findings of noncompliance for each individual student as well as the overall compliance percentage for the district and provide professional learning opportunities to address all regulatory requirements of Indicator 13. These requirements are part of the assessment tool used by the SEA. Once all individual corrections have </w:t>
      </w:r>
      <w:proofErr w:type="gramStart"/>
      <w:r w:rsidRPr="00781112">
        <w:rPr>
          <w:rFonts w:cs="Arial"/>
          <w:color w:val="000000" w:themeColor="text1"/>
          <w:szCs w:val="16"/>
        </w:rPr>
        <w:t>been made</w:t>
      </w:r>
      <w:proofErr w:type="gramEnd"/>
      <w:r w:rsidRPr="00781112">
        <w:rPr>
          <w:rFonts w:cs="Arial"/>
          <w:color w:val="000000" w:themeColor="text1"/>
          <w:szCs w:val="16"/>
        </w:rPr>
        <w:t>, the SEA reassesses all cases to ensure 100% regulatory compliance after corrections.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All </w:t>
      </w:r>
      <w:proofErr w:type="gramStart"/>
      <w:r w:rsidRPr="00781112">
        <w:rPr>
          <w:rFonts w:cs="Arial"/>
          <w:color w:val="000000" w:themeColor="text1"/>
          <w:szCs w:val="16"/>
        </w:rPr>
        <w:t>correction</w:t>
      </w:r>
      <w:proofErr w:type="gramEnd"/>
      <w:r w:rsidRPr="00781112">
        <w:rPr>
          <w:rFonts w:cs="Arial"/>
          <w:color w:val="000000" w:themeColor="text1"/>
          <w:szCs w:val="16"/>
        </w:rPr>
        <w:t xml:space="preserve"> of noncompliance identified in FFY 2020 for this indicator have </w:t>
      </w:r>
      <w:proofErr w:type="gramStart"/>
      <w:r w:rsidRPr="00781112">
        <w:rPr>
          <w:rFonts w:cs="Arial"/>
          <w:color w:val="000000" w:themeColor="text1"/>
          <w:szCs w:val="16"/>
        </w:rPr>
        <w:t>been completed</w:t>
      </w:r>
      <w:proofErr w:type="gramEnd"/>
      <w:r w:rsidRPr="00781112">
        <w:rPr>
          <w:rFonts w:cs="Arial"/>
          <w:color w:val="000000" w:themeColor="text1"/>
          <w:szCs w:val="16"/>
        </w:rPr>
        <w:t xml:space="preserve"> and verified. Each LEA with noncompliance identified in FFY 2020 for this indicator achieved 100% compliance based on a review of updated data subsequently collected through an LEA review of student IEPs and has corrected each individual case of noncompliance, unless the child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consistent with OSEP Memo 09-02. After the LEA completed all corrective action requirements, IEPs were resubmitted for review to verify the corrections in subsequent IEPs. These IEPs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using the same data review tool as was used for the initial review.</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The State has verified that each LEA with noncompliance identified in FFY 2020 for this indicator is correctly implementing the specific regulatory requirements (i.e., achieved 100% compliance) based on a review of updated data collected through a desk review of subsequent IEPs and has corrected each individual case of noncompliance, unless the child is no longer within the jurisdiction of the LEA, consistent with OSEP Memo 09-02. </w:t>
      </w:r>
      <w:r w:rsidRPr="00781112">
        <w:rPr>
          <w:rFonts w:cs="Arial"/>
          <w:color w:val="000000" w:themeColor="text1"/>
          <w:szCs w:val="16"/>
        </w:rPr>
        <w:lastRenderedPageBreak/>
        <w:t>Each LEA submitted evidence to demonstrate corrections of individual student findings. The State reviewed all evidence submitted to ensure correction and continued compliance.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11.16%</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26.21%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30.87%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24.44%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10.65%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11.16%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39.39%</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39.39%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57.36%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54.63%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24.90%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39.39%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83.46%</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76.44%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69.87%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75.83%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83.46%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11.36%</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11.56%</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11.76%</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11.96%</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12.16%</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40.89%</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42.39%</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43.89%</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45.39%</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46.89%</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84.46%</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85.46%</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86.46%</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87.46%</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88.46%</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6,128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1,507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24.59%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370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653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48</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370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1,507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11.16%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11.36%</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24.55%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1,023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1,507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39.39%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40.89%</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67.88%</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1,116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1,507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84.46%</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74.05%</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Prior to 2022, districts received a 2-point bonus to the total score on their LEA Determinations if they reached out to students individually instead of the contracted company</w:t>
            </w:r>
            <w:proofErr w:type="gramStart"/>
            <w:r w:rsidRPr="00781112">
              <w:rPr>
                <w:rFonts w:cs="Arial"/>
                <w:color w:val="000000" w:themeColor="text1"/>
                <w:szCs w:val="16"/>
              </w:rPr>
              <w:t xml:space="preserve">.  </w:t>
            </w:r>
            <w:proofErr w:type="gramEnd"/>
            <w:r w:rsidRPr="00781112">
              <w:rPr>
                <w:rFonts w:cs="Arial"/>
                <w:color w:val="000000" w:themeColor="text1"/>
                <w:szCs w:val="16"/>
              </w:rPr>
              <w:t>This year was the first year these points were no longer provided</w:t>
            </w:r>
            <w:proofErr w:type="gramStart"/>
            <w:r w:rsidRPr="00781112">
              <w:rPr>
                <w:rFonts w:cs="Arial"/>
                <w:color w:val="000000" w:themeColor="text1"/>
                <w:szCs w:val="16"/>
              </w:rPr>
              <w:t xml:space="preserve">.  </w:t>
            </w:r>
            <w:proofErr w:type="gramEnd"/>
            <w:r w:rsidRPr="00781112">
              <w:rPr>
                <w:rFonts w:cs="Arial"/>
                <w:color w:val="000000" w:themeColor="text1"/>
                <w:szCs w:val="16"/>
              </w:rPr>
              <w:t>Therefore, the response rate decreased.</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53.01%</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24.59%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OSES will utilize a </w:t>
      </w:r>
      <w:proofErr w:type="gramStart"/>
      <w:r w:rsidRPr="00B551F2">
        <w:t>two pronged</w:t>
      </w:r>
      <w:proofErr w:type="gramEnd"/>
      <w:r w:rsidRPr="00B551F2">
        <w:t xml:space="preserve"> approach to increase response rate. 1). Based upon TAESE recommendation from a consultation </w:t>
      </w:r>
      <w:proofErr w:type="gramStart"/>
      <w:r w:rsidRPr="00B551F2">
        <w:t>several</w:t>
      </w:r>
      <w:proofErr w:type="gramEnd"/>
      <w:r w:rsidRPr="00B551F2">
        <w:t xml:space="preserve"> years ago, the OSES saw an increase in the response rate and representiveness. Thereby, the OSES will reinstate said methodology in collaboration with LEAs, Parent Training Information Center (PTI), Center for Independent Learning (CIL) and local communities to increase response rate year over year, particulary for groups that are underrespresented.</w:t>
      </w:r>
      <w:r w:rsidRPr="00B551F2">
        <w:br/>
      </w:r>
      <w:r w:rsidRPr="00B551F2">
        <w:br/>
        <w:t xml:space="preserve">2). A </w:t>
      </w:r>
      <w:proofErr w:type="gramStart"/>
      <w:r w:rsidRPr="00B551F2">
        <w:t>third party</w:t>
      </w:r>
      <w:proofErr w:type="gramEnd"/>
      <w:r w:rsidRPr="00B551F2">
        <w:t xml:space="preserve"> vendor will conduct a census of school exiters each year to follow-up on post-secondary experiences. Four options will be employed by this group to obtain survey information: email, outbound calls, mailers/letters, and Short Messaging Services (SMS). Exiters will include students who have aged-out, graduated with a regular high school diploma, received a state certificate, or are dropouts at or above age 17. The company will conduct surveys one year after students exit school with  postsecondary experiences.</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SCDE solicited survey responses from students with disabilities one year after graduation regarding demographics of gender, race/ethnicity, and primary disability for FY2021-2022. A comparison of response rates by demographic to the Total Exiters for the reporting year was conducted and the demographics of the students are representative of the demographics of children exiting special education services in the State</w:t>
      </w:r>
      <w:proofErr w:type="gramStart"/>
      <w:r w:rsidRPr="00B551F2">
        <w:t xml:space="preserve">.  </w:t>
      </w:r>
      <w:proofErr w:type="gramEnd"/>
      <w:r w:rsidRPr="00B551F2">
        <w:t>To counter bias and promote response from a broad cross section of youth who are no longer in secondary school and had IEPs in effect at the time they left school, SCDE will encourage cooperative efforts with LEAs to solicit online responses from students with disabilities, incorporated multi-lingual options via print &amp; online accessibility, as well as encouraged administrative support.</w:t>
      </w:r>
      <w:r w:rsidRPr="00B551F2">
        <w:br/>
      </w:r>
      <w:r w:rsidRPr="00B551F2">
        <w:br/>
        <w:t xml:space="preserve">Said rates were then compared to one another for the purpose of identifying representativeness based upon a metric of +/-10% (threshold). The evaluation determined that all respondents group </w:t>
      </w:r>
      <w:proofErr w:type="gramStart"/>
      <w:r w:rsidRPr="00B551F2">
        <w:t>are represented</w:t>
      </w:r>
      <w:proofErr w:type="gramEnd"/>
      <w:r w:rsidRPr="00B551F2">
        <w:t>. Additionally, Hispanics, whites,  and Two or more races  are identified as under-represented (irrespective of order).</w:t>
      </w:r>
      <w:r w:rsidRPr="00B551F2">
        <w:br/>
      </w:r>
      <w:r w:rsidRPr="00B551F2">
        <w:br/>
        <w:t>OSES will encourage increased collaboration with SCVRD to locate students with disabilities who are no longer in secondary education.</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Of the 6128 exiters, there were 1507 respondents. Of the 1507 respondents, 67% were males and 33% were female. Of </w:t>
      </w:r>
      <w:proofErr w:type="gramStart"/>
      <w:r w:rsidRPr="008D51F2">
        <w:t>those that</w:t>
      </w:r>
      <w:proofErr w:type="gramEnd"/>
      <w:r w:rsidRPr="008D51F2">
        <w:t xml:space="preserve"> respondents, 54% indicated they had a "specific learning disability," 35% indicated they had an "other disability," 8% indicated they had an "intellectual disability," and 4% indicated they had an "emotional disability." Of the respondents, 48% were white and 41% were </w:t>
      </w:r>
      <w:proofErr w:type="gramStart"/>
      <w:r w:rsidRPr="008D51F2">
        <w:t>black</w:t>
      </w:r>
      <w:proofErr w:type="gramEnd"/>
      <w:r w:rsidRPr="008D51F2">
        <w:t xml:space="preserve"> or African American.</w:t>
      </w:r>
      <w:r w:rsidRPr="008D51F2">
        <w:br/>
      </w:r>
      <w:r w:rsidRPr="008D51F2">
        <w:br/>
        <w:t xml:space="preserve">To determine whether the data represent the demographics of the parents responding are representative of the demographics of children exiting special education services State, the OSES calculated the response rates along three demographic variables: </w:t>
      </w:r>
      <w:r w:rsidRPr="008D51F2">
        <w:br/>
        <w:t xml:space="preserve">1.   Gender of students; </w:t>
      </w:r>
      <w:r w:rsidRPr="008D51F2">
        <w:br/>
        <w:t>2</w:t>
      </w:r>
      <w:proofErr w:type="gramStart"/>
      <w:r w:rsidRPr="008D51F2">
        <w:t xml:space="preserve">.  </w:t>
      </w:r>
      <w:proofErr w:type="gramEnd"/>
      <w:r w:rsidRPr="008D51F2">
        <w:t xml:space="preserve"> Race or ethnicity (using the federal reporting categories); and </w:t>
      </w:r>
      <w:r w:rsidRPr="008D51F2">
        <w:br/>
        <w:t>3</w:t>
      </w:r>
      <w:proofErr w:type="gramStart"/>
      <w:r w:rsidRPr="008D51F2">
        <w:t xml:space="preserve">.  </w:t>
      </w:r>
      <w:proofErr w:type="gramEnd"/>
      <w:r w:rsidRPr="008D51F2">
        <w:t xml:space="preserve"> Primary disability category.</w:t>
      </w:r>
      <w:r w:rsidRPr="008D51F2">
        <w:br/>
      </w:r>
      <w:r w:rsidRPr="008D51F2">
        <w:br/>
        <w:t>Next, the State compared the response rates, by demographics, to the State's exiters for the reporting year. The state then compared these rates to one another. The state then reviewed the difference between the percentages of the demographic variables of the respondents. The threshold used by the state to determine representativeness was a 10 percent difference.</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For the </w:t>
      </w:r>
      <w:proofErr w:type="gramStart"/>
      <w:r w:rsidRPr="008D51F2">
        <w:rPr>
          <w:b w:val="0"/>
        </w:rPr>
        <w:t>purposes</w:t>
      </w:r>
      <w:proofErr w:type="gramEnd"/>
      <w:r w:rsidRPr="008D51F2">
        <w:rPr>
          <w:b w:val="0"/>
        </w:rPr>
        <w:t xml:space="preserve"> of determining whether responses are representative of the demographics of children exiting special education services, the Office of Special Education uses a fixed rate of 10%. In other words, if the difference between respondents and the demographics is within 10%, the State finds those data representative.</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OSES is in Collaboration with the Office of Career and Technology and South Carolina Vocational Rehabilitation Services to increase Career Readiness and Post-Secondary Outcomes through our VICTORY SC initiative. VICTORY SC is a collaborative effort between the SCDE and the South Carolina Vocational Rehabilitation Department to provide supports designed to increase career readiness aligned to the South Carolina Accountability Standards and promote improvement as reflected on LEA school report cards.</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lastRenderedPageBreak/>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that the response data for this indicator were representative of the demographics of youth who are no longer in secondary school and had IEPs in effect at the time they left school. However, in its narrative, the State reported, "The evaluation determined that all respondents group are represented. Additionally, Hispanics, whites, and Two or more races are identified as under-represented (irrespective of order)."  Additionally, in its description of the analysis of the extent to which the response data are representative of the demographics of youth who are no longer enrolled in secondary school and had IEPs in effect at the time they left school, the State indicated, "[t]o determine whether the data represent the demographics of the parents responding are representative of the demographics of children exiting special education services State", which is not consistent with the measurement for this indicator. Therefore, it is unclear whether the response data were representative. OSEP notes that the State did not describe strategies to address this issue in the future.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w:t>
      </w:r>
    </w:p>
    <w:p w14:paraId="17B2578C" w14:textId="77777777" w:rsidR="005F408B" w:rsidRDefault="005F408B">
      <w:pPr>
        <w:spacing w:before="0" w:after="200" w:line="276" w:lineRule="auto"/>
        <w:rPr>
          <w:rFonts w:cs="Arial"/>
          <w:color w:val="000000" w:themeColor="text1"/>
          <w:szCs w:val="16"/>
        </w:rPr>
      </w:pPr>
    </w:p>
    <w:p w14:paraId="2FD54524" w14:textId="7D3AF8AF" w:rsidR="005F408B" w:rsidRPr="00781112" w:rsidRDefault="005F408B" w:rsidP="005F408B">
      <w:pPr>
        <w:pStyle w:val="Heading2"/>
      </w:pPr>
      <w:r w:rsidRPr="00781112">
        <w:t xml:space="preserve">14 </w:t>
      </w:r>
      <w:r>
        <w:t>-</w:t>
      </w:r>
      <w:r w:rsidRPr="00781112">
        <w:t xml:space="preserve"> </w:t>
      </w:r>
      <w:r>
        <w:t>State Attachments</w:t>
      </w:r>
    </w:p>
    <w:p w14:paraId="2FEEA97C" w14:textId="77777777" w:rsidR="005F408B" w:rsidRDefault="005F408B">
      <w:pPr>
        <w:spacing w:before="0" w:after="200" w:line="276" w:lineRule="auto"/>
        <w:rPr>
          <w:rFonts w:cs="Arial"/>
          <w:color w:val="000000" w:themeColor="text1"/>
          <w:szCs w:val="16"/>
        </w:rPr>
      </w:pPr>
    </w:p>
    <w:p w14:paraId="1ADD288B" w14:textId="24FA1F5A" w:rsidR="00102FA3" w:rsidRPr="00781112" w:rsidRDefault="005F408B">
      <w:pPr>
        <w:spacing w:before="0" w:after="200" w:line="276" w:lineRule="auto"/>
        <w:rPr>
          <w:rFonts w:eastAsiaTheme="majorEastAsia" w:cs="Arial"/>
          <w:b/>
          <w:bCs/>
          <w:color w:val="000000" w:themeColor="text1"/>
          <w:szCs w:val="16"/>
        </w:rPr>
      </w:pPr>
      <w:r>
        <w:rPr>
          <w:rFonts w:cs="Arial"/>
          <w:color w:val="000000" w:themeColor="text1"/>
          <w:szCs w:val="16"/>
        </w:rPr>
        <w:object w:dxaOrig="1540" w:dyaOrig="997" w14:anchorId="50CC76CC">
          <v:shape id="_x0000_i1026" type="#_x0000_t75" alt="FY21 Indicator 14 Representativeness" style="width:77.25pt;height:49.5pt" o:ole="">
            <v:imagedata r:id="rId12" o:title=""/>
          </v:shape>
          <o:OLEObject Type="Embed" ProgID="Acrobat.Document.DC" ShapeID="_x0000_i1026" DrawAspect="Icon" ObjectID="_1752323775" r:id="rId13"/>
        </w:object>
      </w:r>
      <w:r w:rsidR="00102FA3"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34</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2016</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37.50%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42.50%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42.50%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45.00%-60.00%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63.16%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43.48%</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39.29%</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lastRenderedPageBreak/>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45.00%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34</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39.29%</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32.35%</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proofErr w:type="gramStart"/>
      <w:r w:rsidRPr="00781112">
        <w:rPr>
          <w:rFonts w:cs="Arial"/>
          <w:color w:val="000000" w:themeColor="text1"/>
          <w:szCs w:val="16"/>
        </w:rPr>
        <w:t>22</w:t>
      </w:r>
      <w:proofErr w:type="gramEnd"/>
      <w:r w:rsidRPr="00781112">
        <w:rPr>
          <w:rFonts w:cs="Arial"/>
          <w:color w:val="000000" w:themeColor="text1"/>
          <w:szCs w:val="16"/>
        </w:rPr>
        <w:t xml:space="preserve"> of the total 53 due process complaints filed during SY 2021-22 were filed in one LEA. </w:t>
      </w:r>
      <w:r w:rsidRPr="00781112">
        <w:rPr>
          <w:rFonts w:cs="Arial"/>
          <w:color w:val="000000" w:themeColor="text1"/>
          <w:szCs w:val="16"/>
        </w:rPr>
        <w:br/>
      </w:r>
      <w:r w:rsidRPr="00781112">
        <w:rPr>
          <w:rFonts w:cs="Arial"/>
          <w:color w:val="000000" w:themeColor="text1"/>
          <w:szCs w:val="16"/>
        </w:rPr>
        <w:br/>
        <w:t xml:space="preserve">7 of the 22 due process complaints were filed by the same parent. Of these </w:t>
      </w:r>
      <w:proofErr w:type="gramStart"/>
      <w:r w:rsidRPr="00781112">
        <w:rPr>
          <w:rFonts w:cs="Arial"/>
          <w:color w:val="000000" w:themeColor="text1"/>
          <w:szCs w:val="16"/>
        </w:rPr>
        <w:t>7</w:t>
      </w:r>
      <w:proofErr w:type="gramEnd"/>
      <w:r w:rsidRPr="00781112">
        <w:rPr>
          <w:rFonts w:cs="Arial"/>
          <w:color w:val="000000" w:themeColor="text1"/>
          <w:szCs w:val="16"/>
        </w:rPr>
        <w:t xml:space="preserve"> due process complaints, 3 resolution sessions were conducted without reaching agreements. Of these </w:t>
      </w:r>
      <w:proofErr w:type="gramStart"/>
      <w:r w:rsidRPr="00781112">
        <w:rPr>
          <w:rFonts w:cs="Arial"/>
          <w:color w:val="000000" w:themeColor="text1"/>
          <w:szCs w:val="16"/>
        </w:rPr>
        <w:t>7</w:t>
      </w:r>
      <w:proofErr w:type="gramEnd"/>
      <w:r w:rsidRPr="00781112">
        <w:rPr>
          <w:rFonts w:cs="Arial"/>
          <w:color w:val="000000" w:themeColor="text1"/>
          <w:szCs w:val="16"/>
        </w:rPr>
        <w:t xml:space="preserve"> complaints, 6 were dismissed by the hearing officers based on the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failure to participate in the process or due to the lack of sufficiency relative to the nature of the issues raised in the complaints. </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14</w:t>
      </w:r>
      <w:proofErr w:type="gramEnd"/>
      <w:r w:rsidRPr="00781112">
        <w:rPr>
          <w:rFonts w:cs="Arial"/>
          <w:color w:val="000000" w:themeColor="text1"/>
          <w:szCs w:val="16"/>
        </w:rPr>
        <w:t xml:space="preserve"> of the 22 due process complaints were filed by a second parent, 3 of the 14 were filed on behalf of her own child, but 11 were filed as an advocate for other children of whom she is neither the parent nor legal guardian. Of the </w:t>
      </w:r>
      <w:proofErr w:type="gramStart"/>
      <w:r w:rsidRPr="00781112">
        <w:rPr>
          <w:rFonts w:cs="Arial"/>
          <w:color w:val="000000" w:themeColor="text1"/>
          <w:szCs w:val="16"/>
        </w:rPr>
        <w:t>14</w:t>
      </w:r>
      <w:proofErr w:type="gramEnd"/>
      <w:r w:rsidRPr="00781112">
        <w:rPr>
          <w:rFonts w:cs="Arial"/>
          <w:color w:val="000000" w:themeColor="text1"/>
          <w:szCs w:val="16"/>
        </w:rPr>
        <w:t xml:space="preserve"> complaints filed by this individual, 10 resolution sessions were conducted with no written agreements resulting from either of the 10 meetings. Of the </w:t>
      </w:r>
      <w:proofErr w:type="gramStart"/>
      <w:r w:rsidRPr="00781112">
        <w:rPr>
          <w:rFonts w:cs="Arial"/>
          <w:color w:val="000000" w:themeColor="text1"/>
          <w:szCs w:val="16"/>
        </w:rPr>
        <w:t>10</w:t>
      </w:r>
      <w:proofErr w:type="gramEnd"/>
      <w:r w:rsidRPr="00781112">
        <w:rPr>
          <w:rFonts w:cs="Arial"/>
          <w:color w:val="000000" w:themeColor="text1"/>
          <w:szCs w:val="16"/>
        </w:rPr>
        <w:t xml:space="preserve"> resolution sessions, 4 of the due process complaints were withdrawn by the parents, 3 were dismissed by the hearing officers due to the parent’s failure to participate or the hearing officer not being able to confirm the parents were aware the advocate filed the due process complaints. </w:t>
      </w:r>
      <w:proofErr w:type="gramStart"/>
      <w:r w:rsidRPr="00781112">
        <w:rPr>
          <w:rFonts w:cs="Arial"/>
          <w:color w:val="000000" w:themeColor="text1"/>
          <w:szCs w:val="16"/>
        </w:rPr>
        <w:t>3</w:t>
      </w:r>
      <w:proofErr w:type="gramEnd"/>
      <w:r w:rsidRPr="00781112">
        <w:rPr>
          <w:rFonts w:cs="Arial"/>
          <w:color w:val="000000" w:themeColor="text1"/>
          <w:szCs w:val="16"/>
        </w:rPr>
        <w:t xml:space="preserve"> of the cases proceeded to fully adjudicated hearings. </w:t>
      </w:r>
      <w:r w:rsidRPr="00781112">
        <w:rPr>
          <w:rFonts w:cs="Arial"/>
          <w:color w:val="000000" w:themeColor="text1"/>
          <w:szCs w:val="16"/>
        </w:rPr>
        <w:br/>
      </w:r>
      <w:r w:rsidRPr="00781112">
        <w:rPr>
          <w:rFonts w:cs="Arial"/>
          <w:color w:val="000000" w:themeColor="text1"/>
          <w:szCs w:val="16"/>
        </w:rPr>
        <w:br/>
        <w:t xml:space="preserve">The </w:t>
      </w:r>
      <w:proofErr w:type="gramStart"/>
      <w:r w:rsidRPr="00781112">
        <w:rPr>
          <w:rFonts w:cs="Arial"/>
          <w:color w:val="000000" w:themeColor="text1"/>
          <w:szCs w:val="16"/>
        </w:rPr>
        <w:t>1</w:t>
      </w:r>
      <w:proofErr w:type="gramEnd"/>
      <w:r w:rsidRPr="00781112">
        <w:rPr>
          <w:rFonts w:cs="Arial"/>
          <w:color w:val="000000" w:themeColor="text1"/>
          <w:szCs w:val="16"/>
        </w:rPr>
        <w:t xml:space="preserve"> remaining due process complaint, out of the 22 complaints filed in this LEA, was filed by a third parent on behalf of her child. Even though the parties did not resolve the matter through a written agreement during the thirty-day resolution period, the parties did resolve the matter through a written settlement agreement prior to the hearing date.</w:t>
      </w:r>
      <w:r w:rsidRPr="00781112">
        <w:rPr>
          <w:rFonts w:cs="Arial"/>
          <w:color w:val="000000" w:themeColor="text1"/>
          <w:szCs w:val="16"/>
        </w:rPr>
        <w:br/>
      </w:r>
      <w:r w:rsidRPr="00781112">
        <w:rPr>
          <w:rFonts w:cs="Arial"/>
          <w:color w:val="000000" w:themeColor="text1"/>
          <w:szCs w:val="16"/>
        </w:rPr>
        <w:br/>
        <w:t xml:space="preserve">The number of due process complaints filed in this particular LEA is disproportionate to all other LEAs in the state during the same period and were mostly based on complaints about specific administrative personnel in the LEA. 21 of the 22 due process complaints were filed by 2 specific individuals, with 1 of the individuals filing 11 due process complaints on behalf of children for whom she is not the parent or legal guardian. The impetus for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these filings were related to issues outside the scope of the IDEA and in some cases without the informed consent of the parents and legal guardians. </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SCDE shared information about the SPP/APR and sought input from our South Carolina Advisory Council on the Education of Students with Disabilities (ACESD). This partnership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at the quarterly ACESD meetings. The SPP targets </w:t>
      </w:r>
      <w:proofErr w:type="gramStart"/>
      <w:r w:rsidRPr="00781112">
        <w:rPr>
          <w:rFonts w:cs="Arial"/>
          <w:color w:val="000000" w:themeColor="text1"/>
          <w:szCs w:val="16"/>
        </w:rPr>
        <w:t>were also shared</w:t>
      </w:r>
      <w:proofErr w:type="gramEnd"/>
      <w:r w:rsidRPr="00781112">
        <w:rPr>
          <w:rFonts w:cs="Arial"/>
          <w:color w:val="000000" w:themeColor="text1"/>
          <w:szCs w:val="16"/>
        </w:rPr>
        <w:t xml:space="preserve"> with the South Carolina Joint Citizens and Legislative Committee on Children and feedback was solicited from this group as well. </w:t>
      </w:r>
      <w:r w:rsidRPr="00781112">
        <w:rPr>
          <w:rFonts w:cs="Arial"/>
          <w:color w:val="000000" w:themeColor="text1"/>
          <w:szCs w:val="16"/>
        </w:rPr>
        <w:br/>
      </w:r>
      <w:r w:rsidRPr="00781112">
        <w:rPr>
          <w:rFonts w:cs="Arial"/>
          <w:color w:val="000000" w:themeColor="text1"/>
          <w:szCs w:val="16"/>
        </w:rPr>
        <w:br/>
        <w:t xml:space="preserve">Information about the SPP/APR </w:t>
      </w:r>
      <w:proofErr w:type="gramStart"/>
      <w:r w:rsidRPr="00781112">
        <w:rPr>
          <w:rFonts w:cs="Arial"/>
          <w:color w:val="000000" w:themeColor="text1"/>
          <w:szCs w:val="16"/>
        </w:rPr>
        <w:t>is posted</w:t>
      </w:r>
      <w:proofErr w:type="gramEnd"/>
      <w:r w:rsidRPr="00781112">
        <w:rPr>
          <w:rFonts w:cs="Arial"/>
          <w:color w:val="000000" w:themeColor="text1"/>
          <w:szCs w:val="16"/>
        </w:rPr>
        <w:t xml:space="preserve"> on the SCDE website with a link to provide input. The SCDE is in the process of getting an email address for the SPP/APR so input can be shared at any time about the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OSES is currently working to develop a standard protocol for engaging stakeholders, collecting data, documenting input, and analyzing the input to inform the SPP/APR.</w:t>
      </w:r>
      <w:r w:rsidRPr="00781112">
        <w:rPr>
          <w:rFonts w:cs="Arial"/>
          <w:color w:val="000000" w:themeColor="text1"/>
          <w:szCs w:val="16"/>
        </w:rPr>
        <w:br/>
      </w:r>
      <w:r w:rsidRPr="00781112">
        <w:rPr>
          <w:rFonts w:cs="Arial"/>
          <w:color w:val="000000" w:themeColor="text1"/>
          <w:szCs w:val="16"/>
        </w:rPr>
        <w:br/>
        <w:t xml:space="preserve">Finally, weekly updates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to Special Education Directors and technical assistance providers that included information on the SPP/APR.</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2013</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100.00%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64.00% - 100.00%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64.00%-100.00%</w:t>
            </w: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50.00%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SiMR is academic proficiency in English Language Arts (ELA) for students with disabilities in grades 4-8, as measured by SC Ready, South Carolina’s statewide assessment</w:t>
      </w:r>
      <w:proofErr w:type="gramStart"/>
      <w:r w:rsidRPr="00781112">
        <w:rPr>
          <w:color w:val="000000" w:themeColor="text1"/>
        </w:rPr>
        <w:t xml:space="preserve">.  </w:t>
      </w:r>
      <w:proofErr w:type="gramEnd"/>
      <w:r w:rsidRPr="00781112">
        <w:rPr>
          <w:color w:val="000000" w:themeColor="text1"/>
        </w:rPr>
        <w:t xml:space="preserve">Per the theory of action, it </w:t>
      </w:r>
      <w:proofErr w:type="gramStart"/>
      <w:r w:rsidRPr="00781112">
        <w:rPr>
          <w:color w:val="000000" w:themeColor="text1"/>
        </w:rPr>
        <w:t>is expected</w:t>
      </w:r>
      <w:proofErr w:type="gramEnd"/>
      <w:r w:rsidRPr="00781112">
        <w:rPr>
          <w:color w:val="000000" w:themeColor="text1"/>
        </w:rPr>
        <w:t xml:space="preserve"> that students with disabilities whose teachers have completed online learning management system (LMS) coursework will show a higher rate of growth in ELA performance than students whose teachers have not completed the coursework.</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of the population is students with disabilities in grades 4-8 whose teachers have completed LMS coursework on evidence-based practices (EBPs) for reading as compared to students with disabilities in grades 4-8 whose teachers did not complete the learning module coursework.</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https://ed.sc.gov/districts-schools/special-education-services/data-and-technology-d-t/data-collection-and-reporting/state-performance-plan-and-state-determinations/section-vi-theory-of-action/ </w:t>
      </w:r>
      <w:r w:rsidRPr="00781112">
        <w:br/>
      </w:r>
      <w:r w:rsidRPr="00781112">
        <w:br/>
        <w:t>This theory of action supports providing customized support to local education agencies (LEAs) through the identification of the root cause of poor literacy performance and aligning professional learning of evidence-based practices (EBPs) to teachers and implementation strategies to LEAs to support improved outcomes for students with disabilities in grades 4-8 and increased capacity of districts to sustain and scale-up the EBPs.</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30.60%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30.60%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1"/>
        <w:gridCol w:w="1691"/>
      </w:tblGrid>
      <w:tr w:rsidR="00B14519" w:rsidRPr="00781112" w14:paraId="658A288E" w14:textId="77777777" w:rsidTr="00451D7E">
        <w:trPr>
          <w:trHeight w:val="264"/>
        </w:trPr>
        <w:tc>
          <w:tcPr>
            <w:tcW w:w="369" w:type="pct"/>
            <w:tcBorders>
              <w:bottom w:val="single" w:sz="4" w:space="0" w:color="auto"/>
            </w:tcBorders>
            <w:shd w:val="clear" w:color="auto" w:fill="auto"/>
          </w:tcPr>
          <w:p w14:paraId="781EA3ED" w14:textId="77777777" w:rsidR="00B14519" w:rsidRPr="00781112" w:rsidRDefault="00B14519" w:rsidP="00FE5C1F">
            <w:pPr>
              <w:jc w:val="center"/>
              <w:rPr>
                <w:b/>
                <w:color w:val="000000" w:themeColor="text1"/>
              </w:rPr>
            </w:pPr>
            <w:r w:rsidRPr="00781112">
              <w:rPr>
                <w:b/>
                <w:color w:val="000000" w:themeColor="text1"/>
              </w:rPr>
              <w:t>FFY</w:t>
            </w:r>
          </w:p>
        </w:tc>
        <w:tc>
          <w:tcPr>
            <w:tcW w:w="926" w:type="pct"/>
            <w:shd w:val="clear" w:color="auto" w:fill="auto"/>
          </w:tcPr>
          <w:p w14:paraId="4A83C604" w14:textId="6F2ED2FF" w:rsidR="00B14519" w:rsidRPr="00781112" w:rsidRDefault="00B14519" w:rsidP="00FE5C1F">
            <w:pPr>
              <w:jc w:val="center"/>
              <w:rPr>
                <w:b/>
                <w:color w:val="000000" w:themeColor="text1"/>
              </w:rPr>
            </w:pPr>
            <w:r w:rsidRPr="00781112">
              <w:rPr>
                <w:b/>
                <w:color w:val="000000" w:themeColor="text1"/>
              </w:rPr>
              <w:t>2021</w:t>
            </w:r>
          </w:p>
        </w:tc>
        <w:tc>
          <w:tcPr>
            <w:tcW w:w="926" w:type="pct"/>
          </w:tcPr>
          <w:p w14:paraId="3C50584D" w14:textId="77777777" w:rsidR="00B14519" w:rsidRPr="00781112" w:rsidRDefault="00B14519" w:rsidP="00FE5C1F">
            <w:pPr>
              <w:jc w:val="center"/>
              <w:rPr>
                <w:b/>
                <w:color w:val="000000" w:themeColor="text1"/>
              </w:rPr>
            </w:pPr>
            <w:r w:rsidRPr="00781112">
              <w:rPr>
                <w:rFonts w:cs="Arial"/>
                <w:b/>
                <w:color w:val="000000" w:themeColor="text1"/>
                <w:szCs w:val="16"/>
              </w:rPr>
              <w:t>2022</w:t>
            </w:r>
          </w:p>
        </w:tc>
        <w:tc>
          <w:tcPr>
            <w:tcW w:w="926" w:type="pct"/>
          </w:tcPr>
          <w:p w14:paraId="71585B6F" w14:textId="77777777" w:rsidR="00B14519" w:rsidRPr="00781112" w:rsidRDefault="00B14519" w:rsidP="00FE5C1F">
            <w:pPr>
              <w:jc w:val="center"/>
              <w:rPr>
                <w:b/>
                <w:color w:val="000000" w:themeColor="text1"/>
              </w:rPr>
            </w:pPr>
            <w:r w:rsidRPr="00781112">
              <w:rPr>
                <w:rFonts w:cs="Arial"/>
                <w:b/>
                <w:color w:val="000000" w:themeColor="text1"/>
                <w:szCs w:val="16"/>
              </w:rPr>
              <w:t>2023</w:t>
            </w:r>
          </w:p>
        </w:tc>
        <w:tc>
          <w:tcPr>
            <w:tcW w:w="926" w:type="pct"/>
          </w:tcPr>
          <w:p w14:paraId="65B8ACE1" w14:textId="77777777" w:rsidR="00B14519" w:rsidRPr="00781112" w:rsidRDefault="00B14519" w:rsidP="00FE5C1F">
            <w:pPr>
              <w:jc w:val="center"/>
              <w:rPr>
                <w:b/>
                <w:color w:val="000000" w:themeColor="text1"/>
              </w:rPr>
            </w:pPr>
            <w:r w:rsidRPr="00781112">
              <w:rPr>
                <w:rFonts w:cs="Arial"/>
                <w:b/>
                <w:color w:val="000000" w:themeColor="text1"/>
                <w:szCs w:val="16"/>
              </w:rPr>
              <w:t>2024</w:t>
            </w:r>
          </w:p>
        </w:tc>
        <w:tc>
          <w:tcPr>
            <w:tcW w:w="926" w:type="pct"/>
          </w:tcPr>
          <w:p w14:paraId="78CD21CE" w14:textId="77777777" w:rsidR="00B14519" w:rsidRPr="00781112" w:rsidRDefault="00B14519" w:rsidP="00FE5C1F">
            <w:pPr>
              <w:jc w:val="center"/>
              <w:rPr>
                <w:b/>
                <w:color w:val="000000" w:themeColor="text1"/>
              </w:rPr>
            </w:pPr>
            <w:r w:rsidRPr="00781112">
              <w:rPr>
                <w:rFonts w:cs="Arial"/>
                <w:b/>
                <w:color w:val="000000" w:themeColor="text1"/>
                <w:szCs w:val="16"/>
              </w:rPr>
              <w:t>2025</w:t>
            </w:r>
          </w:p>
        </w:tc>
      </w:tr>
      <w:tr w:rsidR="00B14519" w:rsidRPr="00781112" w14:paraId="63854A2D" w14:textId="77777777" w:rsidTr="00451D7E">
        <w:trPr>
          <w:trHeight w:val="270"/>
        </w:trPr>
        <w:tc>
          <w:tcPr>
            <w:tcW w:w="369" w:type="pct"/>
            <w:shd w:val="clear" w:color="auto" w:fill="auto"/>
            <w:vAlign w:val="center"/>
          </w:tcPr>
          <w:p w14:paraId="0042B651" w14:textId="77777777" w:rsidR="00B14519" w:rsidRPr="00781112" w:rsidRDefault="00B14519" w:rsidP="00FE5C1F">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1A58F607" w14:textId="30D99D5F" w:rsidR="00B14519" w:rsidRPr="00781112" w:rsidRDefault="00B14519" w:rsidP="00FE5C1F">
            <w:pPr>
              <w:jc w:val="center"/>
              <w:rPr>
                <w:rFonts w:cs="Arial"/>
                <w:color w:val="000000" w:themeColor="text1"/>
                <w:szCs w:val="16"/>
              </w:rPr>
            </w:pPr>
            <w:r w:rsidRPr="00781112">
              <w:rPr>
                <w:rFonts w:cs="Arial"/>
                <w:color w:val="000000" w:themeColor="text1"/>
                <w:szCs w:val="16"/>
              </w:rPr>
              <w:t>31.60%</w:t>
            </w:r>
          </w:p>
        </w:tc>
        <w:tc>
          <w:tcPr>
            <w:tcW w:w="926" w:type="pct"/>
          </w:tcPr>
          <w:p w14:paraId="61E331A6" w14:textId="1E6DE337" w:rsidR="00B14519" w:rsidRPr="00781112" w:rsidRDefault="00B14519" w:rsidP="00FE5C1F">
            <w:pPr>
              <w:jc w:val="center"/>
              <w:rPr>
                <w:rFonts w:cs="Arial"/>
                <w:color w:val="000000" w:themeColor="text1"/>
                <w:szCs w:val="16"/>
              </w:rPr>
            </w:pPr>
            <w:r w:rsidRPr="00781112">
              <w:rPr>
                <w:color w:val="000000" w:themeColor="text1"/>
                <w:szCs w:val="16"/>
              </w:rPr>
              <w:t>36.60%</w:t>
            </w:r>
          </w:p>
        </w:tc>
        <w:tc>
          <w:tcPr>
            <w:tcW w:w="926" w:type="pct"/>
          </w:tcPr>
          <w:p w14:paraId="63F4A3F8" w14:textId="7409EC60" w:rsidR="00B14519" w:rsidRPr="00781112" w:rsidRDefault="00B14519" w:rsidP="00FE5C1F">
            <w:pPr>
              <w:jc w:val="center"/>
              <w:rPr>
                <w:rFonts w:cs="Arial"/>
                <w:color w:val="000000" w:themeColor="text1"/>
                <w:szCs w:val="16"/>
              </w:rPr>
            </w:pPr>
            <w:r w:rsidRPr="00781112">
              <w:rPr>
                <w:color w:val="000000" w:themeColor="text1"/>
                <w:szCs w:val="16"/>
              </w:rPr>
              <w:t>37.60%</w:t>
            </w:r>
          </w:p>
        </w:tc>
        <w:tc>
          <w:tcPr>
            <w:tcW w:w="926" w:type="pct"/>
          </w:tcPr>
          <w:p w14:paraId="3B435E60" w14:textId="03BBC20E" w:rsidR="00B14519" w:rsidRPr="00781112" w:rsidRDefault="00B14519" w:rsidP="00FE5C1F">
            <w:pPr>
              <w:jc w:val="center"/>
              <w:rPr>
                <w:rFonts w:cs="Arial"/>
                <w:color w:val="000000" w:themeColor="text1"/>
                <w:szCs w:val="16"/>
              </w:rPr>
            </w:pPr>
            <w:r w:rsidRPr="00781112">
              <w:rPr>
                <w:color w:val="000000" w:themeColor="text1"/>
                <w:szCs w:val="16"/>
              </w:rPr>
              <w:t>38.60%</w:t>
            </w:r>
          </w:p>
        </w:tc>
        <w:tc>
          <w:tcPr>
            <w:tcW w:w="926" w:type="pct"/>
          </w:tcPr>
          <w:p w14:paraId="22885754" w14:textId="6ECE58B2" w:rsidR="00B14519" w:rsidRPr="00781112" w:rsidRDefault="00B14519" w:rsidP="00FE5C1F">
            <w:pPr>
              <w:jc w:val="center"/>
              <w:rPr>
                <w:rFonts w:cs="Arial"/>
                <w:color w:val="000000" w:themeColor="text1"/>
                <w:szCs w:val="16"/>
              </w:rPr>
            </w:pPr>
            <w:r w:rsidRPr="00781112">
              <w:rPr>
                <w:color w:val="000000" w:themeColor="text1"/>
                <w:szCs w:val="16"/>
              </w:rPr>
              <w:t>39.60%</w:t>
            </w:r>
          </w:p>
        </w:tc>
      </w:tr>
      <w:tr w:rsidR="00B14519" w:rsidRPr="00781112" w14:paraId="2372A3F7" w14:textId="77777777" w:rsidTr="00451D7E">
        <w:trPr>
          <w:trHeight w:val="270"/>
        </w:trPr>
        <w:tc>
          <w:tcPr>
            <w:tcW w:w="369" w:type="pct"/>
            <w:shd w:val="clear" w:color="auto" w:fill="auto"/>
            <w:vAlign w:val="center"/>
          </w:tcPr>
          <w:p w14:paraId="0B7B825B" w14:textId="77777777" w:rsidR="00B14519" w:rsidRPr="00781112" w:rsidRDefault="00B14519" w:rsidP="00FE5C1F">
            <w:pPr>
              <w:rPr>
                <w:rFonts w:cs="Arial"/>
                <w:color w:val="000000" w:themeColor="text1"/>
                <w:szCs w:val="16"/>
              </w:rPr>
            </w:pPr>
            <w:r w:rsidRPr="00781112">
              <w:rPr>
                <w:rFonts w:cs="Arial"/>
                <w:color w:val="000000" w:themeColor="text1"/>
                <w:szCs w:val="16"/>
              </w:rPr>
              <w:t>Target B &gt;=</w:t>
            </w:r>
          </w:p>
        </w:tc>
        <w:tc>
          <w:tcPr>
            <w:tcW w:w="926" w:type="pct"/>
            <w:shd w:val="clear" w:color="auto" w:fill="auto"/>
            <w:vAlign w:val="center"/>
          </w:tcPr>
          <w:p w14:paraId="1C44A704" w14:textId="436B0D72" w:rsidR="00B14519" w:rsidRPr="00781112" w:rsidRDefault="00B14519" w:rsidP="00FE5C1F">
            <w:pPr>
              <w:jc w:val="center"/>
              <w:rPr>
                <w:rFonts w:cs="Arial"/>
                <w:color w:val="000000" w:themeColor="text1"/>
                <w:szCs w:val="16"/>
              </w:rPr>
            </w:pPr>
            <w:r w:rsidRPr="00781112">
              <w:rPr>
                <w:rFonts w:cs="Arial"/>
                <w:color w:val="000000" w:themeColor="text1"/>
                <w:szCs w:val="16"/>
              </w:rPr>
              <w:t>31.60%</w:t>
            </w:r>
          </w:p>
        </w:tc>
        <w:tc>
          <w:tcPr>
            <w:tcW w:w="926" w:type="pct"/>
          </w:tcPr>
          <w:p w14:paraId="10C802A6" w14:textId="13443E33" w:rsidR="00B14519" w:rsidRPr="00781112" w:rsidRDefault="00B14519" w:rsidP="00FE5C1F">
            <w:pPr>
              <w:jc w:val="center"/>
              <w:rPr>
                <w:color w:val="000000" w:themeColor="text1"/>
                <w:szCs w:val="16"/>
              </w:rPr>
            </w:pPr>
            <w:r w:rsidRPr="00781112">
              <w:rPr>
                <w:color w:val="000000" w:themeColor="text1"/>
                <w:szCs w:val="16"/>
              </w:rPr>
              <w:t>32.60%</w:t>
            </w:r>
          </w:p>
        </w:tc>
        <w:tc>
          <w:tcPr>
            <w:tcW w:w="926" w:type="pct"/>
          </w:tcPr>
          <w:p w14:paraId="641A44A3" w14:textId="3BB61435" w:rsidR="00B14519" w:rsidRPr="00781112" w:rsidRDefault="00B14519" w:rsidP="00FE5C1F">
            <w:pPr>
              <w:jc w:val="center"/>
              <w:rPr>
                <w:color w:val="000000" w:themeColor="text1"/>
                <w:szCs w:val="16"/>
              </w:rPr>
            </w:pPr>
            <w:r w:rsidRPr="00781112">
              <w:rPr>
                <w:color w:val="000000" w:themeColor="text1"/>
                <w:szCs w:val="16"/>
              </w:rPr>
              <w:t>33.60%</w:t>
            </w:r>
          </w:p>
        </w:tc>
        <w:tc>
          <w:tcPr>
            <w:tcW w:w="926" w:type="pct"/>
          </w:tcPr>
          <w:p w14:paraId="5EC8131B" w14:textId="41772908" w:rsidR="00B14519" w:rsidRPr="00781112" w:rsidRDefault="00B14519" w:rsidP="00FE5C1F">
            <w:pPr>
              <w:jc w:val="center"/>
              <w:rPr>
                <w:color w:val="000000" w:themeColor="text1"/>
                <w:szCs w:val="16"/>
              </w:rPr>
            </w:pPr>
            <w:r w:rsidRPr="00781112">
              <w:rPr>
                <w:color w:val="000000" w:themeColor="text1"/>
                <w:szCs w:val="16"/>
              </w:rPr>
              <w:t>34.60%</w:t>
            </w:r>
          </w:p>
        </w:tc>
        <w:tc>
          <w:tcPr>
            <w:tcW w:w="926" w:type="pct"/>
          </w:tcPr>
          <w:p w14:paraId="3C91D03F" w14:textId="79E614D1" w:rsidR="00B14519" w:rsidRPr="00781112" w:rsidRDefault="00B14519" w:rsidP="00FE5C1F">
            <w:pPr>
              <w:jc w:val="center"/>
              <w:rPr>
                <w:color w:val="000000" w:themeColor="text1"/>
                <w:szCs w:val="16"/>
              </w:rPr>
            </w:pPr>
            <w:r w:rsidRPr="00781112">
              <w:rPr>
                <w:color w:val="000000" w:themeColor="text1"/>
                <w:szCs w:val="16"/>
              </w:rPr>
              <w:t>35.60%</w:t>
            </w:r>
          </w:p>
        </w:tc>
      </w:tr>
    </w:tbl>
    <w:p w14:paraId="0008F494" w14:textId="77777777" w:rsidR="00AE1972" w:rsidRPr="00781112" w:rsidRDefault="00AE1972" w:rsidP="00AE1972"/>
    <w:p w14:paraId="729B8DEE" w14:textId="112973AC"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p>
        </w:tc>
        <w:tc>
          <w:tcPr>
            <w:tcW w:w="600" w:type="pct"/>
            <w:shd w:val="clear" w:color="auto" w:fill="auto"/>
            <w:vAlign w:val="bottom"/>
          </w:tcPr>
          <w:p w14:paraId="1E25BB01" w14:textId="7E473F4F" w:rsidR="00B21923" w:rsidRPr="00781112" w:rsidRDefault="00B21923" w:rsidP="00B21923">
            <w:pPr>
              <w:jc w:val="center"/>
              <w:rPr>
                <w:b/>
                <w:color w:val="000000" w:themeColor="text1"/>
              </w:rPr>
            </w:pPr>
            <w:r>
              <w:t>FFY 2020</w:t>
            </w:r>
            <w:r w:rsidRPr="00C318B5">
              <w:t xml:space="preserve"> Data</w:t>
            </w:r>
          </w:p>
        </w:tc>
        <w:tc>
          <w:tcPr>
            <w:tcW w:w="600" w:type="pct"/>
            <w:shd w:val="clear" w:color="auto" w:fill="auto"/>
            <w:vAlign w:val="bottom"/>
          </w:tcPr>
          <w:p w14:paraId="2883CDDC" w14:textId="0E54B1E3" w:rsidR="00B21923" w:rsidRPr="00781112" w:rsidRDefault="00B21923" w:rsidP="00B21923">
            <w:pPr>
              <w:jc w:val="center"/>
              <w:rPr>
                <w:b/>
                <w:color w:val="000000" w:themeColor="text1"/>
              </w:rPr>
            </w:pPr>
            <w:r>
              <w:t>FFY 2021</w:t>
            </w:r>
            <w:r w:rsidRPr="00C318B5">
              <w:t xml:space="preserve"> Target</w:t>
            </w:r>
          </w:p>
        </w:tc>
        <w:tc>
          <w:tcPr>
            <w:tcW w:w="600" w:type="pct"/>
            <w:shd w:val="clear" w:color="auto" w:fill="auto"/>
            <w:vAlign w:val="bottom"/>
          </w:tcPr>
          <w:p w14:paraId="637D491C" w14:textId="6239126D" w:rsidR="00B21923" w:rsidRPr="00781112" w:rsidRDefault="00B21923" w:rsidP="00B21923">
            <w:pPr>
              <w:jc w:val="center"/>
              <w:rPr>
                <w:b/>
                <w:color w:val="000000" w:themeColor="text1"/>
              </w:rPr>
            </w:pPr>
            <w:r>
              <w:t>FFY 2021</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lastRenderedPageBreak/>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31.60%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31.60%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Group A is the treatment group, and Group B is the control group</w:t>
      </w:r>
      <w:proofErr w:type="gramStart"/>
      <w:r w:rsidRPr="00781112">
        <w:rPr>
          <w:color w:val="000000" w:themeColor="text1"/>
        </w:rPr>
        <w:t xml:space="preserve">.  </w:t>
      </w:r>
      <w:proofErr w:type="gramEnd"/>
      <w:r w:rsidRPr="00781112">
        <w:rPr>
          <w:color w:val="000000" w:themeColor="text1"/>
        </w:rPr>
        <w:t xml:space="preserve">There </w:t>
      </w:r>
      <w:proofErr w:type="gramStart"/>
      <w:r w:rsidRPr="00781112">
        <w:rPr>
          <w:color w:val="000000" w:themeColor="text1"/>
        </w:rPr>
        <w:t>are</w:t>
      </w:r>
      <w:proofErr w:type="gramEnd"/>
      <w:r w:rsidRPr="00781112">
        <w:rPr>
          <w:color w:val="000000" w:themeColor="text1"/>
        </w:rPr>
        <w:t xml:space="preserve"> no data to report</w:t>
      </w:r>
      <w:proofErr w:type="gramStart"/>
      <w:r w:rsidRPr="00781112">
        <w:rPr>
          <w:color w:val="000000" w:themeColor="text1"/>
        </w:rPr>
        <w:t xml:space="preserve">.  </w:t>
      </w:r>
      <w:proofErr w:type="gramEnd"/>
      <w:r w:rsidRPr="00781112">
        <w:rPr>
          <w:color w:val="000000" w:themeColor="text1"/>
        </w:rPr>
        <w:t>Per the FFY2020 submission, SiMR data would be reported comparing student academic outcomes of treatment (Group A: Students with disabilities whose teachers completed the LMS coursework) and control groups (Group B: Students with disabilities whose teachers did not complete the LMS coursework) (i.e., teacher’s LMS course completion serving as the independent variable)</w:t>
      </w:r>
      <w:proofErr w:type="gramStart"/>
      <w:r w:rsidRPr="00781112">
        <w:rPr>
          <w:color w:val="000000" w:themeColor="text1"/>
        </w:rPr>
        <w:t xml:space="preserve">.  </w:t>
      </w:r>
      <w:proofErr w:type="gramEnd"/>
      <w:r w:rsidRPr="00781112">
        <w:rPr>
          <w:color w:val="000000" w:themeColor="text1"/>
        </w:rPr>
        <w:t>During the reporting period, the SSIP was not implemented as intended as described at the time of the FFY2020 submission</w:t>
      </w:r>
      <w:proofErr w:type="gramStart"/>
      <w:r w:rsidRPr="00781112">
        <w:rPr>
          <w:color w:val="000000" w:themeColor="text1"/>
        </w:rPr>
        <w:t xml:space="preserve">.  </w:t>
      </w:r>
      <w:proofErr w:type="gramEnd"/>
      <w:r w:rsidRPr="00781112">
        <w:rPr>
          <w:color w:val="000000" w:themeColor="text1"/>
        </w:rPr>
        <w:t>Additionally, there exists no system developed with the ability to collect the data as described in the FFY2020 submission.</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implementation of the SSIP submitted for FFY2020 did not occur as planned: Due to the lack of a data collection mechanism there </w:t>
      </w:r>
      <w:proofErr w:type="gramStart"/>
      <w:r w:rsidRPr="00781112">
        <w:rPr>
          <w:color w:val="000000" w:themeColor="text1"/>
        </w:rPr>
        <w:t>are</w:t>
      </w:r>
      <w:proofErr w:type="gramEnd"/>
      <w:r w:rsidRPr="00781112">
        <w:rPr>
          <w:color w:val="000000" w:themeColor="text1"/>
        </w:rPr>
        <w:t xml:space="preserve"> no data to collect, report on, or analyze for the two groups of students included in the SiMR</w:t>
      </w:r>
      <w:proofErr w:type="gramStart"/>
      <w:r w:rsidRPr="00781112">
        <w:rPr>
          <w:color w:val="000000" w:themeColor="text1"/>
        </w:rPr>
        <w:t xml:space="preserve">.  </w:t>
      </w:r>
      <w:proofErr w:type="gramEnd"/>
      <w:r w:rsidRPr="00781112">
        <w:rPr>
          <w:color w:val="000000" w:themeColor="text1"/>
        </w:rPr>
        <w:t>Further, the link to the evaluation plan submitted with the SSIP in FFY2020 did not include any evaluative components to measure student academic outcomes or fidelity of implementation.</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The SSIP evaluation plan submitted in the FFY2020 SPP/APR was not comprehensive and failed to identify all needed data to accurately determine progress on the SiMR.</w:t>
      </w:r>
      <w:r w:rsidRPr="00781112">
        <w:rPr>
          <w:color w:val="000000" w:themeColor="text1"/>
        </w:rPr>
        <w:br/>
      </w:r>
      <w:r w:rsidRPr="00781112">
        <w:rPr>
          <w:color w:val="000000" w:themeColor="text1"/>
        </w:rPr>
        <w:br/>
        <w:t xml:space="preserve">In addition, SiMR data quality issues and concerns were identified based on input from stakeholders, the Office of Special Education Programs (OSEP), and several OSEP funded technical assistance centers providing support to the SC SSIP Leadership Team (i.e., National Center for Educational Outcomes, NCEO; National Center for Systemic Improvement, NCSI; IDEA Data Center, IDC). The following describes the evaluation areas that should have </w:t>
      </w:r>
      <w:proofErr w:type="gramStart"/>
      <w:r w:rsidRPr="00781112">
        <w:rPr>
          <w:color w:val="000000" w:themeColor="text1"/>
        </w:rPr>
        <w:t>been addressed</w:t>
      </w:r>
      <w:proofErr w:type="gramEnd"/>
      <w:r w:rsidRPr="00781112">
        <w:rPr>
          <w:color w:val="000000" w:themeColor="text1"/>
        </w:rPr>
        <w:t xml:space="preserve">, issues related to the quality or lack of data, and plans for correction during the next year. </w:t>
      </w:r>
      <w:r w:rsidRPr="00781112">
        <w:rPr>
          <w:color w:val="000000" w:themeColor="text1"/>
        </w:rPr>
        <w:br/>
      </w:r>
      <w:r w:rsidRPr="00781112">
        <w:rPr>
          <w:color w:val="000000" w:themeColor="text1"/>
        </w:rPr>
        <w:br/>
        <w:t xml:space="preserve">Reach: There </w:t>
      </w:r>
      <w:proofErr w:type="gramStart"/>
      <w:r w:rsidRPr="00781112">
        <w:rPr>
          <w:color w:val="000000" w:themeColor="text1"/>
        </w:rPr>
        <w:t>were</w:t>
      </w:r>
      <w:proofErr w:type="gramEnd"/>
      <w:r w:rsidRPr="00781112">
        <w:rPr>
          <w:color w:val="000000" w:themeColor="text1"/>
        </w:rPr>
        <w:t xml:space="preserve"> no data to identify the participants in each intervention tier . To address this issue, the OSES will fully describe the criteria for participants, report the relevant data for determination, and use a data collection tool to collect information on participants in the next reporting period. </w:t>
      </w:r>
      <w:r w:rsidRPr="00781112">
        <w:rPr>
          <w:color w:val="000000" w:themeColor="text1"/>
        </w:rPr>
        <w:br/>
      </w:r>
      <w:r w:rsidRPr="00781112">
        <w:rPr>
          <w:color w:val="000000" w:themeColor="text1"/>
        </w:rPr>
        <w:br/>
        <w:t>Process: There were no data to report on the completion of activities or the fidelity of the implementation by the SEA or LEA participants. The OSES will have a collection tool to collect data on implementation activities in the next reporting period.</w:t>
      </w:r>
      <w:r w:rsidRPr="00781112">
        <w:rPr>
          <w:color w:val="000000" w:themeColor="text1"/>
        </w:rPr>
        <w:br/>
      </w:r>
      <w:r w:rsidRPr="00781112">
        <w:rPr>
          <w:color w:val="000000" w:themeColor="text1"/>
        </w:rPr>
        <w:br/>
        <w:t xml:space="preserve">Capacity: There were no data collected on the capacity of the tiered LEAs or participants. There was not a clear definition in the SSIP about how the capacity of the LEAs </w:t>
      </w:r>
      <w:proofErr w:type="gramStart"/>
      <w:r w:rsidRPr="00781112">
        <w:rPr>
          <w:color w:val="000000" w:themeColor="text1"/>
        </w:rPr>
        <w:t>was utilized</w:t>
      </w:r>
      <w:proofErr w:type="gramEnd"/>
      <w:r w:rsidRPr="00781112">
        <w:rPr>
          <w:color w:val="000000" w:themeColor="text1"/>
        </w:rPr>
        <w:t xml:space="preserve"> to determine the tier of support. Capacity includes the ability to organize, sustain, and scale up the implementation of the practices. Moving forward, the OSES will use the District Capacity Assessment (DCA) from the National Implementation Research Network (NIRN) to measure district capacity and infrastructure and support improvement based on individual needs. In addition, The Reading Tiered Fidelity Inventory (R-TFI) through the Michigan MTSS Technical Assistance Center (MiMTSS) will </w:t>
      </w:r>
      <w:proofErr w:type="gramStart"/>
      <w:r w:rsidRPr="00781112">
        <w:rPr>
          <w:color w:val="000000" w:themeColor="text1"/>
        </w:rPr>
        <w:t>be utilized</w:t>
      </w:r>
      <w:proofErr w:type="gramEnd"/>
      <w:r w:rsidRPr="00781112">
        <w:rPr>
          <w:color w:val="000000" w:themeColor="text1"/>
        </w:rPr>
        <w:t xml:space="preserve"> to determine capacity at the school level. </w:t>
      </w:r>
      <w:r w:rsidRPr="00781112">
        <w:rPr>
          <w:color w:val="000000" w:themeColor="text1"/>
        </w:rPr>
        <w:br/>
      </w:r>
      <w:r w:rsidRPr="00781112">
        <w:rPr>
          <w:color w:val="000000" w:themeColor="text1"/>
        </w:rPr>
        <w:br/>
        <w:t xml:space="preserve">Fidelity: The SSIP only suggested the completion of the modules as a fidelity measure. No data </w:t>
      </w:r>
      <w:proofErr w:type="gramStart"/>
      <w:r w:rsidRPr="00781112">
        <w:rPr>
          <w:color w:val="000000" w:themeColor="text1"/>
        </w:rPr>
        <w:t>were collected</w:t>
      </w:r>
      <w:proofErr w:type="gramEnd"/>
      <w:r w:rsidRPr="00781112">
        <w:rPr>
          <w:color w:val="000000" w:themeColor="text1"/>
        </w:rPr>
        <w:t xml:space="preserve"> on the </w:t>
      </w:r>
      <w:proofErr w:type="gramStart"/>
      <w:r w:rsidRPr="00781112">
        <w:rPr>
          <w:color w:val="000000" w:themeColor="text1"/>
        </w:rPr>
        <w:t>teacher</w:t>
      </w:r>
      <w:proofErr w:type="gramEnd"/>
      <w:r w:rsidRPr="00781112">
        <w:rPr>
          <w:color w:val="000000" w:themeColor="text1"/>
        </w:rPr>
        <w:t xml:space="preserve"> completion of the LMS course modules. The fidelity issues were twofold. There was no plan to vet the modules developed by the department to ensure that the EBPs for literacy </w:t>
      </w:r>
      <w:proofErr w:type="gramStart"/>
      <w:r w:rsidRPr="00781112">
        <w:rPr>
          <w:color w:val="000000" w:themeColor="text1"/>
        </w:rPr>
        <w:t>were addressed</w:t>
      </w:r>
      <w:proofErr w:type="gramEnd"/>
      <w:r w:rsidRPr="00781112">
        <w:rPr>
          <w:color w:val="000000" w:themeColor="text1"/>
        </w:rPr>
        <w:t xml:space="preserve"> as intended. A tool </w:t>
      </w:r>
      <w:proofErr w:type="gramStart"/>
      <w:r w:rsidRPr="00781112">
        <w:rPr>
          <w:color w:val="000000" w:themeColor="text1"/>
        </w:rPr>
        <w:t>was not provided</w:t>
      </w:r>
      <w:proofErr w:type="gramEnd"/>
      <w:r w:rsidRPr="00781112">
        <w:rPr>
          <w:color w:val="000000" w:themeColor="text1"/>
        </w:rPr>
        <w:t xml:space="preserve"> for teachers to self-assess their implementation of literacy strategies in the classroom nor was there a plan to assess the use of evidence-based practices. To address this issue, the OSES will rely on external experts provided through both state and national technical assistance centers to vet the content of all training. The OSES will use both self-assessment by participants and observational data to determine if EBPs are being implemented in the classroom, school, and LEA levels along with the Reading Tiered Fidelity Inventory as mentioned above at the school level.</w:t>
      </w:r>
      <w:r w:rsidRPr="00781112">
        <w:rPr>
          <w:color w:val="000000" w:themeColor="text1"/>
        </w:rPr>
        <w:br/>
      </w:r>
      <w:r w:rsidRPr="00781112">
        <w:rPr>
          <w:color w:val="000000" w:themeColor="text1"/>
        </w:rPr>
        <w:br/>
        <w:t xml:space="preserve">Outcomes: The current SSIP requires student-level SC READY test score data on both the control group (i.e., students with disabilities whose teachers/staff received no additional training delivered via LMS) and the treatment group (i.e., students with disabilities whose teachers/staff completed the LMS course modules). There </w:t>
      </w:r>
      <w:proofErr w:type="gramStart"/>
      <w:r w:rsidRPr="00781112">
        <w:rPr>
          <w:color w:val="000000" w:themeColor="text1"/>
        </w:rPr>
        <w:t>were</w:t>
      </w:r>
      <w:proofErr w:type="gramEnd"/>
      <w:r w:rsidRPr="00781112">
        <w:rPr>
          <w:color w:val="000000" w:themeColor="text1"/>
        </w:rPr>
        <w:t xml:space="preserve"> no data collected, nor does a system exist with the ability to collect this data of students matched to individual teachers. In addition, many students with disabilities receive literacy instruction from both a general and special education teacher, which introduces a </w:t>
      </w:r>
      <w:proofErr w:type="gramStart"/>
      <w:r w:rsidRPr="00781112">
        <w:rPr>
          <w:color w:val="000000" w:themeColor="text1"/>
        </w:rPr>
        <w:t>possible threat</w:t>
      </w:r>
      <w:proofErr w:type="gramEnd"/>
      <w:r w:rsidRPr="00781112">
        <w:rPr>
          <w:color w:val="000000" w:themeColor="text1"/>
        </w:rPr>
        <w:t xml:space="preserve"> to the internal validity of the SSIP evaluation via possible (likely) confounding variables. The plan included no data to monitor the academic progress of students. While the plan mentioned the use of data-based individualization, there was a failure to capture the use of this through progress monitoring data which could have been used to measure the progress of students by teachers.</w:t>
      </w:r>
      <w:r w:rsidRPr="00781112">
        <w:rPr>
          <w:color w:val="000000" w:themeColor="text1"/>
        </w:rPr>
        <w:br/>
      </w:r>
      <w:r w:rsidRPr="00781112">
        <w:rPr>
          <w:color w:val="000000" w:themeColor="text1"/>
        </w:rPr>
        <w:br/>
        <w:t xml:space="preserve">Moving forward, the OSES will work with stakeholders–including SEA colleagues in the Office of School Transformation–to set target goals for students with disabilities on SC READY . The Office of School Transformation is responsible for providing technical assistance and support to schools and districts that have been identified for poor performance under </w:t>
      </w:r>
      <w:proofErr w:type="gramStart"/>
      <w:r w:rsidRPr="00781112">
        <w:rPr>
          <w:color w:val="000000" w:themeColor="text1"/>
        </w:rPr>
        <w:t>the Every</w:t>
      </w:r>
      <w:proofErr w:type="gramEnd"/>
      <w:r w:rsidRPr="00781112">
        <w:rPr>
          <w:color w:val="000000" w:themeColor="text1"/>
        </w:rPr>
        <w:t xml:space="preserve"> Student Succeeds Act (ESSA). Baseline data from SC Ready for students with disabilities in selected schools identified under ESSA will </w:t>
      </w:r>
      <w:proofErr w:type="gramStart"/>
      <w:r w:rsidRPr="00781112">
        <w:rPr>
          <w:color w:val="000000" w:themeColor="text1"/>
        </w:rPr>
        <w:t>be collected</w:t>
      </w:r>
      <w:proofErr w:type="gramEnd"/>
      <w:r w:rsidRPr="00781112">
        <w:rPr>
          <w:color w:val="000000" w:themeColor="text1"/>
        </w:rPr>
        <w:t xml:space="preserve"> for the next reporting period. </w:t>
      </w:r>
      <w:r w:rsidRPr="00781112">
        <w:rPr>
          <w:color w:val="000000" w:themeColor="text1"/>
        </w:rPr>
        <w:br/>
      </w:r>
      <w:r w:rsidRPr="00781112">
        <w:rPr>
          <w:color w:val="000000" w:themeColor="text1"/>
        </w:rPr>
        <w:br/>
        <w:t xml:space="preserve">In addition, the OSES will implement the use of curriculum-based measurement (CBM) for students with disabilities to progress monitor and inform the effectiveness of literacy instruction for students with disabilities and to provide progress as additional information on the SiMR at the next reporting period. These data will </w:t>
      </w:r>
      <w:proofErr w:type="gramStart"/>
      <w:r w:rsidRPr="00781112">
        <w:rPr>
          <w:color w:val="000000" w:themeColor="text1"/>
        </w:rPr>
        <w:t>be analyzed</w:t>
      </w:r>
      <w:proofErr w:type="gramEnd"/>
      <w:r w:rsidRPr="00781112">
        <w:rPr>
          <w:color w:val="000000" w:themeColor="text1"/>
        </w:rPr>
        <w:t xml:space="preserve"> and reviewed by school, district, and state teams to inform progress on SC Ready for all students in the identified schools and districts.</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lastRenderedPageBreak/>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https://ed.sc.gov/districts-schools/special-education-services/data-and-technology-d-t/data-collection-and-reporting/state-performance-plan-and-state-determinations/ssip-evaluation-plan/ </w:t>
      </w:r>
      <w:r w:rsidRPr="00781112">
        <w:rPr>
          <w:color w:val="000000" w:themeColor="text1"/>
        </w:rPr>
        <w:br/>
      </w:r>
      <w:r w:rsidRPr="00781112">
        <w:rPr>
          <w:color w:val="000000" w:themeColor="text1"/>
        </w:rPr>
        <w:br/>
        <w:t>The current evaluation plan describes the process for implementation of the SSIP but does not clearly articulate the data necessary for evaluation nor the process for data collection regarding achievement of short-term, medium term or long-term outcomes</w:t>
      </w:r>
      <w:proofErr w:type="gramStart"/>
      <w:r w:rsidRPr="00781112">
        <w:rPr>
          <w:color w:val="000000" w:themeColor="text1"/>
        </w:rPr>
        <w:t xml:space="preserve">.  </w:t>
      </w:r>
      <w:proofErr w:type="gramEnd"/>
      <w:r w:rsidRPr="00781112">
        <w:rPr>
          <w:color w:val="000000" w:themeColor="text1"/>
        </w:rPr>
        <w:t>Moving forward, the OSES will have an external evaluator collaborate with the SSIP Leadership Team to develop a comprehensive evaluation 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During the reporting period, the newly appointed Interim Director of Special Education </w:t>
      </w:r>
      <w:proofErr w:type="gramStart"/>
      <w:r w:rsidRPr="00781112">
        <w:rPr>
          <w:color w:val="000000" w:themeColor="text1"/>
        </w:rPr>
        <w:t>was made</w:t>
      </w:r>
      <w:proofErr w:type="gramEnd"/>
      <w:r w:rsidRPr="00781112">
        <w:rPr>
          <w:color w:val="000000" w:themeColor="text1"/>
        </w:rPr>
        <w:t xml:space="preserve"> aware that there was not adequate stakeholder involvement in the previous SSIP and other OSES projects. In addition, the SSIP </w:t>
      </w:r>
      <w:proofErr w:type="gramStart"/>
      <w:r w:rsidRPr="00781112">
        <w:rPr>
          <w:color w:val="000000" w:themeColor="text1"/>
        </w:rPr>
        <w:t>was not implemented</w:t>
      </w:r>
      <w:proofErr w:type="gramEnd"/>
      <w:r w:rsidRPr="00781112">
        <w:rPr>
          <w:color w:val="000000" w:themeColor="text1"/>
        </w:rPr>
        <w:t xml:space="preserve"> as described in FFY2020 submission, and the LMS coursework modules were not fully completed. There was no data system to collect or analyze the data that would </w:t>
      </w:r>
      <w:proofErr w:type="gramStart"/>
      <w:r w:rsidRPr="00781112">
        <w:rPr>
          <w:color w:val="000000" w:themeColor="text1"/>
        </w:rPr>
        <w:t>be needed</w:t>
      </w:r>
      <w:proofErr w:type="gramEnd"/>
      <w:r w:rsidRPr="00781112">
        <w:rPr>
          <w:color w:val="000000" w:themeColor="text1"/>
        </w:rPr>
        <w:t xml:space="preserve"> to report on the SiMR. </w:t>
      </w:r>
      <w:r w:rsidRPr="00781112">
        <w:rPr>
          <w:color w:val="000000" w:themeColor="text1"/>
        </w:rPr>
        <w:br/>
      </w:r>
      <w:r w:rsidRPr="00781112">
        <w:rPr>
          <w:color w:val="000000" w:themeColor="text1"/>
        </w:rPr>
        <w:br/>
        <w:t xml:space="preserve">OSES has increased opportunities for stakeholder involvement by creating new stakeholder groups including other SEA offices, disability advocates, parent groups, LEAs, and agencies. In addition, the OSES conducted a virtual town hall to gather input on specific indicators, including the SSIP. The OSES has shared the current SSIP and SiMR with stakeholders and utilized the input along with the SSIP Infrastructure Development, Planning, and Progress Measuring Tool: Using Implementation and Stages of Implementation (https://ncsi-library.wested.org/resources/258) to implement the following infrastructure strategies. </w:t>
      </w:r>
      <w:r w:rsidRPr="00781112">
        <w:rPr>
          <w:color w:val="000000" w:themeColor="text1"/>
        </w:rPr>
        <w:br/>
      </w:r>
      <w:r w:rsidRPr="00781112">
        <w:rPr>
          <w:color w:val="000000" w:themeColor="text1"/>
        </w:rPr>
        <w:br/>
        <w:t xml:space="preserve">LEADERSHIP DRIVERS: </w:t>
      </w:r>
      <w:r w:rsidRPr="00781112">
        <w:rPr>
          <w:color w:val="000000" w:themeColor="text1"/>
        </w:rPr>
        <w:br/>
      </w:r>
      <w:r w:rsidRPr="00781112">
        <w:rPr>
          <w:color w:val="000000" w:themeColor="text1"/>
        </w:rPr>
        <w:br/>
        <w:t>To coordinate the efforts of the SSIP with other SEA offices and agency initiatives, the SSIP Leadership team was established to examine the current practices, solicit and analyze stakeholder input, and monitor the implementation of the SSIP.</w:t>
      </w:r>
      <w:r w:rsidRPr="00781112">
        <w:rPr>
          <w:color w:val="000000" w:themeColor="text1"/>
        </w:rPr>
        <w:br/>
      </w:r>
      <w:r w:rsidRPr="00781112">
        <w:rPr>
          <w:color w:val="000000" w:themeColor="text1"/>
        </w:rPr>
        <w:br/>
        <w:t>ORGANIZATIONAL DRIVERS:</w:t>
      </w:r>
      <w:r w:rsidRPr="00781112">
        <w:rPr>
          <w:color w:val="000000" w:themeColor="text1"/>
        </w:rPr>
        <w:br/>
      </w:r>
      <w:r w:rsidRPr="00781112">
        <w:rPr>
          <w:color w:val="000000" w:themeColor="text1"/>
        </w:rPr>
        <w:br/>
        <w:t xml:space="preserve">Decision Support Data Systems </w:t>
      </w:r>
      <w:r w:rsidRPr="00781112">
        <w:rPr>
          <w:color w:val="000000" w:themeColor="text1"/>
        </w:rPr>
        <w:br/>
        <w:t xml:space="preserve">The OSES established a multi-disciplinary SSIP leadership team with membership represented from the SEA Office of Research and Data Analysis, the IDEA Part B data manager, an LEA representative with special education data collection expertise, and two external contractors with expertise in psychometrics and district-level assessment accountability systems to identify data needs and availability. </w:t>
      </w:r>
      <w:r w:rsidRPr="00781112">
        <w:rPr>
          <w:color w:val="000000" w:themeColor="text1"/>
        </w:rPr>
        <w:br/>
      </w:r>
      <w:r w:rsidRPr="00781112">
        <w:rPr>
          <w:color w:val="000000" w:themeColor="text1"/>
        </w:rPr>
        <w:br/>
        <w:t xml:space="preserve">Systems Intervention </w:t>
      </w:r>
      <w:r w:rsidRPr="00781112">
        <w:rPr>
          <w:color w:val="000000" w:themeColor="text1"/>
        </w:rPr>
        <w:br/>
        <w:t xml:space="preserve">Based on stakeholder input, the OSES has initiated alignment of the IDEA Part B performance indicators with ESSA Accountability Indicators. Historically, the </w:t>
      </w:r>
      <w:proofErr w:type="gramStart"/>
      <w:r w:rsidRPr="00781112">
        <w:rPr>
          <w:color w:val="000000" w:themeColor="text1"/>
        </w:rPr>
        <w:t>poor performance</w:t>
      </w:r>
      <w:proofErr w:type="gramEnd"/>
      <w:r w:rsidRPr="00781112">
        <w:rPr>
          <w:color w:val="000000" w:themeColor="text1"/>
        </w:rPr>
        <w:t xml:space="preserve"> of students with disabilities, as identified in Indicator 3, was addressed by separate initiatives with general education and special education initiatives operating in isolation. The alignment of IDEA and ESSA indicators supports a more cohesive approach to addressing the needs of students with disabilities. This also aligns with the initiatives of the SEA: Academic achievement (literacy), graduation, dropout prevention, and college and career readiness are major foci of </w:t>
      </w:r>
      <w:proofErr w:type="gramStart"/>
      <w:r w:rsidRPr="00781112">
        <w:rPr>
          <w:color w:val="000000" w:themeColor="text1"/>
        </w:rPr>
        <w:t>several</w:t>
      </w:r>
      <w:proofErr w:type="gramEnd"/>
      <w:r w:rsidRPr="00781112">
        <w:rPr>
          <w:color w:val="000000" w:themeColor="text1"/>
        </w:rPr>
        <w:t xml:space="preserve"> SEA offices and of the SEA leadership more broadly. As such, those key performance indicators </w:t>
      </w:r>
      <w:proofErr w:type="gramStart"/>
      <w:r w:rsidRPr="00781112">
        <w:rPr>
          <w:color w:val="000000" w:themeColor="text1"/>
        </w:rPr>
        <w:t>are captured</w:t>
      </w:r>
      <w:proofErr w:type="gramEnd"/>
      <w:r w:rsidRPr="00781112">
        <w:rPr>
          <w:color w:val="000000" w:themeColor="text1"/>
        </w:rPr>
        <w:t xml:space="preserve"> in several systems guiding SEA initiatives. By aligning the indicators for IDEA and ESSA accountability and monitoring, the intervention efforts of the SEA will become a more streamlined process for LEAs.</w:t>
      </w:r>
      <w:r w:rsidRPr="00781112">
        <w:rPr>
          <w:color w:val="000000" w:themeColor="text1"/>
        </w:rPr>
        <w:br/>
      </w:r>
      <w:r w:rsidRPr="00781112">
        <w:rPr>
          <w:color w:val="000000" w:themeColor="text1"/>
        </w:rPr>
        <w:br/>
        <w:t>Facilitative Administration</w:t>
      </w:r>
      <w:r w:rsidRPr="00781112">
        <w:rPr>
          <w:color w:val="000000" w:themeColor="text1"/>
        </w:rPr>
        <w:br/>
        <w:t xml:space="preserve">In August 2022, the Interim Director reorganized the OSES office to facilitate better support to LEAs through improved technical assistance supporting the key IDEA Part B performance indicators discussed above.  Two newly established OSES teams are tasked with improving </w:t>
      </w:r>
      <w:proofErr w:type="gramStart"/>
      <w:r w:rsidRPr="00781112">
        <w:rPr>
          <w:color w:val="000000" w:themeColor="text1"/>
        </w:rPr>
        <w:t>results-oriented</w:t>
      </w:r>
      <w:proofErr w:type="gramEnd"/>
      <w:r w:rsidRPr="00781112">
        <w:rPr>
          <w:color w:val="000000" w:themeColor="text1"/>
        </w:rPr>
        <w:t xml:space="preserve"> metrics aligned with OSEP’s Results-Driven Accountability (RDA) Matrix: The Implementation Support Team and the Recruitment, Retention, &amp; Programs Team. These two teams have begun collaboration with several key SEA offices, including the following:</w:t>
      </w:r>
      <w:r w:rsidRPr="00781112">
        <w:rPr>
          <w:color w:val="000000" w:themeColor="text1"/>
        </w:rPr>
        <w:br/>
      </w:r>
      <w:r w:rsidRPr="00781112">
        <w:rPr>
          <w:color w:val="000000" w:themeColor="text1"/>
        </w:rPr>
        <w:br/>
        <w:t>- Office of Early Learning and Literacy, which includes agency initiatives regarding Multi-Tiered System of Supports (MTSS)</w:t>
      </w:r>
      <w:r w:rsidRPr="00781112">
        <w:rPr>
          <w:color w:val="000000" w:themeColor="text1"/>
        </w:rPr>
        <w:br/>
        <w:t>- Office of School Transformation</w:t>
      </w:r>
      <w:r w:rsidRPr="00781112">
        <w:rPr>
          <w:color w:val="000000" w:themeColor="text1"/>
        </w:rPr>
        <w:br/>
        <w:t>- Office of Federal and State Accountability</w:t>
      </w:r>
      <w:r w:rsidRPr="00781112">
        <w:rPr>
          <w:color w:val="000000" w:themeColor="text1"/>
        </w:rPr>
        <w:br/>
        <w:t>- Office of Research and Data Analysis</w:t>
      </w:r>
      <w:r w:rsidRPr="00781112">
        <w:rPr>
          <w:color w:val="000000" w:themeColor="text1"/>
        </w:rPr>
        <w:br/>
        <w:t>- Office of Career and Technical Education</w:t>
      </w:r>
      <w:r w:rsidRPr="00781112">
        <w:rPr>
          <w:color w:val="000000" w:themeColor="text1"/>
        </w:rPr>
        <w:br/>
        <w:t>- Office of Student Intervention Services</w:t>
      </w:r>
      <w:r w:rsidRPr="00781112">
        <w:rPr>
          <w:color w:val="000000" w:themeColor="text1"/>
        </w:rPr>
        <w:br/>
        <w:t>- Office of Assessment and Standards</w:t>
      </w:r>
      <w:r w:rsidRPr="00781112">
        <w:rPr>
          <w:color w:val="000000" w:themeColor="text1"/>
        </w:rPr>
        <w:br/>
      </w:r>
      <w:r w:rsidRPr="00781112">
        <w:rPr>
          <w:color w:val="000000" w:themeColor="text1"/>
        </w:rPr>
        <w:br/>
        <w:t>Additionally, these two teams have begun collaborating with the multi-disciplinary data team mentioned above, SC TEAMS (the OSES funded technical assistance center network which launches summer 2023 which is described in greater detail below), and several OSEP funded technical assistance centers (e.g., NCEO, NCSI, IDC, CEEDAR Center, SISEP). This governance focus addresses allowable activities under 34 C.F.R. §300.704 (b)(4) (ix) and directly impacts the delivery of technical assistance.</w:t>
      </w:r>
      <w:r w:rsidRPr="00781112">
        <w:rPr>
          <w:color w:val="000000" w:themeColor="text1"/>
        </w:rPr>
        <w:br/>
      </w:r>
      <w:r w:rsidRPr="00781112">
        <w:rPr>
          <w:color w:val="000000" w:themeColor="text1"/>
        </w:rPr>
        <w:br/>
        <w:t>COMPETENCY DRIVERS</w:t>
      </w:r>
      <w:r w:rsidRPr="00781112">
        <w:rPr>
          <w:color w:val="000000" w:themeColor="text1"/>
        </w:rPr>
        <w:br/>
      </w:r>
      <w:r w:rsidRPr="00781112">
        <w:rPr>
          <w:color w:val="000000" w:themeColor="text1"/>
        </w:rPr>
        <w:br/>
        <w:t xml:space="preserve">Selection </w:t>
      </w:r>
      <w:r w:rsidRPr="00781112">
        <w:rPr>
          <w:color w:val="000000" w:themeColor="text1"/>
        </w:rPr>
        <w:br/>
        <w:t xml:space="preserve">The Interim Director of Special Education established the South Carolina Transition, Early Childhood, Academic, Multi-tiered Systems of Support, Social/Emotional/Behavioral (SC TEAMS). SC TEAMS is the umbrella Technical Assistance Center comprised of four specialty centers located at institutions of higher education across the state. The four specialty centers are: </w:t>
      </w:r>
      <w:r w:rsidRPr="00781112">
        <w:rPr>
          <w:color w:val="000000" w:themeColor="text1"/>
        </w:rPr>
        <w:br/>
      </w:r>
      <w:r w:rsidRPr="00781112">
        <w:rPr>
          <w:color w:val="000000" w:themeColor="text1"/>
        </w:rPr>
        <w:br/>
        <w:t>- South Carolina Partnerships for Inclusion (SCPI)</w:t>
      </w:r>
      <w:r w:rsidRPr="00781112">
        <w:rPr>
          <w:color w:val="000000" w:themeColor="text1"/>
        </w:rPr>
        <w:br/>
        <w:t>- Academic Alliance of South Carolina (AASC)</w:t>
      </w:r>
      <w:r w:rsidRPr="00781112">
        <w:rPr>
          <w:color w:val="000000" w:themeColor="text1"/>
        </w:rPr>
        <w:br/>
        <w:t>- Behavioral Alliance of South Carolina (BASC)</w:t>
      </w:r>
      <w:r w:rsidRPr="00781112">
        <w:rPr>
          <w:color w:val="000000" w:themeColor="text1"/>
        </w:rPr>
        <w:br/>
      </w:r>
      <w:r w:rsidRPr="00781112">
        <w:rPr>
          <w:color w:val="000000" w:themeColor="text1"/>
        </w:rPr>
        <w:lastRenderedPageBreak/>
        <w:t>- Transition Alliance of South Carolina (TASC)</w:t>
      </w:r>
      <w:r w:rsidRPr="00781112">
        <w:rPr>
          <w:color w:val="000000" w:themeColor="text1"/>
        </w:rPr>
        <w:br/>
      </w:r>
      <w:r w:rsidRPr="00781112">
        <w:rPr>
          <w:color w:val="000000" w:themeColor="text1"/>
        </w:rPr>
        <w:br/>
        <w:t>SC TEAMS will work with OSES along with other SEA offices including the Office of Early Learning and Literacy, Office of School Transformation, Office of Standards and Learning, Office of Federal and State Accountability, and the Office of Research and Data Analysis to increase the local capacity of districts and schools to support the implementation and scaling up of evidence-based practices to improve academic outcomes and functional skills for college and career readiness for children with disabilities ages three to twenty-one in the state. SC TEAMS has two primary partners:</w:t>
      </w:r>
      <w:r w:rsidRPr="00781112">
        <w:rPr>
          <w:color w:val="000000" w:themeColor="text1"/>
        </w:rPr>
        <w:br/>
      </w:r>
      <w:r w:rsidRPr="00781112">
        <w:rPr>
          <w:color w:val="000000" w:themeColor="text1"/>
        </w:rPr>
        <w:br/>
        <w:t xml:space="preserve">- Family Connection of South Carolina, the state parent training and information center, focused on improving family engagement </w:t>
      </w:r>
      <w:r w:rsidRPr="00781112">
        <w:rPr>
          <w:color w:val="000000" w:themeColor="text1"/>
        </w:rPr>
        <w:br/>
        <w:t>- ABLE SC, a non-profit organization representing individuals with disabilities, focused on ensuring disability voice and involvement</w:t>
      </w:r>
      <w:r w:rsidRPr="00781112">
        <w:rPr>
          <w:color w:val="000000" w:themeColor="text1"/>
        </w:rPr>
        <w:br/>
      </w:r>
      <w:r w:rsidRPr="00781112">
        <w:rPr>
          <w:color w:val="000000" w:themeColor="text1"/>
        </w:rPr>
        <w:br/>
        <w:t xml:space="preserve">Training </w:t>
      </w:r>
      <w:r w:rsidRPr="00781112">
        <w:rPr>
          <w:color w:val="000000" w:themeColor="text1"/>
        </w:rPr>
        <w:br/>
        <w:t>OSES along with SC TEAMS developed a plan to provide high-quality training on evidence-based practices to ensure specially designed instruction for students with disabilities and to increase the capacity of the district to sustain and scale up those practices.</w:t>
      </w:r>
      <w:r w:rsidRPr="00781112">
        <w:rPr>
          <w:color w:val="000000" w:themeColor="text1"/>
        </w:rPr>
        <w:br/>
      </w:r>
      <w:r w:rsidRPr="00781112">
        <w:rPr>
          <w:color w:val="000000" w:themeColor="text1"/>
        </w:rPr>
        <w:br/>
        <w:t>Coaching</w:t>
      </w:r>
      <w:r w:rsidRPr="00781112">
        <w:rPr>
          <w:color w:val="000000" w:themeColor="text1"/>
        </w:rPr>
        <w:br/>
        <w:t xml:space="preserve">Members of SC TEAMS will provide facilitative coaches for on-site coaching along with SEA partners to district-level teams on building capacity to select, coach, and train evidence-based high-leverage practices. The support provided to LEAs will be based upon a holistic review of data, initiatives, and root cause identification. Coaching emphasis will align with priority areas identified as requiring support </w:t>
      </w:r>
      <w:proofErr w:type="gramStart"/>
      <w:r w:rsidRPr="00781112">
        <w:rPr>
          <w:color w:val="000000" w:themeColor="text1"/>
        </w:rPr>
        <w:t>and also</w:t>
      </w:r>
      <w:proofErr w:type="gramEnd"/>
      <w:r w:rsidRPr="00781112">
        <w:rPr>
          <w:color w:val="000000" w:themeColor="text1"/>
        </w:rPr>
        <w:t xml:space="preserve"> for which the district has identified as a priority. In addition, the coaches will work with districts to use decision data to strategically monitor the progress of students with disabilities through their MTSS system. This will support the provision of the technical assistance framework to build, sustain, and scale up the LEAs’ capacity to deliver evidence-based practices systematically.</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LEADERSHIP DRIVERS: </w:t>
      </w:r>
      <w:r w:rsidRPr="00781112">
        <w:rPr>
          <w:color w:val="000000" w:themeColor="text1"/>
        </w:rPr>
        <w:br/>
        <w:t xml:space="preserve">While the stakeholder input process must </w:t>
      </w:r>
      <w:proofErr w:type="gramStart"/>
      <w:r w:rsidRPr="00781112">
        <w:rPr>
          <w:color w:val="000000" w:themeColor="text1"/>
        </w:rPr>
        <w:t>be improved</w:t>
      </w:r>
      <w:proofErr w:type="gramEnd"/>
      <w:r w:rsidRPr="00781112">
        <w:rPr>
          <w:color w:val="000000" w:themeColor="text1"/>
        </w:rPr>
        <w:t xml:space="preserve">, a positive outcome was that the newly established SSIP leadership team gained insight from initial meetings with stakeholders. The first theme was that, historically, there had </w:t>
      </w:r>
      <w:proofErr w:type="gramStart"/>
      <w:r w:rsidRPr="00781112">
        <w:rPr>
          <w:color w:val="000000" w:themeColor="text1"/>
        </w:rPr>
        <w:t>been limited</w:t>
      </w:r>
      <w:proofErr w:type="gramEnd"/>
      <w:r w:rsidRPr="00781112">
        <w:rPr>
          <w:color w:val="000000" w:themeColor="text1"/>
        </w:rPr>
        <w:t xml:space="preserve"> to no substantive input on the SiMR or SSIP. When SSIP </w:t>
      </w:r>
      <w:proofErr w:type="gramStart"/>
      <w:r w:rsidRPr="00781112">
        <w:rPr>
          <w:color w:val="000000" w:themeColor="text1"/>
        </w:rPr>
        <w:t>was discussed</w:t>
      </w:r>
      <w:proofErr w:type="gramEnd"/>
      <w:r w:rsidRPr="00781112">
        <w:rPr>
          <w:color w:val="000000" w:themeColor="text1"/>
        </w:rPr>
        <w:t xml:space="preserve"> with stakeholders during the current reporting period, many were unaware of the current SSIP or SiMR. The second theme stakeholders voiced concern about was the sole use of OSES-developed learning modules as a way to ensure the implementation of EBPs, prompting review of the requisite infrastructure to support improvement.</w:t>
      </w:r>
      <w:r w:rsidRPr="00781112">
        <w:rPr>
          <w:color w:val="000000" w:themeColor="text1"/>
        </w:rPr>
        <w:br/>
      </w:r>
      <w:r w:rsidRPr="00781112">
        <w:rPr>
          <w:color w:val="000000" w:themeColor="text1"/>
        </w:rPr>
        <w:br/>
        <w:t>When utilizing the SSIP Infrastructure, Development, and Planning Process Tool, the OSES is presently within the exploration and installation stages. A short-term outcome of this activity was that OSES needs to build a strong infrastructure to sustain the practices. The activities conducted by the SSIP Leadership team will improve the implementation of the SSIP and result in progress toward the SiMR. The SSIP will serve as the foundation to examine needed changes for governance, data collection systems, fiscal affairs, monitoring, and technical assistance to support and scale up practices across the state.</w:t>
      </w:r>
      <w:r w:rsidRPr="00781112">
        <w:rPr>
          <w:color w:val="000000" w:themeColor="text1"/>
        </w:rPr>
        <w:br/>
      </w:r>
      <w:r w:rsidRPr="00781112">
        <w:rPr>
          <w:color w:val="000000" w:themeColor="text1"/>
        </w:rPr>
        <w:br/>
        <w:t>ORGANIZATIONAL DRIVERS</w:t>
      </w:r>
      <w:r w:rsidRPr="00781112">
        <w:rPr>
          <w:color w:val="000000" w:themeColor="text1"/>
        </w:rPr>
        <w:br/>
      </w:r>
      <w:r w:rsidRPr="00781112">
        <w:rPr>
          <w:color w:val="000000" w:themeColor="text1"/>
        </w:rPr>
        <w:br/>
        <w:t>Decision Support Data Systems</w:t>
      </w:r>
      <w:r w:rsidRPr="00781112">
        <w:rPr>
          <w:color w:val="000000" w:themeColor="text1"/>
        </w:rPr>
        <w:br/>
        <w:t xml:space="preserve">Outcomes of an analysis of the state infrastructure were that the SSIP Leadership Team determined that there was no system to collect the necessary data for the SSIP as outlined during this reporting period and identified the needed components to collect all data including student outcome, fidelity, and input data to utilize for analysis to improve, sustain, and scale up evidence-based practices. Stakeholders also expressed concerns about the ability to collect valid data within the current system. Another outcome was that the SSIP Leadership team identified the need for an external evaluator to write and conduct an evaluation plan for </w:t>
      </w:r>
      <w:proofErr w:type="gramStart"/>
      <w:r w:rsidRPr="00781112">
        <w:rPr>
          <w:color w:val="000000" w:themeColor="text1"/>
        </w:rPr>
        <w:t>the next</w:t>
      </w:r>
      <w:proofErr w:type="gramEnd"/>
      <w:r w:rsidRPr="00781112">
        <w:rPr>
          <w:color w:val="000000" w:themeColor="text1"/>
        </w:rPr>
        <w:t xml:space="preserve"> year’s SSIP implementation. It </w:t>
      </w:r>
      <w:proofErr w:type="gramStart"/>
      <w:r w:rsidRPr="00781112">
        <w:rPr>
          <w:color w:val="000000" w:themeColor="text1"/>
        </w:rPr>
        <w:t>is anticipated</w:t>
      </w:r>
      <w:proofErr w:type="gramEnd"/>
      <w:r w:rsidRPr="00781112">
        <w:rPr>
          <w:color w:val="000000" w:themeColor="text1"/>
        </w:rPr>
        <w:t xml:space="preserve"> that the external evaluator for the SSIP will be the same as for SC TEAMS and will be under contract by the next reporting period. Having an SSIP Leadership Team with expertise in data analysis will enable the OSES, its external evaluator, and LEAs to effectively identify the data necessary to measure implementation effectiveness, monitor progress toward the SiMR, and inform potential adaptations of the SSIP. As a result, the OSES can establish usable innovations to scale up practices in the state. This will impact the quality of data and the needed governing policies and procedures for data-based decision-making and will be used to report on the SiMR.</w:t>
      </w:r>
      <w:r w:rsidRPr="00781112">
        <w:rPr>
          <w:color w:val="000000" w:themeColor="text1"/>
        </w:rPr>
        <w:br/>
      </w:r>
      <w:r w:rsidRPr="00781112">
        <w:rPr>
          <w:color w:val="000000" w:themeColor="text1"/>
        </w:rPr>
        <w:br/>
        <w:t xml:space="preserve">Systems Intervention </w:t>
      </w:r>
      <w:r w:rsidRPr="00781112">
        <w:rPr>
          <w:color w:val="000000" w:themeColor="text1"/>
        </w:rPr>
        <w:br/>
        <w:t xml:space="preserve">Outcomes of the alignment of the Part B performance indicators and ESSA accountability indicators resulted in the formation of the SSIP Leadership Team and the initial development a cohesive mechanism for districts to improve performance on both Part B performance indicators and ESSA indicators. Targeting LEAs who have </w:t>
      </w:r>
      <w:proofErr w:type="gramStart"/>
      <w:r w:rsidRPr="00781112">
        <w:rPr>
          <w:color w:val="000000" w:themeColor="text1"/>
        </w:rPr>
        <w:t>been identified</w:t>
      </w:r>
      <w:proofErr w:type="gramEnd"/>
      <w:r w:rsidRPr="00781112">
        <w:rPr>
          <w:color w:val="000000" w:themeColor="text1"/>
        </w:rPr>
        <w:t xml:space="preserve"> as needing assistance under Part B and ESSA because of poor reading performance of students with disabilities enables the districts to formulate a cohesive plan to address the action items needed to improve performance. The team has identified the districts that have been determined as needing assistance for indicator 3B performance on the regular reading assessment as addressed in the SiMR for reading performance and those districts who are needing assistance under the ESSA because of the poor reading performance of students with disabilities. The SEA will work collaboratively to provide professional learning, including focused coaching aligned to the SiMR. Professional learning outcomes will include use of high-leverage practices and specially design reading instruction, and the use of data-based individualization to make instructional decisions. Having schools work together on a targeted goal for both the SiMR and ESSA will result in the alignment of federal requirements, and progress on the SiMR and will increase the sustainability of evidence-based practices.</w:t>
      </w:r>
      <w:r w:rsidRPr="00781112">
        <w:rPr>
          <w:color w:val="000000" w:themeColor="text1"/>
        </w:rPr>
        <w:br/>
      </w:r>
      <w:r w:rsidRPr="00781112">
        <w:rPr>
          <w:color w:val="000000" w:themeColor="text1"/>
        </w:rPr>
        <w:br/>
        <w:t xml:space="preserve">Facilitative Administration </w:t>
      </w:r>
      <w:r w:rsidRPr="00781112">
        <w:rPr>
          <w:color w:val="000000" w:themeColor="text1"/>
        </w:rPr>
        <w:br/>
        <w:t xml:space="preserve">An outcome of the reorganization of teams within OSES means that OSES provides direct support to districts. The formation of the Implementation Support Team and the Recruitment, Retention, and Programs Team signals the shift for OSES to provide needed support for the implementation of the SSIP and aligns with the SEA priorities . The Implementation Support Team provides direct support to districts by region, and the Recruitment, Retention, and Support Teams will coordinate the technical assistance and professional learning efforts. A process map </w:t>
      </w:r>
      <w:proofErr w:type="gramStart"/>
      <w:r w:rsidRPr="00781112">
        <w:rPr>
          <w:color w:val="000000" w:themeColor="text1"/>
        </w:rPr>
        <w:t>was created</w:t>
      </w:r>
      <w:proofErr w:type="gramEnd"/>
      <w:r w:rsidRPr="00781112">
        <w:rPr>
          <w:color w:val="000000" w:themeColor="text1"/>
        </w:rPr>
        <w:t xml:space="preserve"> to guide the approach to working with LEAs to implement the practices. Improving systems and support at the state level will have a direct impact on scaling up evidence-based practices.</w:t>
      </w:r>
      <w:r w:rsidRPr="00781112">
        <w:rPr>
          <w:color w:val="000000" w:themeColor="text1"/>
        </w:rPr>
        <w:br/>
      </w:r>
      <w:r w:rsidRPr="00781112">
        <w:rPr>
          <w:color w:val="000000" w:themeColor="text1"/>
        </w:rPr>
        <w:br/>
        <w:t>COMPETENCY DRIVERS</w:t>
      </w:r>
      <w:r w:rsidRPr="00781112">
        <w:rPr>
          <w:color w:val="000000" w:themeColor="text1"/>
        </w:rPr>
        <w:br/>
        <w:t>Selection</w:t>
      </w:r>
      <w:r w:rsidRPr="00781112">
        <w:rPr>
          <w:color w:val="000000" w:themeColor="text1"/>
        </w:rPr>
        <w:br/>
        <w:t xml:space="preserve">SC TEAMS and the SSIP Leadership Team, along with our national TA Center partners including NCEO, NCII, National Center for Improving Literacy </w:t>
      </w:r>
      <w:r w:rsidRPr="00781112">
        <w:rPr>
          <w:color w:val="000000" w:themeColor="text1"/>
        </w:rPr>
        <w:lastRenderedPageBreak/>
        <w:t xml:space="preserve">(NCIL), and others will assist in determining the providers of the content of the targeted evidence-based practices . SC TEAMS will work with the selected LEAs to identify the skills needed and ensure ongoing professional learning to build their team of trainers and coaches. The team will develop job-specific skills needed to support the use of evidence-based practices. </w:t>
      </w:r>
      <w:r w:rsidRPr="00781112">
        <w:rPr>
          <w:color w:val="000000" w:themeColor="text1"/>
        </w:rPr>
        <w:br/>
      </w:r>
      <w:r w:rsidRPr="00781112">
        <w:rPr>
          <w:color w:val="000000" w:themeColor="text1"/>
        </w:rPr>
        <w:br/>
        <w:t>Training</w:t>
      </w:r>
      <w:r w:rsidRPr="00781112">
        <w:rPr>
          <w:color w:val="000000" w:themeColor="text1"/>
        </w:rPr>
        <w:br/>
        <w:t xml:space="preserve">Outcomes of the review of training and professional learning opportunities by internal and external stakeholders, the SSIP leadership team, SC TEAMS–along with other offices at the SEA–included a change in the focus and delivery methods for professional learning in literacy. The science of reading training through LETRS is </w:t>
      </w:r>
      <w:proofErr w:type="gramStart"/>
      <w:r w:rsidRPr="00781112">
        <w:rPr>
          <w:color w:val="000000" w:themeColor="text1"/>
        </w:rPr>
        <w:t>being offered</w:t>
      </w:r>
      <w:proofErr w:type="gramEnd"/>
      <w:r w:rsidRPr="00781112">
        <w:rPr>
          <w:color w:val="000000" w:themeColor="text1"/>
        </w:rPr>
        <w:t xml:space="preserve"> by the Office of Early Learning and Literacy as the foundation of the general curriculum. Special education will provide guidance on how to design specially designed instruction </w:t>
      </w:r>
      <w:proofErr w:type="gramStart"/>
      <w:r w:rsidRPr="00781112">
        <w:rPr>
          <w:color w:val="000000" w:themeColor="text1"/>
        </w:rPr>
        <w:t>through the use of</w:t>
      </w:r>
      <w:proofErr w:type="gramEnd"/>
      <w:r w:rsidRPr="00781112">
        <w:rPr>
          <w:color w:val="000000" w:themeColor="text1"/>
        </w:rPr>
        <w:t xml:space="preserve"> high-leverage practices for instruction for students with disabilities and data-based individualization which focuses on how to intensify services for students who are not responding to instruction and intervention. Another outcome is that SC TEAMS will work collaboratively with the LEAs to determine the professional learning needs of the district and provide the needed professional learning opportunities. Each OSES funded specialty technical assistance center will focus on literacy and college and career readiness with the identified schools that need to improve results in literacy for students with disabilities. This concentrated effort will support growth toward meeting the SiMR.</w:t>
      </w:r>
      <w:r w:rsidRPr="00781112">
        <w:rPr>
          <w:color w:val="000000" w:themeColor="text1"/>
        </w:rPr>
        <w:br/>
      </w:r>
      <w:r w:rsidRPr="00781112">
        <w:rPr>
          <w:color w:val="000000" w:themeColor="text1"/>
        </w:rPr>
        <w:br/>
        <w:t xml:space="preserve">An additional outcome was that SC TEAMS would create an initiative inventory of the high-leverage special education practices and literacy instructional strategies along with interventions for students with disabilities to focus the work. There will be an expert content review conducted by identified experts including advisory panel members, Dr. Devin Kearns from the University of Connecticut, and Pam Stecker from Clemson University. The team will design various delivery methods to provide training and support to LEA-level implementers. The training will </w:t>
      </w:r>
      <w:proofErr w:type="gramStart"/>
      <w:r w:rsidRPr="00781112">
        <w:rPr>
          <w:color w:val="000000" w:themeColor="text1"/>
        </w:rPr>
        <w:t>be delivered</w:t>
      </w:r>
      <w:proofErr w:type="gramEnd"/>
      <w:r w:rsidRPr="00781112">
        <w:rPr>
          <w:color w:val="000000" w:themeColor="text1"/>
        </w:rPr>
        <w:t xml:space="preserve"> through different formats including the use of face-to-face training, virtual simulations, self-paced resources, and the use of the Project ECHO model for case-based professional learning opportunities. </w:t>
      </w:r>
      <w:r w:rsidRPr="00781112">
        <w:rPr>
          <w:color w:val="000000" w:themeColor="text1"/>
        </w:rPr>
        <w:br/>
      </w:r>
      <w:r w:rsidRPr="00781112">
        <w:rPr>
          <w:color w:val="000000" w:themeColor="text1"/>
        </w:rPr>
        <w:br/>
        <w:t>Coaching</w:t>
      </w:r>
      <w:r w:rsidRPr="00781112">
        <w:rPr>
          <w:color w:val="000000" w:themeColor="text1"/>
        </w:rPr>
        <w:br/>
        <w:t xml:space="preserve">Outcomes of a review of coaching opportunities were that SC TEAMS and OSES determined that facilitative coaches would </w:t>
      </w:r>
      <w:proofErr w:type="gramStart"/>
      <w:r w:rsidRPr="00781112">
        <w:rPr>
          <w:color w:val="000000" w:themeColor="text1"/>
        </w:rPr>
        <w:t>be utilized</w:t>
      </w:r>
      <w:proofErr w:type="gramEnd"/>
      <w:r w:rsidRPr="00781112">
        <w:rPr>
          <w:color w:val="000000" w:themeColor="text1"/>
        </w:rPr>
        <w:t xml:space="preserve"> through SC TEAMS to facilitate the coordination of efforts between TA providers and LEAs. These coaches will be former district-level administrators with training in data analysis and leading district initiatives. Coaching district teams to build their capacity ensures the sustainability and scale-up of the practices and is an effective form of technical assistance.</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State Level Training in the Science of Implementation</w:t>
      </w:r>
      <w:r w:rsidRPr="00781112">
        <w:rPr>
          <w:color w:val="000000" w:themeColor="text1"/>
        </w:rPr>
        <w:br/>
        <w:t>During a stakeholder input session with members of SC TEAMS and OSES, it was determined that members of the group  had content area expertise but needed more training on the science of implementation</w:t>
      </w:r>
      <w:proofErr w:type="gramStart"/>
      <w:r w:rsidRPr="00781112">
        <w:rPr>
          <w:color w:val="000000" w:themeColor="text1"/>
        </w:rPr>
        <w:t xml:space="preserve">.  </w:t>
      </w:r>
      <w:proofErr w:type="gramEnd"/>
      <w:r w:rsidRPr="00781112">
        <w:rPr>
          <w:color w:val="000000" w:themeColor="text1"/>
        </w:rPr>
        <w:t>Implementation Specialists from the National Implementation Research Network (NIRN) provided training and are currently following up with SC TEAMS to support the use of implementation science when working with LEAs</w:t>
      </w:r>
      <w:proofErr w:type="gramStart"/>
      <w:r w:rsidRPr="00781112">
        <w:rPr>
          <w:color w:val="000000" w:themeColor="text1"/>
        </w:rPr>
        <w:t xml:space="preserve">.  </w:t>
      </w:r>
      <w:proofErr w:type="gramEnd"/>
      <w:r w:rsidRPr="00781112">
        <w:rPr>
          <w:color w:val="000000" w:themeColor="text1"/>
        </w:rPr>
        <w:t xml:space="preserve">The result of this training was rethinking the SSIP to build the infrastructure both within the SEA </w:t>
      </w:r>
      <w:proofErr w:type="gramStart"/>
      <w:r w:rsidRPr="00781112">
        <w:rPr>
          <w:color w:val="000000" w:themeColor="text1"/>
        </w:rPr>
        <w:t>and also</w:t>
      </w:r>
      <w:proofErr w:type="gramEnd"/>
      <w:r w:rsidRPr="00781112">
        <w:rPr>
          <w:color w:val="000000" w:themeColor="text1"/>
        </w:rPr>
        <w:t xml:space="preserve"> in LEAs to support the practices rather than just focusing on the practices.  The team is continuing to restructure the approach for the SSIP to better utilize the facets of implementation science.</w:t>
      </w:r>
      <w:r w:rsidRPr="00781112">
        <w:rPr>
          <w:color w:val="000000" w:themeColor="text1"/>
        </w:rPr>
        <w:br/>
      </w:r>
      <w:r w:rsidRPr="00781112">
        <w:rPr>
          <w:color w:val="000000" w:themeColor="text1"/>
        </w:rPr>
        <w:br/>
        <w:t>Select members of SC TEAMS have completed training with Project Echo to conduct virtual case-based professional learning opportunities</w:t>
      </w:r>
      <w:proofErr w:type="gramStart"/>
      <w:r w:rsidRPr="00781112">
        <w:rPr>
          <w:color w:val="000000" w:themeColor="text1"/>
        </w:rPr>
        <w:t xml:space="preserve">.  </w:t>
      </w:r>
      <w:proofErr w:type="gramEnd"/>
      <w:r w:rsidRPr="00781112">
        <w:rPr>
          <w:color w:val="000000" w:themeColor="text1"/>
        </w:rPr>
        <w:t>BASC has been named a Project Echo partner and this platform will be used to provide training across the state, particularly in rural areas</w:t>
      </w:r>
      <w:proofErr w:type="gramStart"/>
      <w:r w:rsidRPr="00781112">
        <w:rPr>
          <w:color w:val="000000" w:themeColor="text1"/>
        </w:rPr>
        <w:t xml:space="preserve">.  </w:t>
      </w:r>
      <w:proofErr w:type="gramEnd"/>
      <w:r w:rsidRPr="00781112">
        <w:rPr>
          <w:color w:val="000000" w:themeColor="text1"/>
        </w:rPr>
        <w:t>The use of virtual case-based professional learning opportunities will provide content expertise to teachers and school leaders to address challenges faced when implementing the practices to improve outcomes for students with disabilities.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Leadership</w:t>
      </w:r>
      <w:r w:rsidRPr="00781112">
        <w:rPr>
          <w:color w:val="000000" w:themeColor="text1"/>
        </w:rPr>
        <w:br/>
        <w:t xml:space="preserve">The current SSIP Leadership Implementation Team will need to expand its membership to include representatives from other offices in the SEA to ensure alignment with SEA initiatives and priorities for improvement. There will be two tasks and outcomes to support better data, governance, and technical assistance during the next reporting period: </w:t>
      </w:r>
      <w:r w:rsidRPr="00781112">
        <w:rPr>
          <w:color w:val="000000" w:themeColor="text1"/>
        </w:rPr>
        <w:br/>
      </w:r>
      <w:r w:rsidRPr="00781112">
        <w:rPr>
          <w:color w:val="000000" w:themeColor="text1"/>
        </w:rPr>
        <w:br/>
        <w:t>- The team must develop a standard protocol for collecting, documenting, and analyzing stakeholder data to inform not only the SSIP specifically but also for the SPP/APR more broadly. The team will utilize OSEP funded technical assistance centers (e.g., NCSI, NCEO, IDC) to assist in the development of the protocol.</w:t>
      </w:r>
      <w:r w:rsidRPr="00781112">
        <w:rPr>
          <w:color w:val="000000" w:themeColor="text1"/>
        </w:rPr>
        <w:br/>
        <w:t xml:space="preserve">- The SSIP Leadership Team and its external evaluator will be responsible for developing a process to monitor the fidelity of the implementation of the activities in the SSIP and progress toward the SiMR and seeking technical assistance when progress is not adequate. </w:t>
      </w:r>
      <w:r w:rsidRPr="00781112">
        <w:rPr>
          <w:color w:val="000000" w:themeColor="text1"/>
        </w:rPr>
        <w:br/>
      </w:r>
      <w:r w:rsidRPr="00781112">
        <w:rPr>
          <w:color w:val="000000" w:themeColor="text1"/>
        </w:rPr>
        <w:br/>
        <w:t>Organizational Drivers</w:t>
      </w:r>
      <w:r w:rsidRPr="00781112">
        <w:rPr>
          <w:color w:val="000000" w:themeColor="text1"/>
        </w:rPr>
        <w:br/>
      </w:r>
      <w:r w:rsidRPr="00781112">
        <w:rPr>
          <w:color w:val="000000" w:themeColor="text1"/>
        </w:rPr>
        <w:br/>
        <w:t xml:space="preserve">Decision Support Data </w:t>
      </w:r>
      <w:r w:rsidRPr="00781112">
        <w:rPr>
          <w:color w:val="000000" w:themeColor="text1"/>
        </w:rPr>
        <w:br/>
        <w:t>The SSIP Implementation Leadership Team will work in collaboration with the multi-disciplinary data team to develop a data dashboard and/or better leverage existing data reports and dashboards to enable districts to examine both input and output data related to the implementation of the SSIP. The data team will assist in the following:</w:t>
      </w:r>
      <w:r w:rsidRPr="00781112">
        <w:rPr>
          <w:color w:val="000000" w:themeColor="text1"/>
        </w:rPr>
        <w:br/>
      </w:r>
      <w:r w:rsidRPr="00781112">
        <w:rPr>
          <w:color w:val="000000" w:themeColor="text1"/>
        </w:rPr>
        <w:br/>
        <w:t>- Identification of a tool to measure the progress of students that is sensitive to small increments of growth to formatively measure progress during the year.</w:t>
      </w:r>
      <w:r w:rsidRPr="00781112">
        <w:rPr>
          <w:color w:val="000000" w:themeColor="text1"/>
        </w:rPr>
        <w:br/>
        <w:t>- Development of a standard protocol to progress monitor students with disabilities using curriculum-based measurement.</w:t>
      </w:r>
      <w:r w:rsidRPr="00781112">
        <w:rPr>
          <w:color w:val="000000" w:themeColor="text1"/>
        </w:rPr>
        <w:br/>
      </w:r>
      <w:r w:rsidRPr="00781112">
        <w:rPr>
          <w:color w:val="000000" w:themeColor="text1"/>
        </w:rPr>
        <w:br/>
        <w:t>Systems Intervention</w:t>
      </w:r>
      <w:r w:rsidRPr="00781112">
        <w:rPr>
          <w:color w:val="000000" w:themeColor="text1"/>
        </w:rPr>
        <w:br/>
        <w:t>The SC Implementation Team will collaborate with other SEA offices to create guidance for the co-creation of a plan to address the reading performance of students with disabilities in the schools identified through ESSA and/or IDEA indicators. This cohesive plan will specifically target the inclusion of high-leverage evidence-based practices for students with disabilities along with data-based individualization. When schools focus on improving outcomes for students with disabilities, the targets on the SiMR can be met.</w:t>
      </w:r>
      <w:r w:rsidRPr="00781112">
        <w:rPr>
          <w:color w:val="000000" w:themeColor="text1"/>
        </w:rPr>
        <w:br/>
      </w:r>
      <w:r w:rsidRPr="00781112">
        <w:rPr>
          <w:color w:val="000000" w:themeColor="text1"/>
        </w:rPr>
        <w:br/>
        <w:t>Facilitative Administration</w:t>
      </w:r>
      <w:r w:rsidRPr="00781112">
        <w:rPr>
          <w:color w:val="000000" w:themeColor="text1"/>
        </w:rPr>
        <w:br/>
        <w:t xml:space="preserve">The OSES will need to further restructure and provide supports to their new internal teams to create regional multi-disciplinary teams with representation from different offices in SEA to provide technical assistance to LEAs and schools. This will provide a model demonstrating the alignment of cross-office </w:t>
      </w:r>
      <w:r w:rsidRPr="00781112">
        <w:rPr>
          <w:color w:val="000000" w:themeColor="text1"/>
        </w:rPr>
        <w:lastRenderedPageBreak/>
        <w:t>SEA support. An outcome of this collaboration with a targeted focus is an effective accountability and monitoring system.</w:t>
      </w:r>
      <w:r w:rsidRPr="00781112">
        <w:rPr>
          <w:color w:val="000000" w:themeColor="text1"/>
        </w:rPr>
        <w:br/>
      </w:r>
      <w:r w:rsidRPr="00781112">
        <w:rPr>
          <w:color w:val="000000" w:themeColor="text1"/>
        </w:rPr>
        <w:br/>
        <w:t>Capacity Drivers</w:t>
      </w:r>
      <w:r w:rsidRPr="00781112">
        <w:rPr>
          <w:color w:val="000000" w:themeColor="text1"/>
        </w:rPr>
        <w:br/>
      </w:r>
      <w:r w:rsidRPr="00781112">
        <w:rPr>
          <w:color w:val="000000" w:themeColor="text1"/>
        </w:rPr>
        <w:br/>
        <w:t>Selection</w:t>
      </w:r>
      <w:r w:rsidRPr="00781112">
        <w:rPr>
          <w:color w:val="000000" w:themeColor="text1"/>
        </w:rPr>
        <w:br/>
        <w:t>The SSIP Implementation Leadership Team will collaborate with SC TEAMS to select and train facilitative coaches along with identifying the cadre of professional trainers to provide training on evidence-based practices. Anticipated outcomes are a group facilitative coaches and professional trainers who are knowledgeable about EBPs in literacy and beginning to work with educators in SSIP implementation sites.</w:t>
      </w:r>
      <w:r w:rsidRPr="00781112">
        <w:rPr>
          <w:color w:val="000000" w:themeColor="text1"/>
        </w:rPr>
        <w:br/>
      </w:r>
      <w:r w:rsidRPr="00781112">
        <w:rPr>
          <w:color w:val="000000" w:themeColor="text1"/>
        </w:rPr>
        <w:br/>
        <w:t>Training</w:t>
      </w:r>
      <w:r w:rsidRPr="00781112">
        <w:rPr>
          <w:color w:val="000000" w:themeColor="text1"/>
        </w:rPr>
        <w:br/>
        <w:t>There will be four major infrastructure improvement strategies for training in the next year.</w:t>
      </w:r>
      <w:r w:rsidRPr="00781112">
        <w:rPr>
          <w:color w:val="000000" w:themeColor="text1"/>
        </w:rPr>
        <w:br/>
      </w:r>
      <w:r w:rsidRPr="00781112">
        <w:rPr>
          <w:color w:val="000000" w:themeColor="text1"/>
        </w:rPr>
        <w:br/>
        <w:t>- The SSIP Implementation Leadership Team will work in collaboration with SC TEAMS to select and train a cadre of highly trained professionals to deliver content on implementation science, high-leverage evidence-based practices for students with disabilities in reading, and data-based individualization. An anticipated outcome is a cadre of trainers to work in the LEAs identified as needing improvement but can also be available for others.</w:t>
      </w:r>
      <w:r w:rsidRPr="00781112">
        <w:rPr>
          <w:color w:val="000000" w:themeColor="text1"/>
        </w:rPr>
        <w:br/>
        <w:t>- The SSIP Leadership Team will work in collaboration with SC TEAMS to conduct Summer University. Summer University will be a week-long opportunity for LEAs to bring teams to learn about high-leverage and evidence-based practices . An anticipated outcome of the Summer University is that LEA teams increase their awareness and knowledge of high leverage practices to support literacy.</w:t>
      </w:r>
      <w:r w:rsidRPr="00781112">
        <w:rPr>
          <w:color w:val="000000" w:themeColor="text1"/>
        </w:rPr>
        <w:br/>
        <w:t xml:space="preserve">- In collaboration with SC TEAMS, a website will </w:t>
      </w:r>
      <w:proofErr w:type="gramStart"/>
      <w:r w:rsidRPr="00781112">
        <w:rPr>
          <w:color w:val="000000" w:themeColor="text1"/>
        </w:rPr>
        <w:t>be developed</w:t>
      </w:r>
      <w:proofErr w:type="gramEnd"/>
      <w:r w:rsidRPr="00781112">
        <w:rPr>
          <w:color w:val="000000" w:themeColor="text1"/>
        </w:rPr>
        <w:t xml:space="preserve"> with resources for educators, families, and community members on evidence-based practices. Anticipated outcomes include improved dissemination of universal resources.</w:t>
      </w:r>
      <w:r w:rsidRPr="00781112">
        <w:rPr>
          <w:color w:val="000000" w:themeColor="text1"/>
        </w:rPr>
        <w:br/>
        <w:t xml:space="preserve">- The ECHO Project Model will be implemented </w:t>
      </w:r>
      <w:proofErr w:type="gramStart"/>
      <w:r w:rsidRPr="00781112">
        <w:rPr>
          <w:color w:val="000000" w:themeColor="text1"/>
        </w:rPr>
        <w:t>as a way to</w:t>
      </w:r>
      <w:proofErr w:type="gramEnd"/>
      <w:r w:rsidRPr="00781112">
        <w:rPr>
          <w:color w:val="000000" w:themeColor="text1"/>
        </w:rPr>
        <w:t xml:space="preserve"> provide professional learning to teachers or administrators through a case-based approach.</w:t>
      </w:r>
      <w:r w:rsidRPr="00781112">
        <w:rPr>
          <w:color w:val="000000" w:themeColor="text1"/>
        </w:rPr>
        <w:br/>
        <w:t>Coaching</w:t>
      </w:r>
      <w:r w:rsidRPr="00781112">
        <w:rPr>
          <w:color w:val="000000" w:themeColor="text1"/>
        </w:rPr>
        <w:br/>
      </w:r>
      <w:r w:rsidRPr="00781112">
        <w:rPr>
          <w:color w:val="000000" w:themeColor="text1"/>
        </w:rPr>
        <w:br/>
        <w:t>The SSIP Implementation Team will work with members of SC TEAMS to develop a coaching protocol for working with designated districts and schools. The coaches will receive training on the process and expectations for supporting districts.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OSES developed a Science of Reading Training Module 101; this consisted of one module for a pretest, three content modules, and one module for the post-test.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 xml:space="preserve">The  following is a description of each content-specific module on the science of reading as stated in the current SSIP: </w:t>
      </w:r>
      <w:r w:rsidRPr="00781112">
        <w:rPr>
          <w:color w:val="000000" w:themeColor="text1"/>
        </w:rPr>
        <w:br/>
      </w:r>
      <w:r w:rsidRPr="00781112">
        <w:rPr>
          <w:color w:val="000000" w:themeColor="text1"/>
        </w:rPr>
        <w:br/>
        <w:t>Why Instruct in the Science of Reading?</w:t>
      </w:r>
      <w:r w:rsidRPr="00781112">
        <w:rPr>
          <w:color w:val="000000" w:themeColor="text1"/>
        </w:rPr>
        <w:br/>
        <w:t>In this topic, you will  examine national and state trends for reading proficiency and consider the impact that instructional practices have on student literacy. We will open the discussion as to why the science of reading matters and how it can improve student outcomes when implemented with fidelity</w:t>
      </w:r>
      <w:proofErr w:type="gramStart"/>
      <w:r w:rsidRPr="00781112">
        <w:rPr>
          <w:color w:val="000000" w:themeColor="text1"/>
        </w:rPr>
        <w:t xml:space="preserve">.  </w:t>
      </w:r>
      <w:proofErr w:type="gramEnd"/>
      <w:r w:rsidRPr="00781112">
        <w:rPr>
          <w:color w:val="000000" w:themeColor="text1"/>
        </w:rPr>
        <w:t>It is important to understand why the science of reading is crucial to student achievement before moving on to how it should be implemented.</w:t>
      </w:r>
      <w:r w:rsidRPr="00781112">
        <w:rPr>
          <w:color w:val="000000" w:themeColor="text1"/>
        </w:rPr>
        <w:br/>
      </w:r>
      <w:r w:rsidRPr="00781112">
        <w:rPr>
          <w:color w:val="000000" w:themeColor="text1"/>
        </w:rPr>
        <w:br/>
        <w:t>What is the Science of Reading?</w:t>
      </w:r>
      <w:r w:rsidRPr="00781112">
        <w:rPr>
          <w:color w:val="000000" w:themeColor="text1"/>
        </w:rPr>
        <w:br/>
        <w:t>In this topic, you will see a cursory overview of the science of reading</w:t>
      </w:r>
      <w:proofErr w:type="gramStart"/>
      <w:r w:rsidRPr="00781112">
        <w:rPr>
          <w:color w:val="000000" w:themeColor="text1"/>
        </w:rPr>
        <w:t xml:space="preserve">.  </w:t>
      </w:r>
      <w:proofErr w:type="gramEnd"/>
      <w:r w:rsidRPr="00781112">
        <w:rPr>
          <w:color w:val="000000" w:themeColor="text1"/>
        </w:rPr>
        <w:t>You will learn definitions for the science of reading by experts in the field, conceptual models that allow educators to apply the research to practice, and the brain activity that occurs as readers read.</w:t>
      </w:r>
      <w:r w:rsidRPr="00781112">
        <w:rPr>
          <w:color w:val="000000" w:themeColor="text1"/>
        </w:rPr>
        <w:br/>
      </w:r>
      <w:r w:rsidRPr="00781112">
        <w:rPr>
          <w:color w:val="000000" w:themeColor="text1"/>
        </w:rPr>
        <w:br/>
        <w:t>Legal Foundations for the Science of Reading?</w:t>
      </w:r>
      <w:r w:rsidRPr="00781112">
        <w:rPr>
          <w:color w:val="000000" w:themeColor="text1"/>
        </w:rPr>
        <w:br/>
        <w:t>In this topic, you will examine the requirements in state and federal laws regarding reading.  Also included are common and useful reading terms that will be helpful in your journey in the science of reading.</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 xml:space="preserve">The  thought process behind using this as an evidence-based practice is that teachers would complete the </w:t>
      </w:r>
      <w:proofErr w:type="gramStart"/>
      <w:r w:rsidRPr="00781112">
        <w:rPr>
          <w:color w:val="000000" w:themeColor="text1"/>
        </w:rPr>
        <w:t>modules</w:t>
      </w:r>
      <w:proofErr w:type="gramEnd"/>
      <w:r w:rsidRPr="00781112">
        <w:rPr>
          <w:color w:val="000000" w:themeColor="text1"/>
        </w:rPr>
        <w:t xml:space="preserve"> and this would enable them to understand the rationale for the science of reading which would impact their use of future evidence-based practices in their classroom literacy instruction.  However, input from special education directors suggests that they did not find this method beneficial (see Section C).</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There </w:t>
      </w:r>
      <w:proofErr w:type="gramStart"/>
      <w:r w:rsidRPr="00781112">
        <w:rPr>
          <w:color w:val="000000" w:themeColor="text1"/>
        </w:rPr>
        <w:t>are</w:t>
      </w:r>
      <w:proofErr w:type="gramEnd"/>
      <w:r w:rsidRPr="00781112">
        <w:rPr>
          <w:color w:val="000000" w:themeColor="text1"/>
        </w:rPr>
        <w:t xml:space="preserve"> no data collected to monitor the fidelity of implementation of the Science of Literacy based modules as described in the SSIP, including completion of the LMS courses and scores on the post-test.</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There </w:t>
      </w:r>
      <w:proofErr w:type="gramStart"/>
      <w:r w:rsidRPr="00781112">
        <w:rPr>
          <w:color w:val="000000" w:themeColor="text1"/>
        </w:rPr>
        <w:t>were</w:t>
      </w:r>
      <w:proofErr w:type="gramEnd"/>
      <w:r w:rsidRPr="00781112">
        <w:rPr>
          <w:color w:val="000000" w:themeColor="text1"/>
        </w:rPr>
        <w:t xml:space="preserve"> no data collected to support continuing this evidence-based practice as described in the current SSIP.</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Based on input from a variety of stakeholders, the SSIP Leadership Team will revise its evidence-based practices it intends to implement in the SSIP. Newly drafted state standards for English Language Arts will have foundations of reading based on the science of reading for the first time in South Carolina. </w:t>
      </w:r>
      <w:r w:rsidRPr="00781112">
        <w:rPr>
          <w:color w:val="000000" w:themeColor="text1"/>
        </w:rPr>
        <w:br/>
      </w:r>
      <w:r w:rsidRPr="00781112">
        <w:rPr>
          <w:color w:val="000000" w:themeColor="text1"/>
        </w:rPr>
        <w:br/>
        <w:t xml:space="preserve">The Science of Reading through LETRS is </w:t>
      </w:r>
      <w:proofErr w:type="gramStart"/>
      <w:r w:rsidRPr="00781112">
        <w:rPr>
          <w:color w:val="000000" w:themeColor="text1"/>
        </w:rPr>
        <w:t>being used</w:t>
      </w:r>
      <w:proofErr w:type="gramEnd"/>
      <w:r w:rsidRPr="00781112">
        <w:rPr>
          <w:color w:val="000000" w:themeColor="text1"/>
        </w:rPr>
        <w:t xml:space="preserve"> as the basis for the development and selection of the general curriculum and is being offered through the Office of Early Learning. For this reason, the focus of the SSIP will shift to evidence-based instructional strategies to deliver the science of reading and training to school teams on how to purposefully monitor the progress of students with disabilities within a data-based problem-solving process within the MTSS framework. The evidence-based practices will be the following: </w:t>
      </w:r>
      <w:r w:rsidRPr="00781112">
        <w:rPr>
          <w:color w:val="000000" w:themeColor="text1"/>
        </w:rPr>
        <w:br/>
      </w:r>
      <w:r w:rsidRPr="00781112">
        <w:rPr>
          <w:color w:val="000000" w:themeColor="text1"/>
        </w:rPr>
        <w:lastRenderedPageBreak/>
        <w:br/>
        <w:t>High Leverage Practices for Special Education by the CEEDAR Center and Council for Exceptional Children : Training and coaching of these practices will be focused on how to deliver specially designed instruction to students with disabilities in special education and to provide practices for general education teachers who deliver reading instruction to students with disabilities. Focusing on schoolwide implementation of practices for students with disabilities will result in a targeted goal to improve literacy outcomes for students with disabilities.</w:t>
      </w:r>
      <w:r w:rsidRPr="00781112">
        <w:rPr>
          <w:color w:val="000000" w:themeColor="text1"/>
        </w:rPr>
        <w:br/>
      </w:r>
      <w:r w:rsidRPr="00781112">
        <w:rPr>
          <w:color w:val="000000" w:themeColor="text1"/>
        </w:rPr>
        <w:br/>
        <w:t>Intensifying Reading Instruction through Intervention through the National Center for Intensive Intervention(NCII): Training and coaching will be provided to both teachers and district-level instructional coaches on the skills to evaluate and build intervention intensity using NCII’s Taxonomy of Interventions in response to progress monitoring data as part of the data based individualization process.</w:t>
      </w:r>
      <w:r w:rsidRPr="00781112">
        <w:rPr>
          <w:color w:val="000000" w:themeColor="text1"/>
        </w:rPr>
        <w:br/>
      </w:r>
      <w:r w:rsidRPr="00781112">
        <w:rPr>
          <w:color w:val="000000" w:themeColor="text1"/>
        </w:rPr>
        <w:br/>
        <w:t xml:space="preserve">Team Initiated Problem Solving (TIPS): The TIPS model from the Center on Positive Behavior Interventions and Supports will be used to train school teams to problem solve and inform decisions for students with disabilities. This same six-step problem-solving process will </w:t>
      </w:r>
      <w:proofErr w:type="gramStart"/>
      <w:r w:rsidRPr="00781112">
        <w:rPr>
          <w:color w:val="000000" w:themeColor="text1"/>
        </w:rPr>
        <w:t>be used</w:t>
      </w:r>
      <w:proofErr w:type="gramEnd"/>
      <w:r w:rsidRPr="00781112">
        <w:rPr>
          <w:color w:val="000000" w:themeColor="text1"/>
        </w:rPr>
        <w:t xml:space="preserve"> for teachers as they problem-solve when students are not responding to instruction.</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 xml:space="preserve">If </w:t>
      </w:r>
      <w:proofErr w:type="gramStart"/>
      <w:r w:rsidRPr="00730C62">
        <w:rPr>
          <w:b/>
          <w:bCs/>
          <w:szCs w:val="16"/>
        </w:rPr>
        <w:t>no</w:t>
      </w:r>
      <w:proofErr w:type="gramEnd"/>
      <w:r w:rsidRPr="00730C62">
        <w:rPr>
          <w:b/>
          <w:bCs/>
          <w:szCs w:val="16"/>
        </w:rPr>
        <w:t>,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The State’s current SiMR is difficult to measure and does not identify the intervention specifically. The State will revise its SiMR to enable useful data that can </w:t>
      </w:r>
      <w:proofErr w:type="gramStart"/>
      <w:r w:rsidRPr="00781112">
        <w:t>be used</w:t>
      </w:r>
      <w:proofErr w:type="gramEnd"/>
      <w:r w:rsidRPr="00781112">
        <w:t xml:space="preserve"> to support scaling up LETRS training to all k-3 general education teachers and elementary special education teachers across the state. The revised SiMR will not include a control group; rather, the SiMR will </w:t>
      </w:r>
      <w:proofErr w:type="gramStart"/>
      <w:r w:rsidRPr="00781112">
        <w:t>be measured</w:t>
      </w:r>
      <w:proofErr w:type="gramEnd"/>
      <w:r w:rsidRPr="00781112">
        <w:t xml:space="preserve"> using a percentage of increase methodology. The OSES will propose to stakeholders a revised SSIP to include LETRS training for K-3 general education teachers and elementary special education teachers that will result in an increase in </w:t>
      </w:r>
      <w:proofErr w:type="gramStart"/>
      <w:r w:rsidRPr="00781112">
        <w:t>3rd</w:t>
      </w:r>
      <w:proofErr w:type="gramEnd"/>
      <w:r w:rsidRPr="00781112">
        <w:t xml:space="preserve"> grade ELA scores for students with disabilities.   </w:t>
      </w:r>
      <w:r w:rsidRPr="00781112">
        <w:br/>
      </w:r>
      <w:r w:rsidRPr="00781112">
        <w:br/>
        <w:t xml:space="preserve">Based on stakeholder input, which has included collaboration with the South Carolina Department of Education’s Office of Early Learning and Literacy, the following changes are </w:t>
      </w:r>
      <w:proofErr w:type="gramStart"/>
      <w:r w:rsidRPr="00781112">
        <w:t>being drafted</w:t>
      </w:r>
      <w:proofErr w:type="gramEnd"/>
      <w:r w:rsidRPr="00781112">
        <w:t xml:space="preserve"> as considerations. These will </w:t>
      </w:r>
      <w:proofErr w:type="gramStart"/>
      <w:r w:rsidRPr="00781112">
        <w:t>be revised</w:t>
      </w:r>
      <w:proofErr w:type="gramEnd"/>
      <w:r w:rsidRPr="00781112">
        <w:t xml:space="preserve"> and/or adopted after receiving additional input from stakeholders in the summer/fall of 2023 based on timelines and activities. The alignment of requirements under Part B of the IDEA for the SSIP and ESSA’s accountability indicators will result in a cohesive, targeted, and intentional approach to improve reading scores for students with disabilities which will strengthen the implementation of the SSIP to meet the SiMR</w:t>
      </w:r>
      <w:proofErr w:type="gramStart"/>
      <w:r w:rsidRPr="00781112">
        <w:t xml:space="preserve">.  </w:t>
      </w:r>
      <w:proofErr w:type="gramEnd"/>
      <w:r w:rsidRPr="00781112">
        <w:t xml:space="preserve">The following is a description of activities and the anticipated timeline to take place during the next reporting period. </w:t>
      </w:r>
      <w:r w:rsidRPr="00781112">
        <w:br/>
        <w:t xml:space="preserve"> </w:t>
      </w:r>
      <w:r w:rsidRPr="00781112">
        <w:br/>
        <w:t>Summer/Fall 2023</w:t>
      </w:r>
      <w:r w:rsidRPr="00781112">
        <w:br/>
        <w:t xml:space="preserve"> </w:t>
      </w:r>
      <w:r w:rsidRPr="00781112">
        <w:br/>
        <w:t>Selection of Schools: The OSES and the Office of Early Learning and Literacy will select the participating schools that meet the following criteria:</w:t>
      </w:r>
      <w:r w:rsidRPr="00781112">
        <w:br/>
        <w:t xml:space="preserve"> </w:t>
      </w:r>
      <w:r w:rsidRPr="00781112">
        <w:br/>
        <w:t xml:space="preserve">The OSES will propose to stakeholders that a total of 5 pilot schools will be chosen to participate in the SSIP based on the following 4 criteria:  </w:t>
      </w:r>
      <w:r w:rsidRPr="00781112">
        <w:br/>
        <w:t>•</w:t>
      </w:r>
      <w:r w:rsidRPr="00781112">
        <w:tab/>
        <w:t xml:space="preserve">Each school began LETRS training in the first round rolled out by the South Carolina Department of Education, Office of Early Learning and Literacy in August of 2021. </w:t>
      </w:r>
      <w:r w:rsidRPr="00781112">
        <w:br/>
        <w:t>•</w:t>
      </w:r>
      <w:r w:rsidRPr="00781112">
        <w:tab/>
        <w:t xml:space="preserve">All K-3 general education teachers and elementary special education teachers in each selected school have completed LETRS training. </w:t>
      </w:r>
      <w:r w:rsidRPr="00781112">
        <w:br/>
        <w:t>•</w:t>
      </w:r>
      <w:r w:rsidRPr="00781112">
        <w:tab/>
        <w:t xml:space="preserve">A literacy coach has </w:t>
      </w:r>
      <w:proofErr w:type="gramStart"/>
      <w:r w:rsidRPr="00781112">
        <w:t>been assigned</w:t>
      </w:r>
      <w:proofErr w:type="gramEnd"/>
      <w:r w:rsidRPr="00781112">
        <w:t xml:space="preserve"> to each school through the Office of Early Learning and Literacy. </w:t>
      </w:r>
      <w:r w:rsidRPr="00781112">
        <w:br/>
        <w:t>•</w:t>
      </w:r>
      <w:r w:rsidRPr="00781112">
        <w:tab/>
        <w:t>All districts must be willing to sign a multi-year agreement to participate</w:t>
      </w:r>
      <w:proofErr w:type="gramStart"/>
      <w:r w:rsidRPr="00781112">
        <w:t xml:space="preserve">.  </w:t>
      </w:r>
      <w:proofErr w:type="gramEnd"/>
      <w:r w:rsidRPr="00781112">
        <w:br/>
        <w:t xml:space="preserve"> </w:t>
      </w:r>
      <w:r w:rsidRPr="00781112">
        <w:br/>
        <w:t xml:space="preserve">Agreements: </w:t>
      </w:r>
      <w:r w:rsidRPr="00781112">
        <w:br/>
        <w:t xml:space="preserve">- LEAs will agree to have K-3 general education teachers and special education teachers in pilot schools participate in all LETRS training and implementation support provided by the literacy specialists from the office of Early Learning and Literacy. </w:t>
      </w:r>
      <w:r w:rsidRPr="00781112">
        <w:br/>
        <w:t>- LEAs will commit to using one of the state-approved universal literacy screeners as a progress monitoring tool to measure student outcomes at the three benchmark periods (fall, winter, and spring)</w:t>
      </w:r>
      <w:proofErr w:type="gramStart"/>
      <w:r w:rsidRPr="00781112">
        <w:t xml:space="preserve">.  </w:t>
      </w:r>
      <w:proofErr w:type="gramEnd"/>
      <w:r w:rsidRPr="00781112">
        <w:br/>
      </w:r>
      <w:r w:rsidRPr="00781112">
        <w:br/>
        <w:t xml:space="preserve">Target and Progress Data:  </w:t>
      </w:r>
      <w:r w:rsidRPr="00781112">
        <w:br/>
        <w:t xml:space="preserve"> The OSES along with input from stakeholders will reset the target for the SiMR. The OSES will also engage in progress monitoring of targets based on improvement for each of the 5 target schools based on SCReady ELA annual data.</w:t>
      </w:r>
      <w:r w:rsidRPr="00781112">
        <w:br/>
        <w:t xml:space="preserve"> </w:t>
      </w:r>
      <w:r w:rsidRPr="00781112">
        <w:br/>
        <w:t xml:space="preserve">Data Review </w:t>
      </w:r>
      <w:r w:rsidRPr="00781112">
        <w:br/>
        <w:t xml:space="preserve">The literacy specialists along with members of the OSES SSIP leadership team will meet annually with the 5 pilot schools to review results of their SCReady ELA assessments and assist the school with analyzing those results and determine, if necessary, what additional support may be needed. </w:t>
      </w:r>
      <w:r w:rsidRPr="00781112">
        <w:br/>
        <w:t xml:space="preserve"> </w:t>
      </w:r>
      <w:r w:rsidRPr="00781112">
        <w:br/>
        <w:t xml:space="preserve">Fall of 2023: </w:t>
      </w:r>
      <w:r w:rsidRPr="00781112">
        <w:br/>
        <w:t xml:space="preserve">- Installation: The 5 pilot schools will </w:t>
      </w:r>
      <w:proofErr w:type="gramStart"/>
      <w:r w:rsidRPr="00781112">
        <w:t>be chosen</w:t>
      </w:r>
      <w:proofErr w:type="gramEnd"/>
      <w:r w:rsidRPr="00781112">
        <w:t xml:space="preserve">. They will continue to receive support for the remainder of the SSIP cycle. </w:t>
      </w:r>
      <w:r w:rsidRPr="00781112">
        <w:br/>
        <w:t xml:space="preserve">- The SSIP Support Team will develop an action implementation and professional learning plan to ensure the delivery of training and support. </w:t>
      </w:r>
      <w:r w:rsidRPr="00781112">
        <w:br/>
        <w:t xml:space="preserve"> </w:t>
      </w:r>
      <w:r w:rsidRPr="00781112">
        <w:br/>
        <w:t xml:space="preserve">Fall 2023:  </w:t>
      </w:r>
      <w:r w:rsidRPr="00781112">
        <w:br/>
        <w:t xml:space="preserve"> </w:t>
      </w:r>
      <w:r w:rsidRPr="00781112">
        <w:br/>
        <w:t>Initial Implementation: The following is a brief list of activities that will take place during the school year</w:t>
      </w:r>
      <w:proofErr w:type="gramStart"/>
      <w:r w:rsidRPr="00781112">
        <w:t xml:space="preserve">.  </w:t>
      </w:r>
      <w:proofErr w:type="gramEnd"/>
      <w:r w:rsidRPr="00781112">
        <w:br/>
        <w:t xml:space="preserve">- Training will occur throughout the school year. </w:t>
      </w:r>
      <w:r w:rsidRPr="00781112">
        <w:br/>
        <w:t xml:space="preserve">- Teachers will implement evidence-based practices, including progress monitoring through one of the </w:t>
      </w:r>
      <w:proofErr w:type="gramStart"/>
      <w:r w:rsidRPr="00781112">
        <w:t>state</w:t>
      </w:r>
      <w:proofErr w:type="gramEnd"/>
      <w:r w:rsidRPr="00781112">
        <w:t xml:space="preserve"> approved universal screeners. </w:t>
      </w:r>
      <w:r w:rsidRPr="00781112">
        <w:br/>
        <w:t xml:space="preserve">- Internal instructional coaches will collaborate with external coaches to provide instructional support to teachers who are </w:t>
      </w:r>
      <w:proofErr w:type="gramStart"/>
      <w:r w:rsidRPr="00781112">
        <w:t>teaching</w:t>
      </w:r>
      <w:proofErr w:type="gramEnd"/>
      <w:r w:rsidRPr="00781112">
        <w:t xml:space="preserve"> students with disabilities. </w:t>
      </w:r>
      <w:r w:rsidRPr="00781112">
        <w:br/>
        <w:t xml:space="preserve">- SSIP Leadership Team will meet with the school and LEA team to provide support to the school team. </w:t>
      </w:r>
      <w:r w:rsidRPr="00781112">
        <w:br/>
        <w:t xml:space="preserve">- LEA will examine and document the process to encourage scale up practices using the school as a model demonstration site for the district. </w:t>
      </w:r>
      <w:r w:rsidRPr="00781112">
        <w:br/>
        <w:t xml:space="preserve"> </w:t>
      </w:r>
      <w:r w:rsidRPr="00781112">
        <w:br/>
        <w:t xml:space="preserve">Summer 2024:  </w:t>
      </w:r>
      <w:r w:rsidRPr="00781112">
        <w:br/>
        <w:t xml:space="preserve">- Evaluation: The LEA and school teams will meet with the SSIP Support Team and state level literacy specialists to evaluate progress towards improving outcomes. The teams will review fidelity measures, satisfaction measures, and student outcome data to plan for the any changes or adjustments for the following school year.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SCDE shared information about the SPP/APR and sought input from our South Carolina Advisory Council on the Education of Students with Disabilities (ACESD). This partnership </w:t>
      </w:r>
      <w:proofErr w:type="gramStart"/>
      <w:r w:rsidRPr="00781112">
        <w:rPr>
          <w:color w:val="000000" w:themeColor="text1"/>
        </w:rPr>
        <w:t>is designed</w:t>
      </w:r>
      <w:proofErr w:type="gramEnd"/>
      <w:r w:rsidRPr="00781112">
        <w:rPr>
          <w:color w:val="000000" w:themeColor="text1"/>
        </w:rPr>
        <w:t xml:space="preserve"> to authentically engage this critical group of stakeholders in collaborative efforts that are directly aligned with the educational results and functional outcomes for students with disabilities. Updates with the SPP/APR </w:t>
      </w:r>
      <w:proofErr w:type="gramStart"/>
      <w:r w:rsidRPr="00781112">
        <w:rPr>
          <w:color w:val="000000" w:themeColor="text1"/>
        </w:rPr>
        <w:t>were shared</w:t>
      </w:r>
      <w:proofErr w:type="gramEnd"/>
      <w:r w:rsidRPr="00781112">
        <w:rPr>
          <w:color w:val="000000" w:themeColor="text1"/>
        </w:rPr>
        <w:t xml:space="preserve"> at the quarterly ACESD meetings. The SPP targets </w:t>
      </w:r>
      <w:proofErr w:type="gramStart"/>
      <w:r w:rsidRPr="00781112">
        <w:rPr>
          <w:color w:val="000000" w:themeColor="text1"/>
        </w:rPr>
        <w:t>were also shared</w:t>
      </w:r>
      <w:proofErr w:type="gramEnd"/>
      <w:r w:rsidRPr="00781112">
        <w:rPr>
          <w:color w:val="000000" w:themeColor="text1"/>
        </w:rPr>
        <w:t xml:space="preserve"> with the South Carolina Joint Citizens and Legislative Committee on Children and feedback was solicited from this group as well. </w:t>
      </w:r>
      <w:r w:rsidRPr="00781112">
        <w:rPr>
          <w:color w:val="000000" w:themeColor="text1"/>
        </w:rPr>
        <w:br/>
      </w:r>
      <w:r w:rsidRPr="00781112">
        <w:rPr>
          <w:color w:val="000000" w:themeColor="text1"/>
        </w:rPr>
        <w:br/>
        <w:t xml:space="preserve">Information about the SPP/APR </w:t>
      </w:r>
      <w:proofErr w:type="gramStart"/>
      <w:r w:rsidRPr="00781112">
        <w:rPr>
          <w:color w:val="000000" w:themeColor="text1"/>
        </w:rPr>
        <w:t>is posted</w:t>
      </w:r>
      <w:proofErr w:type="gramEnd"/>
      <w:r w:rsidRPr="00781112">
        <w:rPr>
          <w:color w:val="000000" w:themeColor="text1"/>
        </w:rPr>
        <w:t xml:space="preserve"> on the SCDE website with a link to provide input. The SCDE is in the process of getting an email address for the SPP/APR so input can be shared at any time about the targets</w:t>
      </w:r>
      <w:proofErr w:type="gramStart"/>
      <w:r w:rsidRPr="00781112">
        <w:rPr>
          <w:color w:val="000000" w:themeColor="text1"/>
        </w:rPr>
        <w:t xml:space="preserve">.  </w:t>
      </w:r>
      <w:proofErr w:type="gramEnd"/>
      <w:r w:rsidRPr="00781112">
        <w:rPr>
          <w:color w:val="000000" w:themeColor="text1"/>
        </w:rPr>
        <w:t>In addition, the OSES is currently working to develop a standard protocol for engaging stakeholders, collecting data, documenting input, and analyzing the input to inform the SPP/APR.</w:t>
      </w:r>
      <w:r w:rsidRPr="00781112">
        <w:rPr>
          <w:color w:val="000000" w:themeColor="text1"/>
        </w:rPr>
        <w:br/>
      </w:r>
      <w:r w:rsidRPr="00781112">
        <w:rPr>
          <w:color w:val="000000" w:themeColor="text1"/>
        </w:rPr>
        <w:br/>
        <w:t xml:space="preserve">Finally, weekly updates </w:t>
      </w:r>
      <w:proofErr w:type="gramStart"/>
      <w:r w:rsidRPr="00781112">
        <w:rPr>
          <w:color w:val="000000" w:themeColor="text1"/>
        </w:rPr>
        <w:t>were provided</w:t>
      </w:r>
      <w:proofErr w:type="gramEnd"/>
      <w:r w:rsidRPr="00781112">
        <w:rPr>
          <w:color w:val="000000" w:themeColor="text1"/>
        </w:rPr>
        <w:t xml:space="preserve"> to Special Education Directors and technical assistance providers that included information on the SPP/APR.</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Stakeholder input gathered during the reporting period suggested a need to change the SSIP as well as </w:t>
      </w:r>
      <w:proofErr w:type="gramStart"/>
      <w:r w:rsidRPr="00781112">
        <w:rPr>
          <w:rFonts w:cs="Arial"/>
          <w:b w:val="0"/>
          <w:color w:val="000000" w:themeColor="text1"/>
          <w:szCs w:val="16"/>
        </w:rPr>
        <w:t>highlighted</w:t>
      </w:r>
      <w:proofErr w:type="gramEnd"/>
      <w:r w:rsidRPr="00781112">
        <w:rPr>
          <w:rFonts w:cs="Arial"/>
          <w:b w:val="0"/>
          <w:color w:val="000000" w:themeColor="text1"/>
          <w:szCs w:val="16"/>
        </w:rPr>
        <w:t xml:space="preserve"> the lack of knowledge about the SSIP and SimR and the need to establish regular stakeholder feedback processes</w:t>
      </w:r>
      <w:proofErr w:type="gramStart"/>
      <w:r w:rsidRPr="00781112">
        <w:rPr>
          <w:rFonts w:cs="Arial"/>
          <w:b w:val="0"/>
          <w:color w:val="000000" w:themeColor="text1"/>
          <w:szCs w:val="16"/>
        </w:rPr>
        <w:t xml:space="preserve">.  </w:t>
      </w:r>
      <w:proofErr w:type="gramEnd"/>
      <w:r w:rsidRPr="00781112">
        <w:rPr>
          <w:rFonts w:cs="Arial"/>
          <w:b w:val="0"/>
          <w:color w:val="000000" w:themeColor="text1"/>
          <w:szCs w:val="16"/>
        </w:rPr>
        <w:t>Feedback from LEA representatives confirmed that the LMS courses outlined in the SSIP were not fully implemented during the reporting period; feedback from other SEA offices confirmed that vetting of the LMS course materials had not occurred outside of the OSES (e.g., with the Office of Early Learning and Literacy), which prompted concerns about the quality of the LMS courses.  Additionally, LMS courses presented a barrier in that educators perceived the courses to be difficult to access and complete</w:t>
      </w:r>
      <w:proofErr w:type="gramStart"/>
      <w:r w:rsidRPr="00781112">
        <w:rPr>
          <w:rFonts w:cs="Arial"/>
          <w:b w:val="0"/>
          <w:color w:val="000000" w:themeColor="text1"/>
          <w:szCs w:val="16"/>
        </w:rPr>
        <w:t xml:space="preserve">.  </w:t>
      </w:r>
      <w:proofErr w:type="gramEnd"/>
      <w:r w:rsidRPr="00781112">
        <w:rPr>
          <w:rFonts w:cs="Arial"/>
          <w:b w:val="0"/>
          <w:color w:val="000000" w:themeColor="text1"/>
          <w:szCs w:val="16"/>
        </w:rPr>
        <w:t xml:space="preserve">One Director shared, “Regarding professional development, the previous online modules were not </w:t>
      </w:r>
      <w:proofErr w:type="gramStart"/>
      <w:r w:rsidRPr="00781112">
        <w:rPr>
          <w:rFonts w:cs="Arial"/>
          <w:b w:val="0"/>
          <w:color w:val="000000" w:themeColor="text1"/>
          <w:szCs w:val="16"/>
        </w:rPr>
        <w:t>very helpful</w:t>
      </w:r>
      <w:proofErr w:type="gramEnd"/>
      <w:r w:rsidRPr="00781112">
        <w:rPr>
          <w:rFonts w:cs="Arial"/>
          <w:b w:val="0"/>
          <w:color w:val="000000" w:themeColor="text1"/>
          <w:szCs w:val="16"/>
        </w:rPr>
        <w:t xml:space="preserve"> in planning .  On-site coaching and support in evidence-based practices seems like a move in the right direction.”  Stakeholders </w:t>
      </w:r>
      <w:proofErr w:type="gramStart"/>
      <w:r w:rsidRPr="00781112">
        <w:rPr>
          <w:rFonts w:cs="Arial"/>
          <w:b w:val="0"/>
          <w:color w:val="000000" w:themeColor="text1"/>
          <w:szCs w:val="16"/>
        </w:rPr>
        <w:t>were encouraged</w:t>
      </w:r>
      <w:proofErr w:type="gramEnd"/>
      <w:r w:rsidRPr="00781112">
        <w:rPr>
          <w:rFonts w:cs="Arial"/>
          <w:b w:val="0"/>
          <w:color w:val="000000" w:themeColor="text1"/>
          <w:szCs w:val="16"/>
        </w:rPr>
        <w:t xml:space="preserve"> that the new SSIP Leadership Team had involved general education colleagues at the SEA in the re-imagining of the SSIP.</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In FY2020 submission, it </w:t>
      </w:r>
      <w:proofErr w:type="gramStart"/>
      <w:r w:rsidRPr="00781112">
        <w:rPr>
          <w:color w:val="000000" w:themeColor="text1"/>
        </w:rPr>
        <w:t>was reported</w:t>
      </w:r>
      <w:proofErr w:type="gramEnd"/>
      <w:r w:rsidRPr="00781112">
        <w:rPr>
          <w:color w:val="000000" w:themeColor="text1"/>
        </w:rPr>
        <w:t xml:space="preserve"> that a variety of methods were utilized to solicit stakeholder input in the development of the SIMR and the SSIP. OSES staff involved in the SSIP indicated that they solicited input from teachers, parents/community members, and LEA staff. The Advisory Council for Students with Disabilities (ACESD) provided input on the information that was sent out to stakeholders, and surveys were conducted.</w:t>
      </w:r>
      <w:r w:rsidRPr="00781112">
        <w:rPr>
          <w:color w:val="000000" w:themeColor="text1"/>
        </w:rPr>
        <w:br/>
      </w:r>
      <w:r w:rsidRPr="00781112">
        <w:rPr>
          <w:color w:val="000000" w:themeColor="text1"/>
        </w:rPr>
        <w:br/>
        <w:t xml:space="preserve">Since August 2022, OSES has provided stakeholders with information regarding the SSIP via two recorded virtual town halls open to the public, a Special Education Directors Advisory Committee meeting of regional directors, a meeting of the Advisory Council for Educating Students with Disabilities, SC TEAMS, and a team of members of SEA offices. At these meetings, a description of the current SSIP, as well as proposed changes to the SSIP </w:t>
      </w:r>
      <w:proofErr w:type="gramStart"/>
      <w:r w:rsidRPr="00781112">
        <w:rPr>
          <w:color w:val="000000" w:themeColor="text1"/>
        </w:rPr>
        <w:t>were presented</w:t>
      </w:r>
      <w:proofErr w:type="gramEnd"/>
      <w:r w:rsidRPr="00781112">
        <w:rPr>
          <w:color w:val="000000" w:themeColor="text1"/>
        </w:rPr>
        <w:t>, and input was collected via surveys. Stakeholders included special education administrators, parents, representatives from advocacy organizations, and outside agency representatives.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Upon review of the SSIP submitted in FFY2020 and after soliciting feedback from stakeholders, which expressed </w:t>
      </w:r>
      <w:proofErr w:type="gramStart"/>
      <w:r w:rsidRPr="00781112">
        <w:rPr>
          <w:color w:val="000000" w:themeColor="text1"/>
        </w:rPr>
        <w:t>numerous</w:t>
      </w:r>
      <w:proofErr w:type="gramEnd"/>
      <w:r w:rsidRPr="00781112">
        <w:rPr>
          <w:color w:val="000000" w:themeColor="text1"/>
        </w:rPr>
        <w:t xml:space="preserve"> concerns, including that the SSIP was not aligned with other initiatives. The  SSIP Leadership Team agreed with its stakeholders, and the OSES  is  developing and will implement a new  SSIP aligned to existing state initiatives to be reported on in the FFY2022 SPP/APR submission</w:t>
      </w:r>
      <w:proofErr w:type="gramStart"/>
      <w:r w:rsidRPr="00781112">
        <w:rPr>
          <w:color w:val="000000" w:themeColor="text1"/>
        </w:rPr>
        <w:t xml:space="preserve">.  </w:t>
      </w:r>
      <w:proofErr w:type="gramEnd"/>
      <w:r w:rsidRPr="00781112">
        <w:rPr>
          <w:color w:val="000000" w:themeColor="text1"/>
        </w:rPr>
        <w:t>Implementation will be based on a new theory of change.</w:t>
      </w:r>
      <w:r w:rsidRPr="00781112">
        <w:rPr>
          <w:color w:val="000000" w:themeColor="text1"/>
        </w:rPr>
        <w:br/>
      </w:r>
      <w:r w:rsidRPr="00781112">
        <w:rPr>
          <w:color w:val="000000" w:themeColor="text1"/>
        </w:rPr>
        <w:br/>
        <w:t>Another concern expressed by stakeholders was that the LMS courses developed were too narrowly focused in that there was no alignment of the courses with other SEA or LEA initiatives</w:t>
      </w:r>
      <w:proofErr w:type="gramStart"/>
      <w:r w:rsidRPr="00781112">
        <w:rPr>
          <w:color w:val="000000" w:themeColor="text1"/>
        </w:rPr>
        <w:t xml:space="preserve">.  </w:t>
      </w:r>
      <w:proofErr w:type="gramEnd"/>
      <w:r w:rsidRPr="00781112">
        <w:rPr>
          <w:color w:val="000000" w:themeColor="text1"/>
        </w:rPr>
        <w:t>Additionally, there had been no vetting of LMS content by relevant SEA offices (such as the Office of Early Learning and Literacy), and there was no ongoing coaching or support for teachers who wished to implement the strategies learned via the LMS courses</w:t>
      </w:r>
      <w:proofErr w:type="gramStart"/>
      <w:r w:rsidRPr="00781112">
        <w:rPr>
          <w:color w:val="000000" w:themeColor="text1"/>
        </w:rPr>
        <w:t xml:space="preserve">.  </w:t>
      </w:r>
      <w:proofErr w:type="gramEnd"/>
      <w:r w:rsidRPr="00781112">
        <w:rPr>
          <w:color w:val="000000" w:themeColor="text1"/>
        </w:rPr>
        <w:t>The SSIP Leadership Team determined that the SSIP submitted in FFY2020 focused on the virtual delivery of content via LMS and did not provide implementation support (coaching, feedback, etc.)</w:t>
      </w:r>
      <w:proofErr w:type="gramStart"/>
      <w:r w:rsidRPr="00781112">
        <w:rPr>
          <w:color w:val="000000" w:themeColor="text1"/>
        </w:rPr>
        <w:t xml:space="preserve">.  </w:t>
      </w:r>
      <w:proofErr w:type="gramEnd"/>
      <w:r w:rsidRPr="00781112">
        <w:rPr>
          <w:color w:val="000000" w:themeColor="text1"/>
        </w:rPr>
        <w:t xml:space="preserve">The SSIP Leadership Team identified the need to better align SSIP implementation with Implementation Science, reflected in the participation by the OSES in NIRN’s Science of Implementation training in fall 2022 and reflected in the revised theory of change and process maps (to </w:t>
      </w:r>
      <w:proofErr w:type="gramStart"/>
      <w:r w:rsidRPr="00781112">
        <w:rPr>
          <w:color w:val="000000" w:themeColor="text1"/>
        </w:rPr>
        <w:t>be fully reported</w:t>
      </w:r>
      <w:proofErr w:type="gramEnd"/>
      <w:r w:rsidRPr="00781112">
        <w:rPr>
          <w:color w:val="000000" w:themeColor="text1"/>
        </w:rPr>
        <w:t xml:space="preserve"> on in FFY2022 submission).</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The process of revising the SiMR to an ambitious yet attainable result to improve academic achievement </w:t>
      </w:r>
      <w:proofErr w:type="gramStart"/>
      <w:r w:rsidRPr="00781112">
        <w:rPr>
          <w:color w:val="000000" w:themeColor="text1"/>
        </w:rPr>
        <w:t>in the area of</w:t>
      </w:r>
      <w:proofErr w:type="gramEnd"/>
      <w:r w:rsidRPr="00781112">
        <w:rPr>
          <w:color w:val="000000" w:themeColor="text1"/>
        </w:rPr>
        <w:t xml:space="preserve"> literacy began during the reporting period and will be reported on more fully in the FFY2022 SPP/APR submission.  This shift in SSIP coincides with the change in the Office of Special Services Director, which took effect in May 2022.</w:t>
      </w:r>
      <w:r w:rsidRPr="00781112">
        <w:rPr>
          <w:color w:val="000000" w:themeColor="text1"/>
        </w:rPr>
        <w:br/>
      </w:r>
      <w:r w:rsidRPr="00781112">
        <w:rPr>
          <w:color w:val="000000" w:themeColor="text1"/>
        </w:rPr>
        <w:br/>
        <w:t>Notably, the OSES has begun the process of revising the SiMR, and theory of action, and developing several supporting documents to include a logic model and a TA process guide to align the SSIP with broader state-level literacy initiatives for literacy improvement.  Additionally, the OSES is in the process of contracting with an external evaluator for the SSIP and building a robust evaluation plan</w:t>
      </w:r>
      <w:proofErr w:type="gramStart"/>
      <w:r w:rsidRPr="00781112">
        <w:rPr>
          <w:color w:val="000000" w:themeColor="text1"/>
        </w:rPr>
        <w:t xml:space="preserve">.  </w:t>
      </w:r>
      <w:proofErr w:type="gramEnd"/>
      <w:r w:rsidRPr="00781112">
        <w:rPr>
          <w:color w:val="000000" w:themeColor="text1"/>
        </w:rPr>
        <w:t>The SSIP Leadership Team composed of OSES members, representatives from SEA offices, external content contractors, and LEA representatives will be responsible for coordinating and monitoring the fidelity of the implementation and progress toward the SiMR and making recommendations about adaptations to ensure effectiveness.</w:t>
      </w:r>
      <w:r w:rsidRPr="00781112">
        <w:rPr>
          <w:color w:val="000000" w:themeColor="text1"/>
        </w:rPr>
        <w:br/>
      </w:r>
      <w:r w:rsidRPr="00781112">
        <w:rPr>
          <w:color w:val="000000" w:themeColor="text1"/>
        </w:rPr>
        <w:br/>
        <w:t>These proposed changes to the SSIP and SiMR have been informed via feedback from stakeholder groups and multiple offices in the SEA to ensure alignment with current state initiatives to improve literacy.  In addition, several OSEP funded technical assistance centers have provided guidance directly as OSES has engaged in the process of revising its SSIP</w:t>
      </w:r>
      <w:proofErr w:type="gramStart"/>
      <w:r w:rsidRPr="00781112">
        <w:rPr>
          <w:color w:val="000000" w:themeColor="text1"/>
        </w:rPr>
        <w:t xml:space="preserve">.  </w:t>
      </w:r>
      <w:proofErr w:type="gramEnd"/>
      <w:r w:rsidRPr="00781112">
        <w:rPr>
          <w:color w:val="000000" w:themeColor="text1"/>
        </w:rPr>
        <w:t>These centers include the NCSI, IDC, and NCEO .</w:t>
      </w:r>
      <w:r w:rsidRPr="00781112">
        <w:rPr>
          <w:color w:val="000000" w:themeColor="text1"/>
        </w:rPr>
        <w:br/>
      </w:r>
      <w:r w:rsidRPr="00781112">
        <w:rPr>
          <w:color w:val="000000" w:themeColor="text1"/>
        </w:rPr>
        <w:br/>
        <w:t xml:space="preserve">South Carolina intends to implement a new  SSIP in the next fiscal year </w:t>
      </w:r>
      <w:proofErr w:type="gramStart"/>
      <w:r w:rsidRPr="00781112">
        <w:rPr>
          <w:color w:val="000000" w:themeColor="text1"/>
        </w:rPr>
        <w:t>as a result of</w:t>
      </w:r>
      <w:proofErr w:type="gramEnd"/>
      <w:r w:rsidRPr="00781112">
        <w:rPr>
          <w:color w:val="000000" w:themeColor="text1"/>
        </w:rPr>
        <w:t xml:space="preserve"> the feedback related to the current SSIP as well as the identification of barriers to effective implementation of the current SSIP.  The state will  update the theory of change, develop a logic model, and implementation plan, and maintain a network of training and technical assistance centers that will provide ongoing training, support, and coaching to identified schools and districts</w:t>
      </w:r>
      <w:proofErr w:type="gramStart"/>
      <w:r w:rsidRPr="00781112">
        <w:rPr>
          <w:color w:val="000000" w:themeColor="text1"/>
        </w:rPr>
        <w:t xml:space="preserve">.  </w:t>
      </w:r>
      <w:proofErr w:type="gramEnd"/>
      <w:r w:rsidRPr="00781112">
        <w:rPr>
          <w:color w:val="000000" w:themeColor="text1"/>
        </w:rPr>
        <w:t xml:space="preserve">As the state develops the new SSIP, stakeholder input will </w:t>
      </w:r>
      <w:proofErr w:type="gramStart"/>
      <w:r w:rsidRPr="00781112">
        <w:rPr>
          <w:color w:val="000000" w:themeColor="text1"/>
        </w:rPr>
        <w:t>be obtained</w:t>
      </w:r>
      <w:proofErr w:type="gramEnd"/>
      <w:r w:rsidRPr="00781112">
        <w:rPr>
          <w:color w:val="000000" w:themeColor="text1"/>
        </w:rPr>
        <w:t xml:space="preserve"> on a regular basis from parents/community members, outside agencies, LEA representatives, and teachers.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Timeline for Stakeholder Input </w:t>
      </w:r>
      <w:r w:rsidRPr="00781112">
        <w:rPr>
          <w:color w:val="000000" w:themeColor="text1"/>
        </w:rPr>
        <w:br/>
      </w:r>
      <w:r w:rsidRPr="00781112">
        <w:rPr>
          <w:color w:val="000000" w:themeColor="text1"/>
        </w:rPr>
        <w:br/>
      </w:r>
      <w:r w:rsidRPr="00781112">
        <w:rPr>
          <w:color w:val="000000" w:themeColor="text1"/>
        </w:rPr>
        <w:lastRenderedPageBreak/>
        <w:t xml:space="preserve">January /February 2023: A standard protocol for engaging stakeholders, collecting data, documenting input, and analyzing the input to inform progress on the SiMR and SSIP will </w:t>
      </w:r>
      <w:proofErr w:type="gramStart"/>
      <w:r w:rsidRPr="00781112">
        <w:rPr>
          <w:color w:val="000000" w:themeColor="text1"/>
        </w:rPr>
        <w:t>be developed</w:t>
      </w:r>
      <w:proofErr w:type="gramEnd"/>
      <w:r w:rsidRPr="00781112">
        <w:rPr>
          <w:color w:val="000000" w:themeColor="text1"/>
        </w:rPr>
        <w:t>. The SSIP Leadership Team will use the guidance documents from the NCSI to develop the protocols.</w:t>
      </w:r>
      <w:r w:rsidRPr="00781112">
        <w:rPr>
          <w:color w:val="000000" w:themeColor="text1"/>
        </w:rPr>
        <w:br/>
        <w:t xml:space="preserve">- March 2023: Follow-up meeting with ACESD from the January 2023 ACESD meeting in which the SSIP Leadership Team provided an overview of the SSIP and proposed changes to the SiMR and SSIP. Feedback will </w:t>
      </w:r>
      <w:proofErr w:type="gramStart"/>
      <w:r w:rsidRPr="00781112">
        <w:rPr>
          <w:color w:val="000000" w:themeColor="text1"/>
        </w:rPr>
        <w:t>be solicited</w:t>
      </w:r>
      <w:proofErr w:type="gramEnd"/>
      <w:r w:rsidRPr="00781112">
        <w:rPr>
          <w:color w:val="000000" w:themeColor="text1"/>
        </w:rPr>
        <w:t xml:space="preserve"> via survey. Members will again be surveyed for their interest in joining a focus group to provide ongoing feedback throughout the development of changes to the SSIP.</w:t>
      </w:r>
      <w:r w:rsidRPr="00781112">
        <w:rPr>
          <w:color w:val="000000" w:themeColor="text1"/>
        </w:rPr>
        <w:br/>
        <w:t>- March 2023: The SSIP Leadership Team will present at the ESSA Academy state conference.</w:t>
      </w:r>
      <w:r w:rsidRPr="00781112">
        <w:rPr>
          <w:color w:val="000000" w:themeColor="text1"/>
        </w:rPr>
        <w:br/>
        <w:t>- May 2023: The SSIP Leadership Team will present at the Family Connection of SC Hopes &amp; Dreams Conference.</w:t>
      </w:r>
      <w:r w:rsidRPr="00781112">
        <w:rPr>
          <w:color w:val="000000" w:themeColor="text1"/>
        </w:rPr>
        <w:br/>
        <w:t>- Spring 2023: The SSIP focus group will be identified, representing a diverse group of stakeholders. This focus group will provide feedback related to proposed changes as well as feedback related to methods for communicating information with stakeholders. The focus group will meet regularly to discuss updates and to provide feedback to the SSIP Leadership Team.</w:t>
      </w:r>
      <w:r w:rsidRPr="00781112">
        <w:rPr>
          <w:color w:val="000000" w:themeColor="text1"/>
        </w:rPr>
        <w:br/>
        <w:t>- Spring 2023: A dedicated webpage for the SSIP, including space to submit feedback, will be made available on the SEA website and also communicated via the SC TEAMS website launch</w:t>
      </w:r>
      <w:r w:rsidRPr="00781112">
        <w:rPr>
          <w:color w:val="000000" w:themeColor="text1"/>
        </w:rPr>
        <w:br/>
      </w:r>
      <w:r w:rsidRPr="00781112">
        <w:rPr>
          <w:color w:val="000000" w:themeColor="text1"/>
        </w:rPr>
        <w:br/>
        <w:t>Throughout the year, virtual town halls will be held to provide a detailed overview of the SSIP process along with proposed changes to the SiMR and the SSIP for next year. Stakeholders invited will include SEA representatives, LEA representatives, advocacy organizations, parents, outside agencies, community organizations, and educators. Feedback will be solicited via survey.</w:t>
      </w:r>
      <w:r w:rsidRPr="00781112">
        <w:rPr>
          <w:color w:val="000000" w:themeColor="text1"/>
        </w:rPr>
        <w:br/>
      </w:r>
      <w:r w:rsidRPr="00781112">
        <w:rPr>
          <w:color w:val="000000" w:themeColor="text1"/>
        </w:rPr>
        <w:br/>
        <w:t>Additionally, the SSIP Leadership Team will leverage existing state infrastructure to share about SSIP activities with LEA and SEA stakeholders (e.g., roundtable meetings facilitated by the South Carolina Association of School Administrators, the cross-office SEA work termed “SCORE” to create a unified framework, comprehensive consolidated needs assessment, and “One Plan”).</w:t>
      </w:r>
      <w:r w:rsidRPr="00781112">
        <w:rPr>
          <w:color w:val="000000" w:themeColor="text1"/>
        </w:rPr>
        <w:br/>
      </w:r>
      <w:r w:rsidRPr="00781112">
        <w:rPr>
          <w:color w:val="000000" w:themeColor="text1"/>
        </w:rPr>
        <w:br/>
        <w:t xml:space="preserve">Timeline for Implementation Activities </w:t>
      </w:r>
      <w:r w:rsidRPr="00781112">
        <w:rPr>
          <w:color w:val="000000" w:themeColor="text1"/>
        </w:rPr>
        <w:br/>
        <w:t xml:space="preserve">The following are additional activities and timelines to support implementation not stated in Section B. </w:t>
      </w:r>
      <w:r w:rsidRPr="00781112">
        <w:rPr>
          <w:color w:val="000000" w:themeColor="text1"/>
        </w:rPr>
        <w:br/>
        <w:t>- March 2023: The SSIP Leadership Team in collaboration with the external evaluator will utilize NCSI’s Implementation Evaluation Matrix (https://ncsi-library.wested.org/resources/55) to plan and track the implementation of changes. This will enable the team to track implementation progress and ensure continuous improvement of the activities in the SSIP in order for the state to meet the SiMR target.</w:t>
      </w:r>
      <w:r w:rsidRPr="00781112">
        <w:rPr>
          <w:color w:val="000000" w:themeColor="text1"/>
        </w:rPr>
        <w:br/>
        <w:t>- Spring 2023: For SSIP implementation schools, SC READY data for students with disabilities in grades 3-5 from the spring 2023 administration will be collected to use as baseline data to monitor the progress of implementation and inform progress towards the SiMR.</w:t>
      </w:r>
      <w:r w:rsidRPr="00781112">
        <w:rPr>
          <w:color w:val="000000" w:themeColor="text1"/>
        </w:rPr>
        <w:br/>
        <w:t xml:space="preserve">- Fall 2023: Selected schools will utilize curriculum-based measures for students with disabilities. </w:t>
      </w:r>
      <w:proofErr w:type="gramStart"/>
      <w:r w:rsidRPr="00781112">
        <w:rPr>
          <w:color w:val="000000" w:themeColor="text1"/>
        </w:rPr>
        <w:t>These</w:t>
      </w:r>
      <w:proofErr w:type="gramEnd"/>
      <w:r w:rsidRPr="00781112">
        <w:rPr>
          <w:color w:val="000000" w:themeColor="text1"/>
        </w:rPr>
        <w:t xml:space="preserve"> data will </w:t>
      </w:r>
      <w:proofErr w:type="gramStart"/>
      <w:r w:rsidRPr="00781112">
        <w:rPr>
          <w:color w:val="000000" w:themeColor="text1"/>
        </w:rPr>
        <w:t>be utilized</w:t>
      </w:r>
      <w:proofErr w:type="gramEnd"/>
      <w:r w:rsidRPr="00781112">
        <w:rPr>
          <w:color w:val="000000" w:themeColor="text1"/>
        </w:rPr>
        <w:t xml:space="preserve"> for data-based individualization and for the school MTSS Leadership Team to monitor the effectiveness of practices. CBM data will guide the need to intensify evidence-based practices to ensure students make ambitious progress to impact the SiMR.</w:t>
      </w:r>
      <w:r w:rsidRPr="00781112">
        <w:rPr>
          <w:color w:val="000000" w:themeColor="text1"/>
        </w:rPr>
        <w:br/>
        <w:t>- Fall 2023: School MTSS teams will receive training on the use of TIPS to identify problems with the implementation of SSIP, set short-term goals for improvement, and implement solutions with fidelity. This targeted focus by the school-level MTSS teams will increase the performance of students impacting the SiMR.</w:t>
      </w:r>
      <w:r w:rsidRPr="00781112">
        <w:rPr>
          <w:color w:val="000000" w:themeColor="text1"/>
        </w:rPr>
        <w:br/>
        <w:t xml:space="preserve">- Fall 2023: Baseline data will be collected on the LEA’s capacity to implement and support the evidence-based practices as described in Part B </w:t>
      </w:r>
      <w:proofErr w:type="gramStart"/>
      <w:r w:rsidRPr="00781112">
        <w:rPr>
          <w:color w:val="000000" w:themeColor="text1"/>
        </w:rPr>
        <w:t>in order to</w:t>
      </w:r>
      <w:proofErr w:type="gramEnd"/>
      <w:r w:rsidRPr="00781112">
        <w:rPr>
          <w:color w:val="000000" w:themeColor="text1"/>
        </w:rPr>
        <w:t xml:space="preserve"> sustain and scale up. The District Capacity Assessment from the National Implementation Research Network will </w:t>
      </w:r>
      <w:proofErr w:type="gramStart"/>
      <w:r w:rsidRPr="00781112">
        <w:rPr>
          <w:color w:val="000000" w:themeColor="text1"/>
        </w:rPr>
        <w:t>be used</w:t>
      </w:r>
      <w:proofErr w:type="gramEnd"/>
      <w:r w:rsidRPr="00781112">
        <w:rPr>
          <w:color w:val="000000" w:themeColor="text1"/>
        </w:rPr>
        <w:t xml:space="preserve"> to measure the LEA’s ability to align its resources to support the intended outcomes of the implementation. The use of this tool will enable districts not only to support the targeted school to sustain the practices, but they will also be able to scale up their practices to other schools within the LEA thus impacting improvement on the SiMR.</w:t>
      </w:r>
      <w:r w:rsidRPr="00781112">
        <w:rPr>
          <w:color w:val="000000" w:themeColor="text1"/>
        </w:rPr>
        <w:br/>
        <w:t>- Fall 2023: Schools will be trained to administer the MiMTSS Reading Tiered Fidelity Inventory for baseline data. This will serve to enable the school to measure the implementation of the systems. This does not measure the implementation of curriculum, but rather will enable schools to align resources to support the implementation of SSIP to reach the SiMR.</w:t>
      </w:r>
      <w:r w:rsidRPr="00781112">
        <w:rPr>
          <w:color w:val="000000" w:themeColor="text1"/>
        </w:rPr>
        <w:br/>
        <w:t>- Fall 2023: The SSIP Leadership team will identify a tool to collect information from participants after participation in training on the effectiveness of training will be used to evaluate and inform the next steps for training.</w:t>
      </w:r>
      <w:r w:rsidRPr="00781112">
        <w:rPr>
          <w:color w:val="000000" w:themeColor="text1"/>
        </w:rPr>
        <w:br/>
        <w:t xml:space="preserve">- Fall 2023: The SSIP Support Team will select the fidelity and observational tools for use. These will be </w:t>
      </w:r>
      <w:proofErr w:type="gramStart"/>
      <w:r w:rsidRPr="00781112">
        <w:rPr>
          <w:color w:val="000000" w:themeColor="text1"/>
        </w:rPr>
        <w:t>trained</w:t>
      </w:r>
      <w:proofErr w:type="gramEnd"/>
      <w:r w:rsidRPr="00781112">
        <w:rPr>
          <w:color w:val="000000" w:themeColor="text1"/>
        </w:rPr>
        <w:t xml:space="preserve"> and use will begin after the first practices begin. These data will </w:t>
      </w:r>
      <w:proofErr w:type="gramStart"/>
      <w:r w:rsidRPr="00781112">
        <w:rPr>
          <w:color w:val="000000" w:themeColor="text1"/>
        </w:rPr>
        <w:t>be used</w:t>
      </w:r>
      <w:proofErr w:type="gramEnd"/>
      <w:r w:rsidRPr="00781112">
        <w:rPr>
          <w:color w:val="000000" w:themeColor="text1"/>
        </w:rPr>
        <w:t xml:space="preserve"> to determine the level of coaching, monitor the fidelity of implementation, and document feedback to determine effectiveness.</w:t>
      </w:r>
      <w:r w:rsidRPr="00781112">
        <w:rPr>
          <w:color w:val="000000" w:themeColor="text1"/>
        </w:rPr>
        <w:br/>
        <w:t>- Spring 2023: All data listed above will be analyzed and used to provide the data evaluation component of implementation.</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No newly identified barriers not addressed in previous sections have </w:t>
      </w:r>
      <w:proofErr w:type="gramStart"/>
      <w:r w:rsidRPr="00781112">
        <w:rPr>
          <w:color w:val="000000" w:themeColor="text1"/>
        </w:rPr>
        <w:t>been identified</w:t>
      </w:r>
      <w:proofErr w:type="gramEnd"/>
      <w:r w:rsidRPr="00781112">
        <w:rPr>
          <w:color w:val="000000" w:themeColor="text1"/>
        </w:rPr>
        <w:t>.</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n/a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 xml:space="preserve">The State did not provide data for FFY 2020. The State must provide the required data for FFY 2021 in the FFY 2021 SPP/APR. </w:t>
      </w:r>
      <w:r w:rsidRPr="00781112">
        <w:rPr>
          <w:color w:val="000000" w:themeColor="text1"/>
        </w:rPr>
        <w:br/>
      </w:r>
      <w:r w:rsidRPr="00781112">
        <w:rPr>
          <w:color w:val="000000" w:themeColor="text1"/>
        </w:rPr>
        <w:br/>
        <w:t>The State did not provide baseline data. The State must provide the required baseline data in the FFY 2021 SPP/APR.</w:t>
      </w:r>
      <w:r w:rsidRPr="00781112">
        <w:rPr>
          <w:color w:val="000000" w:themeColor="text1"/>
        </w:rPr>
        <w:br/>
      </w:r>
      <w:r w:rsidRPr="00781112">
        <w:rPr>
          <w:color w:val="000000" w:themeColor="text1"/>
        </w:rPr>
        <w:br/>
        <w:t>The State did not provide FFY 2020-FFY 2025 targets. The State must provide the required FFY 2020- FFY 2025 targets in the FFY 2021 SPP/APR.</w:t>
      </w:r>
      <w:r w:rsidRPr="00781112">
        <w:rPr>
          <w:color w:val="000000" w:themeColor="text1"/>
        </w:rPr>
        <w:br/>
      </w:r>
      <w:r w:rsidRPr="00781112">
        <w:rPr>
          <w:color w:val="000000" w:themeColor="text1"/>
        </w:rPr>
        <w:br/>
        <w:t>The State did not provide numerator and denominator descriptions in the FFY 2020 data table. The State must provide the required numerator and denominator descriptions for FFY 2021 in the FFY 2021 SPP/APR.</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t>We are signaling a change in the SSIP with the FFY2021 SPP/APR submission</w:t>
      </w:r>
      <w:proofErr w:type="gramStart"/>
      <w:r w:rsidRPr="00781112">
        <w:rPr>
          <w:color w:val="000000" w:themeColor="text1"/>
        </w:rPr>
        <w:t xml:space="preserve">.  </w:t>
      </w:r>
      <w:proofErr w:type="gramEnd"/>
      <w:r w:rsidRPr="00781112">
        <w:rPr>
          <w:color w:val="000000" w:themeColor="text1"/>
        </w:rPr>
        <w:t>The SSIP from the FFY2020 SPP/APR submission was not implemented</w:t>
      </w:r>
      <w:proofErr w:type="gramStart"/>
      <w:r w:rsidRPr="00781112">
        <w:rPr>
          <w:color w:val="000000" w:themeColor="text1"/>
        </w:rPr>
        <w:t xml:space="preserve">.  </w:t>
      </w:r>
      <w:proofErr w:type="gramEnd"/>
      <w:r w:rsidRPr="00781112">
        <w:rPr>
          <w:color w:val="000000" w:themeColor="text1"/>
        </w:rPr>
        <w:t>Stakeholder input was not solicited to set targets for a plan which was not implemented, nor planning to be continued.</w:t>
      </w:r>
      <w:r w:rsidRPr="00781112">
        <w:rPr>
          <w:color w:val="000000" w:themeColor="text1"/>
        </w:rPr>
        <w:br/>
      </w:r>
      <w:r w:rsidRPr="00781112">
        <w:rPr>
          <w:color w:val="000000" w:themeColor="text1"/>
        </w:rPr>
        <w:br/>
        <w:t>The process of soliciting stakeholder input for target setting has begun during the current reporting period; however, baseline data and targets for the SSIP will be provided in the FFY2022 SPP/APR submission once sufficient stakeholder input has been gathered.</w:t>
      </w:r>
    </w:p>
    <w:p w14:paraId="26525888" w14:textId="754A2C29" w:rsidR="00AE1972" w:rsidRPr="00781112" w:rsidRDefault="00AE1972" w:rsidP="00AE1972">
      <w:pPr>
        <w:pStyle w:val="Heading2"/>
      </w:pPr>
      <w:r w:rsidRPr="00781112">
        <w:lastRenderedPageBreak/>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OSEP's response to the State's FFY 2020 SPP/APR required the State to include in the FFY 2021 SPP/APR, the required: data for FFY 2021; baseline data; FFY 2020- FFY 2025 targets; and the numerator and denominator descriptions. The State provided none of the required information.</w:t>
      </w:r>
      <w:r w:rsidRPr="00781112">
        <w:rPr>
          <w:color w:val="000000" w:themeColor="text1"/>
        </w:rPr>
        <w:br/>
      </w:r>
      <w:r w:rsidRPr="00781112">
        <w:rPr>
          <w:color w:val="000000" w:themeColor="text1"/>
        </w:rPr>
        <w:br/>
        <w:t xml:space="preserve">The State reported, "There are no data to report. Additionally, there exists no system developed with the ability to collect the data as described in the FFY2020 submission." OSEP is concerned about the State's inability to collect data for this indicator for FFY 2020 and FFY 2021. </w:t>
      </w:r>
      <w:r w:rsidRPr="00781112">
        <w:rPr>
          <w:color w:val="000000" w:themeColor="text1"/>
        </w:rPr>
        <w:br/>
      </w:r>
      <w:r w:rsidRPr="00781112">
        <w:rPr>
          <w:color w:val="000000" w:themeColor="text1"/>
        </w:rPr>
        <w:br/>
        <w:t xml:space="preserve">The State did not provide a current Evaluation Plan. </w:t>
      </w:r>
      <w:r w:rsidRPr="00781112">
        <w:rPr>
          <w:color w:val="000000" w:themeColor="text1"/>
        </w:rPr>
        <w:br/>
      </w:r>
      <w:r w:rsidRPr="00781112">
        <w:rPr>
          <w:color w:val="000000" w:themeColor="text1"/>
        </w:rPr>
        <w:br/>
        <w:t>The State did not summarize the strategies or activities that ensured the use of evidence-based practices with fidelity.</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The State did not, as required by the OSEP Response to the State's FFY 2020 SPP/APR and the Measurement Table, provide: (1) data for FFY 2021; (2) baseline data; (3) FFY 2020- FFY 2025 targets; and (4) the numerator and denominator descriptions. Additionally, the State did not provide in its FFY 2021 submission, a current Evaluation Plan, or a summary of the strategies or activities that ensured the use of evidence-based practices with fidelity, as required by the Measurement Table. </w:t>
      </w:r>
      <w:r w:rsidRPr="00781112">
        <w:rPr>
          <w:color w:val="000000" w:themeColor="text1"/>
        </w:rPr>
        <w:br/>
      </w:r>
      <w:r w:rsidRPr="00781112">
        <w:rPr>
          <w:color w:val="000000" w:themeColor="text1"/>
        </w:rPr>
        <w:br/>
        <w:t xml:space="preserve">In the FFY 2022 SPP/APR, the State must report all required data and components in this indicator. Reporting data under this indicator is critical so that the State, OSEP, and the public can determine the State’s performance and whether and how the State met its targets for this indicator. OSEP may consider taking additional </w:t>
      </w:r>
      <w:proofErr w:type="gramStart"/>
      <w:r w:rsidRPr="00781112">
        <w:rPr>
          <w:color w:val="000000" w:themeColor="text1"/>
        </w:rPr>
        <w:t>actions</w:t>
      </w:r>
      <w:proofErr w:type="gramEnd"/>
      <w:r w:rsidRPr="00781112">
        <w:rPr>
          <w:color w:val="000000" w:themeColor="text1"/>
        </w:rPr>
        <w:t xml:space="preserve"> if the State is unable to report the required data in its FFY 2022 SPP/APR.</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Peter E. Keup</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pekeup@ed.sc.gov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8037346771</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6:21:25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2AD39B73" w14:textId="61562B26" w:rsidR="005F408B" w:rsidRPr="005F408B" w:rsidRDefault="005F408B" w:rsidP="005F408B">
      <w:pPr>
        <w:rPr>
          <w:b/>
          <w:bCs/>
          <w:sz w:val="20"/>
          <w:szCs w:val="28"/>
        </w:rPr>
      </w:pPr>
      <w:r w:rsidRPr="005F408B">
        <w:rPr>
          <w:b/>
          <w:bCs/>
          <w:sz w:val="20"/>
          <w:szCs w:val="28"/>
        </w:rPr>
        <w:t>South Carolina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69.58%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13</w:t>
            </w:r>
          </w:p>
        </w:tc>
        <w:tc>
          <w:tcPr>
            <w:tcW w:w="1218" w:type="pct"/>
          </w:tcPr>
          <w:p w14:paraId="0E3866D0" w14:textId="74D5D84B" w:rsidR="00E1330D" w:rsidRPr="00210AC6" w:rsidRDefault="00E1330D" w:rsidP="00E1330D">
            <w:pPr>
              <w:rPr>
                <w:rFonts w:cs="Arial"/>
                <w:szCs w:val="16"/>
              </w:rPr>
            </w:pPr>
            <w:r w:rsidRPr="00210AC6">
              <w:rPr>
                <w:rFonts w:cs="Arial"/>
                <w:szCs w:val="16"/>
              </w:rPr>
              <w:t>54.17%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85.00%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93%</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90%</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22%</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92%</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18%</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94%</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93%</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90%</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35%</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95%</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14%</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92%</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31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51</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11.90%</w:t>
            </w:r>
          </w:p>
        </w:tc>
        <w:tc>
          <w:tcPr>
            <w:tcW w:w="832" w:type="pct"/>
          </w:tcPr>
          <w:p w14:paraId="771B94BB" w14:textId="4E9D5A8F" w:rsidR="00AA1152" w:rsidRPr="00210AC6" w:rsidRDefault="00AA1152" w:rsidP="00AA1152">
            <w:pPr>
              <w:rPr>
                <w:rFonts w:cs="Arial"/>
                <w:szCs w:val="16"/>
              </w:rPr>
            </w:pPr>
            <w:r w:rsidRPr="00210AC6">
              <w:rPr>
                <w:rFonts w:cs="Arial"/>
                <w:szCs w:val="16"/>
              </w:rPr>
              <w:t>NO</w:t>
            </w:r>
          </w:p>
        </w:tc>
        <w:tc>
          <w:tcPr>
            <w:tcW w:w="832" w:type="pct"/>
          </w:tcPr>
          <w:p w14:paraId="7825B06F" w14:textId="05A81092" w:rsidR="00AA1152" w:rsidRPr="00210AC6" w:rsidRDefault="00AA1152" w:rsidP="00AA1152">
            <w:pPr>
              <w:rPr>
                <w:rFonts w:cs="Arial"/>
                <w:szCs w:val="16"/>
              </w:rPr>
            </w:pPr>
            <w:r w:rsidRPr="00210AC6">
              <w:rPr>
                <w:rFonts w:cs="Arial"/>
                <w:szCs w:val="16"/>
              </w:rPr>
              <w:t>1</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57FE80DE" w:rsidR="00AA1152" w:rsidRPr="00210AC6" w:rsidRDefault="00AA1152" w:rsidP="00AA1152">
            <w:pPr>
              <w:rPr>
                <w:rFonts w:cs="Arial"/>
                <w:szCs w:val="16"/>
              </w:rPr>
            </w:pPr>
            <w:r w:rsidRPr="00210AC6">
              <w:rPr>
                <w:rFonts w:cs="Arial"/>
                <w:szCs w:val="16"/>
              </w:rPr>
              <w:t>N</w:t>
            </w:r>
            <w:r w:rsidR="005F408B">
              <w:rPr>
                <w:rFonts w:cs="Arial"/>
                <w:szCs w:val="16"/>
              </w:rPr>
              <w:t xml:space="preserve">ot Valid and </w:t>
            </w:r>
            <w:proofErr w:type="gramStart"/>
            <w:r w:rsidR="005F408B">
              <w:rPr>
                <w:rFonts w:cs="Arial"/>
                <w:szCs w:val="16"/>
              </w:rPr>
              <w:t>Reliable</w:t>
            </w:r>
            <w:proofErr w:type="gramEnd"/>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0</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1.22%</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99.25%</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99.50%</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95.35%</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96.15%</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2600B681" w14:textId="77777777" w:rsidR="005F408B" w:rsidRPr="005F408B" w:rsidRDefault="005F408B" w:rsidP="005F408B">
      <w:pPr>
        <w:rPr>
          <w:b/>
          <w:bCs/>
          <w:sz w:val="20"/>
          <w:szCs w:val="28"/>
        </w:rPr>
      </w:pPr>
      <w:r w:rsidRPr="005F408B">
        <w:rPr>
          <w:b/>
          <w:bCs/>
          <w:sz w:val="20"/>
          <w:szCs w:val="28"/>
        </w:rPr>
        <w:t>South Carolina</w:t>
      </w:r>
    </w:p>
    <w:p w14:paraId="5DF1F2E9" w14:textId="77777777" w:rsidR="005F408B" w:rsidRPr="005F408B" w:rsidRDefault="005F408B" w:rsidP="005F408B"/>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0</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19</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24</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24</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0.9615</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96.15</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619DD2F" w14:textId="77777777" w:rsidR="005F408B" w:rsidRDefault="005F408B">
      <w:pPr>
        <w:spacing w:before="0" w:after="200" w:line="276" w:lineRule="auto"/>
      </w:pPr>
    </w:p>
    <w:p w14:paraId="10BA59E7" w14:textId="4B0D9EBE" w:rsidR="0058254D" w:rsidRDefault="005F408B">
      <w:pPr>
        <w:spacing w:before="0" w:after="200" w:line="276" w:lineRule="auto"/>
      </w:pPr>
      <w:r>
        <w:object w:dxaOrig="1540" w:dyaOrig="997" w14:anchorId="1001066F">
          <v:shape id="_x0000_i1027" type="#_x0000_t75" alt="SC-B-DR-2021-22" style="width:77.25pt;height:49.5pt" o:ole="">
            <v:imagedata r:id="rId14" o:title=""/>
          </v:shape>
          <o:OLEObject Type="Embed" ProgID="Acrobat.Document.DC" ShapeID="_x0000_i1027" DrawAspect="Icon" ObjectID="_1752323776" r:id="rId15"/>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AB008C">
      <w:pPr>
        <w:spacing w:before="0" w:after="200" w:line="276" w:lineRule="auto"/>
        <w:rPr>
          <w:rFonts w:cs="Arial"/>
          <w:b/>
          <w:bCs/>
          <w:szCs w:val="16"/>
        </w:rPr>
      </w:pPr>
      <w:hyperlink r:id="rId16"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7"/>
      <w:footerReference w:type="default" r:id="rId18"/>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AB00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31CE71DC" w14:textId="11B41FDD" w:rsidR="005F408B" w:rsidRPr="00086AFB" w:rsidRDefault="005F408B" w:rsidP="005F408B">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086AFB">
        <w:rPr>
          <w:rFonts w:cs="Arial"/>
          <w:szCs w:val="16"/>
        </w:rPr>
        <w:t>ent data source to report data under this indicator.</w:t>
      </w:r>
      <w:bookmarkEnd w:id="5"/>
    </w:p>
  </w:footnote>
  <w:footnote w:id="3">
    <w:p w14:paraId="246F2243" w14:textId="590F83C6" w:rsidR="00086AFB" w:rsidRDefault="00086AFB">
      <w:pPr>
        <w:pStyle w:val="FootnoteText"/>
      </w:pPr>
      <w:r w:rsidRPr="00086AFB">
        <w:rPr>
          <w:rStyle w:val="FootnoteReference"/>
          <w:sz w:val="16"/>
          <w:szCs w:val="16"/>
        </w:rPr>
        <w:footnoteRef/>
      </w:r>
      <w:r w:rsidRPr="00086AFB">
        <w:rPr>
          <w:sz w:val="16"/>
          <w:szCs w:val="16"/>
        </w:rPr>
        <w:t xml:space="preserve"> </w:t>
      </w:r>
      <w:r w:rsidRPr="00086AFB">
        <w:rPr>
          <w:rFonts w:cs="Arial"/>
          <w:sz w:val="16"/>
          <w:szCs w:val="16"/>
        </w:rPr>
        <w:t>Percentage blurred due to privacy protection.</w:t>
      </w:r>
    </w:p>
  </w:footnote>
  <w:footnote w:id="4">
    <w:p w14:paraId="0776B41D" w14:textId="212689D3" w:rsidR="005F408B" w:rsidRPr="005F408B" w:rsidRDefault="005F408B" w:rsidP="005F408B">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AB00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6AFB"/>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B"/>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633"/>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3F99"/>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08C"/>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06B"/>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purl.org/dc/elements/1.1/"/>
    <ds:schemaRef ds:uri="http://purl.org/dc/terms/"/>
    <ds:schemaRef ds:uri="http://schemas.openxmlformats.org/package/2006/metadata/core-properties"/>
    <ds:schemaRef ds:uri="292db1e8-b3d0-4356-8ef3-2a6d7ed77883"/>
    <ds:schemaRef ds:uri="http://www.w3.org/XML/1998/namespace"/>
    <ds:schemaRef ds:uri="http://schemas.microsoft.com/office/infopath/2007/PartnerControls"/>
    <ds:schemaRef ds:uri="http://schemas.microsoft.com/office/2006/documentManagement/types"/>
    <ds:schemaRef ds:uri="4f36bac4-6705-4a36-974b-7c07450fedf2"/>
    <ds:schemaRef ds:uri="http://schemas.microsoft.com/sharepoint/v3"/>
    <ds:schemaRef ds:uri="http://purl.org/dc/dcmitype/"/>
  </ds:schemaRefs>
</ds:datastoreItem>
</file>

<file path=customXml/itemProps2.xml><?xml version="1.0" encoding="utf-8"?>
<ds:datastoreItem xmlns:ds="http://schemas.openxmlformats.org/officeDocument/2006/customXml" ds:itemID="{961C230D-A9C9-4421-901C-8F20E58E687D}"/>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4</TotalTime>
  <Pages>90</Pages>
  <Words>53046</Words>
  <Characters>302365</Characters>
  <Application>Microsoft Office Word</Application>
  <DocSecurity>0</DocSecurity>
  <Lines>2519</Lines>
  <Paragraphs>709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6</cp:revision>
  <cp:lastPrinted>2014-08-19T16:56:00Z</cp:lastPrinted>
  <dcterms:created xsi:type="dcterms:W3CDTF">2023-06-28T23:38:00Z</dcterms:created>
  <dcterms:modified xsi:type="dcterms:W3CDTF">2023-07-31T20:48:00Z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