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Palau</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 xml:space="preserve">This Executive Summary includes a description of the Republic of Palau (ROP) IDEA Part B State Performance Plan (SPP) and Annual Performance Report (APR) for FFY 2019. A description of ROP’s General Supervision System, Technical Assistance System, Professional Development System, Stakeholder Involvement in the development and review of the SPP and APR and how ROP will report the SPP and APR to the Public are provided separately within this Introduction section of ROP’s FFY 2019 APR. </w:t>
      </w:r>
      <w:r w:rsidRPr="005C29F8">
        <w:rPr>
          <w:rFonts w:cs="Arial"/>
          <w:color w:val="000000" w:themeColor="text1"/>
          <w:szCs w:val="16"/>
        </w:rPr>
        <w:br/>
      </w:r>
      <w:r w:rsidRPr="005C29F8">
        <w:rPr>
          <w:rFonts w:cs="Arial"/>
          <w:color w:val="000000" w:themeColor="text1"/>
          <w:szCs w:val="16"/>
        </w:rPr>
        <w:br/>
        <w:t xml:space="preserve">In FFY 2013, with input from stakeholders, ROP identified targets for the Results Indicators through FFY 2018, with FFY 2019 targets identified in ROP’s FFY 2018 APR. This FFY 2019 APR includes current performance data on 13 of the16 Indicator measures: Indicators 1, 2, 3, 4, 5, 6, 7, 8, 11, 13, 14, 15, and 16.  As per OSEP’s instructions, SPP Indicators 4B, 9, 10, and 12 do not apply to ROP.  For each applicable SPP Indicator measure, ROP reports FFY 2019 data to determine if ROP met its FFY 2019 target, provides an explanation of slippage if ROP did not meet its target, and responds to any issue identified for the Indicator in the June 25, 2020 OSEP SPP/APR Determination letter and ROP’s FFY 2018 SPP/APR. </w:t>
      </w:r>
      <w:r w:rsidRPr="005C29F8">
        <w:rPr>
          <w:rFonts w:cs="Arial"/>
          <w:color w:val="000000" w:themeColor="text1"/>
          <w:szCs w:val="16"/>
        </w:rPr>
        <w:br/>
      </w:r>
      <w:r w:rsidRPr="005C29F8">
        <w:rPr>
          <w:rFonts w:cs="Arial"/>
          <w:color w:val="000000" w:themeColor="text1"/>
          <w:szCs w:val="16"/>
        </w:rPr>
        <w:br/>
        <w:t>As required, for Indicator 17, ROP’s Part B State Systemic Improvement Plan (SSIP), ROP will submit its SSIP Phase III-Year Five Report no later than April 1, 2021. Per OSEP’s guidance, ROP’s SSIP Phase III-Year Five Report will provide data and analysis, consistent with its evaluation plan, on the extent to which ROP has made progress towards or has met the State-established short-term and long-term outcomes for implementation of its SSIP and has made progress in achieving ROP’s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for children with disabilities. </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 xml:space="preserve">Due to the COVID-19 pandemic, ROP schools were closed mid-March 2020 for the rest of the school year. </w:t>
      </w:r>
      <w:proofErr w:type="gramStart"/>
      <w:r w:rsidRPr="005C29F8">
        <w:rPr>
          <w:color w:val="000000" w:themeColor="text1"/>
        </w:rPr>
        <w:t>With the exception of</w:t>
      </w:r>
      <w:proofErr w:type="gramEnd"/>
      <w:r w:rsidRPr="005C29F8">
        <w:rPr>
          <w:color w:val="000000" w:themeColor="text1"/>
        </w:rPr>
        <w:t xml:space="preserve"> Indicator 3 data, the school closure did not impact the collection and reporting of required data for ROP's FFY 2019 APR. ROP implemented the public health social distancing requirement but did not require wearing of face masks. The MOE Special Education Program was able to conduct IEP team meetings at school with social distancing in place, and with parent permission, conduct individual assessments for eligibility determination.</w:t>
      </w:r>
      <w:r w:rsidRPr="005C29F8">
        <w:rPr>
          <w:color w:val="000000" w:themeColor="text1"/>
        </w:rPr>
        <w:br/>
      </w:r>
      <w:r w:rsidRPr="005C29F8">
        <w:rPr>
          <w:color w:val="000000" w:themeColor="text1"/>
        </w:rPr>
        <w:br/>
        <w:t>Beginning school year 2020-2021, ROP opened schools with regular hours and instruction, as they were before the mid-March 2020 shutdown due to the COVID-19 pandemic.</w:t>
      </w:r>
      <w:r w:rsidRPr="005C29F8">
        <w:rPr>
          <w:color w:val="000000" w:themeColor="text1"/>
        </w:rPr>
        <w:br/>
      </w:r>
      <w:r w:rsidRPr="005C29F8">
        <w:rPr>
          <w:color w:val="000000" w:themeColor="text1"/>
        </w:rPr>
        <w:br/>
        <w:t xml:space="preserve">As of this APR submission, ROP continues to be COVID-19-free. No </w:t>
      </w:r>
      <w:proofErr w:type="spellStart"/>
      <w:r w:rsidRPr="005C29F8">
        <w:rPr>
          <w:color w:val="000000" w:themeColor="text1"/>
        </w:rPr>
        <w:t>postive</w:t>
      </w:r>
      <w:proofErr w:type="spellEnd"/>
      <w:r w:rsidRPr="005C29F8">
        <w:rPr>
          <w:color w:val="000000" w:themeColor="text1"/>
        </w:rPr>
        <w:t xml:space="preserve"> COVID-19 tests have been reported.</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The Republic of Palau (ROP), Ministry of Education (MOE) is a unitary education system that includes 17 elementary schools for grades 1-8 and one public high school for grades 9-12. The Special Education Program is a program under the direct supervision of the Director of the Bureau of Curriculum and Instruction (BCI). The delivery of special education and related services is provided within the schools under the supervision of the school principals. The Chief of the Division of School Management serves as the direct supervisor of the school principals.</w:t>
      </w:r>
      <w:r w:rsidRPr="005C29F8">
        <w:rPr>
          <w:rFonts w:cs="Arial"/>
          <w:color w:val="000000" w:themeColor="text1"/>
          <w:szCs w:val="16"/>
        </w:rPr>
        <w:br/>
      </w:r>
      <w:r w:rsidRPr="005C29F8">
        <w:rPr>
          <w:rFonts w:cs="Arial"/>
          <w:color w:val="000000" w:themeColor="text1"/>
          <w:szCs w:val="16"/>
        </w:rPr>
        <w:br/>
        <w:t xml:space="preserve">The Head Start Program, administered through the Palau Community Action Agency, serves as the primary educational setting for preschoolers with disabilities. Consistent with Head Start Program Performance Standards on Services to Children with Disabilities, Section 1308.4, the ROP-MOE has general supervision oversight, including monitoring, of the special education and related services provided for preschoolers with disabilities within the Head Start Program. </w:t>
      </w:r>
      <w:r w:rsidRPr="005C29F8">
        <w:rPr>
          <w:rFonts w:cs="Arial"/>
          <w:color w:val="000000" w:themeColor="text1"/>
          <w:szCs w:val="16"/>
        </w:rPr>
        <w:br/>
      </w:r>
      <w:r w:rsidRPr="005C29F8">
        <w:rPr>
          <w:rFonts w:cs="Arial"/>
          <w:color w:val="000000" w:themeColor="text1"/>
          <w:szCs w:val="16"/>
        </w:rPr>
        <w:br/>
        <w:t>Demonstration of accountability measures under IDEA is seen through a system of general supervision. ROP MOE has in place policies and procedures, consistent with the IDEA Part B requirements for providing special education and related services for children with disabilities. ROP MOE also has in place the IDEA Notice of Procedural Safeguards provided to parents of children with disabilities. Another component of ROP’s system of general supervision is the comprehensive monitoring of the implementation of IDEA, with a focus on improving results for children and youth with disabilities. ROP MOE developed the Continuous Improvement Focused Monitoring System (CIFMS) that includes on-site and off-site monitoring activities, with written guidance for the identification and correction of noncompliance, consistent with OSEP Memo 09-02. ROP MOE has designated the Special Education Program to facilitate the implementation of the CIFMS through the Chief of School Management. For the Head Start Program, the CIFMS is facilitated through the BCI Director to the Head Start Program Director.</w:t>
      </w:r>
      <w:r w:rsidRPr="005C29F8">
        <w:rPr>
          <w:rFonts w:cs="Arial"/>
          <w:color w:val="000000" w:themeColor="text1"/>
          <w:szCs w:val="16"/>
        </w:rPr>
        <w:br/>
      </w:r>
      <w:r w:rsidRPr="005C29F8">
        <w:rPr>
          <w:rFonts w:cs="Arial"/>
          <w:color w:val="000000" w:themeColor="text1"/>
          <w:szCs w:val="16"/>
        </w:rPr>
        <w:br/>
        <w:t>The ROP-MOE Special Education Program is administered by the Special Education Coordinator. The Special Education Coordinator supervises special education personnel responsible for supporting the development and delivery of special education and related services in the schools and other appropriate educational settings.</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 xml:space="preserve">The Republic of Palau (ROP), Ministry of Education (MOE) is a unitary system that provides timely delivery of high quality, evidenced based technical assistance and support to schools. The MOE Bureau of Curriculum and Instruction (BCI) is responsible for developing appropriate curricula with instructional materials for all public schools and providing training and support to school personnel for ensuring the educational programs result in successful students in Palauan society and the world. The BCI includes content, assessment, and training specialists who provide the technical assistance, training, and support to school personnel, including special education teachers. The Special Education Program Coordinator and Specialists collaborate with the BCI Chiefs and Specialists for improving instructional programs and services for all students, including students with disabilities.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The Special Education Program provides technical assistance and support to the schools in collaboration with the content, assessment, and training specialists. The Special Education Core Team which recently included representatives of each related service areas, is now comprised of the Special Education Coordinator, Special Education Specialist (also known as Consulting Resource Teachers - CRTs), Data Manager and related service providers hold meetings as needed to discuss the status of all improvement activities and what can be done to support indicator cluster teams carry out specific SPP indicator activities, which include collaborating with the BCI content, assessment, and training specialists to implement training activities with parents, principals, teachers, and related service providers at different times of the year. All technical assistance and support to the schools are coordinated as a system.</w:t>
      </w:r>
      <w:r w:rsidRPr="005C29F8">
        <w:rPr>
          <w:rFonts w:cs="Arial"/>
          <w:color w:val="000000" w:themeColor="text1"/>
          <w:szCs w:val="16"/>
        </w:rPr>
        <w:br/>
      </w:r>
      <w:r w:rsidRPr="005C29F8">
        <w:rPr>
          <w:rFonts w:cs="Arial"/>
          <w:color w:val="000000" w:themeColor="text1"/>
          <w:szCs w:val="16"/>
        </w:rPr>
        <w:br/>
        <w:t>The Head Start Program, administered through the Palau Community Action Agency, serves as the primary educational setting for preschoolers with disabilities. ROP MOE has general supervision oversight, including monitoring, of the special education and related services provided for preschoolers with disabilities within the Head Start Program. ROP MOE Special Education Program collaborates with the Head Start Program to provide technical assistance and support to the Head Start Center teachers, staff, and parents.</w:t>
      </w:r>
      <w:r w:rsidRPr="005C29F8">
        <w:rPr>
          <w:rFonts w:cs="Arial"/>
          <w:color w:val="000000" w:themeColor="text1"/>
          <w:szCs w:val="16"/>
        </w:rPr>
        <w:br/>
      </w:r>
      <w:r w:rsidRPr="005C29F8">
        <w:rPr>
          <w:rFonts w:cs="Arial"/>
          <w:color w:val="000000" w:themeColor="text1"/>
          <w:szCs w:val="16"/>
        </w:rPr>
        <w:br/>
        <w:t xml:space="preserve">The Special Education Program also provides parent workshops focused on parent rights, state complaints, parent roles and responsibilities in the special education process, and other topical areas. The parent workshops are conducted in collaboration with the Palau Parent Empowered (PPE), ROP’s organization for parents of children with disabilities, and school administrators to identify the workshop topical focus and scheduling. The partnership with PPE has improved the relationship between school and parents of children with disabilities. The Special Education Program collaborates with other ROP Ministries, programs, and organizations, such as the Ministry of Cultural Affairs, Behavioral and Public Health Services, Ministry of Justice, the Work Force Innovation Opportunity Act out of the Executive Office, and PPE, to provide technical assistance and support to the schools. In addition, the Special Education Program accesses US National resources, such as OSEP-funded projects, to support ROP’s efforts to improve educational results for students with disabilities. These resources, </w:t>
      </w:r>
      <w:proofErr w:type="gramStart"/>
      <w:r w:rsidRPr="005C29F8">
        <w:rPr>
          <w:rFonts w:cs="Arial"/>
          <w:color w:val="000000" w:themeColor="text1"/>
          <w:szCs w:val="16"/>
        </w:rPr>
        <w:t>similar to</w:t>
      </w:r>
      <w:proofErr w:type="gramEnd"/>
      <w:r w:rsidRPr="005C29F8">
        <w:rPr>
          <w:rFonts w:cs="Arial"/>
          <w:color w:val="000000" w:themeColor="text1"/>
          <w:szCs w:val="16"/>
        </w:rPr>
        <w:t xml:space="preserve"> resources accessed by the BCI content, assessment, and training specialists, are incorporated into and coordinated with the MOE BCI and school-level training, technical assistance, and support activities.</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 xml:space="preserve">The Republic of Palau (ROP), Ministry of Education (MOE) is a unitary system that ensures service providers have the skills to effectively provide services that improve results for children with disabilities. MOE’s professional development system includes professional standards for all teachers and implementation of specific MOE and school-level professional development training plans. Individual School Improvement Plans (SIP) target improving student academic skills, which prioritize the professional development training needs at the school-level. </w:t>
      </w:r>
      <w:r w:rsidRPr="005C29F8">
        <w:rPr>
          <w:rFonts w:cs="Arial"/>
          <w:color w:val="000000" w:themeColor="text1"/>
          <w:szCs w:val="16"/>
        </w:rPr>
        <w:br/>
      </w:r>
      <w:r w:rsidRPr="005C29F8">
        <w:rPr>
          <w:rFonts w:cs="Arial"/>
          <w:color w:val="000000" w:themeColor="text1"/>
          <w:szCs w:val="16"/>
        </w:rPr>
        <w:br/>
        <w:t xml:space="preserve">The MOE Bureau of Curriculum and Instruction (BCI) facilitates the training and support to school personnel for ensuring the educational programs result in successful students in Palauan society and the world. The BCI includes content, assessment, and training specialists who provide the technical assistance, training, and support to school personnel, including special education teachers.  The Special Education Coordinator and Specialists collaborate with the BCI Chiefs and Specialists for improving instructional programs and services for all students, including students with disabilities. Specific special education training activities for principals, teachers, related service providers, and parents are coordinated with the MOE and school-level professional development training plans. MOE sponsors an annual ROP Educational Convention in the summer that offers workshops and presentations on prioritized topical areas for all teachers and administrators. </w:t>
      </w:r>
      <w:r w:rsidRPr="005C29F8">
        <w:rPr>
          <w:rFonts w:cs="Arial"/>
          <w:color w:val="000000" w:themeColor="text1"/>
          <w:szCs w:val="16"/>
        </w:rPr>
        <w:br/>
      </w:r>
      <w:r w:rsidRPr="005C29F8">
        <w:rPr>
          <w:rFonts w:cs="Arial"/>
          <w:color w:val="000000" w:themeColor="text1"/>
          <w:szCs w:val="16"/>
        </w:rPr>
        <w:br/>
        <w:t xml:space="preserve">The Special Education Coordinator participates in the MOE quarterly meetings with all school administrators, MOE Management Team, and program coordinators and content specialists. The meetings are designed to provide updates on all MOE programs and services, including special education, and upcoming training activities and needs in the schools. In collaboration with the BCI Chiefs and Specialists, the Special Education Coordinator and Core Team facilitate the implementation of the prioritized training needs, including parent training. In addition, the Special Education Coordinator accesses various local, regional, and national resources to support improved related service provisions for children with disabilities. For several years, ROP Special Education Program has had a contract with University of Guam Center for Excellence in Developmental Disabilities Education, Research, and Service (Guam CEDDERS). This year's consultants and trainers through Guam CEDDERS continued to work with the Special Education Core Team on identified needs or on-going initiatives for the provision of special education to students with disabilities, families, stakeholders and other partner agencies or programs. Guam CEDDERS has also been instrumental as a liaison on occasions for the Special Education Program with US mainland and Pacific entities on related work issues. </w:t>
      </w:r>
      <w:r w:rsidRPr="005C29F8">
        <w:rPr>
          <w:rFonts w:cs="Arial"/>
          <w:color w:val="000000" w:themeColor="text1"/>
          <w:szCs w:val="16"/>
        </w:rPr>
        <w:br/>
      </w:r>
      <w:r w:rsidRPr="005C29F8">
        <w:rPr>
          <w:rFonts w:cs="Arial"/>
          <w:color w:val="000000" w:themeColor="text1"/>
          <w:szCs w:val="16"/>
        </w:rPr>
        <w:br/>
        <w:t xml:space="preserve">With OSEP’s Results-Driven Accountability focus, the BCI Director has endorsed ROP’s commitment to the development and implementation of ROP’s State Systemic Improvement Plan (SSIP) as </w:t>
      </w:r>
      <w:proofErr w:type="gramStart"/>
      <w:r w:rsidRPr="005C29F8">
        <w:rPr>
          <w:rFonts w:cs="Arial"/>
          <w:color w:val="000000" w:themeColor="text1"/>
          <w:szCs w:val="16"/>
        </w:rPr>
        <w:t>a</w:t>
      </w:r>
      <w:proofErr w:type="gramEnd"/>
      <w:r w:rsidRPr="005C29F8">
        <w:rPr>
          <w:rFonts w:cs="Arial"/>
          <w:color w:val="000000" w:themeColor="text1"/>
          <w:szCs w:val="16"/>
        </w:rPr>
        <w:t xml:space="preserve"> MOE Initiative. The BCI Director appoints key MOE administrators and staff to serve on the MOE SSIP Team. ROP’s SSIP development and implementation is viewed as an overall system improvement process that serves as one of the key MOE technical assistance and professional development efforts to impact the teaching and learning dynamic for improving the educational results for ALL students. </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FFY 2019 Annual Performance Report (APR). The Special Education Coordinator, Special Education Specialists (also known as CRTs), and Data Manager are responsible for facilitating ROP’s stakeholder involvement. </w:t>
      </w:r>
      <w:r w:rsidRPr="005C29F8">
        <w:rPr>
          <w:rFonts w:cs="Arial"/>
          <w:color w:val="000000" w:themeColor="text1"/>
          <w:szCs w:val="16"/>
        </w:rPr>
        <w:br/>
      </w:r>
      <w:r w:rsidRPr="005C29F8">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ROP’s APR. 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Also, the SSIP Target School Team, composed of the school administrators and teachers, serve as key stakeholders to ensure feedback on the SSIP implementation progress by the teachers who work directly with the students is incorporated in the implementation and evaluation priorities for improvement. </w:t>
      </w:r>
      <w:r w:rsidRPr="005C29F8">
        <w:rPr>
          <w:rFonts w:cs="Arial"/>
          <w:color w:val="000000" w:themeColor="text1"/>
          <w:szCs w:val="16"/>
        </w:rPr>
        <w:br/>
      </w:r>
      <w:r w:rsidRPr="005C29F8">
        <w:rPr>
          <w:rFonts w:cs="Arial"/>
          <w:color w:val="000000" w:themeColor="text1"/>
          <w:szCs w:val="16"/>
        </w:rPr>
        <w:br/>
        <w:t xml:space="preserve">Highlights of MOE’s engagement with ROP stakeholders for the development of ROP’s FFY 2013-2019 SPP, FFY 2019 APR, and the development of ROP’s SPP: SSIP Indicator 17 included the following: </w:t>
      </w:r>
      <w:r w:rsidRPr="005C29F8">
        <w:rPr>
          <w:rFonts w:cs="Arial"/>
          <w:color w:val="000000" w:themeColor="text1"/>
          <w:szCs w:val="16"/>
        </w:rPr>
        <w:br/>
      </w:r>
      <w:r w:rsidRPr="005C29F8">
        <w:rPr>
          <w:rFonts w:cs="Arial"/>
          <w:color w:val="000000" w:themeColor="text1"/>
          <w:szCs w:val="16"/>
        </w:rPr>
        <w:br/>
        <w:t>Special Education Advisory Council (SEAC):</w:t>
      </w:r>
      <w:r w:rsidRPr="005C29F8">
        <w:rPr>
          <w:rFonts w:cs="Arial"/>
          <w:color w:val="000000" w:themeColor="text1"/>
          <w:szCs w:val="16"/>
        </w:rPr>
        <w:br/>
      </w:r>
      <w:r w:rsidRPr="005C29F8">
        <w:rPr>
          <w:rFonts w:cs="Arial"/>
          <w:color w:val="000000" w:themeColor="text1"/>
          <w:szCs w:val="16"/>
        </w:rPr>
        <w:br/>
        <w:t xml:space="preserve">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 </w:t>
      </w:r>
      <w:r w:rsidRPr="005C29F8">
        <w:rPr>
          <w:rFonts w:cs="Arial"/>
          <w:color w:val="000000" w:themeColor="text1"/>
          <w:szCs w:val="16"/>
        </w:rPr>
        <w:br/>
      </w:r>
      <w:r w:rsidRPr="005C29F8">
        <w:rPr>
          <w:rFonts w:cs="Arial"/>
          <w:color w:val="000000" w:themeColor="text1"/>
          <w:szCs w:val="16"/>
        </w:rPr>
        <w:lastRenderedPageBreak/>
        <w:br/>
        <w:t xml:space="preserve">Quarterly Updates of Special Education Program to the Ministry of Education's Management Team and all School Principals: </w:t>
      </w:r>
      <w:r w:rsidRPr="005C29F8">
        <w:rPr>
          <w:rFonts w:cs="Arial"/>
          <w:color w:val="000000" w:themeColor="text1"/>
          <w:szCs w:val="16"/>
        </w:rPr>
        <w:br/>
      </w:r>
      <w:r w:rsidRPr="005C29F8">
        <w:rPr>
          <w:rFonts w:cs="Arial"/>
          <w:color w:val="000000" w:themeColor="text1"/>
          <w:szCs w:val="16"/>
        </w:rPr>
        <w:br/>
        <w:t xml:space="preserve">Due to the COVID-19 pandemic, the MOE quarterly meetings were cancelled until school year 2020-2021. As scheduled, the Special Education Coordinator presented the ROP FFY2020 Determination (Needs Intervention) and an overview of how that was determined based on ROP’s performance as reported in FFY2018 APR, Part B 618 Data Report and FFY2020 Part B Grant’s specific condition with emphasis of strengthening MOE’s commitment and efforts in improving results for children with disabilities. The Special Education Coordinator provided heads up on upcoming submissions of FFY2019 SPP/APR, FFY2019 SSIP Phase III Year Five, and FFY2021 Part B Grant Application and shared information about the NCSI Pacific Cross-State Learning Collaborative with emphasis on the participation of the SSIP Core Team during the November 2020 virtual convening. Information was also shared on virtual training schedules for CRTs, teachers, related service providers including child specific technical assistance that involved school teams. An overview of the MOE’s </w:t>
      </w:r>
      <w:proofErr w:type="spellStart"/>
      <w:r w:rsidRPr="005C29F8">
        <w:rPr>
          <w:rFonts w:cs="Arial"/>
          <w:color w:val="000000" w:themeColor="text1"/>
          <w:szCs w:val="16"/>
        </w:rPr>
        <w:t>Bookshare</w:t>
      </w:r>
      <w:proofErr w:type="spellEnd"/>
      <w:r w:rsidRPr="005C29F8">
        <w:rPr>
          <w:rFonts w:cs="Arial"/>
          <w:color w:val="000000" w:themeColor="text1"/>
          <w:szCs w:val="16"/>
        </w:rPr>
        <w:t xml:space="preserve"> Guidelines and Recommendation Form was presented with an assurance that CRTs will work with their respective schools to become more adept in this new process. </w:t>
      </w:r>
      <w:proofErr w:type="spellStart"/>
      <w:r w:rsidRPr="005C29F8">
        <w:rPr>
          <w:rFonts w:cs="Arial"/>
          <w:color w:val="000000" w:themeColor="text1"/>
          <w:szCs w:val="16"/>
        </w:rPr>
        <w:t>Bookshare</w:t>
      </w:r>
      <w:proofErr w:type="spellEnd"/>
      <w:r w:rsidRPr="005C29F8">
        <w:rPr>
          <w:rFonts w:cs="Arial"/>
          <w:color w:val="000000" w:themeColor="text1"/>
          <w:szCs w:val="16"/>
        </w:rPr>
        <w:t xml:space="preserve">, an OSEP-funded e-library provides accessible reading materials for eligible students with print disabilities. Shared results of the December 2020 Offsite Monitoring and acknowledged the schools’ efforts and contributions of key personnel involved in maintaining compliance of specific IDEA requirements reviewed. </w:t>
      </w:r>
      <w:r w:rsidRPr="005C29F8">
        <w:rPr>
          <w:rFonts w:cs="Arial"/>
          <w:color w:val="000000" w:themeColor="text1"/>
          <w:szCs w:val="16"/>
        </w:rPr>
        <w:br/>
      </w:r>
      <w:r w:rsidRPr="005C29F8">
        <w:rPr>
          <w:rFonts w:cs="Arial"/>
          <w:color w:val="000000" w:themeColor="text1"/>
          <w:szCs w:val="16"/>
        </w:rPr>
        <w:br/>
        <w:t>SSIP Core Team:</w:t>
      </w:r>
      <w:r w:rsidRPr="005C29F8">
        <w:rPr>
          <w:rFonts w:cs="Arial"/>
          <w:color w:val="000000" w:themeColor="text1"/>
          <w:szCs w:val="16"/>
        </w:rPr>
        <w:br/>
      </w:r>
      <w:r w:rsidRPr="005C29F8">
        <w:rPr>
          <w:rFonts w:cs="Arial"/>
          <w:color w:val="000000" w:themeColor="text1"/>
          <w:szCs w:val="16"/>
        </w:rPr>
        <w:br/>
        <w:t>The ROP SSIP Core team continues to meet at least monthly to review ROP’s SSIP implementation progress, FFY 2019 State-Identified Measurable Results (SIMR) results, and implementation of evaluation measures. The meetings included updates to the calendar of activities to ensure progress toward meeting the SIMRs. As required, for Indicator 17, ROP’s Part B State Systemic Improvement Plan (SSIP), ROP will submit its SSIP Phase III-Year Five Report no later than April 1, 2021.</w:t>
      </w:r>
      <w:r w:rsidRPr="005C29F8">
        <w:rPr>
          <w:rFonts w:cs="Arial"/>
          <w:color w:val="000000" w:themeColor="text1"/>
          <w:szCs w:val="16"/>
        </w:rPr>
        <w:br/>
      </w:r>
      <w:r w:rsidRPr="005C29F8">
        <w:rPr>
          <w:rFonts w:cs="Arial"/>
          <w:color w:val="000000" w:themeColor="text1"/>
          <w:szCs w:val="16"/>
        </w:rPr>
        <w:br/>
        <w:t xml:space="preserve">Other Activities Related to Stakeholders: </w:t>
      </w:r>
      <w:r w:rsidRPr="005C29F8">
        <w:rPr>
          <w:rFonts w:cs="Arial"/>
          <w:color w:val="000000" w:themeColor="text1"/>
          <w:szCs w:val="16"/>
        </w:rPr>
        <w:br/>
      </w:r>
      <w:r w:rsidRPr="005C29F8">
        <w:rPr>
          <w:rFonts w:cs="Arial"/>
          <w:color w:val="000000" w:themeColor="text1"/>
          <w:szCs w:val="16"/>
        </w:rPr>
        <w:br/>
        <w:t>Public Awareness:</w:t>
      </w:r>
      <w:r w:rsidRPr="005C29F8">
        <w:rPr>
          <w:rFonts w:cs="Arial"/>
          <w:color w:val="000000" w:themeColor="text1"/>
          <w:szCs w:val="16"/>
        </w:rPr>
        <w:br/>
      </w:r>
      <w:r w:rsidRPr="005C29F8">
        <w:rPr>
          <w:rFonts w:cs="Arial"/>
          <w:color w:val="000000" w:themeColor="text1"/>
          <w:szCs w:val="16"/>
        </w:rPr>
        <w:br/>
        <w:t>During an MOE radio talk show activity, Special Education Coordinator and the Principal of the SSIP Target School shared information about special education services and an overview of ROP SSIP Activities.</w:t>
      </w:r>
      <w:r w:rsidRPr="005C29F8">
        <w:rPr>
          <w:rFonts w:cs="Arial"/>
          <w:color w:val="000000" w:themeColor="text1"/>
          <w:szCs w:val="16"/>
        </w:rPr>
        <w:br/>
      </w:r>
      <w:r w:rsidRPr="005C29F8">
        <w:rPr>
          <w:rFonts w:cs="Arial"/>
          <w:color w:val="000000" w:themeColor="text1"/>
          <w:szCs w:val="16"/>
        </w:rPr>
        <w:br/>
        <w:t>The Special Education Coordinator was invited to share general guidelines for parents of children with disabilities receiving special education services during a parent workshop which was one of the activities to celebrate the International Day of Persons with Disabilities. Other special education staff members either participated in another parent training on a different day or in the parade with all participants as the closing activity.</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NO</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Republic of Palau (ROP) is a unitary system and does not have LEAs. As required, ROP reports annually to the public on the progress and/or slippage in meeting the ‘measurable and rigorous targets’ found in its SPP through posting its APR. ROP will post its SPP/APR annually within 120 days following ROP's submission of its SPP/APR, including any revisions if ROP has revised its SPP. ROP posts its complete SPP and all APRs on the following ROP MOE website: http://www.palaumoe.net/sped/.</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Palau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Palau must, consistent with its evaluation plan described in Phase II, assess and report on its progress in implementing the SSIP.  Specifically, Palau must provide: (1) a narrative or graphic representation of the principal activities implemented in Phase III, Year Five; (2) measures and outcomes that were implemented and achieved since Palau's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As required, for Indicator 17, ROP’s Part B State Systemic Improvement Plan (SSIP), ROP will submit its SSIP Phase III-Year Five Report no later than April 1, 2021. Per OSEP’s guidance, ROP’s SSIP Phase III-Year Five Report will provide data and analysis, consistent with its evaluation plan, on the extent to which ROP has made progress towards or has met the State-established short-term and long-term outcomes for implementation of its SSIP and has made progress in achieving ROP’s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for children with disabilities.</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Department has imposed Specific Conditions on Palau's IDEA Part B grant award each year from FFY 2017 through FFY 2020 related to policies and procedures regarding qualifications for special education teachers, pursuant to section 612(a)(14)(C) of the IDEA and 34 C.F.R. § 300.156(c).</w:t>
      </w:r>
      <w:r w:rsidRPr="005C29F8">
        <w:rPr>
          <w:rFonts w:cs="Arial"/>
          <w:color w:val="000000" w:themeColor="text1"/>
          <w:szCs w:val="16"/>
        </w:rPr>
        <w:br/>
      </w:r>
      <w:r w:rsidRPr="005C29F8">
        <w:rPr>
          <w:rFonts w:cs="Arial"/>
          <w:color w:val="000000" w:themeColor="text1"/>
          <w:szCs w:val="16"/>
        </w:rPr>
        <w:br/>
        <w:t>Due to the circumstances created by the COVID-19 pandemic, and resulting school closures, Palau does not have any FFY 2019 data for indicator 17.</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 xml:space="preserve">OSEP notes that Palau submitted verification that the attachment(s) complies with Section 508 of the Rehabilitation Act of 1973, as amended (Section 508). However, one or more of the </w:t>
      </w:r>
      <w:proofErr w:type="gramStart"/>
      <w:r w:rsidRPr="005C29F8">
        <w:rPr>
          <w:rFonts w:cs="Arial"/>
          <w:color w:val="000000" w:themeColor="text1"/>
          <w:szCs w:val="16"/>
        </w:rPr>
        <w:t>Indicator</w:t>
      </w:r>
      <w:proofErr w:type="gramEnd"/>
      <w:r w:rsidRPr="005C29F8">
        <w:rPr>
          <w:rFonts w:cs="Arial"/>
          <w:color w:val="000000" w:themeColor="text1"/>
          <w:szCs w:val="16"/>
        </w:rPr>
        <w:t xml:space="preserve"> 17 attachments included in the Palau’s FFY 2019 SPP/APR submission are not in compliance with Section 508 and will not be posted on the U.S. Department of Education’s IDEA website. Therefore, Palau must make the attachment(s) available to the public as soon as practicable, but no later than 120 days after the date of the determination letter.</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 xml:space="preserve">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w:t>
      </w:r>
      <w:proofErr w:type="gramStart"/>
      <w:r w:rsidRPr="005C29F8">
        <w:rPr>
          <w:rFonts w:cs="Arial"/>
          <w:color w:val="000000" w:themeColor="text1"/>
          <w:szCs w:val="16"/>
        </w:rPr>
        <w:t>extended-year</w:t>
      </w:r>
      <w:proofErr w:type="gramEnd"/>
      <w:r w:rsidRPr="005C29F8">
        <w:rPr>
          <w:rFonts w:cs="Arial"/>
          <w:color w:val="000000" w:themeColor="text1"/>
          <w:szCs w:val="16"/>
        </w:rPr>
        <w:t xml:space="preserve">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2017</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70.00%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30.00%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30.00%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40.00%</w:t>
            </w:r>
          </w:p>
        </w:tc>
        <w:tc>
          <w:tcPr>
            <w:tcW w:w="833" w:type="pct"/>
            <w:shd w:val="clear" w:color="auto" w:fill="auto"/>
            <w:vAlign w:val="center"/>
          </w:tcPr>
          <w:p w14:paraId="54566D6E" w14:textId="0812F659" w:rsidR="007F24E2" w:rsidRPr="005C29F8" w:rsidRDefault="007F24E2" w:rsidP="00E0321D">
            <w:pPr>
              <w:jc w:val="center"/>
              <w:rPr>
                <w:rFonts w:cs="Arial"/>
                <w:color w:val="000000" w:themeColor="text1"/>
                <w:szCs w:val="16"/>
              </w:rPr>
            </w:pP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70.10%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25.00%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33.33%</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33.33%</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70.00%</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16.67%</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70.10%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4B3FDE61" w:rsidR="00866B4D" w:rsidRPr="005C29F8" w:rsidRDefault="00BF37B1" w:rsidP="00A018D4">
            <w:pPr>
              <w:jc w:val="center"/>
              <w:rPr>
                <w:rFonts w:cs="Arial"/>
                <w:color w:val="000000" w:themeColor="text1"/>
                <w:szCs w:val="16"/>
              </w:rPr>
            </w:pPr>
            <w:r>
              <w:rPr>
                <w:rFonts w:cs="Arial"/>
                <w:color w:val="000000" w:themeColor="text1"/>
                <w:szCs w:val="16"/>
              </w:rPr>
              <w:t>*</w:t>
            </w:r>
            <w:r w:rsidR="007F668F">
              <w:rPr>
                <w:rStyle w:val="FootnoteReference"/>
                <w:rFonts w:cs="Arial"/>
                <w:color w:val="000000" w:themeColor="text1"/>
                <w:szCs w:val="16"/>
              </w:rPr>
              <w:footnoteReference w:id="2"/>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10</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5C25EF0F" w:rsidR="00866B4D" w:rsidRPr="00655B35" w:rsidRDefault="00BF37B1" w:rsidP="00A018D4">
            <w:pPr>
              <w:jc w:val="center"/>
              <w:rPr>
                <w:rFonts w:cs="Arial"/>
                <w:color w:val="000000" w:themeColor="text1"/>
                <w:szCs w:val="16"/>
                <w:vertAlign w:val="superscript"/>
              </w:rPr>
            </w:pPr>
            <w:r>
              <w:rPr>
                <w:rFonts w:cs="Arial"/>
                <w:color w:val="000000" w:themeColor="text1"/>
                <w:szCs w:val="16"/>
              </w:rPr>
              <w:t>*</w:t>
            </w:r>
            <w:r w:rsidR="00691100">
              <w:rPr>
                <w:rFonts w:cs="Arial"/>
                <w:color w:val="000000" w:themeColor="text1"/>
                <w:szCs w:val="16"/>
                <w:vertAlign w:val="superscript"/>
              </w:rPr>
              <w:t>1</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lastRenderedPageBreak/>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BC1AAD1" w:rsidR="0098478C" w:rsidRPr="00691100" w:rsidRDefault="00BF37B1" w:rsidP="00A018D4">
            <w:pPr>
              <w:jc w:val="center"/>
              <w:rPr>
                <w:rFonts w:cs="Arial"/>
                <w:color w:val="000000" w:themeColor="text1"/>
                <w:szCs w:val="16"/>
                <w:vertAlign w:val="superscript"/>
              </w:rPr>
            </w:pPr>
            <w:r>
              <w:rPr>
                <w:rFonts w:cs="Arial"/>
                <w:color w:val="000000" w:themeColor="text1"/>
                <w:szCs w:val="16"/>
              </w:rPr>
              <w:t>*</w:t>
            </w:r>
            <w:r w:rsidR="00691100">
              <w:rPr>
                <w:rFonts w:cs="Arial"/>
                <w:color w:val="000000" w:themeColor="text1"/>
                <w:szCs w:val="16"/>
                <w:vertAlign w:val="superscript"/>
              </w:rPr>
              <w:t>1</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16.67%</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70.10%</w:t>
            </w:r>
          </w:p>
        </w:tc>
        <w:tc>
          <w:tcPr>
            <w:tcW w:w="633" w:type="pct"/>
            <w:shd w:val="clear" w:color="auto" w:fill="auto"/>
          </w:tcPr>
          <w:p w14:paraId="4A53AF2D" w14:textId="3650FB33" w:rsidR="0098478C" w:rsidRPr="00691100" w:rsidRDefault="00BF37B1" w:rsidP="00A018D4">
            <w:pPr>
              <w:jc w:val="center"/>
              <w:rPr>
                <w:rFonts w:cs="Arial"/>
                <w:color w:val="000000" w:themeColor="text1"/>
                <w:szCs w:val="16"/>
                <w:vertAlign w:val="superscript"/>
              </w:rPr>
            </w:pPr>
            <w:r>
              <w:rPr>
                <w:rFonts w:cs="Arial"/>
                <w:color w:val="000000" w:themeColor="text1"/>
                <w:szCs w:val="16"/>
              </w:rPr>
              <w:t>*</w:t>
            </w:r>
            <w:r w:rsidR="00691100">
              <w:rPr>
                <w:rFonts w:cs="Arial"/>
                <w:color w:val="000000" w:themeColor="text1"/>
                <w:szCs w:val="16"/>
                <w:vertAlign w:val="superscript"/>
              </w:rPr>
              <w:t>1</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Other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 xml:space="preserve">Graduation Conditions: There are two options for students with disabilities to graduate: Regular high school diploma and an IEP diploma/certificate. Regular high school diploma is considered a ‘regular’ diploma for reporting performance for Indicator 1. Effective August 2010, a regular diploma is defined as completion of 27 credits and required high school courses and electives, consistent with the credit and course requirements for all high school students. An IEP diploma/certificate is a diploma/certificate awarded to students who successfully earned 27 credits and completed the requirements of their IEP. The reference to earning 27 credits for an IEP diploma/certificate is related to instructional time completed, </w:t>
      </w:r>
      <w:proofErr w:type="gramStart"/>
      <w:r w:rsidRPr="005C29F8">
        <w:rPr>
          <w:rFonts w:cs="Arial"/>
          <w:color w:val="000000" w:themeColor="text1"/>
          <w:szCs w:val="16"/>
        </w:rPr>
        <w:t>i.e.</w:t>
      </w:r>
      <w:proofErr w:type="gramEnd"/>
      <w:r w:rsidRPr="005C29F8">
        <w:rPr>
          <w:rFonts w:cs="Arial"/>
          <w:color w:val="000000" w:themeColor="text1"/>
          <w:szCs w:val="16"/>
        </w:rPr>
        <w:t xml:space="preserve"> one credit is earned for one class period per semester.</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2009</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18.00%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10.00%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7.00%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7.00%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2.00%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2.00%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5.88%</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8.57%</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3.33%</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7.41%</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18.18%</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2.00%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As one of the Freely Associated States (FAS), ROP does not report drop-out data to the Department under Title 1 of ESEA.  ROP uses Option 2 for reporting drop-out rates, consistent with its FFY 2010 SPP/APR.</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With stakeholder input, ROP continues to choose Option 2 to report drop-out rates for Indicator 2. ROP uses the high school enrollment and reported IDEA 618 Exit data to calculate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following the one-year lag data requirement.  In school year 2018-2019, there were four youth with an IEP who dropped out of high school.  The enrollment data for high school was taken from the ROP Ministry of Education Research and Evaluation Division and verified with the high school.</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883"/>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18</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18.18%</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2.00%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22.22%</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ROP reported a total of 4 students with IEPs who dropped out from high school, which represented the same number from previous year’s FFY 2018 APR Indicator 2 data. The slippage in performance by 4.04% from 18.18% (4/22) in FFY 2018 to 22.22% (4/18) in FFY 2019 was due to the decrease in the total enrollment of high school students with IEPs from 22 in FFY 2018 APR to 18 in FFY 2019.</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As discussed in the Stakeholder Input section, in January 2021, the SEAC decided to continue prioritizing efforts to improve supports and services for youth with disabilities pursuing higher education or employment after high school.  This support is intended to encourage youth with IEPs to stay in school, which would decrease the number of </w:t>
      </w:r>
      <w:proofErr w:type="gramStart"/>
      <w:r w:rsidRPr="005C29F8">
        <w:rPr>
          <w:rFonts w:cs="Arial"/>
          <w:color w:val="000000" w:themeColor="text1"/>
          <w:szCs w:val="16"/>
          <w:shd w:val="clear" w:color="auto" w:fill="FFFFFF"/>
        </w:rPr>
        <w:t>drop-outs</w:t>
      </w:r>
      <w:proofErr w:type="gramEnd"/>
      <w:r w:rsidRPr="005C29F8">
        <w:rPr>
          <w:rFonts w:cs="Arial"/>
          <w:color w:val="000000" w:themeColor="text1"/>
          <w:szCs w:val="16"/>
          <w:shd w:val="clear" w:color="auto" w:fill="FFFFFF"/>
        </w:rPr>
        <w:t>.</w:t>
      </w: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MOE drop-out procedures, such as attendance and withdrawal requirements, are the same for students without disabilities and students with disabilities. MOE drop-out definition is consistent with the IDEA 618 drop-out definition.</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lastRenderedPageBreak/>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2017</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80.00%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85.00%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85.00%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73.47%</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79.49%</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96.77%</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94.29%</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73.47%</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85.71%</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2017</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80.00%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85.00%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85.00%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65.31%</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76.92%</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96.77%</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94.29%</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65.31%</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87.50%</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Due to the COVID-19 pandemic, schools closed in March 2020 for the rest of the school year. The ROP MOE did not administer its state-wide assessments, as with other education systems in the U.S. states and entities. USDOE approved waivers to states for the administration of the Spring 2020 state-wide assessments.</w:t>
      </w: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85.71%</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87.50%</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lastRenderedPageBreak/>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 xml:space="preserve">Due to the circumstances created by the COVID-19 pandemic, Palau did not report any FFY 2019 data for this indicator. </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2017</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15.00%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25.00%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35.00%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35.00%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30.56%</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22.58%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26.67%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30.30%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30.56%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17.02%</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2017</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10.00%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20.00%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30.00%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35.00%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34.38%</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26.67%</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26.67%</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18.18%</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34.38%</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26.53%</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35.00%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35.00%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t>Due to the COVID-19 pandemic, schools closed in March 2020 for the rest of the school year. The ROP MOE did not administer its state-wide assessments, as with other education systems in the U.S. states and entities. USDOE approved waivers to states for the administration of the Spring 2020 state-wide assessments.</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17.02%</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35.00%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26.53%</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35.00%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 xml:space="preserve">Due to the circumstances created by the COVID-19 pandemic, Palau did not report any FFY 2019 data for this indicator. </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ROP is a unitary system and does not include LEAs. Therefore, determination of "significant discrepancy" is based on data comparison of two groups - students without disabilities and students with disabilities.</w:t>
      </w:r>
      <w:r w:rsidRPr="005C29F8">
        <w:rPr>
          <w:rFonts w:cs="Arial"/>
          <w:color w:val="000000" w:themeColor="text1"/>
          <w:szCs w:val="16"/>
        </w:rPr>
        <w:br/>
      </w:r>
      <w:r w:rsidRPr="005C29F8">
        <w:rPr>
          <w:rFonts w:cs="Arial"/>
          <w:color w:val="000000" w:themeColor="text1"/>
          <w:szCs w:val="16"/>
        </w:rPr>
        <w:br/>
        <w:t xml:space="preserve">Definition of “significant discrepancy”: Reported in the FFY 2006 APR, resubmitted in April 2008, ROP continues to define significant discrepancy as a relative difference that exceeds .5. </w:t>
      </w:r>
      <w:r w:rsidRPr="005C29F8">
        <w:rPr>
          <w:rFonts w:cs="Arial"/>
          <w:color w:val="000000" w:themeColor="text1"/>
          <w:szCs w:val="16"/>
        </w:rPr>
        <w:br/>
        <w:t>This is calculated as follows:</w:t>
      </w:r>
      <w:r w:rsidRPr="005C29F8">
        <w:rPr>
          <w:rFonts w:cs="Arial"/>
          <w:color w:val="000000" w:themeColor="text1"/>
          <w:szCs w:val="16"/>
        </w:rPr>
        <w:br/>
        <w:t>(a) % of suspensions &gt; 10 days for students with disabilities equals # of students with disabilities suspended/expelled divided by # of students with disabilities enrolled in school year.</w:t>
      </w:r>
      <w:r w:rsidRPr="005C29F8">
        <w:rPr>
          <w:rFonts w:cs="Arial"/>
          <w:color w:val="000000" w:themeColor="text1"/>
          <w:szCs w:val="16"/>
        </w:rPr>
        <w:br/>
        <w:t>(b) % of suspensions &gt; 10 days for students without disabilities equals # of students without disabilities suspended/expelled divided by # of students without disabilities enrolled in school year.</w:t>
      </w:r>
      <w:r w:rsidRPr="005C29F8">
        <w:rPr>
          <w:rFonts w:cs="Arial"/>
          <w:color w:val="000000" w:themeColor="text1"/>
          <w:szCs w:val="16"/>
        </w:rPr>
        <w:br/>
      </w:r>
      <w:r w:rsidRPr="005C29F8">
        <w:rPr>
          <w:rFonts w:cs="Arial"/>
          <w:color w:val="000000" w:themeColor="text1"/>
          <w:szCs w:val="16"/>
        </w:rPr>
        <w:br/>
        <w:t>The difference in the rates of suspension between (a) and (b) equals (a) – (b). The relative difference in the rates of suspension/expulsion equals (a) – (b) / (b).</w:t>
      </w:r>
      <w:r w:rsidRPr="005C29F8">
        <w:rPr>
          <w:rFonts w:cs="Arial"/>
          <w:color w:val="000000" w:themeColor="text1"/>
          <w:szCs w:val="16"/>
        </w:rPr>
        <w:br/>
      </w:r>
      <w:r w:rsidRPr="005C29F8">
        <w:rPr>
          <w:rFonts w:cs="Arial"/>
          <w:color w:val="000000" w:themeColor="text1"/>
          <w:szCs w:val="16"/>
        </w:rPr>
        <w:br/>
        <w:t>FFY 2019 reported data represent the one-year data lag requirement with the relative difference calculated as follows using data from 2018-2019:</w:t>
      </w:r>
      <w:r w:rsidRPr="005C29F8">
        <w:rPr>
          <w:rFonts w:cs="Arial"/>
          <w:color w:val="000000" w:themeColor="text1"/>
          <w:szCs w:val="16"/>
        </w:rPr>
        <w:br/>
      </w:r>
      <w:r w:rsidRPr="005C29F8">
        <w:rPr>
          <w:rFonts w:cs="Arial"/>
          <w:color w:val="000000" w:themeColor="text1"/>
          <w:szCs w:val="16"/>
        </w:rPr>
        <w:br/>
        <w:t>1.28% (1/78=students with disabilities) – 1.33% (29/2188=students without disabilities) = -0.05/1.33 = -0.04 Relative Difference.</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In FFY 2019, ROP did not report significant discrepancy and did not identify noncompliance.</w:t>
      </w:r>
      <w:r w:rsidRPr="005C29F8">
        <w:rPr>
          <w:rFonts w:cs="Arial"/>
          <w:color w:val="000000" w:themeColor="text1"/>
          <w:szCs w:val="16"/>
        </w:rPr>
        <w:br/>
      </w:r>
      <w:r w:rsidRPr="005C29F8">
        <w:rPr>
          <w:rFonts w:cs="Arial"/>
          <w:color w:val="000000" w:themeColor="text1"/>
          <w:szCs w:val="16"/>
        </w:rPr>
        <w:br/>
        <w:t xml:space="preserve">ROP reviewed its policies, procedures, and practices related to the development and implementation of IEPs, the use of positive behavioral interventions and supports, and procedural safeguards to determine if ROP demonstrated noncompliance with the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under 34 CFR Section 300.170(b). ROP assures that its policies, procedures, and practices related to the development and implementation of IEPs, the use of positive behavioral interventions and supports, and procedural safeguards comply with the IDEA requirements.  </w:t>
      </w:r>
      <w:r w:rsidRPr="005C29F8">
        <w:rPr>
          <w:rFonts w:cs="Arial"/>
          <w:color w:val="000000" w:themeColor="text1"/>
          <w:szCs w:val="16"/>
        </w:rPr>
        <w:br/>
      </w:r>
      <w:r w:rsidRPr="005C29F8">
        <w:rPr>
          <w:rFonts w:cs="Arial"/>
          <w:color w:val="000000" w:themeColor="text1"/>
          <w:szCs w:val="16"/>
        </w:rPr>
        <w:br/>
        <w:t>ROP has Special Education Specialists assigned to schools to support the procedural implementation of IDEA. These Special Education Specialists work closely with the school principals to ensure that the IDEA procedural safeguards are provided for each student with an IEP. The Special Education Teachers complete and submit the weekly activity form to the Special Education Office every Friday. This form includes student absences and suspension data. The Special Education Specialists review the completed weekly activity form to determine if there is an attendance issue or a potential for any procedural noncompliance.</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lastRenderedPageBreak/>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Per OSEP's instructions, Indicator 4B is not applicable to ROP.</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Palau. </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55.00%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55.00%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62.00%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58.00%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58.24%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63.95%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59.15%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60.00%</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11.00%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13.19%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17.44%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16.90%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13.75%</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2.00%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0.00%</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In addition, the SEAC decided to continue prioritizing efforts to improve supports and services for youth with disabilities pursuing higher education or employment after high school.</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84</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48</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12</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48</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84</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565" w:type="pct"/>
            <w:shd w:val="clear" w:color="auto" w:fill="auto"/>
            <w:vAlign w:val="center"/>
          </w:tcPr>
          <w:p w14:paraId="497D8B9F" w14:textId="585C0A39"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57.14%</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12</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84</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13.75%</w:t>
            </w:r>
          </w:p>
        </w:tc>
        <w:tc>
          <w:tcPr>
            <w:tcW w:w="565" w:type="pct"/>
            <w:shd w:val="clear" w:color="auto" w:fill="auto"/>
            <w:vAlign w:val="center"/>
          </w:tcPr>
          <w:p w14:paraId="02F3CF00" w14:textId="6A81B00C"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14.29%</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84</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5" w:type="pct"/>
            <w:shd w:val="clear" w:color="auto" w:fill="auto"/>
            <w:vAlign w:val="center"/>
          </w:tcPr>
          <w:p w14:paraId="10D1478E" w14:textId="0F36466F"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ROP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impacted ROP’s data for SPP/APR Indicators 5 and 6 because the required data source for SPP/APR Indicators 5 and 6 is the same data as used for reporting to the Department under IDEA section 618. Therefore, ROP’s slippage status for FFY 2019 indicates “NA” for this indicator because ROP has re-established baseline for this indicator, using data from the IDEA Section 618 Environments data.</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Palau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Palau's data for SPP/APR Indicators 5 and 6, because the required data source for SPP/APR Indicators 5 and 6 is the same data as used for reporting to the Department under IDEA section 618.  Therefore, Palau's slippage status indicates “NA” for this indicator. However, Palau must revise the baseline for this indicator, using data from FFY 2019.</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2B7490" w:rsidP="001F692C">
      <w:pPr>
        <w:rPr>
          <w:rFonts w:cs="Arial"/>
          <w:color w:val="000000" w:themeColor="text1"/>
          <w:szCs w:val="16"/>
        </w:rPr>
      </w:pPr>
      <w:r w:rsidRPr="005C29F8">
        <w:rPr>
          <w:rFonts w:cs="Arial"/>
          <w:color w:val="000000" w:themeColor="text1"/>
          <w:szCs w:val="16"/>
        </w:rPr>
        <w:t xml:space="preserve">In its FFY 2020 SPP/APR, Palau must revise the Historical Data table to reflect FFY 2019 as the baseline year for this indicator. </w:t>
      </w: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lastRenderedPageBreak/>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children aged 3 through 5 with IEPs attending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80.00%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83.00%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83.00%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66.67%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2.00%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In addition, the SEAC decided to continue prioritizing efforts to improve supports and services for youth with disabilities pursuing higher education or employment after high school.</w:t>
      </w:r>
    </w:p>
    <w:p w14:paraId="27170CED" w14:textId="77777777" w:rsidR="00E428BD" w:rsidRPr="005C29F8" w:rsidRDefault="00E428BD" w:rsidP="004369B2">
      <w:pPr>
        <w:rPr>
          <w:color w:val="000000" w:themeColor="text1"/>
        </w:rPr>
      </w:pPr>
      <w:bookmarkStart w:id="30" w:name="_Toc382082378"/>
      <w:bookmarkStart w:id="31"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6</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5</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83.33%</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2B7490" w:rsidP="007D435F">
      <w:pPr>
        <w:rPr>
          <w:rFonts w:cs="Arial"/>
          <w:color w:val="000000" w:themeColor="text1"/>
          <w:szCs w:val="16"/>
        </w:rPr>
      </w:pPr>
      <w:r w:rsidRPr="005C29F8">
        <w:rPr>
          <w:rFonts w:cs="Arial"/>
          <w:color w:val="000000" w:themeColor="text1"/>
          <w:szCs w:val="16"/>
        </w:rPr>
        <w:t>ROP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impacted ROP’s data for SPP/APR Indicators 5 and 6 because the required data source for SPP/APR Indicators 5 and 6 is the same data as used for reporting to the Department under IDEA section 618. Therefore, ROP’s slippage status for FFY 2019 indicates “NA” for this indicator because ROP has re-established baseline for this indicator, using data from the IDEA Section 618 Environments data.</w:t>
      </w: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Palau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Palau's data for SPP/APR Indicators 5 and 6, because the required data source for SPP/APR Indicators 5 and 6 is the same data as used for reporting to the Department under IDEA section 618.  Therefore, Palau's slippage status indicates “NA” for this indicator. However, Palau must revise the baseline for this indicator, using data from FFY 2019.</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2B7490" w:rsidP="001F692C">
      <w:pPr>
        <w:rPr>
          <w:rFonts w:cs="Arial"/>
          <w:color w:val="000000" w:themeColor="text1"/>
          <w:szCs w:val="16"/>
        </w:rPr>
      </w:pPr>
      <w:r w:rsidRPr="005C29F8">
        <w:rPr>
          <w:rFonts w:cs="Arial"/>
          <w:color w:val="000000" w:themeColor="text1"/>
          <w:szCs w:val="16"/>
        </w:rPr>
        <w:t xml:space="preserve">In its FFY 2020 SPP/APR, Palau must revise the Historical Data table to reflect FFY 2019 as the baseline year for this indicator. </w:t>
      </w: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0"/>
      <w:bookmarkEnd w:id="31"/>
    </w:p>
    <w:p w14:paraId="1404DCF9" w14:textId="77777777" w:rsidR="00531E54" w:rsidRPr="005C29F8" w:rsidRDefault="00531E54" w:rsidP="00A018D4">
      <w:pPr>
        <w:rPr>
          <w:color w:val="000000" w:themeColor="text1"/>
          <w:szCs w:val="20"/>
        </w:rPr>
      </w:pPr>
      <w:bookmarkStart w:id="32"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100.00%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100.00%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100.00%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100.00%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100.00%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100.00%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w:t>
      </w:r>
      <w:r w:rsidRPr="005C29F8">
        <w:rPr>
          <w:rFonts w:cs="Arial"/>
          <w:color w:val="000000" w:themeColor="text1"/>
          <w:szCs w:val="16"/>
        </w:rPr>
        <w:br/>
      </w:r>
      <w:r w:rsidRPr="005C29F8">
        <w:rPr>
          <w:rFonts w:cs="Arial"/>
          <w:color w:val="000000" w:themeColor="text1"/>
          <w:szCs w:val="16"/>
        </w:rPr>
        <w:br/>
        <w:t xml:space="preserve">During the January 2021 SEAC meeting, the ROP Special Education APR team explained that that ROP does not have FFY 2019 data to report for Indicator 7. As indicated in Indicator 6, there were six preschoolers with disabilities accounted for in the December 1, </w:t>
      </w:r>
      <w:proofErr w:type="gramStart"/>
      <w:r w:rsidRPr="005C29F8">
        <w:rPr>
          <w:rFonts w:cs="Arial"/>
          <w:color w:val="000000" w:themeColor="text1"/>
          <w:szCs w:val="16"/>
        </w:rPr>
        <w:t>2019</w:t>
      </w:r>
      <w:proofErr w:type="gramEnd"/>
      <w:r w:rsidRPr="005C29F8">
        <w:rPr>
          <w:rFonts w:cs="Arial"/>
          <w:color w:val="000000" w:themeColor="text1"/>
          <w:szCs w:val="16"/>
        </w:rPr>
        <w:t xml:space="preserve"> IDEA Child Count and Environments data. These six preschoolers with disabilities, which include the one preschooler with a disability reported in last year's Indicator 6 performance data, continue to receive special education preschool services.</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A86385" w:rsidP="00A018D4">
            <w:pPr>
              <w:jc w:val="center"/>
              <w:rPr>
                <w:rFonts w:cs="Arial"/>
                <w:szCs w:val="16"/>
              </w:rPr>
            </w:pPr>
          </w:p>
        </w:tc>
        <w:tc>
          <w:tcPr>
            <w:tcW w:w="797" w:type="pct"/>
            <w:shd w:val="clear" w:color="auto" w:fill="auto"/>
            <w:vAlign w:val="center"/>
          </w:tcPr>
          <w:p w14:paraId="0846D135" w14:textId="1043D337" w:rsidR="00A86385" w:rsidRPr="00FC0108" w:rsidRDefault="00A86385" w:rsidP="00A018D4">
            <w:pPr>
              <w:jc w:val="center"/>
              <w:rPr>
                <w:rFonts w:cs="Arial"/>
                <w:szCs w:val="16"/>
              </w:rPr>
            </w:pP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A86385" w:rsidP="00A018D4">
            <w:pPr>
              <w:jc w:val="center"/>
              <w:rPr>
                <w:rFonts w:cs="Arial"/>
                <w:szCs w:val="16"/>
              </w:rPr>
            </w:pPr>
          </w:p>
        </w:tc>
        <w:tc>
          <w:tcPr>
            <w:tcW w:w="797" w:type="pct"/>
            <w:shd w:val="clear" w:color="auto" w:fill="auto"/>
            <w:vAlign w:val="center"/>
          </w:tcPr>
          <w:p w14:paraId="371019D1" w14:textId="49035C13" w:rsidR="00A86385" w:rsidRPr="00FC0108" w:rsidRDefault="00A86385" w:rsidP="00A018D4">
            <w:pPr>
              <w:jc w:val="center"/>
              <w:rPr>
                <w:rFonts w:cs="Arial"/>
                <w:szCs w:val="16"/>
              </w:rPr>
            </w:pP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A86385" w:rsidP="00A018D4">
            <w:pPr>
              <w:jc w:val="center"/>
              <w:rPr>
                <w:rFonts w:cs="Arial"/>
                <w:szCs w:val="16"/>
              </w:rPr>
            </w:pPr>
          </w:p>
        </w:tc>
        <w:tc>
          <w:tcPr>
            <w:tcW w:w="797" w:type="pct"/>
            <w:shd w:val="clear" w:color="auto" w:fill="auto"/>
            <w:vAlign w:val="center"/>
          </w:tcPr>
          <w:p w14:paraId="4B6BCB00" w14:textId="047D3E20" w:rsidR="00A86385" w:rsidRPr="00FC0108" w:rsidRDefault="00A86385" w:rsidP="00A018D4">
            <w:pPr>
              <w:jc w:val="center"/>
              <w:rPr>
                <w:rFonts w:cs="Arial"/>
                <w:szCs w:val="16"/>
              </w:rPr>
            </w:pP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A86385" w:rsidP="00A018D4">
            <w:pPr>
              <w:jc w:val="center"/>
              <w:rPr>
                <w:rFonts w:cs="Arial"/>
                <w:szCs w:val="16"/>
              </w:rPr>
            </w:pPr>
          </w:p>
        </w:tc>
        <w:tc>
          <w:tcPr>
            <w:tcW w:w="797" w:type="pct"/>
            <w:shd w:val="clear" w:color="auto" w:fill="auto"/>
            <w:vAlign w:val="center"/>
          </w:tcPr>
          <w:p w14:paraId="16C35679" w14:textId="25F05A91" w:rsidR="00A86385" w:rsidRPr="00FC0108" w:rsidRDefault="00A86385" w:rsidP="00A018D4">
            <w:pPr>
              <w:jc w:val="center"/>
              <w:rPr>
                <w:rFonts w:cs="Arial"/>
                <w:szCs w:val="16"/>
              </w:rPr>
            </w:pP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A86385" w:rsidP="00A018D4">
            <w:pPr>
              <w:jc w:val="center"/>
              <w:rPr>
                <w:rFonts w:cs="Arial"/>
                <w:szCs w:val="16"/>
              </w:rPr>
            </w:pPr>
          </w:p>
        </w:tc>
        <w:tc>
          <w:tcPr>
            <w:tcW w:w="797" w:type="pct"/>
            <w:shd w:val="clear" w:color="auto" w:fill="auto"/>
            <w:vAlign w:val="center"/>
          </w:tcPr>
          <w:p w14:paraId="49CE1ADC" w14:textId="7D7D7E9C" w:rsidR="00A86385" w:rsidRPr="00FC0108" w:rsidRDefault="00A86385" w:rsidP="00A018D4">
            <w:pPr>
              <w:jc w:val="center"/>
              <w:rPr>
                <w:rFonts w:cs="Arial"/>
                <w:szCs w:val="16"/>
              </w:rPr>
            </w:pP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w:t>
            </w:r>
            <w:r w:rsidRPr="005C29F8">
              <w:rPr>
                <w:rFonts w:cs="Arial"/>
                <w:color w:val="000000" w:themeColor="text1"/>
                <w:szCs w:val="16"/>
              </w:rPr>
              <w:lastRenderedPageBreak/>
              <w:t xml:space="preserve">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A86385" w:rsidP="00A86385">
            <w:pPr>
              <w:jc w:val="center"/>
              <w:rPr>
                <w:rFonts w:cs="Arial"/>
                <w:color w:val="000000" w:themeColor="text1"/>
                <w:szCs w:val="16"/>
              </w:rPr>
            </w:pPr>
          </w:p>
        </w:tc>
        <w:tc>
          <w:tcPr>
            <w:tcW w:w="572" w:type="pct"/>
            <w:shd w:val="clear" w:color="auto" w:fill="auto"/>
            <w:vAlign w:val="center"/>
          </w:tcPr>
          <w:p w14:paraId="6A178831" w14:textId="564F7234" w:rsidR="00A86385" w:rsidRPr="005C29F8" w:rsidRDefault="00A86385" w:rsidP="00A86385">
            <w:pPr>
              <w:jc w:val="center"/>
              <w:rPr>
                <w:rFonts w:cs="Arial"/>
                <w:color w:val="000000" w:themeColor="text1"/>
                <w:szCs w:val="16"/>
              </w:rPr>
            </w:pP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100.00%</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100.00%</w:t>
            </w:r>
          </w:p>
        </w:tc>
        <w:tc>
          <w:tcPr>
            <w:tcW w:w="571" w:type="pct"/>
            <w:shd w:val="clear" w:color="auto" w:fill="auto"/>
            <w:vAlign w:val="center"/>
          </w:tcPr>
          <w:p w14:paraId="23D0B4EA" w14:textId="4DE98DDB" w:rsidR="00A86385" w:rsidRPr="005C29F8" w:rsidRDefault="00A86385" w:rsidP="00A86385">
            <w:pPr>
              <w:jc w:val="center"/>
              <w:rPr>
                <w:rFonts w:cs="Arial"/>
                <w:color w:val="000000" w:themeColor="text1"/>
                <w:szCs w:val="16"/>
              </w:rPr>
            </w:pP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N/A</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N/A</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A86385" w:rsidP="00A86385">
            <w:pPr>
              <w:jc w:val="center"/>
              <w:rPr>
                <w:rFonts w:cs="Arial"/>
                <w:color w:val="000000" w:themeColor="text1"/>
                <w:szCs w:val="16"/>
              </w:rPr>
            </w:pPr>
          </w:p>
        </w:tc>
        <w:tc>
          <w:tcPr>
            <w:tcW w:w="572" w:type="pct"/>
            <w:shd w:val="clear" w:color="auto" w:fill="auto"/>
            <w:vAlign w:val="center"/>
          </w:tcPr>
          <w:p w14:paraId="392DC3C7" w14:textId="706433AB" w:rsidR="00A86385" w:rsidRPr="005C29F8" w:rsidRDefault="00A86385" w:rsidP="00A86385">
            <w:pPr>
              <w:jc w:val="center"/>
              <w:rPr>
                <w:rFonts w:cs="Arial"/>
                <w:color w:val="000000" w:themeColor="text1"/>
                <w:szCs w:val="16"/>
              </w:rPr>
            </w:pP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0.00%</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100.00%</w:t>
            </w:r>
          </w:p>
        </w:tc>
        <w:tc>
          <w:tcPr>
            <w:tcW w:w="571" w:type="pct"/>
            <w:shd w:val="clear" w:color="auto" w:fill="auto"/>
            <w:vAlign w:val="center"/>
          </w:tcPr>
          <w:p w14:paraId="2BBC817C" w14:textId="65BC2730" w:rsidR="00A86385" w:rsidRPr="005C29F8" w:rsidRDefault="00A86385" w:rsidP="00A86385">
            <w:pPr>
              <w:jc w:val="center"/>
              <w:rPr>
                <w:rFonts w:cs="Arial"/>
                <w:color w:val="000000" w:themeColor="text1"/>
                <w:szCs w:val="16"/>
              </w:rPr>
            </w:pP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N/A</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N/A</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21775FA0" w14:textId="7E6665F3" w:rsidR="00A86385" w:rsidRPr="005C29F8" w:rsidRDefault="00A86385" w:rsidP="00A018D4">
            <w:pPr>
              <w:jc w:val="center"/>
              <w:rPr>
                <w:rFonts w:cs="Arial"/>
                <w:color w:val="000000" w:themeColor="text1"/>
                <w:szCs w:val="16"/>
              </w:rPr>
            </w:pP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33D020CC" w14:textId="0314A001" w:rsidR="00A86385" w:rsidRPr="005C29F8" w:rsidRDefault="00A86385" w:rsidP="00A018D4">
            <w:pPr>
              <w:jc w:val="center"/>
              <w:rPr>
                <w:rFonts w:cs="Arial"/>
                <w:color w:val="000000" w:themeColor="text1"/>
                <w:szCs w:val="16"/>
              </w:rPr>
            </w:pP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2021CF20" w14:textId="181B68B8" w:rsidR="00A86385" w:rsidRPr="005C29F8" w:rsidRDefault="00A86385" w:rsidP="00A018D4">
            <w:pPr>
              <w:jc w:val="center"/>
              <w:rPr>
                <w:rFonts w:cs="Arial"/>
                <w:color w:val="000000" w:themeColor="text1"/>
                <w:szCs w:val="16"/>
              </w:rPr>
            </w:pP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2EEE6FB7" w14:textId="6E8D11C4" w:rsidR="00A86385" w:rsidRPr="005C29F8" w:rsidRDefault="00A86385" w:rsidP="00A018D4">
            <w:pPr>
              <w:jc w:val="center"/>
              <w:rPr>
                <w:rFonts w:cs="Arial"/>
                <w:color w:val="000000" w:themeColor="text1"/>
                <w:szCs w:val="16"/>
              </w:rPr>
            </w:pP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2501B391" w14:textId="1634A6F5" w:rsidR="00A86385" w:rsidRPr="005C29F8" w:rsidRDefault="00A86385" w:rsidP="00A018D4">
            <w:pPr>
              <w:jc w:val="center"/>
              <w:rPr>
                <w:rFonts w:cs="Arial"/>
                <w:color w:val="000000" w:themeColor="text1"/>
                <w:szCs w:val="16"/>
              </w:rPr>
            </w:pP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A86385" w:rsidP="00A018D4">
            <w:pPr>
              <w:jc w:val="center"/>
              <w:rPr>
                <w:rFonts w:cs="Arial"/>
                <w:color w:val="000000" w:themeColor="text1"/>
                <w:szCs w:val="16"/>
              </w:rPr>
            </w:pPr>
          </w:p>
        </w:tc>
        <w:tc>
          <w:tcPr>
            <w:tcW w:w="585" w:type="pct"/>
            <w:shd w:val="clear" w:color="auto" w:fill="auto"/>
            <w:vAlign w:val="center"/>
          </w:tcPr>
          <w:p w14:paraId="682FF5CA" w14:textId="4D1E8D34" w:rsidR="00A86385" w:rsidRPr="005C29F8" w:rsidRDefault="00A86385" w:rsidP="00A018D4">
            <w:pPr>
              <w:jc w:val="center"/>
              <w:rPr>
                <w:rFonts w:cs="Arial"/>
                <w:color w:val="000000" w:themeColor="text1"/>
                <w:szCs w:val="16"/>
              </w:rPr>
            </w:pP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12F538E0" w14:textId="1332D172" w:rsidR="00A86385" w:rsidRPr="005C29F8" w:rsidRDefault="00A86385" w:rsidP="00A018D4">
            <w:pPr>
              <w:jc w:val="center"/>
              <w:rPr>
                <w:rFonts w:cs="Arial"/>
                <w:color w:val="000000" w:themeColor="text1"/>
                <w:szCs w:val="16"/>
              </w:rPr>
            </w:pP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A86385" w:rsidP="00A018D4">
            <w:pPr>
              <w:jc w:val="center"/>
              <w:rPr>
                <w:rFonts w:cs="Arial"/>
                <w:color w:val="000000" w:themeColor="text1"/>
                <w:szCs w:val="16"/>
              </w:rPr>
            </w:pPr>
          </w:p>
        </w:tc>
        <w:tc>
          <w:tcPr>
            <w:tcW w:w="585" w:type="pct"/>
            <w:shd w:val="clear" w:color="auto" w:fill="auto"/>
            <w:vAlign w:val="center"/>
          </w:tcPr>
          <w:p w14:paraId="591EA1FE" w14:textId="556EFD96" w:rsidR="00A86385" w:rsidRPr="005C29F8" w:rsidRDefault="00A86385" w:rsidP="00A018D4">
            <w:pPr>
              <w:jc w:val="center"/>
              <w:rPr>
                <w:rFonts w:cs="Arial"/>
                <w:color w:val="000000" w:themeColor="text1"/>
                <w:szCs w:val="16"/>
              </w:rPr>
            </w:pP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073970A2" w14:textId="5A7FF3FA" w:rsidR="00A86385" w:rsidRPr="005C29F8" w:rsidRDefault="00A86385" w:rsidP="00A018D4">
            <w:pPr>
              <w:jc w:val="center"/>
              <w:rPr>
                <w:rFonts w:cs="Arial"/>
                <w:color w:val="000000" w:themeColor="text1"/>
                <w:szCs w:val="16"/>
              </w:rPr>
            </w:pP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224E7CD3" w14:textId="5C0B6B10" w:rsidR="00A86385" w:rsidRPr="005C29F8" w:rsidRDefault="00A86385" w:rsidP="00A018D4">
            <w:pPr>
              <w:jc w:val="center"/>
              <w:rPr>
                <w:rFonts w:cs="Arial"/>
                <w:color w:val="000000" w:themeColor="text1"/>
                <w:szCs w:val="16"/>
              </w:rPr>
            </w:pP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75491539" w14:textId="4C6956ED" w:rsidR="00A86385" w:rsidRPr="005C29F8" w:rsidRDefault="00A86385" w:rsidP="00A018D4">
            <w:pPr>
              <w:jc w:val="center"/>
              <w:rPr>
                <w:rFonts w:cs="Arial"/>
                <w:color w:val="000000" w:themeColor="text1"/>
                <w:szCs w:val="16"/>
              </w:rPr>
            </w:pP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5A785A5B" w14:textId="096612D9" w:rsidR="00A86385" w:rsidRPr="005C29F8" w:rsidRDefault="00A86385" w:rsidP="00A018D4">
            <w:pPr>
              <w:jc w:val="center"/>
              <w:rPr>
                <w:rFonts w:cs="Arial"/>
                <w:color w:val="000000" w:themeColor="text1"/>
                <w:szCs w:val="16"/>
              </w:rPr>
            </w:pP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6CF00AA9" w14:textId="2DDC2AAD" w:rsidR="00A86385" w:rsidRPr="005C29F8" w:rsidRDefault="00A86385" w:rsidP="00A018D4">
            <w:pPr>
              <w:jc w:val="center"/>
              <w:rPr>
                <w:rFonts w:cs="Arial"/>
                <w:color w:val="000000" w:themeColor="text1"/>
                <w:szCs w:val="16"/>
              </w:rPr>
            </w:pP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A86385" w:rsidP="00A018D4">
            <w:pPr>
              <w:jc w:val="center"/>
              <w:rPr>
                <w:rFonts w:cs="Arial"/>
                <w:color w:val="000000" w:themeColor="text1"/>
                <w:szCs w:val="16"/>
              </w:rPr>
            </w:pPr>
          </w:p>
        </w:tc>
        <w:tc>
          <w:tcPr>
            <w:tcW w:w="825" w:type="pct"/>
            <w:shd w:val="clear" w:color="auto" w:fill="auto"/>
            <w:vAlign w:val="center"/>
          </w:tcPr>
          <w:p w14:paraId="5DB4A655" w14:textId="2961CB8C" w:rsidR="00A86385" w:rsidRPr="005C29F8" w:rsidRDefault="00A86385" w:rsidP="00A018D4">
            <w:pPr>
              <w:jc w:val="center"/>
              <w:rPr>
                <w:rFonts w:cs="Arial"/>
                <w:color w:val="000000" w:themeColor="text1"/>
                <w:szCs w:val="16"/>
              </w:rPr>
            </w:pP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 xml:space="preserve">C1. Of those children who entered or exited the program below age </w:t>
            </w:r>
            <w:r w:rsidRPr="005C29F8">
              <w:rPr>
                <w:rFonts w:cs="Arial"/>
                <w:color w:val="000000" w:themeColor="text1"/>
                <w:szCs w:val="16"/>
              </w:rPr>
              <w:lastRenderedPageBreak/>
              <w:t>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A86385" w:rsidP="00A018D4">
            <w:pPr>
              <w:jc w:val="center"/>
              <w:rPr>
                <w:rFonts w:cs="Arial"/>
                <w:color w:val="000000" w:themeColor="text1"/>
                <w:szCs w:val="16"/>
              </w:rPr>
            </w:pPr>
          </w:p>
        </w:tc>
        <w:tc>
          <w:tcPr>
            <w:tcW w:w="584" w:type="pct"/>
            <w:shd w:val="clear" w:color="auto" w:fill="auto"/>
            <w:vAlign w:val="center"/>
          </w:tcPr>
          <w:p w14:paraId="238365C6" w14:textId="3568431D" w:rsidR="00A86385" w:rsidRPr="005C29F8" w:rsidRDefault="00A86385" w:rsidP="00A018D4">
            <w:pPr>
              <w:jc w:val="center"/>
              <w:rPr>
                <w:rFonts w:cs="Arial"/>
                <w:color w:val="000000" w:themeColor="text1"/>
                <w:szCs w:val="16"/>
              </w:rPr>
            </w:pP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02E42936" w14:textId="312E4B4A" w:rsidR="00A86385" w:rsidRPr="005C29F8" w:rsidRDefault="00A86385" w:rsidP="00A018D4">
            <w:pPr>
              <w:jc w:val="center"/>
              <w:rPr>
                <w:rFonts w:cs="Arial"/>
                <w:color w:val="000000" w:themeColor="text1"/>
                <w:szCs w:val="16"/>
              </w:rPr>
            </w:pP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E526FC" w:rsidP="00A018D4">
            <w:pPr>
              <w:jc w:val="center"/>
              <w:rPr>
                <w:rFonts w:cs="Arial"/>
                <w:color w:val="000000" w:themeColor="text1"/>
                <w:szCs w:val="16"/>
              </w:rPr>
            </w:pPr>
          </w:p>
        </w:tc>
        <w:tc>
          <w:tcPr>
            <w:tcW w:w="584" w:type="pct"/>
            <w:shd w:val="clear" w:color="auto" w:fill="auto"/>
            <w:vAlign w:val="center"/>
          </w:tcPr>
          <w:p w14:paraId="621B2290" w14:textId="0CB78FA1" w:rsidR="00E526FC" w:rsidRPr="005C29F8" w:rsidRDefault="00E526FC" w:rsidP="00A018D4">
            <w:pPr>
              <w:jc w:val="center"/>
              <w:rPr>
                <w:rFonts w:cs="Arial"/>
                <w:color w:val="000000" w:themeColor="text1"/>
                <w:szCs w:val="16"/>
              </w:rPr>
            </w:pP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4609D20B" w14:textId="7D9B89C4" w:rsidR="00A86385" w:rsidRPr="005C29F8" w:rsidRDefault="00A86385" w:rsidP="00A018D4">
            <w:pPr>
              <w:jc w:val="center"/>
              <w:rPr>
                <w:rFonts w:cs="Arial"/>
                <w:color w:val="000000" w:themeColor="text1"/>
                <w:szCs w:val="16"/>
              </w:rPr>
            </w:pP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3" w:name="_Toc382082381"/>
      <w:bookmarkStart w:id="34"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 xml:space="preserve">The ROP Early Childhood Special Education (ECSE) Preschool Outcome Measurement System Procedural Manual is used to guide outcome assessment and measurement practices for gathering child outcome data for the three outcome measures. The ECSE and Head Start Program staff reviewed the Early Childhood Outcomes (ECO) measurement system procedures and the Child Outcomes Summary (COS) forms, which include the "bucket list" concept that provides a description of a child's functioning compared to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skills. Multiple sources of information are used in determining a child's status relating to the three preschool outcomes. The summary information for child outcomes is expected to </w:t>
      </w:r>
      <w:proofErr w:type="gramStart"/>
      <w:r w:rsidRPr="005C29F8">
        <w:rPr>
          <w:rFonts w:cs="Arial"/>
          <w:color w:val="000000" w:themeColor="text1"/>
          <w:szCs w:val="16"/>
        </w:rPr>
        <w:t>take into account</w:t>
      </w:r>
      <w:proofErr w:type="gramEnd"/>
      <w:r w:rsidRPr="005C29F8">
        <w:rPr>
          <w:rFonts w:cs="Arial"/>
          <w:color w:val="000000" w:themeColor="text1"/>
          <w:szCs w:val="16"/>
        </w:rPr>
        <w:t xml:space="preserve"> the child's functioning across a full range of situations and settings. Therefore, information from individuals in contact with the child is considered in deciding on outcomes. Multiple sources include but are not limited to: Parent input/observation, service provider/s observation, assessment/evaluation results, and child progress reports from service providers.</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 xml:space="preserve">As described in the Stakeholder Input section, ROP does not have FFY 2019 data to report for Indicator 7. As indicated in Indicator 6, there were six preschoolers with disabilities accounted for in the December 1, </w:t>
      </w:r>
      <w:proofErr w:type="gramStart"/>
      <w:r w:rsidRPr="005C29F8">
        <w:rPr>
          <w:rFonts w:cs="Arial"/>
          <w:color w:val="000000" w:themeColor="text1"/>
          <w:szCs w:val="16"/>
        </w:rPr>
        <w:t>2019</w:t>
      </w:r>
      <w:proofErr w:type="gramEnd"/>
      <w:r w:rsidRPr="005C29F8">
        <w:rPr>
          <w:rFonts w:cs="Arial"/>
          <w:color w:val="000000" w:themeColor="text1"/>
          <w:szCs w:val="16"/>
        </w:rPr>
        <w:t xml:space="preserve"> IDEA Child Count and Environments data. These six preschoolers with disabilities, which include the one preschooler with a disability reported in last year's Indicator 6 performance data, continue to receive special education preschool services.</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2B7490" w:rsidP="001F692C">
      <w:pPr>
        <w:rPr>
          <w:rFonts w:cs="Arial"/>
          <w:color w:val="000000" w:themeColor="text1"/>
          <w:szCs w:val="16"/>
        </w:rPr>
      </w:pPr>
      <w:r w:rsidRPr="005C29F8">
        <w:rPr>
          <w:rFonts w:cs="Arial"/>
          <w:color w:val="000000" w:themeColor="text1"/>
          <w:szCs w:val="16"/>
        </w:rPr>
        <w:t xml:space="preserve">Palau reported that there </w:t>
      </w:r>
      <w:proofErr w:type="gramStart"/>
      <w:r w:rsidRPr="005C29F8">
        <w:rPr>
          <w:rFonts w:cs="Arial"/>
          <w:color w:val="000000" w:themeColor="text1"/>
          <w:szCs w:val="16"/>
        </w:rPr>
        <w:t>were</w:t>
      </w:r>
      <w:proofErr w:type="gramEnd"/>
      <w:r w:rsidRPr="005C29F8">
        <w:rPr>
          <w:rFonts w:cs="Arial"/>
          <w:color w:val="000000" w:themeColor="text1"/>
          <w:szCs w:val="16"/>
        </w:rPr>
        <w:t xml:space="preserve"> a total of six preschoolers with disabilities accounted for in the December 1, 2019 IDEA Child Count and Environments data, and those six preschoolers continue to receive special education preschool services. Because Palau did not report that any preschoolers turned 6 years old or exited the program during the reporting period, Palau did not have data to report for this indicator. Therefore, OSEP could not determine whether Palau met its target.</w:t>
      </w: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3"/>
      <w:bookmarkEnd w:id="34"/>
    </w:p>
    <w:p w14:paraId="66FBCA03" w14:textId="77777777" w:rsidR="00B654C1" w:rsidRPr="005C29F8" w:rsidRDefault="00B654C1" w:rsidP="00A018D4">
      <w:pPr>
        <w:rPr>
          <w:color w:val="000000" w:themeColor="text1"/>
          <w:szCs w:val="20"/>
        </w:rPr>
      </w:pPr>
      <w:bookmarkStart w:id="35"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382D466C" w14:textId="23B61DDF" w:rsidTr="00487CBD">
        <w:tc>
          <w:tcPr>
            <w:tcW w:w="8324" w:type="dxa"/>
          </w:tcPr>
          <w:p w14:paraId="3ABB22A7" w14:textId="34110540" w:rsidR="000B547A" w:rsidRPr="005C29F8" w:rsidRDefault="006603CA" w:rsidP="00286BDF">
            <w:pPr>
              <w:rPr>
                <w:rFonts w:cs="Arial"/>
                <w:color w:val="000000" w:themeColor="text1"/>
                <w:szCs w:val="16"/>
              </w:rPr>
            </w:pPr>
            <w:r w:rsidRPr="005C29F8">
              <w:rPr>
                <w:rFonts w:cs="Arial"/>
                <w:color w:val="000000" w:themeColor="text1"/>
                <w:szCs w:val="16"/>
              </w:rPr>
              <w:t>If yes, will you be providing the data for preschool children separately?</w:t>
            </w:r>
          </w:p>
        </w:tc>
        <w:tc>
          <w:tcPr>
            <w:tcW w:w="2476" w:type="dxa"/>
          </w:tcPr>
          <w:p w14:paraId="2D03EBC9" w14:textId="5CCCA5EA" w:rsidR="000B547A" w:rsidRPr="005C29F8" w:rsidRDefault="002B7490" w:rsidP="00A018D4">
            <w:pPr>
              <w:jc w:val="center"/>
              <w:rPr>
                <w:rFonts w:cs="Arial"/>
                <w:color w:val="000000" w:themeColor="text1"/>
                <w:szCs w:val="16"/>
              </w:rPr>
            </w:pPr>
            <w:r w:rsidRPr="005C29F8">
              <w:rPr>
                <w:rFonts w:cs="Arial"/>
                <w:color w:val="000000" w:themeColor="text1"/>
                <w:szCs w:val="16"/>
              </w:rPr>
              <w:t>YES</w:t>
            </w:r>
          </w:p>
        </w:tc>
      </w:tr>
    </w:tbl>
    <w:bookmarkEnd w:id="35"/>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w:t>
      </w:r>
    </w:p>
    <w:p w14:paraId="339F3968" w14:textId="6278D154" w:rsidR="008B600B" w:rsidRPr="005C29F8" w:rsidRDefault="008B600B" w:rsidP="004369B2">
      <w:pPr>
        <w:rPr>
          <w:rFonts w:cs="Arial"/>
          <w:color w:val="000000" w:themeColor="text1"/>
          <w:szCs w:val="16"/>
        </w:rPr>
      </w:pPr>
    </w:p>
    <w:p w14:paraId="75502588" w14:textId="77777777" w:rsidR="007E2779" w:rsidRPr="005C29F8" w:rsidRDefault="007E2779" w:rsidP="007E2779">
      <w:pPr>
        <w:pStyle w:val="Bold"/>
        <w:rPr>
          <w:color w:val="000000" w:themeColor="text1"/>
        </w:rPr>
      </w:pPr>
    </w:p>
    <w:p w14:paraId="727B6F00" w14:textId="79E68F2F" w:rsidR="008B600B" w:rsidRPr="005C29F8" w:rsidRDefault="005A338D"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5C29F8" w14:paraId="2D33FEF4" w14:textId="77777777" w:rsidTr="00887C29">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5C29F8" w:rsidRDefault="00D05754" w:rsidP="005A338D">
            <w:pPr>
              <w:spacing w:line="276" w:lineRule="auto"/>
              <w:jc w:val="center"/>
              <w:rPr>
                <w:rFonts w:cs="Arial"/>
                <w:b/>
                <w:color w:val="000000" w:themeColor="text1"/>
                <w:szCs w:val="16"/>
              </w:rPr>
            </w:pPr>
            <w:r>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6BDFBB6B" w14:textId="77777777" w:rsidTr="00887C29">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5C29F8" w:rsidRDefault="002B7490" w:rsidP="00A018D4">
            <w:pPr>
              <w:jc w:val="center"/>
              <w:rPr>
                <w:rFonts w:cs="Arial"/>
                <w:color w:val="000000" w:themeColor="text1"/>
                <w:szCs w:val="16"/>
              </w:rPr>
            </w:pPr>
            <w:r w:rsidRPr="005C29F8">
              <w:rPr>
                <w:rFonts w:cs="Arial"/>
                <w:color w:val="000000" w:themeColor="text1"/>
                <w:szCs w:val="16"/>
              </w:rPr>
              <w:t>91.00%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5C29F8" w:rsidRDefault="002B7490" w:rsidP="00A018D4">
            <w:pPr>
              <w:jc w:val="center"/>
              <w:rPr>
                <w:rFonts w:cs="Arial"/>
                <w:color w:val="000000" w:themeColor="text1"/>
                <w:szCs w:val="16"/>
              </w:rPr>
            </w:pPr>
            <w:r w:rsidRPr="005C29F8">
              <w:rPr>
                <w:rFonts w:cs="Arial"/>
                <w:color w:val="000000" w:themeColor="text1"/>
                <w:szCs w:val="16"/>
              </w:rPr>
              <w:t>93.00%</w:t>
            </w:r>
          </w:p>
        </w:tc>
      </w:tr>
      <w:tr w:rsidR="005C29F8" w:rsidRPr="005C29F8" w14:paraId="5BE01A6E" w14:textId="77777777" w:rsidTr="00887C29">
        <w:trPr>
          <w:trHeight w:val="85"/>
        </w:trPr>
        <w:tc>
          <w:tcPr>
            <w:tcW w:w="498" w:type="pct"/>
            <w:tcBorders>
              <w:left w:val="single" w:sz="4" w:space="0" w:color="auto"/>
              <w:right w:val="single" w:sz="4" w:space="0" w:color="auto"/>
            </w:tcBorders>
            <w:shd w:val="clear" w:color="auto" w:fill="auto"/>
          </w:tcPr>
          <w:p w14:paraId="0125E87E" w14:textId="5AB29B88"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5C29F8" w:rsidRDefault="002B7490" w:rsidP="00A018D4">
            <w:pPr>
              <w:jc w:val="center"/>
              <w:rPr>
                <w:rFonts w:cs="Arial"/>
                <w:color w:val="000000" w:themeColor="text1"/>
                <w:szCs w:val="16"/>
              </w:rPr>
            </w:pPr>
            <w:r w:rsidRPr="005C29F8">
              <w:rPr>
                <w:rFonts w:cs="Arial"/>
                <w:color w:val="000000" w:themeColor="text1"/>
                <w:szCs w:val="16"/>
              </w:rPr>
              <w:t>88.00%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5C29F8" w:rsidRDefault="002B7490" w:rsidP="00A018D4">
            <w:pPr>
              <w:jc w:val="center"/>
              <w:rPr>
                <w:rFonts w:cs="Arial"/>
                <w:color w:val="000000" w:themeColor="text1"/>
                <w:szCs w:val="16"/>
              </w:rPr>
            </w:pPr>
            <w:r w:rsidRPr="005C29F8">
              <w:rPr>
                <w:rFonts w:cs="Arial"/>
                <w:color w:val="000000" w:themeColor="text1"/>
                <w:szCs w:val="16"/>
              </w:rPr>
              <w:t>85.71%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5C29F8" w:rsidRDefault="002B7490" w:rsidP="00A018D4">
            <w:pPr>
              <w:jc w:val="center"/>
              <w:rPr>
                <w:rFonts w:cs="Arial"/>
                <w:color w:val="000000" w:themeColor="text1"/>
                <w:szCs w:val="16"/>
              </w:rPr>
            </w:pPr>
            <w:r w:rsidRPr="005C29F8">
              <w:rPr>
                <w:rFonts w:cs="Arial"/>
                <w:color w:val="000000" w:themeColor="text1"/>
                <w:szCs w:val="16"/>
              </w:rPr>
              <w:t>71.43%</w:t>
            </w:r>
          </w:p>
        </w:tc>
      </w:tr>
      <w:tr w:rsidR="005C29F8" w:rsidRPr="005C29F8" w14:paraId="057E693C" w14:textId="77777777" w:rsidTr="00887C29">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5C29F8" w:rsidRDefault="002B7490" w:rsidP="00A018D4">
            <w:pPr>
              <w:jc w:val="center"/>
              <w:rPr>
                <w:rFonts w:cs="Arial"/>
                <w:color w:val="000000" w:themeColor="text1"/>
                <w:szCs w:val="16"/>
              </w:rPr>
            </w:pPr>
            <w:r w:rsidRPr="005C29F8">
              <w:rPr>
                <w:rFonts w:cs="Arial"/>
                <w:color w:val="000000" w:themeColor="text1"/>
                <w:szCs w:val="16"/>
              </w:rPr>
              <w:t>97.00%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5C29F8" w:rsidRDefault="002B7490" w:rsidP="00A018D4">
            <w:pPr>
              <w:jc w:val="center"/>
              <w:rPr>
                <w:rFonts w:cs="Arial"/>
                <w:color w:val="000000" w:themeColor="text1"/>
                <w:szCs w:val="16"/>
              </w:rPr>
            </w:pPr>
            <w:r w:rsidRPr="005C29F8">
              <w:rPr>
                <w:rFonts w:cs="Arial"/>
                <w:color w:val="000000" w:themeColor="text1"/>
                <w:szCs w:val="16"/>
              </w:rPr>
              <w:t>98.00%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5C29F8" w:rsidRDefault="002B7490" w:rsidP="00A018D4">
            <w:pPr>
              <w:jc w:val="center"/>
              <w:rPr>
                <w:rFonts w:cs="Arial"/>
                <w:color w:val="000000" w:themeColor="text1"/>
                <w:szCs w:val="16"/>
              </w:rPr>
            </w:pPr>
            <w:r w:rsidRPr="005C29F8">
              <w:rPr>
                <w:rFonts w:cs="Arial"/>
                <w:color w:val="000000" w:themeColor="text1"/>
                <w:szCs w:val="16"/>
              </w:rPr>
              <w:t>98.00%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5C29F8" w:rsidRDefault="002B7490" w:rsidP="00A018D4">
            <w:pPr>
              <w:jc w:val="center"/>
              <w:rPr>
                <w:rFonts w:cs="Arial"/>
                <w:color w:val="000000" w:themeColor="text1"/>
                <w:szCs w:val="16"/>
              </w:rPr>
            </w:pPr>
            <w:r w:rsidRPr="005C29F8">
              <w:rPr>
                <w:rFonts w:cs="Arial"/>
                <w:color w:val="000000" w:themeColor="text1"/>
                <w:szCs w:val="16"/>
              </w:rPr>
              <w:t>99.00%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5C29F8" w:rsidRDefault="002B7490" w:rsidP="00A018D4">
            <w:pPr>
              <w:jc w:val="center"/>
              <w:rPr>
                <w:rFonts w:cs="Arial"/>
                <w:color w:val="000000" w:themeColor="text1"/>
                <w:szCs w:val="16"/>
              </w:rPr>
            </w:pPr>
            <w:r w:rsidRPr="005C29F8">
              <w:rPr>
                <w:rFonts w:cs="Arial"/>
                <w:color w:val="000000" w:themeColor="text1"/>
                <w:szCs w:val="16"/>
              </w:rPr>
              <w:t>99.00%</w:t>
            </w:r>
          </w:p>
        </w:tc>
      </w:tr>
      <w:tr w:rsidR="005C29F8" w:rsidRPr="005C29F8" w14:paraId="50EE8305" w14:textId="77777777" w:rsidTr="00887C29">
        <w:trPr>
          <w:trHeight w:val="85"/>
        </w:trPr>
        <w:tc>
          <w:tcPr>
            <w:tcW w:w="498" w:type="pct"/>
            <w:tcBorders>
              <w:left w:val="single" w:sz="4" w:space="0" w:color="auto"/>
              <w:right w:val="single" w:sz="4" w:space="0" w:color="auto"/>
            </w:tcBorders>
            <w:shd w:val="clear" w:color="auto" w:fill="auto"/>
          </w:tcPr>
          <w:p w14:paraId="5D97C99C" w14:textId="4A9B199D"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5C29F8" w:rsidRDefault="002B7490" w:rsidP="00A018D4">
            <w:pPr>
              <w:jc w:val="center"/>
              <w:rPr>
                <w:rFonts w:cs="Arial"/>
                <w:color w:val="000000" w:themeColor="text1"/>
                <w:szCs w:val="16"/>
              </w:rPr>
            </w:pPr>
            <w:r w:rsidRPr="005C29F8">
              <w:rPr>
                <w:rFonts w:cs="Arial"/>
                <w:color w:val="000000" w:themeColor="text1"/>
                <w:szCs w:val="16"/>
              </w:rPr>
              <w:t>43.00%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5C29F8" w:rsidRDefault="002B7490" w:rsidP="00A018D4">
            <w:pPr>
              <w:jc w:val="center"/>
              <w:rPr>
                <w:rFonts w:cs="Arial"/>
                <w:color w:val="000000" w:themeColor="text1"/>
                <w:szCs w:val="16"/>
              </w:rPr>
            </w:pPr>
            <w:r w:rsidRPr="005C29F8">
              <w:rPr>
                <w:rFonts w:cs="Arial"/>
                <w:color w:val="000000" w:themeColor="text1"/>
                <w:szCs w:val="16"/>
              </w:rPr>
              <w:t>91.57%</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5C29F8" w:rsidRDefault="002B7490" w:rsidP="00A018D4">
            <w:pPr>
              <w:jc w:val="center"/>
              <w:rPr>
                <w:rFonts w:cs="Arial"/>
                <w:color w:val="000000" w:themeColor="text1"/>
                <w:szCs w:val="16"/>
              </w:rPr>
            </w:pPr>
            <w:r w:rsidRPr="005C29F8">
              <w:rPr>
                <w:rFonts w:cs="Arial"/>
                <w:color w:val="000000" w:themeColor="text1"/>
                <w:szCs w:val="16"/>
              </w:rPr>
              <w:t>93.42%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5C29F8" w:rsidRDefault="002B7490" w:rsidP="00A018D4">
            <w:pPr>
              <w:jc w:val="center"/>
              <w:rPr>
                <w:rFonts w:cs="Arial"/>
                <w:color w:val="000000" w:themeColor="text1"/>
                <w:szCs w:val="16"/>
              </w:rPr>
            </w:pPr>
            <w:r w:rsidRPr="005C29F8">
              <w:rPr>
                <w:rFonts w:cs="Arial"/>
                <w:color w:val="000000" w:themeColor="text1"/>
                <w:szCs w:val="16"/>
              </w:rPr>
              <w:t>96.83%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5C29F8" w:rsidRDefault="002B7490" w:rsidP="00A018D4">
            <w:pPr>
              <w:jc w:val="center"/>
              <w:rPr>
                <w:rFonts w:cs="Arial"/>
                <w:color w:val="000000" w:themeColor="text1"/>
                <w:szCs w:val="16"/>
              </w:rPr>
            </w:pPr>
            <w:r w:rsidRPr="005C29F8">
              <w:rPr>
                <w:rFonts w:cs="Arial"/>
                <w:color w:val="000000" w:themeColor="text1"/>
                <w:szCs w:val="16"/>
              </w:rPr>
              <w:t>98.65%</w:t>
            </w:r>
          </w:p>
        </w:tc>
      </w:tr>
    </w:tbl>
    <w:p w14:paraId="63401A30" w14:textId="77777777" w:rsidR="000417B4" w:rsidRPr="005C29F8" w:rsidRDefault="000417B4" w:rsidP="004369B2">
      <w:pPr>
        <w:rPr>
          <w:color w:val="000000" w:themeColor="text1"/>
        </w:rPr>
      </w:pPr>
    </w:p>
    <w:p w14:paraId="64041579" w14:textId="06E03AE5" w:rsidR="00A80FEB" w:rsidRPr="005C29F8" w:rsidRDefault="00A80FEB" w:rsidP="004369B2">
      <w:pPr>
        <w:rPr>
          <w:color w:val="000000" w:themeColor="text1"/>
        </w:rPr>
      </w:pPr>
      <w:r w:rsidRPr="005C29F8">
        <w:rPr>
          <w:b/>
          <w:color w:val="000000" w:themeColor="text1"/>
        </w:rPr>
        <w:t>Targets</w:t>
      </w:r>
    </w:p>
    <w:tbl>
      <w:tblPr>
        <w:tblW w:w="1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1255"/>
        <w:gridCol w:w="2340"/>
      </w:tblGrid>
      <w:tr w:rsidR="00F54A50" w:rsidRPr="005C29F8" w14:paraId="40E7CBAD" w14:textId="2F9AD68F" w:rsidTr="00F54A50">
        <w:trPr>
          <w:trHeight w:val="350"/>
        </w:trPr>
        <w:tc>
          <w:tcPr>
            <w:tcW w:w="1745" w:type="pct"/>
            <w:tcBorders>
              <w:bottom w:val="single" w:sz="4" w:space="0" w:color="auto"/>
            </w:tcBorders>
            <w:shd w:val="clear" w:color="auto" w:fill="auto"/>
          </w:tcPr>
          <w:p w14:paraId="58C1A5E2" w14:textId="77777777" w:rsidR="00F54A50" w:rsidRPr="005C29F8" w:rsidRDefault="00F54A50" w:rsidP="004369B2">
            <w:pPr>
              <w:jc w:val="center"/>
              <w:rPr>
                <w:b/>
                <w:color w:val="000000" w:themeColor="text1"/>
              </w:rPr>
            </w:pPr>
            <w:r w:rsidRPr="005C29F8">
              <w:rPr>
                <w:b/>
                <w:color w:val="000000" w:themeColor="text1"/>
              </w:rPr>
              <w:t>FFY</w:t>
            </w:r>
          </w:p>
        </w:tc>
        <w:tc>
          <w:tcPr>
            <w:tcW w:w="3255" w:type="pct"/>
            <w:shd w:val="clear" w:color="auto" w:fill="auto"/>
            <w:vAlign w:val="center"/>
          </w:tcPr>
          <w:p w14:paraId="1805BFB9" w14:textId="40FB7546" w:rsidR="00F54A50" w:rsidRPr="005C29F8" w:rsidRDefault="00F54A50" w:rsidP="004369B2">
            <w:pPr>
              <w:jc w:val="center"/>
              <w:rPr>
                <w:b/>
                <w:color w:val="000000" w:themeColor="text1"/>
              </w:rPr>
            </w:pPr>
            <w:r w:rsidRPr="005C29F8">
              <w:rPr>
                <w:b/>
                <w:color w:val="000000" w:themeColor="text1"/>
              </w:rPr>
              <w:t>2019</w:t>
            </w:r>
          </w:p>
        </w:tc>
      </w:tr>
      <w:tr w:rsidR="00F54A50" w:rsidRPr="005C29F8" w14:paraId="63497877" w14:textId="65436460" w:rsidTr="00F54A50">
        <w:trPr>
          <w:trHeight w:val="357"/>
        </w:trPr>
        <w:tc>
          <w:tcPr>
            <w:tcW w:w="1745" w:type="pct"/>
            <w:shd w:val="clear" w:color="auto" w:fill="auto"/>
          </w:tcPr>
          <w:p w14:paraId="177D86BD" w14:textId="75CEEFE5" w:rsidR="00F54A50" w:rsidRPr="005C29F8" w:rsidRDefault="00F54A50" w:rsidP="00D57811">
            <w:pPr>
              <w:rPr>
                <w:rFonts w:cs="Arial"/>
                <w:color w:val="000000" w:themeColor="text1"/>
                <w:szCs w:val="16"/>
              </w:rPr>
            </w:pPr>
            <w:r w:rsidRPr="005C29F8">
              <w:rPr>
                <w:rFonts w:cs="Arial"/>
                <w:color w:val="000000" w:themeColor="text1"/>
                <w:szCs w:val="16"/>
              </w:rPr>
              <w:t>Target A &gt;=</w:t>
            </w:r>
          </w:p>
        </w:tc>
        <w:tc>
          <w:tcPr>
            <w:tcW w:w="3255" w:type="pct"/>
            <w:shd w:val="clear" w:color="auto" w:fill="auto"/>
            <w:vAlign w:val="center"/>
          </w:tcPr>
          <w:p w14:paraId="45A6C0CC" w14:textId="7B92BE4D" w:rsidR="00F54A50" w:rsidRPr="005C29F8" w:rsidRDefault="00F54A50" w:rsidP="00A018D4">
            <w:pPr>
              <w:jc w:val="center"/>
              <w:rPr>
                <w:rFonts w:cs="Arial"/>
                <w:color w:val="000000" w:themeColor="text1"/>
                <w:szCs w:val="16"/>
              </w:rPr>
            </w:pPr>
            <w:r w:rsidRPr="005C29F8">
              <w:rPr>
                <w:rFonts w:cs="Arial"/>
                <w:color w:val="000000" w:themeColor="text1"/>
                <w:szCs w:val="16"/>
              </w:rPr>
              <w:t>93.00%</w:t>
            </w:r>
          </w:p>
        </w:tc>
      </w:tr>
      <w:tr w:rsidR="00F54A50" w:rsidRPr="005C29F8" w14:paraId="2317B2F5" w14:textId="60A68C23" w:rsidTr="00F54A50">
        <w:trPr>
          <w:trHeight w:val="357"/>
        </w:trPr>
        <w:tc>
          <w:tcPr>
            <w:tcW w:w="1745" w:type="pct"/>
            <w:shd w:val="clear" w:color="auto" w:fill="auto"/>
          </w:tcPr>
          <w:p w14:paraId="149F53A9" w14:textId="68CCB85F" w:rsidR="00F54A50" w:rsidRPr="005C29F8" w:rsidRDefault="00F54A50" w:rsidP="00D57811">
            <w:pPr>
              <w:rPr>
                <w:rFonts w:cs="Arial"/>
                <w:color w:val="000000" w:themeColor="text1"/>
                <w:szCs w:val="16"/>
              </w:rPr>
            </w:pPr>
            <w:r w:rsidRPr="005C29F8">
              <w:rPr>
                <w:rFonts w:cs="Arial"/>
                <w:color w:val="000000" w:themeColor="text1"/>
                <w:szCs w:val="16"/>
              </w:rPr>
              <w:t>Target B &gt;=</w:t>
            </w:r>
          </w:p>
        </w:tc>
        <w:tc>
          <w:tcPr>
            <w:tcW w:w="3255" w:type="pct"/>
            <w:shd w:val="clear" w:color="auto" w:fill="auto"/>
            <w:vAlign w:val="center"/>
          </w:tcPr>
          <w:p w14:paraId="3F59397C" w14:textId="77CD5E97" w:rsidR="00F54A50" w:rsidRPr="005C29F8" w:rsidRDefault="00F54A50" w:rsidP="00A018D4">
            <w:pPr>
              <w:jc w:val="center"/>
              <w:rPr>
                <w:rFonts w:cs="Arial"/>
                <w:color w:val="000000" w:themeColor="text1"/>
                <w:szCs w:val="16"/>
              </w:rPr>
            </w:pPr>
            <w:r w:rsidRPr="005C29F8">
              <w:rPr>
                <w:rFonts w:cs="Arial"/>
                <w:color w:val="000000" w:themeColor="text1"/>
                <w:szCs w:val="16"/>
              </w:rPr>
              <w:t>99.00%</w:t>
            </w:r>
          </w:p>
        </w:tc>
      </w:tr>
    </w:tbl>
    <w:p w14:paraId="4BB32392" w14:textId="77777777" w:rsidR="00165B2C" w:rsidRPr="005C29F8" w:rsidRDefault="00165B2C" w:rsidP="004369B2">
      <w:pPr>
        <w:rPr>
          <w:color w:val="000000" w:themeColor="text1"/>
        </w:rPr>
      </w:pPr>
    </w:p>
    <w:p w14:paraId="355812DD" w14:textId="7A51ADE9" w:rsidR="00CE1CE8" w:rsidRPr="005C29F8" w:rsidRDefault="00EC46E4" w:rsidP="004369B2">
      <w:pPr>
        <w:rPr>
          <w:color w:val="000000" w:themeColor="text1"/>
        </w:rPr>
      </w:pPr>
      <w:r w:rsidRPr="005C29F8">
        <w:rPr>
          <w:b/>
          <w:color w:val="000000" w:themeColor="text1"/>
        </w:rPr>
        <w:t>FFY 2019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5C29F8" w14:paraId="0DE6D581" w14:textId="77777777" w:rsidTr="00AF550B">
        <w:trPr>
          <w:trHeight w:val="368"/>
          <w:tblHeader/>
        </w:trPr>
        <w:tc>
          <w:tcPr>
            <w:tcW w:w="302" w:type="pct"/>
            <w:shd w:val="clear" w:color="auto" w:fill="auto"/>
            <w:vAlign w:val="bottom"/>
          </w:tcPr>
          <w:p w14:paraId="6938328D" w14:textId="649774FC" w:rsidR="008546BE" w:rsidRPr="005C29F8" w:rsidRDefault="00D05754" w:rsidP="00681BA6">
            <w:pPr>
              <w:jc w:val="center"/>
              <w:rPr>
                <w:rFonts w:cs="Arial"/>
                <w:b/>
                <w:color w:val="000000" w:themeColor="text1"/>
                <w:szCs w:val="16"/>
              </w:rPr>
            </w:pPr>
            <w:r>
              <w:rPr>
                <w:rFonts w:cs="Arial"/>
                <w:b/>
                <w:color w:val="000000" w:themeColor="text1"/>
                <w:szCs w:val="16"/>
              </w:rPr>
              <w:lastRenderedPageBreak/>
              <w:t>Group</w:t>
            </w:r>
          </w:p>
        </w:tc>
        <w:tc>
          <w:tcPr>
            <w:tcW w:w="896" w:type="pct"/>
            <w:shd w:val="clear" w:color="auto" w:fill="auto"/>
            <w:vAlign w:val="bottom"/>
          </w:tcPr>
          <w:p w14:paraId="5FE60195" w14:textId="33373D52" w:rsidR="008546BE" w:rsidRPr="005C29F8" w:rsidRDefault="008546BE" w:rsidP="00681BA6">
            <w:pPr>
              <w:jc w:val="center"/>
              <w:rPr>
                <w:rFonts w:cs="Arial"/>
                <w:b/>
                <w:color w:val="000000" w:themeColor="text1"/>
                <w:szCs w:val="16"/>
              </w:rPr>
            </w:pPr>
            <w:r w:rsidRPr="005C29F8">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Total number of respondent parents of children with disabilities</w:t>
            </w:r>
          </w:p>
        </w:tc>
        <w:tc>
          <w:tcPr>
            <w:tcW w:w="559" w:type="pct"/>
            <w:shd w:val="clear" w:color="auto" w:fill="auto"/>
            <w:vAlign w:val="bottom"/>
          </w:tcPr>
          <w:p w14:paraId="0A3A2F6A" w14:textId="2A89B23E" w:rsidR="008546BE"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798" w:type="pct"/>
            <w:shd w:val="clear" w:color="auto" w:fill="auto"/>
            <w:vAlign w:val="bottom"/>
          </w:tcPr>
          <w:p w14:paraId="7539AB74" w14:textId="7F87ABE4"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Target</w:t>
            </w:r>
          </w:p>
        </w:tc>
        <w:tc>
          <w:tcPr>
            <w:tcW w:w="511" w:type="pct"/>
            <w:shd w:val="clear" w:color="auto" w:fill="auto"/>
            <w:vAlign w:val="bottom"/>
          </w:tcPr>
          <w:p w14:paraId="407378F4" w14:textId="12DA52F3"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Data</w:t>
            </w:r>
          </w:p>
        </w:tc>
        <w:tc>
          <w:tcPr>
            <w:tcW w:w="627" w:type="pct"/>
            <w:shd w:val="clear" w:color="auto" w:fill="auto"/>
            <w:vAlign w:val="bottom"/>
          </w:tcPr>
          <w:p w14:paraId="28F3ED34"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Status</w:t>
            </w:r>
          </w:p>
        </w:tc>
        <w:tc>
          <w:tcPr>
            <w:tcW w:w="609" w:type="pct"/>
            <w:shd w:val="clear" w:color="auto" w:fill="auto"/>
            <w:vAlign w:val="bottom"/>
          </w:tcPr>
          <w:p w14:paraId="30DF9F16"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7F2B6CD0" w14:textId="77777777" w:rsidTr="00AF550B">
        <w:trPr>
          <w:trHeight w:val="375"/>
        </w:trPr>
        <w:tc>
          <w:tcPr>
            <w:tcW w:w="302" w:type="pct"/>
            <w:shd w:val="clear" w:color="auto" w:fill="auto"/>
          </w:tcPr>
          <w:p w14:paraId="6D02A255" w14:textId="2B8E30CF" w:rsidR="007D6BB1" w:rsidRPr="005C29F8" w:rsidRDefault="007D6BB1" w:rsidP="007D6BB1">
            <w:pPr>
              <w:jc w:val="center"/>
              <w:rPr>
                <w:rFonts w:cs="Arial"/>
                <w:color w:val="000000" w:themeColor="text1"/>
                <w:szCs w:val="16"/>
              </w:rPr>
            </w:pPr>
            <w:r w:rsidRPr="005C29F8">
              <w:rPr>
                <w:rFonts w:cs="Arial"/>
                <w:color w:val="000000" w:themeColor="text1"/>
                <w:szCs w:val="16"/>
              </w:rPr>
              <w:t>Preschool</w:t>
            </w:r>
          </w:p>
        </w:tc>
        <w:tc>
          <w:tcPr>
            <w:tcW w:w="896" w:type="pct"/>
            <w:shd w:val="clear" w:color="auto" w:fill="auto"/>
            <w:vAlign w:val="bottom"/>
          </w:tcPr>
          <w:p w14:paraId="6B99666A" w14:textId="69D7E33D" w:rsidR="007D6BB1"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697" w:type="pct"/>
            <w:shd w:val="clear" w:color="auto" w:fill="auto"/>
            <w:vAlign w:val="bottom"/>
          </w:tcPr>
          <w:p w14:paraId="76FAE551" w14:textId="4CC1C92C" w:rsidR="007D6BB1"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59" w:type="pct"/>
            <w:shd w:val="clear" w:color="auto" w:fill="auto"/>
            <w:vAlign w:val="bottom"/>
          </w:tcPr>
          <w:p w14:paraId="123C5B86" w14:textId="2170EE84" w:rsidR="007D6BB1" w:rsidRPr="005C29F8" w:rsidRDefault="002B7490" w:rsidP="00A018D4">
            <w:pPr>
              <w:jc w:val="center"/>
              <w:rPr>
                <w:rFonts w:cs="Arial"/>
                <w:color w:val="000000" w:themeColor="text1"/>
                <w:szCs w:val="16"/>
              </w:rPr>
            </w:pPr>
            <w:r w:rsidRPr="005C29F8">
              <w:rPr>
                <w:rFonts w:cs="Arial"/>
                <w:color w:val="000000" w:themeColor="text1"/>
                <w:szCs w:val="16"/>
              </w:rPr>
              <w:t>71.43%</w:t>
            </w:r>
          </w:p>
        </w:tc>
        <w:tc>
          <w:tcPr>
            <w:tcW w:w="798" w:type="pct"/>
            <w:shd w:val="clear" w:color="auto" w:fill="auto"/>
            <w:vAlign w:val="bottom"/>
          </w:tcPr>
          <w:p w14:paraId="308FEA57" w14:textId="7004813A" w:rsidR="007D6BB1" w:rsidRPr="005C29F8" w:rsidRDefault="002B7490" w:rsidP="00A018D4">
            <w:pPr>
              <w:jc w:val="center"/>
              <w:rPr>
                <w:rFonts w:cs="Arial"/>
                <w:color w:val="000000" w:themeColor="text1"/>
                <w:szCs w:val="16"/>
              </w:rPr>
            </w:pPr>
            <w:r w:rsidRPr="005C29F8">
              <w:rPr>
                <w:rFonts w:cs="Arial"/>
                <w:color w:val="000000" w:themeColor="text1"/>
                <w:szCs w:val="16"/>
              </w:rPr>
              <w:t>93.00%</w:t>
            </w:r>
          </w:p>
        </w:tc>
        <w:tc>
          <w:tcPr>
            <w:tcW w:w="511" w:type="pct"/>
            <w:shd w:val="clear" w:color="auto" w:fill="auto"/>
            <w:vAlign w:val="bottom"/>
          </w:tcPr>
          <w:p w14:paraId="1C1DCA19" w14:textId="730526F3" w:rsidR="007D6BB1"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7" w:type="pct"/>
            <w:shd w:val="clear" w:color="auto" w:fill="auto"/>
            <w:vAlign w:val="bottom"/>
          </w:tcPr>
          <w:p w14:paraId="3DDEE74A" w14:textId="47BC7A4C" w:rsidR="007D6BB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09" w:type="pct"/>
            <w:shd w:val="clear" w:color="auto" w:fill="auto"/>
            <w:vAlign w:val="bottom"/>
          </w:tcPr>
          <w:p w14:paraId="2B5BE34B" w14:textId="08BABAF7" w:rsidR="007D6BB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3195A184" w14:textId="77777777" w:rsidTr="00AF550B">
        <w:trPr>
          <w:trHeight w:val="375"/>
        </w:trPr>
        <w:tc>
          <w:tcPr>
            <w:tcW w:w="302" w:type="pct"/>
            <w:shd w:val="clear" w:color="auto" w:fill="auto"/>
          </w:tcPr>
          <w:p w14:paraId="4BB698E5" w14:textId="7EA34994" w:rsidR="007D6BB1" w:rsidRPr="005C29F8" w:rsidRDefault="00DB1150" w:rsidP="007D6BB1">
            <w:pPr>
              <w:jc w:val="center"/>
              <w:rPr>
                <w:rFonts w:cs="Arial"/>
                <w:color w:val="000000" w:themeColor="text1"/>
                <w:szCs w:val="16"/>
              </w:rPr>
            </w:pPr>
            <w:r w:rsidRPr="005C29F8">
              <w:rPr>
                <w:rFonts w:cs="Arial"/>
                <w:color w:val="000000" w:themeColor="text1"/>
                <w:szCs w:val="16"/>
              </w:rPr>
              <w:t>School age</w:t>
            </w:r>
          </w:p>
        </w:tc>
        <w:tc>
          <w:tcPr>
            <w:tcW w:w="896" w:type="pct"/>
            <w:shd w:val="clear" w:color="auto" w:fill="auto"/>
            <w:vAlign w:val="bottom"/>
          </w:tcPr>
          <w:p w14:paraId="371458FE" w14:textId="394F3EE9" w:rsidR="007D6BB1" w:rsidRPr="005C29F8" w:rsidRDefault="002B7490" w:rsidP="00A018D4">
            <w:pPr>
              <w:jc w:val="center"/>
              <w:rPr>
                <w:rFonts w:cs="Arial"/>
                <w:color w:val="000000" w:themeColor="text1"/>
                <w:szCs w:val="16"/>
              </w:rPr>
            </w:pPr>
            <w:r w:rsidRPr="005C29F8">
              <w:rPr>
                <w:rFonts w:cs="Arial"/>
                <w:color w:val="000000" w:themeColor="text1"/>
                <w:szCs w:val="16"/>
              </w:rPr>
              <w:t>72</w:t>
            </w:r>
          </w:p>
        </w:tc>
        <w:tc>
          <w:tcPr>
            <w:tcW w:w="697" w:type="pct"/>
            <w:shd w:val="clear" w:color="auto" w:fill="auto"/>
            <w:vAlign w:val="bottom"/>
          </w:tcPr>
          <w:p w14:paraId="22A6CCE9" w14:textId="104A03FB" w:rsidR="007D6BB1" w:rsidRPr="005C29F8" w:rsidRDefault="002B7490" w:rsidP="00A018D4">
            <w:pPr>
              <w:jc w:val="center"/>
              <w:rPr>
                <w:rFonts w:cs="Arial"/>
                <w:color w:val="000000" w:themeColor="text1"/>
                <w:szCs w:val="16"/>
              </w:rPr>
            </w:pPr>
            <w:r w:rsidRPr="005C29F8">
              <w:rPr>
                <w:rFonts w:cs="Arial"/>
                <w:color w:val="000000" w:themeColor="text1"/>
                <w:szCs w:val="16"/>
              </w:rPr>
              <w:t>76</w:t>
            </w:r>
          </w:p>
        </w:tc>
        <w:tc>
          <w:tcPr>
            <w:tcW w:w="559" w:type="pct"/>
            <w:shd w:val="clear" w:color="auto" w:fill="auto"/>
            <w:vAlign w:val="bottom"/>
          </w:tcPr>
          <w:p w14:paraId="740FC8CE" w14:textId="67D1D68F" w:rsidR="007D6BB1" w:rsidRPr="005C29F8" w:rsidRDefault="002B7490" w:rsidP="00A018D4">
            <w:pPr>
              <w:jc w:val="center"/>
              <w:rPr>
                <w:rFonts w:cs="Arial"/>
                <w:color w:val="000000" w:themeColor="text1"/>
                <w:szCs w:val="16"/>
              </w:rPr>
            </w:pPr>
            <w:r w:rsidRPr="005C29F8">
              <w:rPr>
                <w:rFonts w:cs="Arial"/>
                <w:color w:val="000000" w:themeColor="text1"/>
                <w:szCs w:val="16"/>
              </w:rPr>
              <w:t>98.65%</w:t>
            </w:r>
          </w:p>
        </w:tc>
        <w:tc>
          <w:tcPr>
            <w:tcW w:w="798" w:type="pct"/>
            <w:shd w:val="clear" w:color="auto" w:fill="auto"/>
            <w:vAlign w:val="bottom"/>
          </w:tcPr>
          <w:p w14:paraId="1C976F97" w14:textId="0D0F6366" w:rsidR="007D6BB1" w:rsidRPr="005C29F8" w:rsidRDefault="002B7490" w:rsidP="00A018D4">
            <w:pPr>
              <w:jc w:val="center"/>
              <w:rPr>
                <w:rFonts w:cs="Arial"/>
                <w:color w:val="000000" w:themeColor="text1"/>
                <w:szCs w:val="16"/>
              </w:rPr>
            </w:pPr>
            <w:r w:rsidRPr="005C29F8">
              <w:rPr>
                <w:rFonts w:cs="Arial"/>
                <w:color w:val="000000" w:themeColor="text1"/>
                <w:szCs w:val="16"/>
              </w:rPr>
              <w:t>99.00%</w:t>
            </w:r>
          </w:p>
        </w:tc>
        <w:tc>
          <w:tcPr>
            <w:tcW w:w="511" w:type="pct"/>
            <w:shd w:val="clear" w:color="auto" w:fill="auto"/>
            <w:vAlign w:val="bottom"/>
          </w:tcPr>
          <w:p w14:paraId="78A0A4EE" w14:textId="02F22347" w:rsidR="007D6BB1" w:rsidRPr="005C29F8" w:rsidRDefault="002B7490" w:rsidP="00A018D4">
            <w:pPr>
              <w:jc w:val="center"/>
              <w:rPr>
                <w:rFonts w:cs="Arial"/>
                <w:color w:val="000000" w:themeColor="text1"/>
                <w:szCs w:val="16"/>
              </w:rPr>
            </w:pPr>
            <w:r w:rsidRPr="005C29F8">
              <w:rPr>
                <w:rFonts w:cs="Arial"/>
                <w:color w:val="000000" w:themeColor="text1"/>
                <w:szCs w:val="16"/>
              </w:rPr>
              <w:t>94.74%</w:t>
            </w:r>
          </w:p>
        </w:tc>
        <w:tc>
          <w:tcPr>
            <w:tcW w:w="627" w:type="pct"/>
            <w:shd w:val="clear" w:color="auto" w:fill="auto"/>
            <w:vAlign w:val="bottom"/>
          </w:tcPr>
          <w:p w14:paraId="45E43DB0" w14:textId="1B4AB4EA" w:rsidR="007D6BB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09" w:type="pct"/>
            <w:shd w:val="clear" w:color="auto" w:fill="auto"/>
            <w:vAlign w:val="bottom"/>
          </w:tcPr>
          <w:p w14:paraId="601F7342" w14:textId="758CB2A7" w:rsidR="007D6BB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EAF5470" w14:textId="218032E5" w:rsidR="007D6BB1" w:rsidRPr="005C29F8" w:rsidRDefault="009B37A2" w:rsidP="007D6BB1">
      <w:pPr>
        <w:rPr>
          <w:rFonts w:cs="Arial"/>
          <w:b/>
          <w:i/>
          <w:color w:val="000000" w:themeColor="text1"/>
          <w:szCs w:val="16"/>
        </w:rPr>
      </w:pPr>
      <w:r w:rsidRPr="005C29F8">
        <w:rPr>
          <w:rFonts w:cs="Arial"/>
          <w:b/>
          <w:color w:val="000000" w:themeColor="text1"/>
          <w:szCs w:val="16"/>
        </w:rPr>
        <w:t>Provide reasons for slippage, if applicable</w:t>
      </w:r>
    </w:p>
    <w:p w14:paraId="324C0C99" w14:textId="65FFAA5D" w:rsidR="009B37A2" w:rsidRPr="005C29F8" w:rsidRDefault="002B7490" w:rsidP="00B6413B">
      <w:pPr>
        <w:rPr>
          <w:rFonts w:cs="Arial"/>
          <w:color w:val="000000" w:themeColor="text1"/>
          <w:szCs w:val="16"/>
        </w:rPr>
      </w:pPr>
      <w:r w:rsidRPr="005C29F8">
        <w:rPr>
          <w:rFonts w:cs="Arial"/>
          <w:color w:val="000000" w:themeColor="text1"/>
          <w:szCs w:val="16"/>
        </w:rPr>
        <w:t xml:space="preserve">In FFY 2019, ROP did not meet its target of 99% for parent respondents of the school-age group and reported slippage by a 3.91% decrease from 98.65% (73/74) in FFY 2018 to 94.74% (72/76) in FFY 2019. The slippage represents </w:t>
      </w:r>
      <w:proofErr w:type="gramStart"/>
      <w:r w:rsidRPr="005C29F8">
        <w:rPr>
          <w:rFonts w:cs="Arial"/>
          <w:color w:val="000000" w:themeColor="text1"/>
          <w:szCs w:val="16"/>
        </w:rPr>
        <w:t>a number of</w:t>
      </w:r>
      <w:proofErr w:type="gramEnd"/>
      <w:r w:rsidRPr="005C29F8">
        <w:rPr>
          <w:rFonts w:cs="Arial"/>
          <w:color w:val="000000" w:themeColor="text1"/>
          <w:szCs w:val="16"/>
        </w:rPr>
        <w:t xml:space="preserve"> new parents whose children started receiving services at the beginning of the new school year as well as in the middle of the new school year. The MOE Special Education Program continues to facilitate parent training that happens every summer. The program will tap into school Parent-Teacher Association (PTA) meetings to occur throughout the year to strengthen parent involvement as a means for improving services and results for children and youth with disabilities.</w:t>
      </w:r>
    </w:p>
    <w:p w14:paraId="4CAD189F" w14:textId="1B2E88D6" w:rsidR="007E2779" w:rsidRPr="005C29F8" w:rsidRDefault="007E2779" w:rsidP="00B6413B">
      <w:pPr>
        <w:rPr>
          <w:rFonts w:cs="Arial"/>
          <w:b/>
          <w:color w:val="000000" w:themeColor="text1"/>
          <w:szCs w:val="16"/>
        </w:rPr>
      </w:pPr>
      <w:r w:rsidRPr="005C29F8">
        <w:rPr>
          <w:rFonts w:cs="Arial"/>
          <w:b/>
          <w:color w:val="000000" w:themeColor="text1"/>
          <w:szCs w:val="16"/>
        </w:rPr>
        <w:t>The number of parents to whom the surveys were distributed.</w:t>
      </w:r>
    </w:p>
    <w:p w14:paraId="20285CB8" w14:textId="5D5F568E" w:rsidR="007E2779" w:rsidRPr="005C29F8" w:rsidRDefault="007E2779" w:rsidP="00B6413B">
      <w:pPr>
        <w:rPr>
          <w:rFonts w:cs="Arial"/>
          <w:color w:val="000000" w:themeColor="text1"/>
          <w:szCs w:val="16"/>
        </w:rPr>
      </w:pPr>
      <w:r w:rsidRPr="005C29F8">
        <w:rPr>
          <w:rFonts w:cs="Arial"/>
          <w:color w:val="000000" w:themeColor="text1"/>
          <w:szCs w:val="16"/>
        </w:rPr>
        <w:t>87</w:t>
      </w:r>
    </w:p>
    <w:p w14:paraId="2D885C21" w14:textId="63442F04" w:rsidR="007E2779" w:rsidRPr="005C29F8" w:rsidRDefault="007E2779" w:rsidP="00B6413B">
      <w:pPr>
        <w:rPr>
          <w:rFonts w:cs="Arial"/>
          <w:b/>
          <w:color w:val="000000" w:themeColor="text1"/>
          <w:szCs w:val="16"/>
        </w:rPr>
      </w:pPr>
      <w:r w:rsidRPr="005C29F8">
        <w:rPr>
          <w:rFonts w:cs="Arial"/>
          <w:b/>
          <w:color w:val="000000" w:themeColor="text1"/>
          <w:szCs w:val="16"/>
        </w:rPr>
        <w:t>Percentage of respondent parents</w:t>
      </w:r>
    </w:p>
    <w:p w14:paraId="7B7E943C" w14:textId="1F805066" w:rsidR="007E2779" w:rsidRPr="005C29F8" w:rsidRDefault="007E2779" w:rsidP="00B6413B">
      <w:pPr>
        <w:rPr>
          <w:rFonts w:cs="Arial"/>
          <w:color w:val="000000" w:themeColor="text1"/>
          <w:szCs w:val="16"/>
        </w:rPr>
      </w:pPr>
      <w:r w:rsidRPr="005C29F8">
        <w:rPr>
          <w:rFonts w:cs="Arial"/>
          <w:color w:val="000000" w:themeColor="text1"/>
          <w:szCs w:val="16"/>
        </w:rPr>
        <w:t>96.55%</w:t>
      </w: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In FFY 2019, the total number of surveys disseminated was 87; of which, eight surveys were for parents of preschoolers with an IEP and 79 surveys were for parents of school-age students with an IEP:</w:t>
      </w:r>
      <w:r w:rsidRPr="005C29F8">
        <w:rPr>
          <w:rFonts w:cs="Arial"/>
          <w:color w:val="000000" w:themeColor="text1"/>
          <w:szCs w:val="16"/>
        </w:rPr>
        <w:br/>
      </w:r>
      <w:r w:rsidRPr="005C29F8">
        <w:rPr>
          <w:rFonts w:cs="Arial"/>
          <w:color w:val="000000" w:themeColor="text1"/>
          <w:szCs w:val="16"/>
        </w:rPr>
        <w:br/>
        <w:t>Preschool survey return rate = 100% (8/8)</w:t>
      </w:r>
      <w:r w:rsidRPr="005C29F8">
        <w:rPr>
          <w:rFonts w:cs="Arial"/>
          <w:color w:val="000000" w:themeColor="text1"/>
          <w:szCs w:val="16"/>
        </w:rPr>
        <w:br/>
        <w:t>School-Age survey return rate = 96.20% (76/79)</w:t>
      </w:r>
      <w:r w:rsidRPr="005C29F8">
        <w:rPr>
          <w:rFonts w:cs="Arial"/>
          <w:color w:val="000000" w:themeColor="text1"/>
          <w:szCs w:val="16"/>
        </w:rPr>
        <w:br/>
      </w:r>
      <w:r w:rsidRPr="005C29F8">
        <w:rPr>
          <w:rFonts w:cs="Arial"/>
          <w:color w:val="000000" w:themeColor="text1"/>
          <w:szCs w:val="16"/>
        </w:rPr>
        <w:br/>
        <w:t>ROP reports that the parents responding are representative of the demographics of children receiving special education services. All children with an IEP were accounted for in the dissemination of the parent survey. The return rate for preschoolers with an IEP was 100% (8/8</w:t>
      </w:r>
      <w:proofErr w:type="gramStart"/>
      <w:r w:rsidRPr="005C29F8">
        <w:rPr>
          <w:rFonts w:cs="Arial"/>
          <w:color w:val="000000" w:themeColor="text1"/>
          <w:szCs w:val="16"/>
        </w:rPr>
        <w:t>);</w:t>
      </w:r>
      <w:proofErr w:type="gramEnd"/>
      <w:r w:rsidRPr="005C29F8">
        <w:rPr>
          <w:rFonts w:cs="Arial"/>
          <w:color w:val="000000" w:themeColor="text1"/>
          <w:szCs w:val="16"/>
        </w:rPr>
        <w:t xml:space="preserve"> representative of all preschoolers with an IEP. </w:t>
      </w:r>
      <w:r w:rsidRPr="005C29F8">
        <w:rPr>
          <w:rFonts w:cs="Arial"/>
          <w:color w:val="000000" w:themeColor="text1"/>
          <w:szCs w:val="16"/>
        </w:rPr>
        <w:br/>
      </w:r>
      <w:r w:rsidRPr="005C29F8">
        <w:rPr>
          <w:rFonts w:cs="Arial"/>
          <w:color w:val="000000" w:themeColor="text1"/>
          <w:szCs w:val="16"/>
        </w:rPr>
        <w:br/>
        <w:t xml:space="preserve">For school-age students with an IEP, the return rate was 96.20% (76/79). Three of the 79 surveys disseminated were not returned. ROP reviewed the ethnicity and school levels for determining representation. </w:t>
      </w:r>
      <w:r w:rsidRPr="005C29F8">
        <w:rPr>
          <w:rFonts w:cs="Arial"/>
          <w:color w:val="000000" w:themeColor="text1"/>
          <w:szCs w:val="16"/>
        </w:rPr>
        <w:br/>
      </w:r>
      <w:r w:rsidRPr="005C29F8">
        <w:rPr>
          <w:rFonts w:cs="Arial"/>
          <w:color w:val="000000" w:themeColor="text1"/>
          <w:szCs w:val="16"/>
        </w:rPr>
        <w:br/>
        <w:t>Race/Ethnicity</w:t>
      </w:r>
      <w:r w:rsidRPr="005C29F8">
        <w:rPr>
          <w:rFonts w:cs="Arial"/>
          <w:color w:val="000000" w:themeColor="text1"/>
          <w:szCs w:val="16"/>
        </w:rPr>
        <w:br/>
        <w:t>In FFY 2019, 100% (76/76) of the respondents indicated “Palauan” as their race/ethnic group. This was representative of the overall percentage of surveys disseminated to all parents by race/ethnicity, which was 100% (79/79) "Pacific Islander" which includes "Palauan."</w:t>
      </w:r>
      <w:r w:rsidRPr="005C29F8">
        <w:rPr>
          <w:rFonts w:cs="Arial"/>
          <w:color w:val="000000" w:themeColor="text1"/>
          <w:szCs w:val="16"/>
        </w:rPr>
        <w:br/>
      </w:r>
      <w:r w:rsidRPr="005C29F8">
        <w:rPr>
          <w:rFonts w:cs="Arial"/>
          <w:color w:val="000000" w:themeColor="text1"/>
          <w:szCs w:val="16"/>
        </w:rPr>
        <w:br/>
        <w:t>Grade Level</w:t>
      </w:r>
      <w:r w:rsidRPr="005C29F8">
        <w:rPr>
          <w:rFonts w:cs="Arial"/>
          <w:color w:val="000000" w:themeColor="text1"/>
          <w:szCs w:val="16"/>
        </w:rPr>
        <w:br/>
        <w:t>Surveys received for FFY 2019 with valid responses from parents of children in the elementary level was 80.26% (61/76), which is representative of the overall surveys disseminated at the elementary level at 81.01% (64/79). The high school level reported 100% return rate at 15 returned out of 15 disseminated.</w:t>
      </w:r>
      <w:r w:rsidRPr="005C29F8">
        <w:rPr>
          <w:rFonts w:cs="Arial"/>
          <w:color w:val="000000" w:themeColor="text1"/>
          <w:szCs w:val="16"/>
        </w:rPr>
        <w:br/>
      </w:r>
      <w:r w:rsidRPr="005C29F8">
        <w:rPr>
          <w:rFonts w:cs="Arial"/>
          <w:color w:val="000000" w:themeColor="text1"/>
          <w:szCs w:val="16"/>
        </w:rPr>
        <w:br/>
        <w:t>ROP State of Residence</w:t>
      </w:r>
      <w:r w:rsidRPr="005C29F8">
        <w:rPr>
          <w:rFonts w:cs="Arial"/>
          <w:color w:val="000000" w:themeColor="text1"/>
          <w:szCs w:val="16"/>
        </w:rPr>
        <w:br/>
        <w:t xml:space="preserve">For FFY 2019, valid responses for this demographic item demonstrated that the top three states of residents were: Koror (57.89% or 44/76), </w:t>
      </w:r>
      <w:proofErr w:type="spellStart"/>
      <w:r w:rsidRPr="005C29F8">
        <w:rPr>
          <w:rFonts w:cs="Arial"/>
          <w:color w:val="000000" w:themeColor="text1"/>
          <w:szCs w:val="16"/>
        </w:rPr>
        <w:t>Airai</w:t>
      </w:r>
      <w:proofErr w:type="spellEnd"/>
      <w:r w:rsidRPr="005C29F8">
        <w:rPr>
          <w:rFonts w:cs="Arial"/>
          <w:color w:val="000000" w:themeColor="text1"/>
          <w:szCs w:val="16"/>
        </w:rPr>
        <w:t xml:space="preserve"> (17.11% or 13/76), and </w:t>
      </w:r>
      <w:proofErr w:type="spellStart"/>
      <w:r w:rsidRPr="005C29F8">
        <w:rPr>
          <w:rFonts w:cs="Arial"/>
          <w:color w:val="000000" w:themeColor="text1"/>
          <w:szCs w:val="16"/>
        </w:rPr>
        <w:t>Ngarchelong</w:t>
      </w:r>
      <w:proofErr w:type="spellEnd"/>
      <w:r w:rsidRPr="005C29F8">
        <w:rPr>
          <w:rFonts w:cs="Arial"/>
          <w:color w:val="000000" w:themeColor="text1"/>
          <w:szCs w:val="16"/>
        </w:rPr>
        <w:t xml:space="preserve">, </w:t>
      </w:r>
      <w:proofErr w:type="spellStart"/>
      <w:r w:rsidRPr="005C29F8">
        <w:rPr>
          <w:rFonts w:cs="Arial"/>
          <w:color w:val="000000" w:themeColor="text1"/>
          <w:szCs w:val="16"/>
        </w:rPr>
        <w:t>Ngchesar</w:t>
      </w:r>
      <w:proofErr w:type="spellEnd"/>
      <w:r w:rsidRPr="005C29F8">
        <w:rPr>
          <w:rFonts w:cs="Arial"/>
          <w:color w:val="000000" w:themeColor="text1"/>
          <w:szCs w:val="16"/>
        </w:rPr>
        <w:t xml:space="preserve">, and Peleliu with each having 3.95% or 3/76 respectively. The top two states of residents (Koror and </w:t>
      </w:r>
      <w:proofErr w:type="spellStart"/>
      <w:r w:rsidRPr="005C29F8">
        <w:rPr>
          <w:rFonts w:cs="Arial"/>
          <w:color w:val="000000" w:themeColor="text1"/>
          <w:szCs w:val="16"/>
        </w:rPr>
        <w:t>Airai</w:t>
      </w:r>
      <w:proofErr w:type="spellEnd"/>
      <w:r w:rsidRPr="005C29F8">
        <w:rPr>
          <w:rFonts w:cs="Arial"/>
          <w:color w:val="000000" w:themeColor="text1"/>
          <w:szCs w:val="16"/>
        </w:rPr>
        <w:t>) remain the same from FFY 2018 and FFY 2017.</w:t>
      </w:r>
    </w:p>
    <w:p w14:paraId="1A0A4F5E" w14:textId="77777777" w:rsidR="00221EC9" w:rsidRPr="005C29F8" w:rsidRDefault="00221EC9" w:rsidP="00221EC9">
      <w:pPr>
        <w:rPr>
          <w:rFonts w:cs="Arial"/>
          <w:b/>
          <w:color w:val="000000" w:themeColor="text1"/>
          <w:szCs w:val="16"/>
        </w:rPr>
      </w:pPr>
      <w:bookmarkStart w:id="36" w:name="_Toc381956336"/>
      <w:bookmarkStart w:id="37" w:name="_Toc384383342"/>
      <w:bookmarkStart w:id="38" w:name="_Toc392159310"/>
      <w:bookmarkStart w:id="39"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lastRenderedPageBreak/>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6"/>
      <w:bookmarkEnd w:id="37"/>
      <w:bookmarkEnd w:id="38"/>
    </w:p>
    <w:p w14:paraId="30C4375D" w14:textId="77777777" w:rsidR="00AF5AFB" w:rsidRPr="005C29F8" w:rsidRDefault="00AF5AFB" w:rsidP="00A018D4">
      <w:pPr>
        <w:rPr>
          <w:color w:val="000000" w:themeColor="text1"/>
          <w:szCs w:val="20"/>
        </w:rPr>
      </w:pPr>
      <w:bookmarkStart w:id="40" w:name="_Toc384383343"/>
      <w:bookmarkStart w:id="41"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 xml:space="preserve">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0"/>
    <w:bookmarkEnd w:id="41"/>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Per OSEP's instructions, Indicator 9 is not applicable to ROP.</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Palau. </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42" w:name="_Toc384383348"/>
      <w:bookmarkStart w:id="4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 xml:space="preserve">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2"/>
    <w:bookmarkEnd w:id="43"/>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Per OSEP's instructions, Indicator 10 is not applicable to ROP.</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Palau. </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4" w:name="_Toc384383353"/>
      <w:bookmarkStart w:id="45"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6" w:name="_Toc384383354"/>
      <w:bookmarkStart w:id="47" w:name="_Toc392159322"/>
      <w:bookmarkEnd w:id="44"/>
      <w:bookmarkEnd w:id="45"/>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67.00%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94.44%</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26</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26</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0</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481536" w:rsidP="006A01BD">
      <w:pPr>
        <w:rPr>
          <w:color w:val="000000" w:themeColor="text1"/>
        </w:rPr>
      </w:pP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Data Source: The evaluation data was taken from the database system of all children for whom a parental consent to evaluate was received for the report year July 1, 2019-June 30, 2020.  This database was established specifically for tracking the timeline requirement for Indicator 11 within the Special Education Data System (SEDS).</w:t>
      </w:r>
      <w:r w:rsidRPr="005C29F8">
        <w:rPr>
          <w:rFonts w:cs="Arial"/>
          <w:color w:val="000000" w:themeColor="text1"/>
          <w:szCs w:val="16"/>
        </w:rPr>
        <w:br/>
      </w:r>
      <w:r w:rsidRPr="005C29F8">
        <w:rPr>
          <w:rFonts w:cs="Arial"/>
          <w:color w:val="000000" w:themeColor="text1"/>
          <w:szCs w:val="16"/>
        </w:rPr>
        <w:br/>
        <w:t>Procedures to Collect Data: Following the Palau Special Education Procedural Handbook that aligns with the IDEA regulatory requirements, the Special Education Specialists (also known as Consulting Resource Teachers-CRTs) are responsible for documenting the initial evaluation process in the established special education forms. These completed forms are then transmitted to the Special Education Office for data input into the SEDS. The original completed forms are securely maintained at the child’s school, while a copy of the completed forms is securely maintained in the Special Education Office.</w:t>
      </w:r>
    </w:p>
    <w:p w14:paraId="4F981BFF" w14:textId="77777777" w:rsidR="00C86164" w:rsidRPr="005C29F8" w:rsidRDefault="00C86164" w:rsidP="00C86164">
      <w:pPr>
        <w:rPr>
          <w:rFonts w:cs="Arial"/>
          <w:b/>
          <w:color w:val="000000" w:themeColor="text1"/>
          <w:szCs w:val="16"/>
        </w:rPr>
      </w:pPr>
      <w:bookmarkStart w:id="48" w:name="_Toc381956339"/>
      <w:bookmarkStart w:id="49" w:name="_Toc384383357"/>
      <w:bookmarkStart w:id="50"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Due to the COVID-19 pandemic, ROP schools were closed mid-March 2020 for the rest of the school year.  The school closure however did not impact the 60-day timeline requirement for conducting initial evaluations because MOE Special Education evaluators were able to conduct the test individually at school, home, or at the special education office or online.  ROP required social distancing but did not require wearing of face masks.  With permission from the parents, the individual assessments were conducted.  As of this APR submission, ROP continues to be COVID-19-free.  No COVID-19 positive tests have been reported.</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5C29F8"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5C29F8"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5C29F8" w:rsidRDefault="009A755E" w:rsidP="00A018D4">
            <w:pPr>
              <w:jc w:val="center"/>
              <w:rPr>
                <w:rFonts w:cs="Arial"/>
                <w:color w:val="000000" w:themeColor="text1"/>
                <w:szCs w:val="16"/>
              </w:rPr>
            </w:pPr>
          </w:p>
        </w:tc>
      </w:tr>
    </w:tbl>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326C0B" w:rsidP="00212954">
      <w:pPr>
        <w:rPr>
          <w:rFonts w:cs="Arial"/>
          <w:color w:val="000000" w:themeColor="text1"/>
          <w:szCs w:val="16"/>
        </w:rPr>
      </w:pP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8"/>
      <w:bookmarkEnd w:id="49"/>
      <w:bookmarkEnd w:id="50"/>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51" w:name="_Toc384383358"/>
      <w:bookmarkStart w:id="52"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5C29F8">
        <w:rPr>
          <w:rFonts w:eastAsia="Times New Roman" w:cs="Arial"/>
          <w:color w:val="000000" w:themeColor="text1"/>
          <w:szCs w:val="16"/>
        </w:rPr>
        <w:t>State’s</w:t>
      </w:r>
      <w:proofErr w:type="gramEnd"/>
      <w:r w:rsidRPr="005C29F8">
        <w:rPr>
          <w:rFonts w:eastAsia="Times New Roman" w:cs="Arial"/>
          <w:color w:val="000000" w:themeColor="text1"/>
          <w:szCs w:val="16"/>
        </w:rPr>
        <w:t xml:space="preserve">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51"/>
    <w:bookmarkEnd w:id="52"/>
    <w:p w14:paraId="79824C1D" w14:textId="3C301685" w:rsidR="00FE7D29" w:rsidRPr="0033429D" w:rsidRDefault="00056350" w:rsidP="00123D76">
      <w:pPr>
        <w:pStyle w:val="Heading2"/>
      </w:pPr>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YES</w:t>
      </w:r>
    </w:p>
    <w:p w14:paraId="27D98FA0" w14:textId="2B00F8EB" w:rsidR="00043AC9" w:rsidRPr="005C29F8" w:rsidRDefault="00CB482B" w:rsidP="004369B2">
      <w:pPr>
        <w:rPr>
          <w:b/>
          <w:color w:val="000000" w:themeColor="text1"/>
        </w:rPr>
      </w:pPr>
      <w:r w:rsidRPr="005C29F8">
        <w:rPr>
          <w:b/>
          <w:color w:val="000000" w:themeColor="text1"/>
        </w:rPr>
        <w:t xml:space="preserve">Provide an explanation of why it is not applicable below. </w:t>
      </w:r>
    </w:p>
    <w:p w14:paraId="6067BAAD" w14:textId="4CE13AD0" w:rsidR="00043AC9" w:rsidRDefault="00043AC9" w:rsidP="004369B2">
      <w:pPr>
        <w:rPr>
          <w:color w:val="000000" w:themeColor="text1"/>
        </w:rPr>
      </w:pPr>
      <w:r w:rsidRPr="005C29F8">
        <w:rPr>
          <w:color w:val="000000" w:themeColor="text1"/>
        </w:rPr>
        <w:t>Per OSEP's instructions, Indicator 12 is not applicable to ROP.  ROP is not an eligible entity under IDEA Part C.</w:t>
      </w:r>
    </w:p>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Palau. </w:t>
      </w: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53" w:name="_Toc384383363"/>
      <w:bookmarkStart w:id="54"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 xml:space="preserve">If a </w:t>
      </w:r>
      <w:proofErr w:type="gramStart"/>
      <w:r w:rsidRPr="005C29F8">
        <w:rPr>
          <w:rFonts w:cs="Arial"/>
          <w:color w:val="000000" w:themeColor="text1"/>
          <w:szCs w:val="16"/>
        </w:rPr>
        <w:t>State’s</w:t>
      </w:r>
      <w:proofErr w:type="gramEnd"/>
      <w:r w:rsidRPr="005C29F8">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5" w:name="_Toc384383364"/>
      <w:bookmarkStart w:id="56" w:name="_Toc392159332"/>
      <w:bookmarkEnd w:id="53"/>
      <w:bookmarkEnd w:id="54"/>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98.00%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18</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18</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lastRenderedPageBreak/>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Data Source: The secondary transition data was taken from the database system of all youth with IEPs aged 16 and above with IEPs that contain each of the required components for secondary transition for the report year July 1, 2019-June 30, 2020. This database was established specifically for tracking the timeline requirement for Indicator 13 within the Special Education Data System (SEDS).</w:t>
      </w:r>
      <w:r w:rsidRPr="005C29F8">
        <w:rPr>
          <w:rFonts w:cs="Arial"/>
          <w:color w:val="000000" w:themeColor="text1"/>
          <w:szCs w:val="16"/>
        </w:rPr>
        <w:br/>
      </w:r>
      <w:r w:rsidRPr="005C29F8">
        <w:rPr>
          <w:rFonts w:cs="Arial"/>
          <w:color w:val="000000" w:themeColor="text1"/>
          <w:szCs w:val="16"/>
        </w:rPr>
        <w:br/>
        <w:t>Procedures to Collect Data: Following the Palau Special Education Procedural Handbook that aligns with the IDEA regulatory requirements, the Special Education Specialists (also known as Consulting Resource Teachers-CRTs) are responsible for assuring that the school IEP teams document the required components for secondary transition in the special education forms. These completed forms are then transmitted to the Special Education Office for data input into the SEDS. The original completed forms are securely maintained at the child’s school, while a copy of the completed forms is securely maintained in the Special Education Office.</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w:t>
            </w:r>
            <w:proofErr w:type="gramStart"/>
            <w:r w:rsidRPr="005C29F8">
              <w:rPr>
                <w:rFonts w:cs="Arial"/>
                <w:color w:val="000000" w:themeColor="text1"/>
                <w:szCs w:val="16"/>
              </w:rPr>
              <w:t>that public agencies</w:t>
            </w:r>
            <w:proofErr w:type="gramEnd"/>
            <w:r w:rsidRPr="005C29F8">
              <w:rPr>
                <w:rFonts w:cs="Arial"/>
                <w:color w:val="000000" w:themeColor="text1"/>
                <w:szCs w:val="16"/>
              </w:rPr>
              <w:t xml:space="preserve">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57"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 xml:space="preserve">Due to the COVID-19 pandemic, schools closed from mid-March 2020 through the rest of the school year. ROP implemented the social distancing requirement but no requirement for wearing of face masks. The MOE Special Education Program was able to conduct IEP team meetings at school with social distancing in place. As of this APR submission, ROP continues to be COVID-19-free. No </w:t>
      </w:r>
      <w:proofErr w:type="spellStart"/>
      <w:r w:rsidRPr="005C29F8">
        <w:rPr>
          <w:rFonts w:cs="Arial"/>
          <w:color w:val="000000" w:themeColor="text1"/>
          <w:szCs w:val="16"/>
        </w:rPr>
        <w:t>postive</w:t>
      </w:r>
      <w:proofErr w:type="spellEnd"/>
      <w:r w:rsidRPr="005C29F8">
        <w:rPr>
          <w:rFonts w:cs="Arial"/>
          <w:color w:val="000000" w:themeColor="text1"/>
          <w:szCs w:val="16"/>
        </w:rPr>
        <w:t xml:space="preserve"> COVID-19 tests have been reported.</w:t>
      </w:r>
      <w:r w:rsidRPr="005C29F8">
        <w:rPr>
          <w:rFonts w:cs="Arial"/>
          <w:color w:val="000000" w:themeColor="text1"/>
          <w:szCs w:val="16"/>
        </w:rPr>
        <w:br/>
      </w:r>
      <w:r w:rsidRPr="005C29F8">
        <w:rPr>
          <w:rFonts w:cs="Arial"/>
          <w:color w:val="000000" w:themeColor="text1"/>
          <w:szCs w:val="16"/>
        </w:rPr>
        <w:br/>
        <w:t>Beginning school year 2020-2021, ROP opened schools with regular hours and instruction, as they were before the mid-March 2020 shutdown due to the COVID-19 pandemic.</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5C29F8"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5C29F8"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5C29F8" w:rsidRDefault="009A755E" w:rsidP="004369B2">
            <w:pPr>
              <w:jc w:val="center"/>
              <w:rPr>
                <w:rFonts w:cs="Arial"/>
                <w:color w:val="000000" w:themeColor="text1"/>
                <w:szCs w:val="16"/>
              </w:rPr>
            </w:pPr>
          </w:p>
        </w:tc>
      </w:tr>
    </w:tbl>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93C7E" w:rsidP="00212954">
      <w:pPr>
        <w:rPr>
          <w:rFonts w:cs="Arial"/>
          <w:color w:val="000000" w:themeColor="text1"/>
          <w:szCs w:val="16"/>
        </w:rPr>
      </w:pP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9"/>
      <w:bookmarkEnd w:id="57"/>
    </w:p>
    <w:p w14:paraId="22761492" w14:textId="77777777" w:rsidR="005C50DB" w:rsidRPr="00D37503" w:rsidRDefault="005C50DB" w:rsidP="00A018D4">
      <w:pPr>
        <w:rPr>
          <w:szCs w:val="20"/>
        </w:rPr>
      </w:pPr>
      <w:bookmarkStart w:id="58"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w:t>
      </w:r>
      <w:proofErr w:type="gramStart"/>
      <w:r w:rsidRPr="00D37503">
        <w:rPr>
          <w:rFonts w:eastAsia="Times New Roman" w:cs="Arial"/>
          <w:szCs w:val="16"/>
        </w:rPr>
        <w:t>four or more year</w:t>
      </w:r>
      <w:proofErr w:type="gramEnd"/>
      <w:r w:rsidRPr="00D37503">
        <w:rPr>
          <w:rFonts w:eastAsia="Times New Roman" w:cs="Arial"/>
          <w:szCs w:val="16"/>
        </w:rPr>
        <w:t xml:space="preserve">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58"/>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45.00%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14.29%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54.00%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56.00%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57.14%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33.33%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20.00%</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85.71%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50.00%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60.00%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100.00%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The ROP Special Education Advisory Council (SEAC) serves as ROP’s broad stakeholder group for input on all SPP indicator targets and discussion of ROP’s APR. The SEAC met in January 2021 to review ROP’s FFY 2019 APR performance data, trend data, reasons for slippage where applicable, and to provide input on reasons for slippage. The SEAC acknowledged the reasons for slippage. Although there wasn’t improved performance in all the FFY 2019 APR performance, the SEAC indicated no reasons for revising any of the FFY 2019 targets. In addition, the SEAC decided to continue prioritizing efforts to improve supports and services for youth with disabilities pursuing higher education or employment after high school.</w:t>
      </w:r>
    </w:p>
    <w:p w14:paraId="4522ADD4" w14:textId="77777777" w:rsidR="00E448E9" w:rsidRPr="005C29F8" w:rsidRDefault="00E448E9" w:rsidP="004369B2">
      <w:pPr>
        <w:rPr>
          <w:color w:val="000000" w:themeColor="text1"/>
        </w:rPr>
      </w:pPr>
      <w:bookmarkStart w:id="59"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9</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1</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lastRenderedPageBreak/>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9</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9</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11.11%</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9</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66.67%</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 xml:space="preserve">For FFY 2019, ROP did not meet its target of 60% for indicator 14B, reporting outcomes at 11.11% (1/9) with slippage from the previous year’s outcomes of 20% (1/5). Although the slippage accounted for the decrease in percentage from year to year, the number of leavers engaged in competitive employment remained the same from year to year. Hence, it is important to consider ROP’s small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as the ratio may fluctuate considerably if the numbers change by 1. </w:t>
            </w:r>
            <w:r w:rsidRPr="005C29F8">
              <w:rPr>
                <w:rFonts w:cs="Arial"/>
                <w:color w:val="000000" w:themeColor="text1"/>
                <w:szCs w:val="16"/>
              </w:rPr>
              <w:br/>
            </w:r>
            <w:r w:rsidRPr="005C29F8">
              <w:rPr>
                <w:rFonts w:cs="Arial"/>
                <w:color w:val="000000" w:themeColor="text1"/>
                <w:szCs w:val="16"/>
              </w:rPr>
              <w:br/>
              <w:t xml:space="preserve">A review of the surveys indicated that one of the reasons for the slippage in indicator 14B was that </w:t>
            </w:r>
            <w:proofErr w:type="gramStart"/>
            <w:r w:rsidRPr="005C29F8">
              <w:rPr>
                <w:rFonts w:cs="Arial"/>
                <w:color w:val="000000" w:themeColor="text1"/>
                <w:szCs w:val="16"/>
              </w:rPr>
              <w:t>a majority of</w:t>
            </w:r>
            <w:proofErr w:type="gramEnd"/>
            <w:r w:rsidRPr="005C29F8">
              <w:rPr>
                <w:rFonts w:cs="Arial"/>
                <w:color w:val="000000" w:themeColor="text1"/>
                <w:szCs w:val="16"/>
              </w:rPr>
              <w:t xml:space="preserve"> the respondents preferred to participate in other education or training opportunities such as Job Corp and the Workforce Innovation and Opportunities Act (WIOA) programs. </w:t>
            </w:r>
            <w:r w:rsidRPr="005C29F8">
              <w:rPr>
                <w:rFonts w:cs="Arial"/>
                <w:color w:val="000000" w:themeColor="text1"/>
                <w:szCs w:val="16"/>
              </w:rPr>
              <w:br/>
            </w:r>
            <w:r w:rsidRPr="005C29F8">
              <w:rPr>
                <w:rFonts w:cs="Arial"/>
                <w:color w:val="000000" w:themeColor="text1"/>
                <w:szCs w:val="16"/>
              </w:rPr>
              <w:br/>
              <w:t>The high school continues to focus on ensuring students complete coursework needed to earn a regular high school diploma and obtain a Career Technical Education certificate in the vocational trade of their choice. Based on each student’s Post-Secondary Transition Plan and Goals, as determined by the student’s IEP team members, the high school continues to make efforts in meeting each student’s educational needs for higher education, future employment, and other education, training, or employment opportunities. Through continued partnerships with the WIOA agency, paid training opportunities were made available for students to build their knowledge and skills in the workplace. The local community college also continues to provide workshops to inform senior students and their parents of programs offered at the college as well as to assist them in completing admissions and financial aid.</w:t>
            </w:r>
            <w:r w:rsidRPr="005C29F8">
              <w:rPr>
                <w:rFonts w:cs="Arial"/>
                <w:color w:val="000000" w:themeColor="text1"/>
                <w:szCs w:val="16"/>
              </w:rPr>
              <w:br/>
            </w:r>
            <w:r w:rsidRPr="005C29F8">
              <w:rPr>
                <w:rFonts w:cs="Arial"/>
                <w:color w:val="000000" w:themeColor="text1"/>
                <w:szCs w:val="16"/>
              </w:rPr>
              <w:br/>
              <w:t>In addition, during the January 2021 SEAC meeting, the SEAC prioritized continuing the council's efforts to improve supports and services for youth with disabilities pursuing higher education or employment after high school.</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lastRenderedPageBreak/>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ROP reports that the FFY 2019 leaver response data are representative of the demographics of youth who are no longer in secondary school and had IEPs in effect at the time they left school. ROP reports 100% (9/9) leaver response rate for FFY 2019.</w:t>
      </w:r>
      <w:r w:rsidRPr="005C29F8">
        <w:rPr>
          <w:rFonts w:cs="Arial"/>
          <w:color w:val="000000" w:themeColor="text1"/>
          <w:szCs w:val="16"/>
        </w:rPr>
        <w:br/>
      </w:r>
      <w:r w:rsidRPr="005C29F8">
        <w:rPr>
          <w:rFonts w:cs="Arial"/>
          <w:color w:val="000000" w:themeColor="text1"/>
          <w:szCs w:val="16"/>
        </w:rPr>
        <w:br/>
        <w:t xml:space="preserve">The ROP 2018-2019 IDEA 618 exit report included a total of 10 </w:t>
      </w:r>
      <w:proofErr w:type="spellStart"/>
      <w:r w:rsidRPr="005C29F8">
        <w:rPr>
          <w:rFonts w:cs="Arial"/>
          <w:color w:val="000000" w:themeColor="text1"/>
          <w:szCs w:val="16"/>
        </w:rPr>
        <w:t>exiters</w:t>
      </w:r>
      <w:proofErr w:type="spellEnd"/>
      <w:r w:rsidRPr="005C29F8">
        <w:rPr>
          <w:rFonts w:cs="Arial"/>
          <w:color w:val="000000" w:themeColor="text1"/>
          <w:szCs w:val="16"/>
        </w:rPr>
        <w:t xml:space="preserve">: two graduates with a high school diploma; four who exited with a certificate; and four who dropped out. One of the </w:t>
      </w:r>
      <w:proofErr w:type="spellStart"/>
      <w:r w:rsidRPr="005C29F8">
        <w:rPr>
          <w:rFonts w:cs="Arial"/>
          <w:color w:val="000000" w:themeColor="text1"/>
          <w:szCs w:val="16"/>
        </w:rPr>
        <w:t>exiters</w:t>
      </w:r>
      <w:proofErr w:type="spellEnd"/>
      <w:r w:rsidRPr="005C29F8">
        <w:rPr>
          <w:rFonts w:cs="Arial"/>
          <w:color w:val="000000" w:themeColor="text1"/>
          <w:szCs w:val="16"/>
        </w:rPr>
        <w:t xml:space="preserve"> who dropped out returned to high school the following year, school year 2019-2020. For reporting FFY 2019 Indicator 14 leaver data, nine of the 2018-2019 </w:t>
      </w:r>
      <w:proofErr w:type="spellStart"/>
      <w:r w:rsidRPr="005C29F8">
        <w:rPr>
          <w:rFonts w:cs="Arial"/>
          <w:color w:val="000000" w:themeColor="text1"/>
          <w:szCs w:val="16"/>
        </w:rPr>
        <w:t>exiters</w:t>
      </w:r>
      <w:proofErr w:type="spellEnd"/>
      <w:r w:rsidRPr="005C29F8">
        <w:rPr>
          <w:rFonts w:cs="Arial"/>
          <w:color w:val="000000" w:themeColor="text1"/>
          <w:szCs w:val="16"/>
        </w:rPr>
        <w:t xml:space="preserve"> were considered leavers from high school and all nine completed the post-school outcomes survey.</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60"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61" w:name="_Toc382082390"/>
      <w:bookmarkStart w:id="62" w:name="_Toc392159339"/>
      <w:bookmarkEnd w:id="60"/>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61"/>
      <w:bookmarkEnd w:id="62"/>
    </w:p>
    <w:p w14:paraId="7EA31497" w14:textId="77777777" w:rsidR="005B0B58" w:rsidRPr="005C29F8" w:rsidRDefault="005B0B58" w:rsidP="00A018D4">
      <w:pPr>
        <w:rPr>
          <w:color w:val="000000" w:themeColor="text1"/>
          <w:szCs w:val="20"/>
        </w:rPr>
      </w:pPr>
      <w:bookmarkStart w:id="63" w:name="_Toc381786822"/>
      <w:bookmarkStart w:id="64" w:name="_Toc382731911"/>
      <w:bookmarkStart w:id="65" w:name="_Toc382731912"/>
      <w:bookmarkStart w:id="66" w:name="_Toc392159340"/>
      <w:bookmarkEnd w:id="63"/>
      <w:bookmarkEnd w:id="64"/>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5"/>
    <w:bookmarkEnd w:id="66"/>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67" w:name="_Toc382731913"/>
      <w:bookmarkStart w:id="68"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Per OSEP's instruction, ROP is not required to provide targets until any fiscal year in which ten or more resolution sessions were held.</w:t>
      </w:r>
    </w:p>
    <w:bookmarkEnd w:id="67"/>
    <w:bookmarkEnd w:id="68"/>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5C29F8" w:rsidRDefault="00206890" w:rsidP="00A018D4">
            <w:pPr>
              <w:jc w:val="center"/>
              <w:rPr>
                <w:rFonts w:cs="Arial"/>
                <w:color w:val="000000" w:themeColor="text1"/>
                <w:szCs w:val="16"/>
              </w:rPr>
            </w:pP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Palau reported fewer than ten resolution sessions held in FFY 2019.  Palau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69" w:name="_Toc382731916"/>
      <w:bookmarkStart w:id="70"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69"/>
    <w:bookmarkEnd w:id="70"/>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 xml:space="preserve">Per OSEP's instruction, ROP is not required to provide targets until any fiscal year in which ten or more mediations were held. </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5C29F8"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Palau reported fewer than ten mediations held in FFY 2019.  Palau is not required to provide targets until any fiscal year in which ten or more mediations were held. </w:t>
      </w: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71"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 xml:space="preserve">Nora </w:t>
      </w:r>
      <w:proofErr w:type="spellStart"/>
      <w:r w:rsidRPr="005C29F8">
        <w:rPr>
          <w:rFonts w:cs="Arial"/>
          <w:color w:val="000000" w:themeColor="text1"/>
          <w:szCs w:val="16"/>
        </w:rPr>
        <w:t>Renguul</w:t>
      </w:r>
      <w:proofErr w:type="spellEnd"/>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Special Education Coordinator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norarenguul@palaumoe.net</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+6804882568</w:t>
      </w:r>
    </w:p>
    <w:bookmarkEnd w:id="71"/>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04/29/</w:t>
      </w:r>
      <w:proofErr w:type="gramStart"/>
      <w:r w:rsidRPr="006879FA">
        <w:rPr>
          <w:rFonts w:cs="Arial"/>
          <w:color w:val="000000" w:themeColor="text1"/>
          <w:szCs w:val="16"/>
        </w:rPr>
        <w:t>21  8:48:10</w:t>
      </w:r>
      <w:proofErr w:type="gramEnd"/>
      <w:r w:rsidRPr="006879FA">
        <w:rPr>
          <w:rFonts w:cs="Arial"/>
          <w:color w:val="000000" w:themeColor="text1"/>
          <w:szCs w:val="16"/>
        </w:rPr>
        <w:t xml:space="preserve"> AM</w:t>
      </w:r>
    </w:p>
    <w:p w14:paraId="4D8C588B" w14:textId="1C2DA151" w:rsidR="003C1806" w:rsidRDefault="003C1806" w:rsidP="00EE4B59">
      <w:pPr>
        <w:rPr>
          <w:rFonts w:cs="Arial"/>
          <w:color w:val="000000" w:themeColor="text1"/>
          <w:szCs w:val="16"/>
        </w:rPr>
      </w:pPr>
    </w:p>
    <w:p w14:paraId="738687AF" w14:textId="77777777" w:rsidR="00F8612C" w:rsidRDefault="00F8612C">
      <w:pPr>
        <w:spacing w:before="0" w:after="200" w:line="276" w:lineRule="auto"/>
        <w:rPr>
          <w:rFonts w:eastAsiaTheme="majorEastAsia" w:cs="Arial"/>
          <w:b/>
          <w:bCs/>
          <w:sz w:val="22"/>
        </w:rPr>
      </w:pPr>
      <w:r>
        <w:rPr>
          <w:rFonts w:cs="Arial"/>
          <w:sz w:val="22"/>
        </w:rPr>
        <w:br w:type="page"/>
      </w:r>
    </w:p>
    <w:p w14:paraId="1D926B95" w14:textId="044F5BEF" w:rsidR="003C1806" w:rsidRPr="00F8612C" w:rsidRDefault="003C1806" w:rsidP="003C1806">
      <w:pPr>
        <w:pStyle w:val="Heading1"/>
        <w:rPr>
          <w:rFonts w:cs="Arial"/>
          <w:sz w:val="22"/>
          <w:szCs w:val="22"/>
        </w:rPr>
      </w:pPr>
      <w:r w:rsidRPr="00F8612C">
        <w:rPr>
          <w:rFonts w:cs="Arial"/>
          <w:sz w:val="22"/>
          <w:szCs w:val="22"/>
        </w:rPr>
        <w:lastRenderedPageBreak/>
        <w:t>ED attachments</w:t>
      </w:r>
    </w:p>
    <w:p w14:paraId="738B2717" w14:textId="3C679850" w:rsidR="003C1806" w:rsidRDefault="003C1806" w:rsidP="003C1806"/>
    <w:p w14:paraId="6D4B11BF" w14:textId="5D442B56" w:rsidR="003C1806" w:rsidRPr="003C1806" w:rsidRDefault="004F2252" w:rsidP="003C1806">
      <w:r>
        <w:object w:dxaOrig="1508" w:dyaOrig="983" w14:anchorId="6BAA3870">
          <v:shape id="_x0000_i1026" type="#_x0000_t75" alt="PW-2021DataRubricPartB" style="width:79.2pt;height:50.4pt" o:ole="">
            <v:imagedata r:id="rId12" o:title=""/>
          </v:shape>
          <o:OLEObject Type="Embed" ProgID="Excel.Sheet.12" ShapeID="_x0000_i1026" DrawAspect="Icon" ObjectID="_1689410410" r:id="rId13"/>
        </w:object>
      </w:r>
      <w:r w:rsidR="00091A68">
        <w:t xml:space="preserve"> </w:t>
      </w:r>
      <w:r>
        <w:object w:dxaOrig="1508" w:dyaOrig="983" w14:anchorId="7FAEAC40">
          <v:shape id="_x0000_i1027" type="#_x0000_t75" alt="PW-B-Dispute- Resolution-2019-20" style="width:79.2pt;height:50.4pt" o:ole="">
            <v:imagedata r:id="rId14" o:title=""/>
          </v:shape>
          <o:OLEObject Type="Embed" ProgID="Acrobat.Document.DC" ShapeID="_x0000_i1027" DrawAspect="Icon" ObjectID="_1689410411" r:id="rId15"/>
        </w:object>
      </w:r>
      <w:r w:rsidR="009A655D">
        <w:t xml:space="preserve"> </w:t>
      </w:r>
      <w:r w:rsidR="001461A7">
        <w:object w:dxaOrig="1508" w:dyaOrig="983" w14:anchorId="7C1E1CA2">
          <v:shape id="_x0000_i1030" type="#_x0000_t75" alt="pw-resultsmatrix-2021bent-supp" style="width:79.2pt;height:50.4pt" o:ole="">
            <v:imagedata r:id="rId16" o:title=""/>
          </v:shape>
          <o:OLEObject Type="Embed" ProgID="Acrobat.Document.DC" ShapeID="_x0000_i1030" DrawAspect="Icon" ObjectID="_1689410412" r:id="rId17"/>
        </w:object>
      </w:r>
    </w:p>
    <w:sectPr w:rsidR="003C1806" w:rsidRPr="003C1806"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3A1F" w14:textId="77777777" w:rsidR="007C0733" w:rsidRDefault="007C0733" w:rsidP="000802F7">
      <w:pPr>
        <w:spacing w:before="0" w:after="0"/>
      </w:pPr>
      <w:r>
        <w:separator/>
      </w:r>
    </w:p>
  </w:endnote>
  <w:endnote w:type="continuationSeparator" w:id="0">
    <w:p w14:paraId="787F7096" w14:textId="77777777" w:rsidR="007C0733" w:rsidRDefault="007C0733" w:rsidP="000802F7">
      <w:pPr>
        <w:spacing w:before="0" w:after="0"/>
      </w:pPr>
      <w:r>
        <w:continuationSeparator/>
      </w:r>
    </w:p>
  </w:endnote>
  <w:endnote w:type="continuationNotice" w:id="1">
    <w:p w14:paraId="7B8FAFB9" w14:textId="77777777" w:rsidR="007C0733" w:rsidRDefault="007C07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15A5" w14:textId="77777777" w:rsidR="007C0733" w:rsidRDefault="007C0733" w:rsidP="000802F7">
      <w:pPr>
        <w:spacing w:before="0" w:after="0"/>
      </w:pPr>
      <w:r>
        <w:separator/>
      </w:r>
    </w:p>
  </w:footnote>
  <w:footnote w:type="continuationSeparator" w:id="0">
    <w:p w14:paraId="1E1B68F5" w14:textId="77777777" w:rsidR="007C0733" w:rsidRDefault="007C0733" w:rsidP="000802F7">
      <w:pPr>
        <w:spacing w:before="0" w:after="0"/>
      </w:pPr>
      <w:r>
        <w:continuationSeparator/>
      </w:r>
    </w:p>
  </w:footnote>
  <w:footnote w:type="continuationNotice" w:id="1">
    <w:p w14:paraId="48C80E1B" w14:textId="77777777" w:rsidR="007C0733" w:rsidRDefault="007C0733">
      <w:pPr>
        <w:spacing w:before="0" w:after="0"/>
      </w:pPr>
    </w:p>
  </w:footnote>
  <w:footnote w:id="2">
    <w:p w14:paraId="6C430DCC" w14:textId="7D09E9C1" w:rsidR="007F668F" w:rsidRDefault="007F668F">
      <w:pPr>
        <w:pStyle w:val="FootnoteText"/>
      </w:pPr>
      <w:r>
        <w:rPr>
          <w:rStyle w:val="FootnoteReference"/>
        </w:rPr>
        <w:footnoteRef/>
      </w:r>
      <w:r>
        <w:t xml:space="preserve"> </w:t>
      </w:r>
      <w:r w:rsidR="00655B35" w:rsidRPr="003050AA">
        <w:rPr>
          <w:sz w:val="16"/>
          <w:szCs w:val="16"/>
        </w:rPr>
        <w:t>Data suppressed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1A68"/>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A6D"/>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1A7"/>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06"/>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8EF"/>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252"/>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3A28"/>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37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B35"/>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100"/>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733"/>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68F"/>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3F71"/>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55D"/>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526B"/>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84D"/>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37B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01BC"/>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72"/>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12C"/>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ffcb171c-5eb6-4b7e-bff7-850b4441ed9e"/>
    <ds:schemaRef ds:uri="dd23999d-55bb-4b1f-885e-83712e5c49df"/>
    <ds:schemaRef ds:uri="http://schemas.microsoft.com/office/2006/metadata/properties"/>
  </ds:schemaRefs>
</ds:datastoreItem>
</file>

<file path=customXml/itemProps3.xml><?xml version="1.0" encoding="utf-8"?>
<ds:datastoreItem xmlns:ds="http://schemas.openxmlformats.org/officeDocument/2006/customXml" ds:itemID="{0CD7346D-93E4-453F-8D42-73425F50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21253</Words>
  <Characters>121148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Wolfsheimer, Jennifer</cp:lastModifiedBy>
  <cp:revision>11</cp:revision>
  <cp:lastPrinted>2014-08-19T16:56:00Z</cp:lastPrinted>
  <dcterms:created xsi:type="dcterms:W3CDTF">2021-07-21T15:49:00Z</dcterms:created>
  <dcterms:modified xsi:type="dcterms:W3CDTF">2021-08-02T15:54:00Z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aacfd1e4-f916-4b79-aea9-cb81a3d57420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